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1805D">
      <w:pPr>
        <w:rPr>
          <w:rFonts w:ascii="仿宋" w:hAnsi="仿宋" w:eastAsia="仿宋" w:cs="Calibri"/>
          <w:b/>
          <w:bCs/>
          <w:caps/>
          <w:color w:val="000000"/>
          <w:spacing w:val="14"/>
          <w:highlight w:val="none"/>
        </w:rPr>
      </w:pPr>
      <w:bookmarkStart w:id="0" w:name="EB28b1b3d801534d13bb47896bced75913"/>
    </w:p>
    <w:p w14:paraId="7A2711A4">
      <w:pPr>
        <w:rPr>
          <w:color w:val="auto"/>
          <w:highlight w:val="none"/>
        </w:rPr>
      </w:pPr>
      <w:bookmarkStart w:id="1" w:name="EB28b1b3d801534d13bb47896bced75913_0"/>
      <w:r>
        <w:rPr>
          <w:rFonts w:hint="eastAsia"/>
          <w:color w:val="auto"/>
          <w:highlight w:val="none"/>
        </w:rPr>
        <w:t xml:space="preserve">  </w:t>
      </w:r>
      <w:r>
        <w:rPr>
          <w:color w:val="auto"/>
          <w:highlight w:val="none"/>
        </w:rPr>
        <w:t xml:space="preserve"> </w:t>
      </w:r>
    </w:p>
    <w:p w14:paraId="3201FB95">
      <w:pPr>
        <w:pStyle w:val="9"/>
        <w:ind w:left="0" w:leftChars="0" w:right="54" w:firstLine="0" w:firstLineChars="0"/>
        <w:jc w:val="both"/>
        <w:rPr>
          <w:rFonts w:hint="eastAsia"/>
          <w:color w:val="auto"/>
          <w:highlight w:val="none"/>
        </w:rPr>
      </w:pPr>
    </w:p>
    <w:p w14:paraId="047860F6">
      <w:pPr>
        <w:pStyle w:val="11"/>
        <w:jc w:val="center"/>
        <w:rPr>
          <w:rFonts w:hint="eastAsia"/>
          <w:highlight w:val="none"/>
        </w:rPr>
      </w:pPr>
      <w:r>
        <w:rPr>
          <w:rFonts w:hint="eastAsia" w:ascii="仿宋" w:hAnsi="仿宋" w:eastAsia="仿宋" w:cs="仿宋"/>
          <w:b/>
          <w:color w:val="auto"/>
          <w:sz w:val="40"/>
          <w:szCs w:val="40"/>
          <w:highlight w:val="none"/>
          <w:lang w:eastAsia="zh-CN"/>
        </w:rPr>
        <w:t>河南科技大学附属高级中学理化生实验室装备项目</w:t>
      </w:r>
    </w:p>
    <w:p w14:paraId="1641A8A0">
      <w:pPr>
        <w:pStyle w:val="12"/>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72"/>
          <w:szCs w:val="72"/>
          <w:highlight w:val="none"/>
        </w:rPr>
        <w:t>竞争性磋商</w:t>
      </w:r>
      <w:r>
        <w:rPr>
          <w:rFonts w:hint="eastAsia" w:ascii="仿宋" w:hAnsi="仿宋" w:eastAsia="仿宋" w:cs="仿宋"/>
          <w:b/>
          <w:color w:val="auto"/>
          <w:sz w:val="72"/>
          <w:szCs w:val="72"/>
          <w:highlight w:val="none"/>
          <w:lang w:eastAsia="zh-CN"/>
        </w:rPr>
        <w:t>文件</w:t>
      </w:r>
    </w:p>
    <w:p w14:paraId="0C420EE4">
      <w:pPr>
        <w:pStyle w:val="9"/>
        <w:rPr>
          <w:rFonts w:hint="eastAsia"/>
          <w:highlight w:val="none"/>
        </w:rPr>
      </w:pPr>
    </w:p>
    <w:p w14:paraId="5605A551">
      <w:pPr>
        <w:pStyle w:val="12"/>
        <w:ind w:firstLine="0"/>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eastAsia="zh-CN"/>
        </w:rPr>
        <w:t>项目编号</w:t>
      </w:r>
      <w:r>
        <w:rPr>
          <w:rFonts w:hint="eastAsia" w:ascii="仿宋" w:hAnsi="仿宋" w:eastAsia="仿宋" w:cs="仿宋"/>
          <w:b/>
          <w:color w:val="auto"/>
          <w:sz w:val="28"/>
          <w:szCs w:val="28"/>
          <w:highlight w:val="none"/>
        </w:rPr>
        <w:t>：洛采竞磋-2025-188</w:t>
      </w:r>
    </w:p>
    <w:p w14:paraId="3C054D5F">
      <w:pPr>
        <w:pStyle w:val="12"/>
        <w:ind w:firstLine="0"/>
        <w:jc w:val="left"/>
        <w:rPr>
          <w:rFonts w:hint="eastAsia" w:ascii="仿宋" w:hAnsi="仿宋" w:eastAsia="仿宋" w:cs="仿宋"/>
          <w:b/>
          <w:color w:val="auto"/>
          <w:sz w:val="28"/>
          <w:szCs w:val="32"/>
          <w:highlight w:val="none"/>
        </w:rPr>
      </w:pPr>
    </w:p>
    <w:p w14:paraId="7C592734">
      <w:pPr>
        <w:pStyle w:val="9"/>
        <w:ind w:left="0" w:leftChars="0" w:firstLine="0" w:firstLineChars="0"/>
        <w:jc w:val="both"/>
        <w:rPr>
          <w:rFonts w:hint="eastAsia"/>
          <w:highlight w:val="none"/>
        </w:rPr>
      </w:pPr>
    </w:p>
    <w:p w14:paraId="0CB88917">
      <w:pPr>
        <w:pStyle w:val="9"/>
        <w:ind w:left="0" w:leftChars="0" w:firstLine="0" w:firstLineChars="0"/>
        <w:jc w:val="both"/>
        <w:rPr>
          <w:rFonts w:hint="eastAsia"/>
          <w:highlight w:val="none"/>
        </w:rPr>
      </w:pPr>
      <w:r>
        <w:rPr>
          <w:rFonts w:hint="eastAsia" w:ascii="仿宋" w:hAnsi="仿宋" w:eastAsia="仿宋" w:cs="仿宋"/>
          <w:color w:val="auto"/>
          <w:highlight w:val="none"/>
        </w:rPr>
        <w:drawing>
          <wp:anchor distT="0" distB="0" distL="114300" distR="114300" simplePos="0" relativeHeight="251659264" behindDoc="1" locked="0" layoutInCell="1" allowOverlap="1">
            <wp:simplePos x="0" y="0"/>
            <wp:positionH relativeFrom="column">
              <wp:posOffset>2110105</wp:posOffset>
            </wp:positionH>
            <wp:positionV relativeFrom="paragraph">
              <wp:posOffset>102235</wp:posOffset>
            </wp:positionV>
            <wp:extent cx="1691640" cy="1650365"/>
            <wp:effectExtent l="0" t="0" r="3810" b="6985"/>
            <wp:wrapNone/>
            <wp:docPr id="5" name="图片 2" descr="城发标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城发标志2"/>
                    <pic:cNvPicPr>
                      <a:picLocks noChangeAspect="1"/>
                    </pic:cNvPicPr>
                  </pic:nvPicPr>
                  <pic:blipFill>
                    <a:blip r:embed="rId9"/>
                    <a:stretch>
                      <a:fillRect/>
                    </a:stretch>
                  </pic:blipFill>
                  <pic:spPr>
                    <a:xfrm>
                      <a:off x="0" y="0"/>
                      <a:ext cx="1691640" cy="1650365"/>
                    </a:xfrm>
                    <a:prstGeom prst="rect">
                      <a:avLst/>
                    </a:prstGeom>
                    <a:noFill/>
                    <a:ln>
                      <a:noFill/>
                    </a:ln>
                  </pic:spPr>
                </pic:pic>
              </a:graphicData>
            </a:graphic>
          </wp:anchor>
        </w:drawing>
      </w:r>
    </w:p>
    <w:p w14:paraId="0C5FD068">
      <w:pPr>
        <w:pStyle w:val="11"/>
        <w:rPr>
          <w:rFonts w:hint="eastAsia"/>
          <w:highlight w:val="none"/>
        </w:rPr>
      </w:pPr>
    </w:p>
    <w:p w14:paraId="005E24C7">
      <w:pPr>
        <w:pStyle w:val="11"/>
        <w:rPr>
          <w:rFonts w:hint="eastAsia"/>
          <w:highlight w:val="none"/>
        </w:rPr>
      </w:pPr>
    </w:p>
    <w:p w14:paraId="2998B449">
      <w:pPr>
        <w:pStyle w:val="11"/>
        <w:rPr>
          <w:rFonts w:hint="eastAsia"/>
          <w:highlight w:val="none"/>
        </w:rPr>
      </w:pPr>
    </w:p>
    <w:p w14:paraId="57A6E11D">
      <w:pPr>
        <w:pStyle w:val="11"/>
        <w:rPr>
          <w:rFonts w:hint="eastAsia"/>
          <w:highlight w:val="none"/>
        </w:rPr>
      </w:pPr>
    </w:p>
    <w:p w14:paraId="769C6155">
      <w:pPr>
        <w:pStyle w:val="11"/>
        <w:rPr>
          <w:rFonts w:hint="eastAsia"/>
          <w:highlight w:val="none"/>
        </w:rPr>
      </w:pPr>
    </w:p>
    <w:p w14:paraId="49B9C90F">
      <w:pPr>
        <w:pStyle w:val="11"/>
        <w:rPr>
          <w:rFonts w:hint="eastAsia"/>
          <w:highlight w:val="none"/>
        </w:rPr>
      </w:pPr>
    </w:p>
    <w:p w14:paraId="6B95B1A4">
      <w:pPr>
        <w:pStyle w:val="9"/>
        <w:ind w:left="0" w:leftChars="0" w:firstLine="0" w:firstLineChars="0"/>
        <w:jc w:val="both"/>
        <w:rPr>
          <w:rFonts w:hint="eastAsia"/>
          <w:highlight w:val="none"/>
        </w:rPr>
      </w:pPr>
    </w:p>
    <w:p w14:paraId="67C84E33">
      <w:pPr>
        <w:pStyle w:val="11"/>
        <w:rPr>
          <w:rFonts w:hint="eastAsia"/>
          <w:highlight w:val="none"/>
        </w:rPr>
      </w:pPr>
    </w:p>
    <w:p w14:paraId="66F94D20">
      <w:pPr>
        <w:pStyle w:val="1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采 购 人：河南科技大学附属高级中学</w:t>
      </w:r>
    </w:p>
    <w:p w14:paraId="6922EEAE">
      <w:pPr>
        <w:pStyle w:val="10"/>
        <w:tabs>
          <w:tab w:val="left" w:pos="2681"/>
        </w:tabs>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采购代理机构：河南城发工程管理有限公司</w:t>
      </w:r>
    </w:p>
    <w:p w14:paraId="3B8E242E">
      <w:pPr>
        <w:pStyle w:val="10"/>
        <w:spacing w:line="360" w:lineRule="auto"/>
        <w:ind w:firstLine="2739" w:firstLineChars="1100"/>
        <w:jc w:val="both"/>
        <w:rPr>
          <w:highlight w:val="none"/>
        </w:rPr>
      </w:pPr>
      <w:r>
        <w:rPr>
          <w:rFonts w:hint="eastAsia" w:ascii="仿宋" w:hAnsi="仿宋" w:eastAsia="仿宋" w:cs="仿宋"/>
          <w:b/>
          <w:color w:val="auto"/>
          <w:sz w:val="28"/>
          <w:szCs w:val="28"/>
          <w:highlight w:val="none"/>
        </w:rPr>
        <w:t>日   期：二〇二</w:t>
      </w:r>
      <w:r>
        <w:rPr>
          <w:rFonts w:hint="eastAsia" w:ascii="仿宋" w:hAnsi="仿宋" w:eastAsia="仿宋" w:cs="仿宋"/>
          <w:b/>
          <w:color w:val="auto"/>
          <w:sz w:val="28"/>
          <w:szCs w:val="28"/>
          <w:highlight w:val="none"/>
          <w:lang w:eastAsia="zh-CN"/>
        </w:rPr>
        <w:t>五</w:t>
      </w:r>
      <w:r>
        <w:rPr>
          <w:rFonts w:hint="eastAsia" w:ascii="仿宋" w:hAnsi="仿宋" w:eastAsia="仿宋" w:cs="仿宋"/>
          <w:b/>
          <w:color w:val="auto"/>
          <w:sz w:val="28"/>
          <w:szCs w:val="28"/>
          <w:highlight w:val="none"/>
        </w:rPr>
        <w:t>年</w:t>
      </w:r>
      <w:r>
        <w:rPr>
          <w:rFonts w:hint="eastAsia" w:ascii="仿宋" w:hAnsi="仿宋" w:eastAsia="仿宋" w:cs="仿宋"/>
          <w:b/>
          <w:color w:val="auto"/>
          <w:sz w:val="28"/>
          <w:szCs w:val="28"/>
          <w:highlight w:val="none"/>
          <w:lang w:val="en-US" w:eastAsia="zh-CN"/>
        </w:rPr>
        <w:t>十一</w:t>
      </w:r>
      <w:r>
        <w:rPr>
          <w:rFonts w:hint="eastAsia" w:ascii="仿宋" w:hAnsi="仿宋" w:eastAsia="仿宋" w:cs="仿宋"/>
          <w:b/>
          <w:color w:val="auto"/>
          <w:sz w:val="28"/>
          <w:szCs w:val="28"/>
          <w:highlight w:val="none"/>
        </w:rPr>
        <w:t>月</w:t>
      </w:r>
      <w:bookmarkEnd w:id="1"/>
    </w:p>
    <w:bookmarkEnd w:id="0"/>
    <w:p w14:paraId="1957CB95">
      <w:pPr>
        <w:rPr>
          <w:rFonts w:hint="eastAsia"/>
          <w:color w:val="000080"/>
          <w:sz w:val="20"/>
          <w:highlight w:val="white"/>
        </w:rPr>
      </w:pPr>
    </w:p>
    <w:p w14:paraId="1860D2AA">
      <w:pPr>
        <w:rPr>
          <w:rFonts w:hint="eastAsia"/>
          <w:highlight w:val="red"/>
        </w:rPr>
      </w:pPr>
      <w:r>
        <w:rPr>
          <w:highlight w:val="white"/>
        </w:rPr>
        <w:br w:type="page"/>
      </w:r>
      <w:bookmarkStart w:id="2" w:name="EBb98a46ac98954e3c92fa7ed36a06021e"/>
    </w:p>
    <w:p w14:paraId="36CAB8DD">
      <w:pPr>
        <w:widowControl/>
        <w:jc w:val="center"/>
        <w:outlineLvl w:val="9"/>
        <w:rPr>
          <w:rFonts w:hint="eastAsia" w:ascii="仿宋" w:hAnsi="仿宋" w:eastAsia="仿宋" w:cs="仿宋"/>
          <w:b w:val="0"/>
          <w:bCs w:val="0"/>
          <w:kern w:val="28"/>
          <w:sz w:val="44"/>
          <w:szCs w:val="44"/>
          <w:highlight w:val="none"/>
          <w:lang w:bidi="en-US"/>
        </w:rPr>
      </w:pPr>
      <w:bookmarkStart w:id="3" w:name="_Toc16444"/>
      <w:r>
        <w:rPr>
          <w:rFonts w:hint="eastAsia" w:ascii="仿宋" w:hAnsi="仿宋" w:eastAsia="仿宋" w:cs="仿宋"/>
          <w:b w:val="0"/>
          <w:bCs w:val="0"/>
          <w:kern w:val="28"/>
          <w:sz w:val="44"/>
          <w:szCs w:val="44"/>
          <w:highlight w:val="none"/>
          <w:lang w:bidi="en-US"/>
        </w:rPr>
        <w:t>目    录</w:t>
      </w:r>
      <w:bookmarkEnd w:id="3"/>
    </w:p>
    <w:p w14:paraId="79A85EF0">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pacing w:val="14"/>
          <w:sz w:val="28"/>
          <w:szCs w:val="32"/>
        </w:rPr>
        <w:fldChar w:fldCharType="begin"/>
      </w:r>
      <w:r>
        <w:rPr>
          <w:rFonts w:hint="eastAsia" w:ascii="仿宋" w:hAnsi="仿宋" w:eastAsia="仿宋" w:cs="仿宋"/>
          <w:b w:val="0"/>
          <w:bCs w:val="0"/>
          <w:spacing w:val="14"/>
          <w:sz w:val="28"/>
          <w:szCs w:val="32"/>
        </w:rPr>
        <w:instrText xml:space="preserve"> TOC \o "1-3" \u </w:instrText>
      </w:r>
      <w:r>
        <w:rPr>
          <w:rFonts w:hint="eastAsia" w:ascii="仿宋" w:hAnsi="仿宋" w:eastAsia="仿宋" w:cs="仿宋"/>
          <w:b w:val="0"/>
          <w:bCs w:val="0"/>
          <w:spacing w:val="14"/>
          <w:sz w:val="28"/>
          <w:szCs w:val="32"/>
        </w:rPr>
        <w:fldChar w:fldCharType="separate"/>
      </w:r>
      <w:r>
        <w:rPr>
          <w:rFonts w:hint="eastAsia" w:ascii="仿宋" w:hAnsi="仿宋" w:eastAsia="仿宋" w:cs="仿宋"/>
          <w:b w:val="0"/>
          <w:bCs w:val="0"/>
          <w:sz w:val="28"/>
          <w:szCs w:val="44"/>
        </w:rPr>
        <w:t>第一章  采购公告</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_Toc4498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6</w:t>
      </w:r>
      <w:r>
        <w:rPr>
          <w:rFonts w:hint="eastAsia" w:ascii="仿宋" w:hAnsi="仿宋" w:eastAsia="仿宋" w:cs="仿宋"/>
          <w:b w:val="0"/>
          <w:bCs w:val="0"/>
          <w:sz w:val="28"/>
          <w:szCs w:val="32"/>
        </w:rPr>
        <w:fldChar w:fldCharType="end"/>
      </w:r>
    </w:p>
    <w:p w14:paraId="5E5CECEF">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pacing w:val="14"/>
          <w:sz w:val="28"/>
          <w:szCs w:val="44"/>
        </w:rPr>
        <w:t>第二章 供应商须知</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_Toc25598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17</w:t>
      </w:r>
      <w:r>
        <w:rPr>
          <w:rFonts w:hint="eastAsia" w:ascii="仿宋" w:hAnsi="仿宋" w:eastAsia="仿宋" w:cs="仿宋"/>
          <w:b w:val="0"/>
          <w:bCs w:val="0"/>
          <w:sz w:val="28"/>
          <w:szCs w:val="32"/>
        </w:rPr>
        <w:fldChar w:fldCharType="end"/>
      </w:r>
    </w:p>
    <w:p w14:paraId="17DA5400">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z w:val="28"/>
          <w:szCs w:val="44"/>
        </w:rPr>
        <w:t xml:space="preserve">第三章 </w:t>
      </w:r>
      <w:r>
        <w:rPr>
          <w:rFonts w:hint="eastAsia" w:ascii="仿宋" w:hAnsi="仿宋" w:eastAsia="仿宋" w:cs="仿宋"/>
          <w:b w:val="0"/>
          <w:bCs w:val="0"/>
          <w:sz w:val="28"/>
          <w:szCs w:val="44"/>
          <w:lang w:val="en-US" w:eastAsia="zh-CN"/>
        </w:rPr>
        <w:t xml:space="preserve"> </w:t>
      </w:r>
      <w:r>
        <w:rPr>
          <w:rFonts w:hint="eastAsia" w:ascii="仿宋" w:hAnsi="仿宋" w:eastAsia="仿宋" w:cs="仿宋"/>
          <w:b w:val="0"/>
          <w:bCs w:val="0"/>
          <w:sz w:val="28"/>
          <w:szCs w:val="44"/>
        </w:rPr>
        <w:t>采购需求</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_Toc24734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39</w:t>
      </w:r>
      <w:r>
        <w:rPr>
          <w:rFonts w:hint="eastAsia" w:ascii="仿宋" w:hAnsi="仿宋" w:eastAsia="仿宋" w:cs="仿宋"/>
          <w:b w:val="0"/>
          <w:bCs w:val="0"/>
          <w:sz w:val="28"/>
          <w:szCs w:val="32"/>
        </w:rPr>
        <w:fldChar w:fldCharType="end"/>
      </w:r>
    </w:p>
    <w:p w14:paraId="6CB3CAD8">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sz w:val="28"/>
          <w:szCs w:val="44"/>
        </w:rPr>
        <w:t>第四章  合 同(样本)</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_Toc24108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146</w:t>
      </w:r>
      <w:r>
        <w:rPr>
          <w:rFonts w:hint="eastAsia" w:ascii="仿宋" w:hAnsi="仿宋" w:eastAsia="仿宋" w:cs="仿宋"/>
          <w:b w:val="0"/>
          <w:bCs w:val="0"/>
          <w:sz w:val="28"/>
          <w:szCs w:val="32"/>
        </w:rPr>
        <w:fldChar w:fldCharType="end"/>
      </w:r>
    </w:p>
    <w:p w14:paraId="28404ADD">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color w:val="000000"/>
          <w:sz w:val="28"/>
          <w:szCs w:val="32"/>
        </w:rPr>
        <w:t>第六章  资格审查与评审标准</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_Toc22565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161</w:t>
      </w:r>
      <w:r>
        <w:rPr>
          <w:rFonts w:hint="eastAsia" w:ascii="仿宋" w:hAnsi="仿宋" w:eastAsia="仿宋" w:cs="仿宋"/>
          <w:b w:val="0"/>
          <w:bCs w:val="0"/>
          <w:sz w:val="28"/>
          <w:szCs w:val="32"/>
        </w:rPr>
        <w:fldChar w:fldCharType="end"/>
      </w:r>
    </w:p>
    <w:p w14:paraId="3A0BF0C7">
      <w:pPr>
        <w:pStyle w:val="4"/>
        <w:tabs>
          <w:tab w:val="right" w:leader="dot" w:pos="9241"/>
        </w:tabs>
        <w:rPr>
          <w:rFonts w:hint="eastAsia" w:ascii="仿宋" w:hAnsi="仿宋" w:eastAsia="仿宋" w:cs="仿宋"/>
          <w:b w:val="0"/>
          <w:bCs w:val="0"/>
          <w:sz w:val="28"/>
          <w:szCs w:val="32"/>
        </w:rPr>
      </w:pPr>
      <w:r>
        <w:rPr>
          <w:rFonts w:hint="eastAsia" w:ascii="仿宋" w:hAnsi="仿宋" w:eastAsia="仿宋" w:cs="仿宋"/>
          <w:b w:val="0"/>
          <w:bCs w:val="0"/>
          <w:color w:val="000000"/>
          <w:sz w:val="28"/>
          <w:szCs w:val="48"/>
        </w:rPr>
        <w:t>第七章  投标文件格式</w:t>
      </w:r>
      <w:r>
        <w:rPr>
          <w:rFonts w:hint="eastAsia" w:ascii="仿宋" w:hAnsi="仿宋" w:eastAsia="仿宋" w:cs="仿宋"/>
          <w:b w:val="0"/>
          <w:bCs w:val="0"/>
          <w:sz w:val="28"/>
          <w:szCs w:val="32"/>
        </w:rPr>
        <w:tab/>
      </w:r>
      <w:r>
        <w:rPr>
          <w:rFonts w:hint="eastAsia" w:ascii="仿宋" w:hAnsi="仿宋" w:eastAsia="仿宋" w:cs="仿宋"/>
          <w:b w:val="0"/>
          <w:bCs w:val="0"/>
          <w:sz w:val="28"/>
          <w:szCs w:val="32"/>
        </w:rPr>
        <w:fldChar w:fldCharType="begin"/>
      </w:r>
      <w:r>
        <w:rPr>
          <w:rFonts w:hint="eastAsia" w:ascii="仿宋" w:hAnsi="仿宋" w:eastAsia="仿宋" w:cs="仿宋"/>
          <w:b w:val="0"/>
          <w:bCs w:val="0"/>
          <w:sz w:val="28"/>
          <w:szCs w:val="32"/>
        </w:rPr>
        <w:instrText xml:space="preserve"> PAGEREF _Toc23591 \h </w:instrText>
      </w:r>
      <w:r>
        <w:rPr>
          <w:rFonts w:hint="eastAsia" w:ascii="仿宋" w:hAnsi="仿宋" w:eastAsia="仿宋" w:cs="仿宋"/>
          <w:b w:val="0"/>
          <w:bCs w:val="0"/>
          <w:sz w:val="28"/>
          <w:szCs w:val="32"/>
        </w:rPr>
        <w:fldChar w:fldCharType="separate"/>
      </w:r>
      <w:r>
        <w:rPr>
          <w:rFonts w:hint="eastAsia" w:ascii="仿宋" w:hAnsi="仿宋" w:eastAsia="仿宋" w:cs="仿宋"/>
          <w:b w:val="0"/>
          <w:bCs w:val="0"/>
          <w:sz w:val="28"/>
          <w:szCs w:val="32"/>
        </w:rPr>
        <w:t>166</w:t>
      </w:r>
      <w:r>
        <w:rPr>
          <w:rFonts w:hint="eastAsia" w:ascii="仿宋" w:hAnsi="仿宋" w:eastAsia="仿宋" w:cs="仿宋"/>
          <w:b w:val="0"/>
          <w:bCs w:val="0"/>
          <w:sz w:val="28"/>
          <w:szCs w:val="32"/>
        </w:rPr>
        <w:fldChar w:fldCharType="end"/>
      </w:r>
    </w:p>
    <w:p w14:paraId="09A4D28D">
      <w:pPr>
        <w:rPr>
          <w:rFonts w:hint="eastAsia" w:ascii="仿宋" w:hAnsi="仿宋" w:eastAsia="仿宋" w:cs="仿宋"/>
          <w:b w:val="0"/>
          <w:bCs w:val="0"/>
          <w:caps/>
          <w:color w:val="auto"/>
          <w:spacing w:val="14"/>
          <w:sz w:val="28"/>
          <w:szCs w:val="32"/>
        </w:rPr>
      </w:pPr>
      <w:r>
        <w:rPr>
          <w:rFonts w:hint="eastAsia" w:ascii="仿宋" w:hAnsi="仿宋" w:eastAsia="仿宋" w:cs="仿宋"/>
          <w:b w:val="0"/>
          <w:bCs w:val="0"/>
          <w:caps/>
          <w:color w:val="auto"/>
          <w:spacing w:val="14"/>
          <w:sz w:val="28"/>
          <w:szCs w:val="32"/>
        </w:rPr>
        <w:fldChar w:fldCharType="end"/>
      </w:r>
    </w:p>
    <w:p w14:paraId="2444FFB5">
      <w:pPr>
        <w:rPr>
          <w:color w:val="auto"/>
        </w:rPr>
      </w:pPr>
    </w:p>
    <w:p w14:paraId="7A99277B">
      <w:pPr>
        <w:rPr>
          <w:color w:val="auto"/>
        </w:rPr>
      </w:pPr>
    </w:p>
    <w:p w14:paraId="096DAF3A">
      <w:pPr>
        <w:rPr>
          <w:color w:val="auto"/>
        </w:rPr>
      </w:pPr>
    </w:p>
    <w:p w14:paraId="45F988DA">
      <w:pPr>
        <w:rPr>
          <w:color w:val="auto"/>
        </w:rPr>
      </w:pPr>
    </w:p>
    <w:p w14:paraId="4B478ACA">
      <w:pPr>
        <w:rPr>
          <w:color w:val="auto"/>
        </w:rPr>
      </w:pPr>
    </w:p>
    <w:p w14:paraId="671B0024">
      <w:pPr>
        <w:rPr>
          <w:color w:val="auto"/>
        </w:rPr>
      </w:pPr>
    </w:p>
    <w:p w14:paraId="0EB63D72">
      <w:pPr>
        <w:rPr>
          <w:color w:val="auto"/>
        </w:rPr>
      </w:pPr>
    </w:p>
    <w:p w14:paraId="4C5E0241">
      <w:pPr>
        <w:rPr>
          <w:color w:val="auto"/>
        </w:rPr>
      </w:pPr>
    </w:p>
    <w:p w14:paraId="7A21000D">
      <w:pPr>
        <w:rPr>
          <w:color w:val="auto"/>
        </w:rPr>
      </w:pPr>
    </w:p>
    <w:p w14:paraId="1A2E94CD">
      <w:pPr>
        <w:rPr>
          <w:color w:val="auto"/>
        </w:rPr>
      </w:pPr>
    </w:p>
    <w:p w14:paraId="19254689">
      <w:pPr>
        <w:rPr>
          <w:color w:val="auto"/>
        </w:rPr>
      </w:pPr>
    </w:p>
    <w:p w14:paraId="17222ACE">
      <w:pPr>
        <w:rPr>
          <w:color w:val="auto"/>
        </w:rPr>
      </w:pPr>
    </w:p>
    <w:p w14:paraId="472EC6EA">
      <w:pPr>
        <w:rPr>
          <w:color w:val="auto"/>
        </w:rPr>
      </w:pPr>
    </w:p>
    <w:p w14:paraId="556C39E4">
      <w:pPr>
        <w:rPr>
          <w:color w:val="auto"/>
        </w:rPr>
      </w:pPr>
    </w:p>
    <w:p w14:paraId="371C73F6">
      <w:pPr>
        <w:rPr>
          <w:color w:val="auto"/>
        </w:rPr>
      </w:pPr>
    </w:p>
    <w:p w14:paraId="4A998F57">
      <w:pPr>
        <w:pStyle w:val="2"/>
      </w:pPr>
    </w:p>
    <w:p w14:paraId="3FFE8B51">
      <w:pPr>
        <w:rPr>
          <w:color w:val="auto"/>
        </w:rPr>
      </w:pPr>
    </w:p>
    <w:p w14:paraId="0C6D3284">
      <w:pPr>
        <w:rPr>
          <w:color w:val="auto"/>
        </w:rPr>
      </w:pPr>
    </w:p>
    <w:p w14:paraId="75D175C8">
      <w:pPr>
        <w:rPr>
          <w:color w:val="auto"/>
        </w:rPr>
      </w:pPr>
    </w:p>
    <w:p w14:paraId="3C4999DF">
      <w:pPr>
        <w:rPr>
          <w:color w:val="auto"/>
        </w:rPr>
      </w:pPr>
    </w:p>
    <w:p w14:paraId="5649F4C8">
      <w:pPr>
        <w:rPr>
          <w:rFonts w:hint="eastAsia" w:eastAsia="宋体"/>
          <w:color w:val="auto"/>
          <w:lang w:eastAsia="zh-CN"/>
        </w:rPr>
      </w:pPr>
    </w:p>
    <w:p w14:paraId="350A47C8">
      <w:pPr>
        <w:jc w:val="center"/>
        <w:rPr>
          <w:rFonts w:ascii="仿宋" w:hAnsi="仿宋" w:eastAsia="仿宋"/>
          <w:b/>
          <w:color w:val="auto"/>
          <w:spacing w:val="14"/>
          <w:sz w:val="32"/>
          <w:szCs w:val="32"/>
        </w:rPr>
      </w:pPr>
      <w:r>
        <w:rPr>
          <w:rFonts w:hint="eastAsia" w:ascii="仿宋" w:hAnsi="仿宋" w:eastAsia="仿宋"/>
          <w:b/>
          <w:color w:val="auto"/>
          <w:spacing w:val="14"/>
          <w:sz w:val="32"/>
          <w:szCs w:val="32"/>
        </w:rPr>
        <w:t>特 别 提 示</w:t>
      </w:r>
    </w:p>
    <w:p w14:paraId="730D418A">
      <w:pPr>
        <w:rPr>
          <w:rFonts w:hint="eastAsia" w:ascii="仿宋" w:hAnsi="仿宋" w:eastAsia="仿宋" w:cs="宋体"/>
          <w:sz w:val="24"/>
          <w:szCs w:val="24"/>
        </w:rPr>
      </w:pPr>
      <w:r>
        <w:rPr>
          <w:rFonts w:hint="eastAsia" w:ascii="仿宋" w:hAnsi="仿宋" w:eastAsia="仿宋" w:cs="宋体"/>
          <w:sz w:val="24"/>
          <w:szCs w:val="24"/>
        </w:rPr>
        <w:t xml:space="preserve"> </w:t>
      </w:r>
    </w:p>
    <w:p w14:paraId="1353A02D">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1、响应文件的制作</w:t>
      </w:r>
    </w:p>
    <w:p w14:paraId="32F57E8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1.供应商登录“洛阳市公共资源交易中心”网站，按要求下载“新点响应文件制作软件”。</w:t>
      </w:r>
    </w:p>
    <w:p w14:paraId="059F2E8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0955B3A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1.3加密的电子响应文件为“洛阳市公共资源交易中心”网站提供的“新点响应文件制作软件”制作生成的加密版响应文件。</w:t>
      </w:r>
    </w:p>
    <w:p w14:paraId="04EC001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1.4响应文件格式所要求包含的全部资料应全部制作在响应文件内，严格按照本项目响应文件所有格式如实填写（不涉及的内容除外），不应存在漏项或缺项，否则将存在响应被否决的风险。</w:t>
      </w:r>
    </w:p>
    <w:p w14:paraId="413527DC">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1.5响应文件所附证明材料均为原件的扫描件（或照片），清晰复印件的扫描件加盖公章视同原件（如没有特殊要求原件的），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4457A318">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2、响应文件的提交</w:t>
      </w:r>
    </w:p>
    <w:p w14:paraId="3CA9573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2.1除电子响应文件外，不再接受任何纸质文件、资料等。</w:t>
      </w:r>
    </w:p>
    <w:p w14:paraId="0FF88BE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0045514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2.3供应商因洛阳市电子招投标交易平台问题无法上传电子响应文件时，请在工作时间与交易中心联系。</w:t>
      </w:r>
    </w:p>
    <w:p w14:paraId="1D5FC542">
      <w:pPr>
        <w:pStyle w:val="13"/>
        <w:rPr>
          <w:rFonts w:hint="eastAsia" w:ascii="仿宋" w:hAnsi="仿宋" w:eastAsia="仿宋"/>
          <w:color w:val="auto"/>
          <w:sz w:val="24"/>
          <w:szCs w:val="24"/>
        </w:rPr>
      </w:pPr>
      <w:r>
        <w:rPr>
          <w:rFonts w:hint="eastAsia" w:ascii="仿宋" w:hAnsi="仿宋" w:eastAsia="仿宋"/>
          <w:color w:val="auto"/>
          <w:spacing w:val="14"/>
          <w:sz w:val="24"/>
          <w:szCs w:val="24"/>
        </w:rPr>
        <w:t>2.4（此条款仅适用于现场磋商的项目）未加密的电子响应文件1份（*.nlytf格式）（U盘介质），密封包装，注明项目名称，并在封套上加盖供应商单位公章或由供应商的法定代表人（单位负责人）或其授权的代理人签字。</w:t>
      </w:r>
    </w:p>
    <w:p w14:paraId="0A676551">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3. 磋商文件的澄清、修改</w:t>
      </w:r>
    </w:p>
    <w:p w14:paraId="52F5232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3.1磋商文件的澄清、修改将在《中国招标投标公共服务平台》、《</w:t>
      </w:r>
      <w:r>
        <w:rPr>
          <w:rFonts w:hint="eastAsia" w:ascii="仿宋" w:hAnsi="仿宋" w:eastAsia="仿宋"/>
          <w:color w:val="auto"/>
          <w:spacing w:val="14"/>
          <w:sz w:val="24"/>
          <w:szCs w:val="24"/>
          <w:lang w:eastAsia="zh-CN"/>
        </w:rPr>
        <w:t>河南省(洛阳市)政府采购网</w:t>
      </w:r>
      <w:r>
        <w:rPr>
          <w:rFonts w:hint="eastAsia" w:ascii="仿宋" w:hAnsi="仿宋" w:eastAsia="仿宋"/>
          <w:color w:val="auto"/>
          <w:spacing w:val="14"/>
          <w:sz w:val="24"/>
          <w:szCs w:val="24"/>
        </w:rPr>
        <w:t>》、《洛阳市公共资源交易中心网》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须重新下载最新的“答疑文件”，并以此编制响应文件。如不以最新发布的“答疑文件”编制响应文件，造成响应无效的后果由供应商自己承担。</w:t>
      </w:r>
    </w:p>
    <w:p w14:paraId="502FC36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3.2因洛阳市电子招投标交易平台在开标前具有保密性，在响应文件递交截止时间前须自行查看项目进展、变更通知、澄清及回复，因未及时查看而造成的后果自负。</w:t>
      </w:r>
    </w:p>
    <w:p w14:paraId="1E9199B3">
      <w:pPr>
        <w:pStyle w:val="13"/>
        <w:rPr>
          <w:rFonts w:hint="eastAsia" w:ascii="仿宋" w:hAnsi="仿宋" w:eastAsia="仿宋"/>
          <w:b/>
          <w:color w:val="auto"/>
          <w:spacing w:val="14"/>
          <w:sz w:val="24"/>
          <w:szCs w:val="24"/>
        </w:rPr>
      </w:pPr>
      <w:r>
        <w:rPr>
          <w:rFonts w:hint="eastAsia" w:ascii="仿宋" w:hAnsi="仿宋" w:eastAsia="仿宋"/>
          <w:b/>
          <w:color w:val="auto"/>
          <w:spacing w:val="14"/>
          <w:sz w:val="24"/>
          <w:szCs w:val="24"/>
        </w:rPr>
        <w:t>4、磋商开启</w:t>
      </w:r>
    </w:p>
    <w:p w14:paraId="342EF40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4.1 采购人在磋商文件规定的时间和地点开启磋商活动，本项目采用远程不见面交易的模式。开标当日，无需到开标现场参加开标会议，授权代表应当在投标截止时间前，登录不见面开标大厅选择洛阳市公共资源电子招投标系统进行登录（http://61.54.85.189/BidOpening），在线准时参加开标活动并进行响应文件解密等。因原因未能解密、解密失败或解密超时的将被拒绝。请参照洛阳市公共资源交易中心首页—办事指南—下载中心—操作手册—《洛阳市公共资源交易中心不见面开标大厅操作手册（供应商）》。</w:t>
      </w:r>
    </w:p>
    <w:p w14:paraId="711AA31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4.2各供应商应在规定时间内对本单位的响应文件解密。</w:t>
      </w:r>
    </w:p>
    <w:p w14:paraId="3EE362E7">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4.3（此条款仅适用于现场开标的项目）开标前，采购代理机构将会同供应商代表检查自己的未加密的电子响应文件的密封情况，确认无误后开标。</w:t>
      </w:r>
    </w:p>
    <w:p w14:paraId="1A44C6C4">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4.4（此条款仅适用于现场开标的项目）如供应商现场解密失败，供应商应使用未加密的电子响应文件。</w:t>
      </w:r>
    </w:p>
    <w:p w14:paraId="6BB2363B">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4.5（此条款仅适用于现场开标的项目）开标前没有提交未加密的电子响应文件，视同放弃使用未加密的电子响应文件投标。未加密的响应文件现场无法成功上传的，投标无效。</w:t>
      </w:r>
    </w:p>
    <w:p w14:paraId="115EAB85">
      <w:pPr>
        <w:pStyle w:val="25"/>
        <w:rPr>
          <w:rFonts w:hint="eastAsia" w:ascii="仿宋" w:hAnsi="仿宋" w:eastAsia="仿宋"/>
          <w:color w:val="auto"/>
          <w:sz w:val="24"/>
          <w:szCs w:val="24"/>
        </w:rPr>
      </w:pPr>
      <w:r>
        <w:rPr>
          <w:rFonts w:hint="eastAsia" w:ascii="仿宋" w:hAnsi="仿宋" w:eastAsia="仿宋"/>
          <w:color w:val="auto"/>
          <w:spacing w:val="14"/>
          <w:sz w:val="24"/>
          <w:szCs w:val="24"/>
        </w:rPr>
        <w:t>4.6（此条款仅适用于现场开标的项目）未加密的电子响应文件仅仅作为网上提交的加密的电子响应文件在特殊情况下才启用的备份资料。没有提交网上加密电子响应文件，仅提交未加密电子响应文件的，投标无效。</w:t>
      </w:r>
    </w:p>
    <w:p w14:paraId="299B886D">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5、为便于供应商（供应商）制作投标（响应）文件，本投标（响应）文件格式所列招标投标的主体称呼及专业术语，也适用于政府采购非招标方式（竞争性谈判、竞争性磋商、询价）对应的主体称呼及专业术语。</w:t>
      </w:r>
    </w:p>
    <w:p w14:paraId="33BA0D92">
      <w:pPr>
        <w:pStyle w:val="25"/>
        <w:rPr>
          <w:rFonts w:hint="eastAsia" w:ascii="仿宋" w:hAnsi="仿宋" w:eastAsia="仿宋"/>
          <w:color w:val="auto"/>
          <w:spacing w:val="14"/>
          <w:sz w:val="24"/>
          <w:szCs w:val="24"/>
        </w:rPr>
      </w:pPr>
      <w:r>
        <w:rPr>
          <w:rFonts w:hint="eastAsia" w:ascii="仿宋" w:hAnsi="仿宋" w:eastAsia="仿宋"/>
          <w:color w:val="auto"/>
          <w:spacing w:val="14"/>
          <w:sz w:val="24"/>
          <w:szCs w:val="24"/>
        </w:rPr>
        <w:t>6、供应商《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52624454">
      <w:pPr>
        <w:pStyle w:val="25"/>
        <w:rPr>
          <w:rFonts w:hint="eastAsia" w:ascii="仿宋" w:hAnsi="仿宋" w:eastAsia="仿宋"/>
          <w:color w:val="auto"/>
          <w:sz w:val="24"/>
          <w:szCs w:val="24"/>
        </w:rPr>
      </w:pPr>
      <w:r>
        <w:rPr>
          <w:rFonts w:hint="eastAsia" w:ascii="仿宋" w:hAnsi="仿宋" w:eastAsia="仿宋"/>
          <w:color w:val="auto"/>
          <w:spacing w:val="14"/>
          <w:sz w:val="24"/>
          <w:szCs w:val="24"/>
        </w:rPr>
        <w:t>7、采购代理机构有权将《报价明细表》、《参与评审打分的证书（证件）一览表》及《参与评审打分的合同业绩一览表》内容进行公示。</w:t>
      </w:r>
    </w:p>
    <w:p w14:paraId="48FC43AF">
      <w:pPr>
        <w:widowControl/>
        <w:spacing w:before="240" w:after="60" w:line="360" w:lineRule="auto"/>
        <w:jc w:val="both"/>
        <w:outlineLvl w:val="0"/>
        <w:rPr>
          <w:rFonts w:hint="eastAsia" w:ascii="仿宋" w:hAnsi="仿宋" w:eastAsia="仿宋" w:cs="宋体"/>
          <w:b/>
          <w:bCs/>
          <w:sz w:val="32"/>
          <w:szCs w:val="32"/>
        </w:rPr>
        <w:sectPr>
          <w:headerReference r:id="rId4" w:type="first"/>
          <w:footerReference r:id="rId7" w:type="first"/>
          <w:headerReference r:id="rId3" w:type="default"/>
          <w:footerReference r:id="rId5" w:type="default"/>
          <w:footerReference r:id="rId6" w:type="even"/>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bookmarkStart w:id="4" w:name="_Toc256000026"/>
      <w:bookmarkEnd w:id="4"/>
      <w:bookmarkStart w:id="5" w:name="_Toc1662588"/>
      <w:bookmarkEnd w:id="5"/>
      <w:bookmarkStart w:id="6" w:name="_Toc256000011"/>
      <w:bookmarkEnd w:id="6"/>
      <w:bookmarkStart w:id="7" w:name="_Toc17581"/>
      <w:bookmarkEnd w:id="7"/>
      <w:bookmarkStart w:id="8" w:name="_Toc32461"/>
      <w:bookmarkEnd w:id="8"/>
      <w:bookmarkStart w:id="9" w:name="_Toc504741946"/>
      <w:bookmarkEnd w:id="9"/>
      <w:bookmarkStart w:id="10" w:name="_Toc130305925"/>
      <w:bookmarkStart w:id="11" w:name="_Toc26131"/>
      <w:bookmarkStart w:id="12" w:name="_Toc256000019"/>
      <w:bookmarkStart w:id="13" w:name="_Toc4498"/>
      <w:bookmarkStart w:id="14" w:name="_Toc13150"/>
    </w:p>
    <w:p w14:paraId="4464D4A2">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洛阳市公共资源交易中心暗标要求及暗标编制指引</w:t>
      </w:r>
    </w:p>
    <w:p w14:paraId="57C9203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lang w:val="en-US" w:eastAsia="zh-CN" w:bidi="ar-SA"/>
        </w:rPr>
      </w:pPr>
    </w:p>
    <w:p w14:paraId="691145F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一、洛阳市公共资源交易中心投标文件暗标制作要求</w:t>
      </w:r>
    </w:p>
    <w:p w14:paraId="3C7105D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（1）签章要求：不得对暗标部分进行电子签章。</w:t>
      </w:r>
    </w:p>
    <w:p w14:paraId="547ADE8D">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0500D01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（3）标题编号要求：标题序号最多设置7级，每一个暗标部分的标题都要重新开始编号，编号格式为：</w:t>
      </w:r>
    </w:p>
    <w:p w14:paraId="3DCECC9D">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一级为“一、”、“二、”......，</w:t>
      </w:r>
    </w:p>
    <w:p w14:paraId="0C2CFD9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二级为“（一）”、“（二）”......，</w:t>
      </w:r>
    </w:p>
    <w:p w14:paraId="6FF1AAE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三级为“1.”、“2.”......，</w:t>
      </w:r>
    </w:p>
    <w:p w14:paraId="44013EB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四级为“（1）”、“（2）”......，</w:t>
      </w:r>
    </w:p>
    <w:p w14:paraId="36610D8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五级为“1）”、“2）”......，</w:t>
      </w:r>
    </w:p>
    <w:p w14:paraId="3DC8D12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六级为“a.”、“b.”......，</w:t>
      </w:r>
    </w:p>
    <w:p w14:paraId="521A3A4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七级为“a）”、“b）”......。</w:t>
      </w:r>
    </w:p>
    <w:p w14:paraId="7E9BD77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（4）图表要求：电脑绘制（不得手绘），白底黑字。宋体四号字，字体不允许倾斜和下划线；</w:t>
      </w:r>
    </w:p>
    <w:p w14:paraId="263BCED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（5）内容中不得出现投标人名称和其他可识别投标人身份的字符、徽标、人员名称以及其他特殊标记等。</w:t>
      </w:r>
    </w:p>
    <w:p w14:paraId="0301E99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（6）不得插入图片（招标文件要求有图片除外）。</w:t>
      </w:r>
    </w:p>
    <w:p w14:paraId="1B414FC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二、暗标编制特别注意事项</w:t>
      </w:r>
    </w:p>
    <w:p w14:paraId="1ED9827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（1）黑字必须为标准黑色字体，颜色为RGB（0,0,0）。</w:t>
      </w:r>
    </w:p>
    <w:p w14:paraId="49B020D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标准黑色字体设置方式：</w:t>
      </w:r>
    </w:p>
    <w:p w14:paraId="021CE86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选中需要设置的文字，选中”字体颜色“，点击更多颜色，</w:t>
      </w:r>
    </w:p>
    <w:p w14:paraId="6259376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"https://mmecoa.qpic.cn/sz_mmecoa_png/6kzU9UbRXLOXyUoG7V9fDqJL3h9ZDFUmPNxMCxglgGVqx046YSh4FibUcv4iauV74SC6k9dMNPdficF2BRBHeuN1w/640?wx_fmt=png&amp;from=appmsg&amp;tp=wxpic&amp;wxfrom=10005&amp;wx_lazy=1&amp;wx_co=1"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939540" cy="1938020"/>
            <wp:effectExtent l="0" t="0" r="3810" b="508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0"/>
                    <a:stretch>
                      <a:fillRect/>
                    </a:stretch>
                  </pic:blipFill>
                  <pic:spPr>
                    <a:xfrm>
                      <a:off x="0" y="0"/>
                      <a:ext cx="3939540" cy="1938020"/>
                    </a:xfrm>
                    <a:prstGeom prst="rect">
                      <a:avLst/>
                    </a:prstGeom>
                    <a:noFill/>
                    <a:ln>
                      <a:noFill/>
                    </a:ln>
                  </pic:spPr>
                </pic:pic>
              </a:graphicData>
            </a:graphic>
          </wp:inline>
        </w:drawing>
      </w:r>
      <w:r>
        <w:fldChar w:fldCharType="end"/>
      </w:r>
    </w:p>
    <w:p w14:paraId="2C8CB33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选择自定义颜色，红色：绿色：蓝色均设置0：0：0，颜色即为标准黑色RGB（0,0,0）。</w:t>
      </w:r>
    </w:p>
    <w:p w14:paraId="39039A5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"https://mmecoa.qpic.cn/sz_mmecoa_png/6kzU9UbRXLOXyUoG7V9fDqJL3h9ZDFUm5gwkezzoooK8xhXfW3MPghCfBCxiaNcCZTzq8AIWeJ3oNRhgw6IM5VA/640?wx_fmt=png&amp;from=appmsg&amp;tp=wxpic&amp;wxfrom=10005&amp;wx_lazy=1&amp;wx_co=1"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951605" cy="2538095"/>
            <wp:effectExtent l="0" t="0" r="10795"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1"/>
                    <a:stretch>
                      <a:fillRect/>
                    </a:stretch>
                  </pic:blipFill>
                  <pic:spPr>
                    <a:xfrm>
                      <a:off x="0" y="0"/>
                      <a:ext cx="3951605" cy="2538095"/>
                    </a:xfrm>
                    <a:prstGeom prst="rect">
                      <a:avLst/>
                    </a:prstGeom>
                    <a:noFill/>
                    <a:ln>
                      <a:noFill/>
                    </a:ln>
                  </pic:spPr>
                </pic:pic>
              </a:graphicData>
            </a:graphic>
          </wp:inline>
        </w:drawing>
      </w:r>
      <w:r>
        <w:fldChar w:fldCharType="end"/>
      </w:r>
    </w:p>
    <w:p w14:paraId="345AD62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（2）标题编号制作方式：选择标题文字段，点击工具栏的标题，选择对应的标题级别。</w:t>
      </w:r>
    </w:p>
    <w:p w14:paraId="089CBF46">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"https://mmecoa.qpic.cn/sz_mmecoa_png/6kzU9UbRXLOXyUoG7V9fDqJL3h9ZDFUmtW2B4xcU4JBrPtoIXmjsOaaZDIdQlFiaI4u6Tx5JOznjibQRVbia8KsnA/640?wx_fmt=png&amp;from=appmsg&amp;tp=wxpic&amp;wxfrom=10005&amp;wx_lazy=1&amp;wx_co=1"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083050" cy="2487295"/>
            <wp:effectExtent l="0" t="0" r="12700" b="825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12"/>
                    <a:stretch>
                      <a:fillRect/>
                    </a:stretch>
                  </pic:blipFill>
                  <pic:spPr>
                    <a:xfrm>
                      <a:off x="0" y="0"/>
                      <a:ext cx="4083050" cy="2487295"/>
                    </a:xfrm>
                    <a:prstGeom prst="rect">
                      <a:avLst/>
                    </a:prstGeom>
                    <a:noFill/>
                    <a:ln>
                      <a:noFill/>
                    </a:ln>
                  </pic:spPr>
                </pic:pic>
              </a:graphicData>
            </a:graphic>
          </wp:inline>
        </w:drawing>
      </w:r>
      <w:r>
        <w:fldChar w:fldCharType="end"/>
      </w:r>
    </w:p>
    <w:p w14:paraId="22E8C28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（3）暗标内容编制完成后，全选以后查看字体字号颜色设置，手动进行调整为宋体四号，确保全文的文字均为宋体四号。颜色参考第一条进行调整。</w:t>
      </w:r>
    </w:p>
    <w:p w14:paraId="7FD6588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"https://mmecoa.qpic.cn/sz_mmecoa_png/6kzU9UbRXLOXyUoG7V9fDqJL3h9ZDFUmIZlkHQac7zHbWF3jbBgYic6R3APQFLm4DTJEk2nTZMNL6Ad9FJPATaA/640?wx_fmt=png&amp;tp=wxpic&amp;wxfrom=10005&amp;wx_lazy=1&amp;wx_co=1"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805680" cy="2818130"/>
            <wp:effectExtent l="0" t="0" r="13970" b="127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3"/>
                    <a:stretch>
                      <a:fillRect/>
                    </a:stretch>
                  </pic:blipFill>
                  <pic:spPr>
                    <a:xfrm>
                      <a:off x="0" y="0"/>
                      <a:ext cx="4805680" cy="2818130"/>
                    </a:xfrm>
                    <a:prstGeom prst="rect">
                      <a:avLst/>
                    </a:prstGeom>
                    <a:noFill/>
                    <a:ln>
                      <a:noFill/>
                    </a:ln>
                  </pic:spPr>
                </pic:pic>
              </a:graphicData>
            </a:graphic>
          </wp:inline>
        </w:drawing>
      </w:r>
      <w:r>
        <w:fldChar w:fldCharType="end"/>
      </w:r>
    </w:p>
    <w:p w14:paraId="082A316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（4）全选以后，右键选择段落，在弹出的页面间距部分选择：段前，段后0行，行距选择固定值，填写28磅。</w:t>
      </w:r>
    </w:p>
    <w:p w14:paraId="31D923EF">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"https://mmecoa.qpic.cn/sz_mmecoa_png/6kzU9UbRXLOXyUoG7V9fDqJL3h9ZDFUmun5zVTJUHasYxBSUCxDGJpRjS3NZ2ViaF8RHG1dKq6yh6iaOUHNtXqeA/640?wx_fmt=png&amp;from=appmsg&amp;tp=wxpic&amp;wxfrom=10005&amp;wx_lazy=1&amp;wx_co=1"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895215" cy="4155440"/>
            <wp:effectExtent l="0" t="0" r="635" b="1651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14"/>
                    <a:stretch>
                      <a:fillRect/>
                    </a:stretch>
                  </pic:blipFill>
                  <pic:spPr>
                    <a:xfrm>
                      <a:off x="0" y="0"/>
                      <a:ext cx="4895215" cy="4155440"/>
                    </a:xfrm>
                    <a:prstGeom prst="rect">
                      <a:avLst/>
                    </a:prstGeom>
                    <a:noFill/>
                    <a:ln>
                      <a:noFill/>
                    </a:ln>
                  </pic:spPr>
                </pic:pic>
              </a:graphicData>
            </a:graphic>
          </wp:inline>
        </w:drawing>
      </w:r>
      <w:r>
        <w:fldChar w:fldCharType="end"/>
      </w:r>
    </w:p>
    <w:p w14:paraId="57BE65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"https://mmecoa.qpic.cn/sz_mmecoa_png/6kzU9UbRXLOXyUoG7V9fDqJL3h9ZDFUmZvBerlm1U3ZJX10t31Slm636TbNkh4InAnWDRsUzLSST09iaO9VULWg/640?wx_fmt=png&amp;from=appmsg&amp;tp=wxpic&amp;wxfrom=10005&amp;wx_lazy=1&amp;wx_co=1"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654425" cy="4187190"/>
            <wp:effectExtent l="0" t="0" r="3175" b="381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5"/>
                    <a:stretch>
                      <a:fillRect/>
                    </a:stretch>
                  </pic:blipFill>
                  <pic:spPr>
                    <a:xfrm>
                      <a:off x="0" y="0"/>
                      <a:ext cx="3654425" cy="4187190"/>
                    </a:xfrm>
                    <a:prstGeom prst="rect">
                      <a:avLst/>
                    </a:prstGeom>
                    <a:noFill/>
                    <a:ln>
                      <a:noFill/>
                    </a:ln>
                  </pic:spPr>
                </pic:pic>
              </a:graphicData>
            </a:graphic>
          </wp:inline>
        </w:drawing>
      </w:r>
      <w:r>
        <w:fldChar w:fldCharType="end"/>
      </w:r>
    </w:p>
    <w:p w14:paraId="10CEB25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（5）切换到页面标签，点击页边距按钮。选择自定义页边距，在页面设置页面，将边距均填写2.5cm，应用于整篇文档，之后确定即可。</w:t>
      </w:r>
    </w:p>
    <w:p w14:paraId="465EC464">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"https://mmecoa.qpic.cn/sz_mmecoa_png/6kzU9UbRXLOXyUoG7V9fDqJL3h9ZDFUmEMxG2tNBvMibsgj15yGvibbMWeCmmKgyX1QLUnQplzaUgKzF3EdntnyQ/640?wx_fmt=png&amp;from=appmsg&amp;tp=wxpic&amp;wxfrom=10005&amp;wx_lazy=1&amp;wx_co=1"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172585" cy="3632200"/>
            <wp:effectExtent l="0" t="0" r="18415" b="635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6"/>
                    <a:stretch>
                      <a:fillRect/>
                    </a:stretch>
                  </pic:blipFill>
                  <pic:spPr>
                    <a:xfrm>
                      <a:off x="0" y="0"/>
                      <a:ext cx="4172585" cy="3632200"/>
                    </a:xfrm>
                    <a:prstGeom prst="rect">
                      <a:avLst/>
                    </a:prstGeom>
                    <a:noFill/>
                    <a:ln>
                      <a:noFill/>
                    </a:ln>
                  </pic:spPr>
                </pic:pic>
              </a:graphicData>
            </a:graphic>
          </wp:inline>
        </w:drawing>
      </w:r>
      <w:r>
        <w:fldChar w:fldCharType="end"/>
      </w:r>
    </w:p>
    <w:p w14:paraId="11304BD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"https://mmecoa.qpic.cn/sz_mmecoa_png/6kzU9UbRXLOXyUoG7V9fDqJL3h9ZDFUmMhwvqqdL3HMZluiaBO5Sg6cgneDJDqDakPJibTCWcAWWTkIjv8AjlJAQ/640?wx_fmt=png&amp;from=appmsg&amp;tp=wxpic&amp;wxfrom=10005&amp;wx_lazy=1&amp;wx_co=1"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403600" cy="4153535"/>
            <wp:effectExtent l="0" t="0" r="6350" b="1841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7"/>
                    <a:stretch>
                      <a:fillRect/>
                    </a:stretch>
                  </pic:blipFill>
                  <pic:spPr>
                    <a:xfrm>
                      <a:off x="0" y="0"/>
                      <a:ext cx="3403600" cy="4153535"/>
                    </a:xfrm>
                    <a:prstGeom prst="rect">
                      <a:avLst/>
                    </a:prstGeom>
                    <a:noFill/>
                    <a:ln>
                      <a:noFill/>
                    </a:ln>
                  </pic:spPr>
                </pic:pic>
              </a:graphicData>
            </a:graphic>
          </wp:inline>
        </w:drawing>
      </w:r>
      <w:r>
        <w:fldChar w:fldCharType="end"/>
      </w:r>
    </w:p>
    <w:p w14:paraId="273AA89D">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（6）如果暗标制作过程需要复制其他文档，粘贴时使用右键，选择“选择性粘贴”，使用“无格式文本”。这样可以保持格式和已完成的内容一致。</w:t>
      </w:r>
    </w:p>
    <w:p w14:paraId="191F67CF">
      <w:pPr>
        <w:keepNext w:val="0"/>
        <w:keepLines w:val="0"/>
        <w:pageBreakBefore w:val="0"/>
        <w:widowControl w:val="0"/>
        <w:kinsoku/>
        <w:wordWrap/>
        <w:overflowPunct/>
        <w:topLinePunct w:val="0"/>
        <w:autoSpaceDE/>
        <w:autoSpaceDN/>
        <w:bidi w:val="0"/>
        <w:adjustRightInd/>
        <w:snapToGrid/>
        <w:spacing w:after="0" w:line="240" w:lineRule="auto"/>
        <w:ind w:left="0" w:leftChars="0" w:firstLine="358" w:firstLineChars="200"/>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"https://mmecoa.qpic.cn/sz_mmecoa_png/6kzU9UbRXLOXyUoG7V9fDqJL3h9ZDFUm6ibBMFaFtSopdXDEmCq64aqvEpicfGfibHu8Sic23sHIpWQjXoibaHEKLHQ/640?wx_fmt=png&amp;from=appmsg&amp;tp=wxpic&amp;wxfrom=10005&amp;wx_lazy=1&amp;wx_co=1"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500120" cy="3818890"/>
            <wp:effectExtent l="0" t="0" r="5080" b="1016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8"/>
                    <a:stretch>
                      <a:fillRect/>
                    </a:stretch>
                  </pic:blipFill>
                  <pic:spPr>
                    <a:xfrm>
                      <a:off x="0" y="0"/>
                      <a:ext cx="3500120" cy="3818890"/>
                    </a:xfrm>
                    <a:prstGeom prst="rect">
                      <a:avLst/>
                    </a:prstGeom>
                    <a:noFill/>
                    <a:ln>
                      <a:noFill/>
                    </a:ln>
                  </pic:spPr>
                </pic:pic>
              </a:graphicData>
            </a:graphic>
          </wp:inline>
        </w:drawing>
      </w:r>
      <w:r>
        <w:fldChar w:fldCharType="end"/>
      </w:r>
    </w:p>
    <w:p w14:paraId="5ED485D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lang w:val="en-US" w:eastAsia="zh-CN" w:bidi="ar-SA"/>
        </w:rPr>
      </w:pPr>
      <w:r>
        <w:fldChar w:fldCharType="begin"/>
      </w:r>
      <w:r>
        <w:instrText xml:space="preserve"> INCLUDEPICTURE "https://mmecoa.qpic.cn/sz_mmecoa_png/6kzU9UbRXLOXyUoG7V9fDqJL3h9ZDFUmnib77DqG3hv0cSo3TyNgvTmPjDcu8NR2HLJT2hY1QjCPP1AWh50e91Q/640?wx_fmt=png&amp;from=appmsg&amp;tp=wxpic&amp;wxfrom=10005&amp;wx_lazy=1&amp;wx_co=1" \* MERGEFORMAT </w:instrText>
      </w:r>
      <w: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096385" cy="3328035"/>
            <wp:effectExtent l="0" t="0" r="18415" b="571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9"/>
                    <a:stretch>
                      <a:fillRect/>
                    </a:stretch>
                  </pic:blipFill>
                  <pic:spPr>
                    <a:xfrm>
                      <a:off x="0" y="0"/>
                      <a:ext cx="4096385" cy="3328035"/>
                    </a:xfrm>
                    <a:prstGeom prst="rect">
                      <a:avLst/>
                    </a:prstGeom>
                    <a:noFill/>
                    <a:ln>
                      <a:noFill/>
                    </a:ln>
                  </pic:spPr>
                </pic:pic>
              </a:graphicData>
            </a:graphic>
          </wp:inline>
        </w:drawing>
      </w:r>
      <w:r>
        <w:fldChar w:fldCharType="end"/>
      </w:r>
    </w:p>
    <w:p w14:paraId="4546C84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（7）每个暗标评审点的文档都要重新开始标题编号。</w:t>
      </w:r>
    </w:p>
    <w:p w14:paraId="40F1AB7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lang w:val="en-US" w:eastAsia="zh-CN" w:bidi="ar-SA"/>
        </w:rPr>
      </w:pPr>
      <w:r>
        <w:rPr>
          <w:rFonts w:hint="eastAsia" w:ascii="仿宋" w:hAnsi="仿宋" w:eastAsia="仿宋" w:cs="仿宋"/>
          <w:snapToGrid w:val="0"/>
          <w:kern w:val="0"/>
          <w:sz w:val="24"/>
          <w:szCs w:val="24"/>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3159CE50">
      <w:pPr>
        <w:widowControl/>
        <w:spacing w:before="240" w:after="60" w:line="360" w:lineRule="auto"/>
        <w:jc w:val="center"/>
        <w:outlineLvl w:val="9"/>
        <w:rPr>
          <w:rFonts w:hint="eastAsia" w:ascii="仿宋" w:hAnsi="仿宋" w:eastAsia="仿宋" w:cs="仿宋"/>
          <w:b/>
          <w:bCs/>
          <w:snapToGrid w:val="0"/>
          <w:color w:val="000000"/>
          <w:spacing w:val="-16"/>
          <w:kern w:val="0"/>
          <w:sz w:val="32"/>
          <w:szCs w:val="32"/>
          <w:highlight w:val="yellow"/>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r>
        <w:rPr>
          <w:rFonts w:hint="eastAsia" w:ascii="仿宋" w:hAnsi="仿宋" w:eastAsia="仿宋" w:cs="仿宋"/>
          <w:b/>
          <w:bCs/>
          <w:spacing w:val="-16"/>
          <w:sz w:val="45"/>
          <w:szCs w:val="45"/>
        </w:rPr>
        <w:br w:type="page"/>
      </w:r>
      <w:r>
        <w:rPr>
          <w:rFonts w:hint="eastAsia" w:ascii="仿宋" w:hAnsi="仿宋" w:eastAsia="仿宋" w:cs="仿宋"/>
          <w:b/>
          <w:bCs/>
          <w:snapToGrid w:val="0"/>
          <w:color w:val="000000"/>
          <w:spacing w:val="-16"/>
          <w:kern w:val="0"/>
          <w:sz w:val="32"/>
          <w:szCs w:val="32"/>
          <w:highlight w:val="none"/>
          <w:lang w:eastAsia="en-US"/>
        </w:rPr>
        <w:t>招标文件及发布方式公平竞争审查自</w:t>
      </w:r>
      <w:r>
        <w:rPr>
          <w:rFonts w:hint="eastAsia" w:ascii="仿宋" w:hAnsi="仿宋" w:eastAsia="仿宋" w:cs="仿宋"/>
          <w:b/>
          <w:bCs/>
          <w:snapToGrid w:val="0"/>
          <w:color w:val="000000"/>
          <w:spacing w:val="-16"/>
          <w:kern w:val="0"/>
          <w:sz w:val="32"/>
          <w:szCs w:val="32"/>
          <w:highlight w:val="none"/>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137795</wp:posOffset>
            </wp:positionV>
            <wp:extent cx="5865495" cy="8295005"/>
            <wp:effectExtent l="0" t="0" r="1905" b="10795"/>
            <wp:wrapNone/>
            <wp:docPr id="13" name="图片 13" descr="招标文件公平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招标文件公平自查表_01"/>
                    <pic:cNvPicPr>
                      <a:picLocks noChangeAspect="1"/>
                    </pic:cNvPicPr>
                  </pic:nvPicPr>
                  <pic:blipFill>
                    <a:blip r:embed="rId20"/>
                    <a:stretch>
                      <a:fillRect/>
                    </a:stretch>
                  </pic:blipFill>
                  <pic:spPr>
                    <a:xfrm>
                      <a:off x="0" y="0"/>
                      <a:ext cx="5865495" cy="8295005"/>
                    </a:xfrm>
                    <a:prstGeom prst="rect">
                      <a:avLst/>
                    </a:prstGeom>
                  </pic:spPr>
                </pic:pic>
              </a:graphicData>
            </a:graphic>
          </wp:anchor>
        </w:drawing>
      </w:r>
      <w:r>
        <w:rPr>
          <w:rFonts w:hint="eastAsia" w:ascii="仿宋" w:hAnsi="仿宋" w:eastAsia="仿宋" w:cs="仿宋"/>
          <w:b/>
          <w:bCs/>
          <w:snapToGrid w:val="0"/>
          <w:color w:val="000000"/>
          <w:spacing w:val="-16"/>
          <w:kern w:val="0"/>
          <w:sz w:val="32"/>
          <w:szCs w:val="32"/>
          <w:highlight w:val="none"/>
          <w:lang w:eastAsia="en-US"/>
        </w:rPr>
        <w:t>查表</w:t>
      </w:r>
    </w:p>
    <w:p w14:paraId="354152DC">
      <w:pPr>
        <w:pStyle w:val="2"/>
        <w:rPr>
          <w:rFonts w:hint="eastAsia"/>
          <w:lang w:eastAsia="zh-CN"/>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r>
        <w:rPr>
          <w:rFonts w:hint="eastAsia"/>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865495" cy="8295005"/>
            <wp:effectExtent l="0" t="0" r="1905" b="10795"/>
            <wp:wrapNone/>
            <wp:docPr id="14" name="图片 14" descr="招标文件公平自查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标文件公平自查表_02"/>
                    <pic:cNvPicPr>
                      <a:picLocks noChangeAspect="1"/>
                    </pic:cNvPicPr>
                  </pic:nvPicPr>
                  <pic:blipFill>
                    <a:blip r:embed="rId21"/>
                    <a:stretch>
                      <a:fillRect/>
                    </a:stretch>
                  </pic:blipFill>
                  <pic:spPr>
                    <a:xfrm>
                      <a:off x="0" y="0"/>
                      <a:ext cx="5865495" cy="8295005"/>
                    </a:xfrm>
                    <a:prstGeom prst="rect">
                      <a:avLst/>
                    </a:prstGeom>
                  </pic:spPr>
                </pic:pic>
              </a:graphicData>
            </a:graphic>
          </wp:anchor>
        </w:drawing>
      </w:r>
    </w:p>
    <w:p w14:paraId="66D7B746">
      <w:pPr>
        <w:widowControl/>
        <w:spacing w:before="240" w:after="60" w:line="360" w:lineRule="auto"/>
        <w:jc w:val="center"/>
        <w:outlineLvl w:val="0"/>
        <w:rPr>
          <w:rFonts w:hint="eastAsia" w:ascii="仿宋" w:hAnsi="仿宋" w:eastAsia="仿宋" w:cs="宋体"/>
          <w:b/>
          <w:bCs/>
          <w:sz w:val="32"/>
          <w:szCs w:val="32"/>
          <w:highlight w:val="none"/>
        </w:rPr>
      </w:pPr>
      <w:r>
        <w:rPr>
          <w:rFonts w:hint="eastAsia" w:ascii="仿宋" w:hAnsi="仿宋" w:eastAsia="仿宋" w:cs="宋体"/>
          <w:b/>
          <w:bCs/>
          <w:sz w:val="32"/>
          <w:szCs w:val="32"/>
          <w:highlight w:val="none"/>
        </w:rPr>
        <w:t>第一章  采购公告</w:t>
      </w:r>
      <w:bookmarkEnd w:id="10"/>
      <w:bookmarkEnd w:id="11"/>
      <w:bookmarkEnd w:id="12"/>
      <w:bookmarkEnd w:id="13"/>
      <w:bookmarkEnd w:id="14"/>
    </w:p>
    <w:p w14:paraId="237BE4CC">
      <w:pPr>
        <w:pStyle w:val="35"/>
        <w:rPr>
          <w:rFonts w:hint="eastAsia" w:ascii="仿宋" w:hAnsi="仿宋" w:eastAsia="仿宋"/>
          <w:color w:val="auto"/>
          <w:spacing w:val="14"/>
          <w:sz w:val="24"/>
          <w:szCs w:val="24"/>
          <w:highlight w:val="none"/>
          <w:lang w:eastAsia="zh-CN"/>
        </w:rPr>
      </w:pPr>
      <w:r>
        <w:rPr>
          <w:rFonts w:hint="eastAsia" w:ascii="仿宋" w:hAnsi="仿宋" w:eastAsia="仿宋"/>
          <w:color w:val="auto"/>
          <w:spacing w:val="14"/>
          <w:sz w:val="24"/>
          <w:szCs w:val="24"/>
          <w:highlight w:val="none"/>
        </w:rPr>
        <w:t>项目概况</w:t>
      </w:r>
      <w:r>
        <w:rPr>
          <w:rFonts w:hint="eastAsia" w:ascii="仿宋" w:hAnsi="仿宋" w:eastAsia="仿宋"/>
          <w:color w:val="auto"/>
          <w:spacing w:val="14"/>
          <w:sz w:val="24"/>
          <w:szCs w:val="24"/>
          <w:highlight w:val="none"/>
          <w:lang w:eastAsia="zh-CN"/>
        </w:rPr>
        <w:t>：</w:t>
      </w:r>
    </w:p>
    <w:p w14:paraId="6B123D3E">
      <w:pPr>
        <w:pStyle w:val="35"/>
        <w:rPr>
          <w:rFonts w:hint="eastAsia" w:ascii="仿宋" w:hAnsi="仿宋" w:eastAsia="仿宋"/>
          <w:color w:val="auto"/>
          <w:spacing w:val="14"/>
          <w:sz w:val="24"/>
          <w:szCs w:val="24"/>
          <w:highlight w:val="none"/>
        </w:rPr>
      </w:pPr>
      <w:r>
        <w:rPr>
          <w:rFonts w:hint="eastAsia" w:ascii="仿宋" w:hAnsi="仿宋" w:eastAsia="仿宋"/>
          <w:color w:val="auto"/>
          <w:spacing w:val="14"/>
          <w:sz w:val="24"/>
          <w:szCs w:val="24"/>
          <w:highlight w:val="none"/>
        </w:rPr>
        <w:t>河南科技大学附属高级中学理化生实验室装备项目的潜在供应商应在洛阳市公共资源交易中心网站（lyggzyjy.ly.gov.cn）获取采购文件，并于</w:t>
      </w:r>
      <w:r>
        <w:rPr>
          <w:rFonts w:hint="eastAsia" w:ascii="仿宋" w:hAnsi="仿宋" w:eastAsia="仿宋"/>
          <w:color w:val="auto"/>
          <w:spacing w:val="14"/>
          <w:sz w:val="24"/>
          <w:szCs w:val="24"/>
          <w:highlight w:val="none"/>
          <w:lang w:val="en-US" w:eastAsia="zh-CN"/>
        </w:rPr>
        <w:t>2025</w:t>
      </w:r>
      <w:r>
        <w:rPr>
          <w:rFonts w:hint="eastAsia" w:ascii="仿宋" w:hAnsi="仿宋" w:eastAsia="仿宋"/>
          <w:color w:val="auto"/>
          <w:spacing w:val="14"/>
          <w:sz w:val="24"/>
          <w:szCs w:val="24"/>
          <w:highlight w:val="none"/>
        </w:rPr>
        <w:t>年</w:t>
      </w:r>
      <w:r>
        <w:rPr>
          <w:rFonts w:hint="eastAsia" w:ascii="仿宋" w:hAnsi="仿宋" w:eastAsia="仿宋"/>
          <w:color w:val="auto"/>
          <w:spacing w:val="14"/>
          <w:sz w:val="24"/>
          <w:szCs w:val="24"/>
          <w:highlight w:val="none"/>
          <w:lang w:val="en-US" w:eastAsia="zh-CN"/>
        </w:rPr>
        <w:t>11</w:t>
      </w:r>
      <w:r>
        <w:rPr>
          <w:rFonts w:hint="eastAsia" w:ascii="仿宋" w:hAnsi="仿宋" w:eastAsia="仿宋"/>
          <w:color w:val="auto"/>
          <w:spacing w:val="14"/>
          <w:sz w:val="24"/>
          <w:szCs w:val="24"/>
          <w:highlight w:val="none"/>
        </w:rPr>
        <w:t>月</w:t>
      </w:r>
      <w:r>
        <w:rPr>
          <w:rFonts w:hint="eastAsia" w:ascii="仿宋" w:hAnsi="仿宋" w:eastAsia="仿宋"/>
          <w:color w:val="auto"/>
          <w:spacing w:val="14"/>
          <w:sz w:val="24"/>
          <w:szCs w:val="24"/>
          <w:highlight w:val="none"/>
          <w:lang w:val="en-US" w:eastAsia="zh-CN"/>
        </w:rPr>
        <w:t>24</w:t>
      </w:r>
      <w:r>
        <w:rPr>
          <w:rFonts w:hint="eastAsia" w:ascii="仿宋" w:hAnsi="仿宋" w:eastAsia="仿宋"/>
          <w:color w:val="auto"/>
          <w:spacing w:val="14"/>
          <w:sz w:val="24"/>
          <w:szCs w:val="24"/>
          <w:highlight w:val="none"/>
        </w:rPr>
        <w:t>日</w:t>
      </w:r>
      <w:r>
        <w:rPr>
          <w:rFonts w:hint="eastAsia" w:ascii="仿宋" w:hAnsi="仿宋" w:eastAsia="仿宋"/>
          <w:color w:val="auto"/>
          <w:spacing w:val="14"/>
          <w:sz w:val="24"/>
          <w:szCs w:val="24"/>
          <w:highlight w:val="none"/>
          <w:lang w:val="en-US" w:eastAsia="zh-CN"/>
        </w:rPr>
        <w:t>09</w:t>
      </w:r>
      <w:r>
        <w:rPr>
          <w:rFonts w:hint="eastAsia" w:ascii="仿宋" w:hAnsi="仿宋" w:eastAsia="仿宋"/>
          <w:color w:val="auto"/>
          <w:spacing w:val="14"/>
          <w:sz w:val="24"/>
          <w:szCs w:val="24"/>
          <w:highlight w:val="none"/>
        </w:rPr>
        <w:t>时</w:t>
      </w:r>
      <w:r>
        <w:rPr>
          <w:rFonts w:hint="eastAsia" w:ascii="仿宋" w:hAnsi="仿宋" w:eastAsia="仿宋"/>
          <w:color w:val="auto"/>
          <w:spacing w:val="14"/>
          <w:sz w:val="24"/>
          <w:szCs w:val="24"/>
          <w:highlight w:val="none"/>
          <w:lang w:val="en-US" w:eastAsia="zh-CN"/>
        </w:rPr>
        <w:t>05</w:t>
      </w:r>
      <w:r>
        <w:rPr>
          <w:rFonts w:hint="eastAsia" w:ascii="仿宋" w:hAnsi="仿宋" w:eastAsia="仿宋"/>
          <w:color w:val="auto"/>
          <w:spacing w:val="14"/>
          <w:sz w:val="24"/>
          <w:szCs w:val="24"/>
          <w:highlight w:val="none"/>
        </w:rPr>
        <w:t>分（北京时间）前提交响应文件。</w:t>
      </w:r>
    </w:p>
    <w:p w14:paraId="2CCF358B">
      <w:pPr>
        <w:pStyle w:val="35"/>
        <w:rPr>
          <w:rFonts w:hint="eastAsia" w:ascii="仿宋" w:hAnsi="仿宋" w:eastAsia="仿宋"/>
          <w:b/>
          <w:bCs/>
          <w:color w:val="auto"/>
          <w:spacing w:val="14"/>
          <w:sz w:val="24"/>
          <w:szCs w:val="24"/>
          <w:highlight w:val="none"/>
        </w:rPr>
      </w:pPr>
      <w:r>
        <w:rPr>
          <w:rFonts w:hint="eastAsia" w:ascii="仿宋" w:hAnsi="仿宋" w:eastAsia="仿宋"/>
          <w:b/>
          <w:bCs/>
          <w:color w:val="auto"/>
          <w:spacing w:val="14"/>
          <w:sz w:val="24"/>
          <w:szCs w:val="24"/>
          <w:highlight w:val="none"/>
        </w:rPr>
        <w:t>一、项目基本情况</w:t>
      </w:r>
    </w:p>
    <w:p w14:paraId="29775474">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1、项目编号：洛采竞磋-2025-188</w:t>
      </w:r>
    </w:p>
    <w:p w14:paraId="2F8193A2">
      <w:pPr>
        <w:pStyle w:val="36"/>
        <w:spacing w:before="0" w:beforeAutospacing="0" w:after="0" w:afterAutospacing="0" w:line="460" w:lineRule="exact"/>
        <w:ind w:firstLine="358"/>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2、项目名称：河南科技大学附属高级中学理化生实验室装备项目</w:t>
      </w:r>
    </w:p>
    <w:p w14:paraId="42766CBC">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3、采购方式：竞争性磋商</w:t>
      </w:r>
    </w:p>
    <w:p w14:paraId="46574224">
      <w:pPr>
        <w:pStyle w:val="36"/>
        <w:spacing w:before="0" w:beforeAutospacing="0" w:after="0" w:afterAutospacing="0" w:line="460" w:lineRule="exact"/>
        <w:ind w:firstLine="358"/>
        <w:jc w:val="both"/>
        <w:rPr>
          <w:rFonts w:hint="eastAsia" w:ascii="仿宋" w:hAnsi="仿宋" w:eastAsia="仿宋" w:cs="宋体"/>
          <w:color w:val="auto"/>
          <w:spacing w:val="0"/>
          <w:sz w:val="24"/>
          <w:szCs w:val="24"/>
          <w:highlight w:val="none"/>
        </w:rPr>
      </w:pPr>
      <w:r>
        <w:rPr>
          <w:rFonts w:hint="eastAsia" w:ascii="仿宋" w:hAnsi="仿宋" w:eastAsia="仿宋"/>
          <w:color w:val="auto"/>
          <w:sz w:val="24"/>
          <w:szCs w:val="24"/>
          <w:highlight w:val="none"/>
        </w:rPr>
        <w:t>4、</w:t>
      </w:r>
      <w:r>
        <w:rPr>
          <w:rFonts w:hint="eastAsia" w:ascii="仿宋" w:hAnsi="仿宋" w:eastAsia="仿宋" w:cs="宋体"/>
          <w:color w:val="auto"/>
          <w:sz w:val="24"/>
          <w:szCs w:val="24"/>
          <w:highlight w:val="none"/>
        </w:rPr>
        <w:t>预算金额</w:t>
      </w:r>
      <w:r>
        <w:rPr>
          <w:rFonts w:hint="eastAsia" w:ascii="仿宋" w:hAnsi="仿宋" w:eastAsia="仿宋" w:cs="宋体"/>
          <w:color w:val="auto"/>
          <w:sz w:val="24"/>
          <w:szCs w:val="24"/>
          <w:highlight w:val="none"/>
          <w:lang w:eastAsia="zh-CN"/>
        </w:rPr>
        <w:t>：</w:t>
      </w:r>
      <w:r>
        <w:rPr>
          <w:rFonts w:hint="eastAsia" w:ascii="仿宋" w:hAnsi="仿宋" w:eastAsia="仿宋" w:cs="宋体"/>
          <w:color w:val="auto"/>
          <w:sz w:val="24"/>
          <w:szCs w:val="24"/>
          <w:highlight w:val="none"/>
          <w:lang w:val="en-US" w:eastAsia="zh-CN"/>
        </w:rPr>
        <w:t>1815453.00</w:t>
      </w:r>
      <w:r>
        <w:rPr>
          <w:rFonts w:hint="eastAsia" w:ascii="仿宋" w:hAnsi="仿宋" w:eastAsia="仿宋" w:cs="宋体"/>
          <w:color w:val="auto"/>
          <w:spacing w:val="0"/>
          <w:sz w:val="24"/>
          <w:szCs w:val="24"/>
          <w:highlight w:val="none"/>
        </w:rPr>
        <w:t>元</w:t>
      </w:r>
    </w:p>
    <w:p w14:paraId="548FAED8">
      <w:pPr>
        <w:pStyle w:val="36"/>
        <w:spacing w:before="0" w:beforeAutospacing="0" w:after="0" w:afterAutospacing="0" w:line="460" w:lineRule="exact"/>
        <w:ind w:firstLine="774" w:firstLineChars="370"/>
        <w:jc w:val="both"/>
        <w:rPr>
          <w:rFonts w:hint="eastAsia" w:ascii="仿宋" w:hAnsi="仿宋" w:eastAsia="仿宋" w:cs="宋体"/>
          <w:color w:val="auto"/>
          <w:spacing w:val="0"/>
          <w:sz w:val="24"/>
          <w:szCs w:val="24"/>
          <w:highlight w:val="none"/>
        </w:rPr>
      </w:pPr>
      <w:r>
        <w:rPr>
          <w:rFonts w:hint="eastAsia" w:ascii="仿宋" w:hAnsi="仿宋" w:eastAsia="仿宋" w:cs="宋体"/>
          <w:color w:val="auto"/>
          <w:spacing w:val="0"/>
          <w:sz w:val="24"/>
          <w:szCs w:val="24"/>
          <w:highlight w:val="none"/>
        </w:rPr>
        <w:t>最高限价</w:t>
      </w:r>
      <w:r>
        <w:rPr>
          <w:rFonts w:hint="eastAsia" w:ascii="仿宋" w:hAnsi="仿宋" w:eastAsia="仿宋" w:cs="宋体"/>
          <w:color w:val="auto"/>
          <w:spacing w:val="0"/>
          <w:sz w:val="24"/>
          <w:szCs w:val="24"/>
          <w:highlight w:val="none"/>
          <w:lang w:eastAsia="zh-CN"/>
        </w:rPr>
        <w:t>：</w:t>
      </w:r>
      <w:r>
        <w:rPr>
          <w:rFonts w:hint="eastAsia" w:ascii="仿宋" w:hAnsi="仿宋" w:eastAsia="仿宋" w:cs="宋体"/>
          <w:color w:val="auto"/>
          <w:sz w:val="24"/>
          <w:szCs w:val="24"/>
          <w:highlight w:val="none"/>
          <w:lang w:val="en-US" w:eastAsia="zh-CN"/>
        </w:rPr>
        <w:t>1815453</w:t>
      </w:r>
      <w:r>
        <w:rPr>
          <w:rFonts w:hint="eastAsia" w:ascii="仿宋" w:hAnsi="仿宋" w:eastAsia="仿宋" w:cs="宋体"/>
          <w:color w:val="auto"/>
          <w:spacing w:val="0"/>
          <w:sz w:val="24"/>
          <w:szCs w:val="24"/>
          <w:highlight w:val="none"/>
        </w:rPr>
        <w:t>元</w:t>
      </w:r>
    </w:p>
    <w:tbl>
      <w:tblPr>
        <w:tblStyle w:val="6"/>
        <w:tblW w:w="54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980"/>
        <w:gridCol w:w="2100"/>
        <w:gridCol w:w="1155"/>
        <w:gridCol w:w="1502"/>
        <w:gridCol w:w="1213"/>
        <w:gridCol w:w="1669"/>
      </w:tblGrid>
      <w:tr w14:paraId="6CC3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6" w:type="pct"/>
            <w:tcBorders>
              <w:top w:val="single" w:color="auto" w:sz="4" w:space="0"/>
              <w:left w:val="single" w:color="auto" w:sz="4" w:space="0"/>
              <w:bottom w:val="single" w:color="auto" w:sz="4" w:space="0"/>
              <w:right w:val="single" w:color="auto" w:sz="4" w:space="0"/>
            </w:tcBorders>
            <w:noWrap w:val="0"/>
            <w:vAlign w:val="center"/>
          </w:tcPr>
          <w:p w14:paraId="2B654688">
            <w:pPr>
              <w:pStyle w:val="36"/>
              <w:spacing w:before="0" w:beforeAutospacing="0" w:after="0" w:afterAutospacing="0" w:line="460" w:lineRule="exact"/>
              <w:ind w:firstLine="0" w:firstLineChars="0"/>
              <w:jc w:val="center"/>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序号</w:t>
            </w:r>
          </w:p>
        </w:tc>
        <w:tc>
          <w:tcPr>
            <w:tcW w:w="966" w:type="pct"/>
            <w:tcBorders>
              <w:top w:val="single" w:color="auto" w:sz="4" w:space="0"/>
              <w:left w:val="single" w:color="auto" w:sz="4" w:space="0"/>
              <w:bottom w:val="single" w:color="auto" w:sz="4" w:space="0"/>
              <w:right w:val="single" w:color="auto" w:sz="4" w:space="0"/>
            </w:tcBorders>
            <w:noWrap w:val="0"/>
            <w:vAlign w:val="center"/>
          </w:tcPr>
          <w:p w14:paraId="650868D7">
            <w:pPr>
              <w:pStyle w:val="36"/>
              <w:spacing w:before="0" w:beforeAutospacing="0" w:after="0" w:afterAutospacing="0" w:line="460" w:lineRule="exact"/>
              <w:ind w:firstLine="0" w:firstLineChars="0"/>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包</w:t>
            </w:r>
            <w:r>
              <w:rPr>
                <w:rFonts w:hint="eastAsia" w:ascii="仿宋" w:hAnsi="仿宋" w:eastAsia="仿宋"/>
                <w:color w:val="auto"/>
                <w:sz w:val="24"/>
                <w:szCs w:val="24"/>
                <w:highlight w:val="none"/>
              </w:rPr>
              <w:t>号</w:t>
            </w:r>
          </w:p>
        </w:tc>
        <w:tc>
          <w:tcPr>
            <w:tcW w:w="1024" w:type="pct"/>
            <w:tcBorders>
              <w:top w:val="single" w:color="auto" w:sz="4" w:space="0"/>
              <w:left w:val="single" w:color="auto" w:sz="4" w:space="0"/>
              <w:bottom w:val="single" w:color="auto" w:sz="4" w:space="0"/>
              <w:right w:val="single" w:color="auto" w:sz="4" w:space="0"/>
            </w:tcBorders>
            <w:noWrap w:val="0"/>
            <w:vAlign w:val="center"/>
          </w:tcPr>
          <w:p w14:paraId="7BA69838">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项目名称</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6B19F37A">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包预算（元）</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7857AFF7">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包最高限价（元）</w:t>
            </w:r>
          </w:p>
        </w:tc>
        <w:tc>
          <w:tcPr>
            <w:tcW w:w="591" w:type="pct"/>
            <w:tcBorders>
              <w:top w:val="single" w:color="auto" w:sz="4" w:space="0"/>
              <w:left w:val="single" w:color="auto" w:sz="4" w:space="0"/>
              <w:bottom w:val="single" w:color="auto" w:sz="4" w:space="0"/>
              <w:right w:val="single" w:color="auto" w:sz="4" w:space="0"/>
            </w:tcBorders>
            <w:shd w:val="clear"/>
            <w:noWrap w:val="0"/>
            <w:vAlign w:val="center"/>
          </w:tcPr>
          <w:p w14:paraId="753CF02F">
            <w:pPr>
              <w:keepNext w:val="0"/>
              <w:keepLines w:val="0"/>
              <w:pageBreakBefore w:val="0"/>
              <w:widowControl/>
              <w:suppressLineNumbers w:val="0"/>
              <w:kinsoku/>
              <w:overflowPunct/>
              <w:topLinePunct w:val="0"/>
              <w:autoSpaceDE/>
              <w:autoSpaceDN/>
              <w:bidi w:val="0"/>
              <w:adjustRightInd/>
              <w:snapToGrid/>
              <w:spacing w:before="120" w:beforeAutospacing="0" w:after="12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仿宋"/>
                <w:kern w:val="0"/>
                <w:sz w:val="24"/>
                <w:szCs w:val="21"/>
              </w:rPr>
              <w:t>是否专门面向中小企业</w:t>
            </w:r>
          </w:p>
        </w:tc>
        <w:tc>
          <w:tcPr>
            <w:tcW w:w="814" w:type="pct"/>
            <w:tcBorders>
              <w:top w:val="single" w:color="auto" w:sz="4" w:space="0"/>
              <w:left w:val="single" w:color="auto" w:sz="4" w:space="0"/>
              <w:bottom w:val="single" w:color="auto" w:sz="4" w:space="0"/>
              <w:right w:val="single" w:color="auto" w:sz="4" w:space="0"/>
            </w:tcBorders>
            <w:shd w:val="clear"/>
            <w:noWrap w:val="0"/>
            <w:vAlign w:val="center"/>
          </w:tcPr>
          <w:p w14:paraId="56631074">
            <w:pPr>
              <w:keepNext w:val="0"/>
              <w:keepLines w:val="0"/>
              <w:pageBreakBefore w:val="0"/>
              <w:widowControl/>
              <w:suppressLineNumbers w:val="0"/>
              <w:kinsoku/>
              <w:overflowPunct/>
              <w:topLinePunct w:val="0"/>
              <w:autoSpaceDE/>
              <w:autoSpaceDN/>
              <w:bidi w:val="0"/>
              <w:adjustRightInd/>
              <w:snapToGrid/>
              <w:spacing w:before="120" w:beforeAutospacing="0" w:after="12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仿宋"/>
                <w:kern w:val="0"/>
                <w:sz w:val="24"/>
                <w:szCs w:val="21"/>
              </w:rPr>
              <w:t>采购预留金额（元）</w:t>
            </w:r>
          </w:p>
        </w:tc>
      </w:tr>
      <w:tr w14:paraId="217A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06" w:type="pct"/>
            <w:tcBorders>
              <w:top w:val="single" w:color="auto" w:sz="4" w:space="0"/>
              <w:left w:val="single" w:color="auto" w:sz="4" w:space="0"/>
              <w:right w:val="single" w:color="auto" w:sz="4" w:space="0"/>
            </w:tcBorders>
            <w:noWrap w:val="0"/>
            <w:vAlign w:val="center"/>
          </w:tcPr>
          <w:p w14:paraId="5A641F59">
            <w:pPr>
              <w:pStyle w:val="36"/>
              <w:spacing w:before="0" w:after="0" w:line="460" w:lineRule="exact"/>
              <w:ind w:left="0" w:leftChars="0" w:firstLine="0" w:firstLineChars="0"/>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1</w:t>
            </w:r>
          </w:p>
        </w:tc>
        <w:tc>
          <w:tcPr>
            <w:tcW w:w="966" w:type="pct"/>
            <w:tcBorders>
              <w:top w:val="single" w:color="auto" w:sz="4" w:space="0"/>
              <w:left w:val="single" w:color="auto" w:sz="4" w:space="0"/>
              <w:right w:val="single" w:color="auto" w:sz="4" w:space="0"/>
            </w:tcBorders>
            <w:noWrap w:val="0"/>
            <w:vAlign w:val="center"/>
          </w:tcPr>
          <w:p w14:paraId="2A52C2B7">
            <w:pPr>
              <w:pStyle w:val="36"/>
              <w:spacing w:before="0" w:beforeAutospacing="0" w:after="0" w:afterAutospacing="0" w:line="460" w:lineRule="exact"/>
              <w:ind w:firstLine="0" w:firstLineChars="0"/>
              <w:jc w:val="center"/>
              <w:rPr>
                <w:rFonts w:hint="default" w:ascii="仿宋" w:hAnsi="仿宋" w:eastAsia="仿宋"/>
                <w:color w:val="auto"/>
                <w:sz w:val="24"/>
                <w:szCs w:val="24"/>
                <w:highlight w:val="none"/>
                <w:lang w:val="en-US" w:eastAsia="zh-CN"/>
              </w:rPr>
            </w:pPr>
            <w:r>
              <w:rPr>
                <w:rFonts w:hint="default" w:ascii="仿宋" w:hAnsi="仿宋" w:eastAsia="仿宋"/>
                <w:color w:val="auto"/>
                <w:sz w:val="24"/>
                <w:szCs w:val="24"/>
                <w:highlight w:val="none"/>
                <w:lang w:val="en-US" w:eastAsia="zh-CN"/>
              </w:rPr>
              <w:t>洛直政采磋商(2025)0189号-1</w:t>
            </w:r>
          </w:p>
        </w:tc>
        <w:tc>
          <w:tcPr>
            <w:tcW w:w="1024" w:type="pct"/>
            <w:tcBorders>
              <w:top w:val="single" w:color="auto" w:sz="4" w:space="0"/>
              <w:left w:val="single" w:color="auto" w:sz="4" w:space="0"/>
              <w:right w:val="single" w:color="auto" w:sz="4" w:space="0"/>
            </w:tcBorders>
            <w:noWrap w:val="0"/>
            <w:vAlign w:val="center"/>
          </w:tcPr>
          <w:p w14:paraId="40A3C721">
            <w:pPr>
              <w:pStyle w:val="36"/>
              <w:spacing w:before="0" w:beforeAutospacing="0" w:after="0" w:afterAutospacing="0" w:line="460" w:lineRule="exact"/>
              <w:ind w:firstLine="0" w:firstLineChars="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河南科技大学附属高级中学理化生实验室装备项目</w:t>
            </w:r>
          </w:p>
        </w:tc>
        <w:tc>
          <w:tcPr>
            <w:tcW w:w="563" w:type="pct"/>
            <w:tcBorders>
              <w:top w:val="single" w:color="auto" w:sz="4" w:space="0"/>
              <w:left w:val="single" w:color="auto" w:sz="4" w:space="0"/>
              <w:right w:val="single" w:color="auto" w:sz="4" w:space="0"/>
            </w:tcBorders>
            <w:noWrap w:val="0"/>
            <w:vAlign w:val="center"/>
          </w:tcPr>
          <w:p w14:paraId="421783DB">
            <w:pPr>
              <w:pStyle w:val="36"/>
              <w:spacing w:before="0" w:after="0" w:line="460" w:lineRule="exact"/>
              <w:ind w:left="0" w:leftChars="0" w:firstLine="0" w:firstLineChars="0"/>
              <w:jc w:val="center"/>
              <w:rPr>
                <w:rFonts w:ascii="仿宋" w:hAnsi="仿宋" w:eastAsia="仿宋"/>
                <w:color w:val="auto"/>
                <w:sz w:val="24"/>
                <w:szCs w:val="24"/>
                <w:highlight w:val="none"/>
                <w:lang w:val="en-US" w:eastAsia="zh-CN"/>
              </w:rPr>
            </w:pPr>
            <w:r>
              <w:rPr>
                <w:rFonts w:hint="eastAsia" w:ascii="仿宋" w:hAnsi="仿宋" w:eastAsia="仿宋" w:cs="宋体"/>
                <w:color w:val="auto"/>
                <w:sz w:val="24"/>
                <w:szCs w:val="24"/>
                <w:highlight w:val="none"/>
                <w:lang w:val="en-US" w:eastAsia="zh-CN"/>
              </w:rPr>
              <w:t>1815453</w:t>
            </w:r>
          </w:p>
        </w:tc>
        <w:tc>
          <w:tcPr>
            <w:tcW w:w="732" w:type="pct"/>
            <w:tcBorders>
              <w:top w:val="single" w:color="auto" w:sz="4" w:space="0"/>
              <w:left w:val="single" w:color="auto" w:sz="4" w:space="0"/>
              <w:right w:val="single" w:color="auto" w:sz="4" w:space="0"/>
            </w:tcBorders>
            <w:noWrap w:val="0"/>
            <w:vAlign w:val="center"/>
          </w:tcPr>
          <w:p w14:paraId="62F6B21D">
            <w:pPr>
              <w:pStyle w:val="36"/>
              <w:spacing w:before="0" w:after="0" w:line="460" w:lineRule="exact"/>
              <w:ind w:left="0" w:leftChars="0" w:firstLine="0" w:firstLineChars="0"/>
              <w:jc w:val="center"/>
              <w:rPr>
                <w:rFonts w:hint="eastAsia" w:ascii="仿宋" w:hAnsi="仿宋" w:eastAsia="仿宋"/>
                <w:color w:val="auto"/>
                <w:sz w:val="24"/>
                <w:szCs w:val="24"/>
                <w:highlight w:val="none"/>
                <w:lang w:eastAsia="zh-CN"/>
              </w:rPr>
            </w:pPr>
            <w:r>
              <w:rPr>
                <w:rFonts w:hint="eastAsia" w:ascii="仿宋" w:hAnsi="仿宋" w:eastAsia="仿宋" w:cs="宋体"/>
                <w:color w:val="auto"/>
                <w:sz w:val="24"/>
                <w:szCs w:val="24"/>
                <w:highlight w:val="none"/>
                <w:lang w:val="en-US" w:eastAsia="zh-CN"/>
              </w:rPr>
              <w:t>1815453</w:t>
            </w:r>
          </w:p>
        </w:tc>
        <w:tc>
          <w:tcPr>
            <w:tcW w:w="591" w:type="pct"/>
            <w:tcBorders>
              <w:top w:val="single" w:color="auto" w:sz="4" w:space="0"/>
              <w:left w:val="single" w:color="auto" w:sz="4" w:space="0"/>
              <w:right w:val="single" w:color="auto" w:sz="4" w:space="0"/>
            </w:tcBorders>
            <w:shd w:val="clear"/>
            <w:noWrap w:val="0"/>
            <w:vAlign w:val="center"/>
          </w:tcPr>
          <w:p w14:paraId="42CAFEDE">
            <w:pPr>
              <w:keepNext w:val="0"/>
              <w:keepLines w:val="0"/>
              <w:pageBreakBefore w:val="0"/>
              <w:kinsoku/>
              <w:wordWrap w:val="0"/>
              <w:overflowPunct/>
              <w:topLinePunct w:val="0"/>
              <w:autoSpaceDE/>
              <w:autoSpaceDN/>
              <w:bidi w:val="0"/>
              <w:adjustRightInd/>
              <w:snapToGrid/>
              <w:spacing w:before="0" w:beforeAutospacing="0" w:after="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仿宋"/>
                <w:kern w:val="0"/>
                <w:sz w:val="24"/>
                <w:szCs w:val="21"/>
              </w:rPr>
              <w:t>是</w:t>
            </w:r>
          </w:p>
        </w:tc>
        <w:tc>
          <w:tcPr>
            <w:tcW w:w="814" w:type="pct"/>
            <w:tcBorders>
              <w:top w:val="single" w:color="auto" w:sz="4" w:space="0"/>
              <w:left w:val="single" w:color="auto" w:sz="4" w:space="0"/>
              <w:right w:val="single" w:color="auto" w:sz="4" w:space="0"/>
            </w:tcBorders>
            <w:shd w:val="clear"/>
            <w:noWrap w:val="0"/>
            <w:vAlign w:val="center"/>
          </w:tcPr>
          <w:p w14:paraId="5BC67DAC">
            <w:pPr>
              <w:keepNext w:val="0"/>
              <w:keepLines w:val="0"/>
              <w:pageBreakBefore w:val="0"/>
              <w:kinsoku/>
              <w:wordWrap w:val="0"/>
              <w:overflowPunct/>
              <w:topLinePunct w:val="0"/>
              <w:autoSpaceDE/>
              <w:autoSpaceDN/>
              <w:bidi w:val="0"/>
              <w:adjustRightInd/>
              <w:snapToGrid/>
              <w:spacing w:before="0" w:beforeAutospacing="0" w:after="0" w:afterAutospacing="0" w:line="400" w:lineRule="exact"/>
              <w:ind w:left="0" w:leftChars="0" w:firstLine="0" w:firstLineChars="0"/>
              <w:jc w:val="center"/>
              <w:textAlignment w:val="auto"/>
              <w:rPr>
                <w:rFonts w:hint="eastAsia" w:ascii="仿宋" w:hAnsi="仿宋" w:eastAsia="仿宋" w:cs="仿宋"/>
                <w:kern w:val="0"/>
                <w:sz w:val="24"/>
                <w:szCs w:val="21"/>
                <w:lang w:val="en-US" w:eastAsia="zh-CN" w:bidi="ar-SA"/>
              </w:rPr>
            </w:pPr>
            <w:r>
              <w:rPr>
                <w:rFonts w:hint="eastAsia" w:ascii="仿宋" w:hAnsi="仿宋" w:eastAsia="仿宋" w:cs="宋体"/>
                <w:color w:val="auto"/>
                <w:sz w:val="24"/>
                <w:szCs w:val="24"/>
                <w:highlight w:val="none"/>
                <w:lang w:val="en-US" w:eastAsia="zh-CN"/>
              </w:rPr>
              <w:t>1815453</w:t>
            </w:r>
          </w:p>
        </w:tc>
      </w:tr>
    </w:tbl>
    <w:p w14:paraId="070190C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5、采购需求（包括但不限于标的的名称</w:t>
      </w:r>
      <w:bookmarkStart w:id="324" w:name="_GoBack"/>
      <w:bookmarkEnd w:id="324"/>
      <w:r>
        <w:rPr>
          <w:rFonts w:hint="eastAsia" w:ascii="仿宋" w:hAnsi="仿宋" w:eastAsia="仿宋"/>
          <w:color w:val="auto"/>
          <w:sz w:val="24"/>
          <w:szCs w:val="24"/>
          <w:highlight w:val="none"/>
        </w:rPr>
        <w:t>、数量、简要技术需求或服务要求等）：</w:t>
      </w:r>
      <w:bookmarkStart w:id="15" w:name="_Toc8438"/>
      <w:bookmarkEnd w:id="15"/>
      <w:bookmarkStart w:id="16" w:name="_Toc21121"/>
      <w:bookmarkEnd w:id="16"/>
      <w:bookmarkStart w:id="17" w:name="_Toc18129"/>
      <w:bookmarkEnd w:id="17"/>
    </w:p>
    <w:p w14:paraId="14AD0E18">
      <w:pPr>
        <w:widowControl w:val="0"/>
        <w:spacing w:line="500" w:lineRule="exact"/>
        <w:ind w:firstLine="418" w:firstLineChars="200"/>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5.1、项目概况：本项目为河南科技大学附属高级中学理化生实验室装备项目</w:t>
      </w:r>
      <w:r>
        <w:rPr>
          <w:rFonts w:hint="eastAsia" w:ascii="仿宋" w:hAnsi="仿宋" w:eastAsia="仿宋"/>
          <w:color w:val="auto"/>
          <w:sz w:val="24"/>
          <w:szCs w:val="24"/>
          <w:highlight w:val="none"/>
          <w:lang w:val="en-US" w:eastAsia="zh-CN"/>
        </w:rPr>
        <w:t>,</w:t>
      </w:r>
      <w:r>
        <w:rPr>
          <w:rFonts w:hint="eastAsia" w:ascii="仿宋" w:hAnsi="仿宋" w:eastAsia="仿宋"/>
          <w:color w:val="auto"/>
          <w:sz w:val="24"/>
          <w:szCs w:val="24"/>
          <w:highlight w:val="none"/>
        </w:rPr>
        <w:t>包括物理1个、化学1个、生物2个共四个实验室和三个学科准备室的基础设备和仪器装备，项目实施后可改善学校实验教学条件</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具体详见采购文件</w:t>
      </w:r>
      <w:r>
        <w:rPr>
          <w:rFonts w:hint="eastAsia" w:ascii="仿宋" w:hAnsi="仿宋" w:eastAsia="仿宋" w:cs="仿宋"/>
          <w:b w:val="0"/>
          <w:bCs w:val="0"/>
          <w:sz w:val="24"/>
          <w:szCs w:val="24"/>
          <w:highlight w:val="none"/>
          <w:lang w:eastAsia="zh-CN"/>
        </w:rPr>
        <w:t>。</w:t>
      </w:r>
    </w:p>
    <w:p w14:paraId="2ABF2CE0">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资金来源：</w:t>
      </w:r>
      <w:r>
        <w:rPr>
          <w:rFonts w:hint="eastAsia" w:ascii="仿宋" w:hAnsi="仿宋" w:eastAsia="仿宋"/>
          <w:color w:val="auto"/>
          <w:sz w:val="24"/>
          <w:szCs w:val="24"/>
          <w:highlight w:val="none"/>
          <w:lang w:eastAsia="zh-CN"/>
        </w:rPr>
        <w:t>财政</w:t>
      </w:r>
      <w:r>
        <w:rPr>
          <w:rFonts w:hint="eastAsia" w:ascii="仿宋" w:hAnsi="仿宋" w:eastAsia="仿宋"/>
          <w:color w:val="auto"/>
          <w:sz w:val="24"/>
          <w:szCs w:val="24"/>
          <w:highlight w:val="none"/>
        </w:rPr>
        <w:t>资金</w:t>
      </w:r>
      <w:r>
        <w:rPr>
          <w:rFonts w:hint="eastAsia" w:ascii="仿宋" w:hAnsi="仿宋" w:eastAsia="仿宋"/>
          <w:color w:val="auto"/>
          <w:sz w:val="24"/>
          <w:szCs w:val="24"/>
          <w:highlight w:val="none"/>
          <w:lang w:eastAsia="zh-CN"/>
        </w:rPr>
        <w:t>。</w:t>
      </w:r>
    </w:p>
    <w:p w14:paraId="66D46638">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val="en-US" w:eastAsia="zh-CN"/>
        </w:rPr>
        <w:t>3采购包划分：本项目划分一个包。</w:t>
      </w:r>
    </w:p>
    <w:p w14:paraId="5AF20113">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 xml:space="preserve"> 质量要求：</w:t>
      </w:r>
      <w:r>
        <w:rPr>
          <w:rFonts w:hint="eastAsia" w:ascii="仿宋" w:hAnsi="仿宋" w:eastAsia="仿宋" w:cs="宋体"/>
          <w:spacing w:val="14"/>
          <w:kern w:val="0"/>
          <w:sz w:val="24"/>
          <w:szCs w:val="24"/>
          <w:highlight w:val="none"/>
        </w:rPr>
        <w:t>符合国家或行业规定的合格标准，满足采购人要求。</w:t>
      </w:r>
    </w:p>
    <w:p w14:paraId="02C0A645">
      <w:pPr>
        <w:pStyle w:val="36"/>
        <w:spacing w:before="0" w:beforeAutospacing="0" w:after="0" w:afterAutospacing="0" w:line="460" w:lineRule="exact"/>
        <w:ind w:firstLine="420" w:firstLineChars="201"/>
        <w:jc w:val="both"/>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5.5 交货地点：采购人指定地点。</w:t>
      </w:r>
    </w:p>
    <w:p w14:paraId="12E7F2D5">
      <w:pPr>
        <w:pStyle w:val="36"/>
        <w:spacing w:before="0" w:beforeAutospacing="0" w:after="0" w:afterAutospacing="0" w:line="460" w:lineRule="exact"/>
        <w:ind w:firstLine="420" w:firstLineChars="201"/>
        <w:jc w:val="both"/>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6、合同履行期</w:t>
      </w:r>
      <w:r>
        <w:rPr>
          <w:rFonts w:hint="eastAsia" w:ascii="仿宋" w:hAnsi="仿宋" w:eastAsia="仿宋"/>
          <w:color w:val="auto"/>
          <w:sz w:val="24"/>
          <w:szCs w:val="24"/>
          <w:highlight w:val="none"/>
        </w:rPr>
        <w:t>限（交货期）：</w:t>
      </w:r>
      <w:r>
        <w:rPr>
          <w:rFonts w:hint="eastAsia" w:ascii="仿宋" w:hAnsi="仿宋" w:eastAsia="仿宋" w:cs="宋体"/>
          <w:spacing w:val="14"/>
          <w:kern w:val="0"/>
          <w:sz w:val="24"/>
          <w:szCs w:val="24"/>
          <w:highlight w:val="none"/>
        </w:rPr>
        <w:t>合同签订</w:t>
      </w:r>
      <w:r>
        <w:rPr>
          <w:rFonts w:hint="eastAsia" w:ascii="仿宋" w:hAnsi="仿宋" w:eastAsia="仿宋" w:cs="宋体"/>
          <w:spacing w:val="14"/>
          <w:kern w:val="0"/>
          <w:sz w:val="24"/>
          <w:szCs w:val="24"/>
          <w:highlight w:val="none"/>
          <w:lang w:eastAsia="zh-CN"/>
        </w:rPr>
        <w:t>后</w:t>
      </w:r>
      <w:r>
        <w:rPr>
          <w:rFonts w:hint="eastAsia" w:ascii="仿宋" w:hAnsi="仿宋" w:eastAsia="仿宋" w:cs="宋体"/>
          <w:spacing w:val="14"/>
          <w:kern w:val="0"/>
          <w:sz w:val="24"/>
          <w:szCs w:val="24"/>
          <w:highlight w:val="none"/>
          <w:lang w:val="en-US" w:eastAsia="zh-CN"/>
        </w:rPr>
        <w:t>20个工作日内</w:t>
      </w:r>
      <w:r>
        <w:rPr>
          <w:rFonts w:hint="eastAsia" w:ascii="仿宋" w:hAnsi="仿宋" w:eastAsia="仿宋" w:cs="宋体"/>
          <w:spacing w:val="14"/>
          <w:kern w:val="0"/>
          <w:sz w:val="24"/>
          <w:szCs w:val="24"/>
          <w:highlight w:val="none"/>
          <w:lang w:eastAsia="zh-CN"/>
        </w:rPr>
        <w:t>。</w:t>
      </w:r>
    </w:p>
    <w:p w14:paraId="0F6482C7">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 xml:space="preserve">7、本项目是否接受联合体投标：否； </w:t>
      </w:r>
    </w:p>
    <w:p w14:paraId="268308E0">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8、是否接受进口产品：否。</w:t>
      </w:r>
    </w:p>
    <w:p w14:paraId="0B093F15">
      <w:pPr>
        <w:pStyle w:val="36"/>
        <w:spacing w:before="0" w:beforeAutospacing="0" w:after="0" w:afterAutospacing="0" w:line="460" w:lineRule="exact"/>
        <w:ind w:firstLine="420" w:firstLineChars="201"/>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9、是否专门面向中小企业：是</w:t>
      </w:r>
    </w:p>
    <w:p w14:paraId="39709887">
      <w:pPr>
        <w:pStyle w:val="36"/>
        <w:spacing w:before="0" w:beforeAutospacing="0" w:after="0" w:afterAutospacing="0" w:line="460" w:lineRule="exact"/>
        <w:ind w:firstLine="359"/>
        <w:jc w:val="both"/>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二、申请人资格要求：</w:t>
      </w:r>
    </w:p>
    <w:p w14:paraId="6571300B">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1、满足《中华人民共和国政府采购法》第二十二条规定；</w:t>
      </w:r>
    </w:p>
    <w:p w14:paraId="10A6000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2、落实政府采购政策满足的资格要求：</w:t>
      </w:r>
    </w:p>
    <w:p w14:paraId="042F5F41">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本项目专门面向中小微企业（监狱企业、残疾人福利性单位视同小型、微型企业）企业采购、优先采购节能环保产品，节约能源，保护环境，落实绿色建筑、绿色建材，支持不发达、少数民族地区的企业，促进自主创新产业发展，支持脱贫攻坚。</w:t>
      </w:r>
    </w:p>
    <w:p w14:paraId="55994B09">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根据洛财购〔2021〕4号文件要求，参加政府采购项目的中小微企业供应商，持中标(成交)通知书可向金融机构申请合同融资。详情请登录洛阳市政府采购网(http://luoyang.hngp.gov.cn/)，进入网站飘窗或业务指南窗口了解金融机构提供的融资服务内容。</w:t>
      </w:r>
    </w:p>
    <w:p w14:paraId="58D723C8">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3、本项目的特定资格要求：</w:t>
      </w:r>
    </w:p>
    <w:p w14:paraId="749BA9B8">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3.1、供应商具备独立承担民事责任能力，具有合法有效的营业执照或事业单位法人证书。</w:t>
      </w:r>
    </w:p>
    <w:p w14:paraId="271F47E0">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3.2、根据《洛阳市财政局关于推行政府采购信用承诺制的通知》（洛财购【2021】11号）文件，供应商须提供“洛阳市政府采购供应商信用承诺函”，采购人有权在签订合同前要求中标供应商提供相关证明材料以核实中标供应商承诺事项的真实性；（响应文件中须附《洛阳市政府采购供应商信用承诺函》，格式见磋商文件）。</w:t>
      </w:r>
    </w:p>
    <w:p w14:paraId="73C236F6">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注：采购人有权在签订合同前要求成交人提供相关证明材料以核实成交人承诺事项的真实性</w:t>
      </w:r>
    </w:p>
    <w:p w14:paraId="3D497D80">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3.3、单位负责人为同一人或者存在直接控股、管理关系的不同供应商，不得参加同一合同项下的政府采购活动。</w:t>
      </w:r>
    </w:p>
    <w:p w14:paraId="1FFF6ACA">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3.4、本次磋商不接受联合体。</w:t>
      </w:r>
    </w:p>
    <w:p w14:paraId="2A85EFA7">
      <w:pPr>
        <w:pStyle w:val="36"/>
        <w:spacing w:before="0" w:beforeAutospacing="0" w:after="0" w:afterAutospacing="0" w:line="460" w:lineRule="exact"/>
        <w:ind w:firstLine="358"/>
        <w:jc w:val="both"/>
        <w:rPr>
          <w:rFonts w:hint="eastAsia" w:ascii="仿宋" w:hAnsi="仿宋" w:eastAsia="仿宋"/>
          <w:bCs/>
          <w:color w:val="auto"/>
          <w:sz w:val="24"/>
          <w:szCs w:val="24"/>
          <w:highlight w:val="none"/>
        </w:rPr>
      </w:pPr>
      <w:r>
        <w:rPr>
          <w:rFonts w:hint="eastAsia" w:ascii="仿宋" w:hAnsi="仿宋" w:eastAsia="仿宋"/>
          <w:bCs/>
          <w:color w:val="auto"/>
          <w:sz w:val="24"/>
          <w:szCs w:val="24"/>
          <w:highlight w:val="none"/>
        </w:rPr>
        <w:t>3.5、本次磋商实行资格后审，资格后审不合格的供应商的响应文件将不被接受。</w:t>
      </w:r>
    </w:p>
    <w:p w14:paraId="1D03E18A">
      <w:pPr>
        <w:pStyle w:val="36"/>
        <w:spacing w:before="0" w:beforeAutospacing="0" w:after="0" w:afterAutospacing="0" w:line="460" w:lineRule="exact"/>
        <w:ind w:firstLine="358"/>
        <w:jc w:val="both"/>
        <w:rPr>
          <w:rFonts w:hint="eastAsia" w:ascii="仿宋" w:hAnsi="仿宋" w:eastAsia="仿宋"/>
          <w:b/>
          <w:bCs w:val="0"/>
          <w:color w:val="auto"/>
          <w:sz w:val="24"/>
          <w:szCs w:val="24"/>
          <w:highlight w:val="none"/>
        </w:rPr>
      </w:pPr>
      <w:r>
        <w:rPr>
          <w:rFonts w:hint="eastAsia" w:ascii="仿宋" w:hAnsi="仿宋" w:eastAsia="仿宋"/>
          <w:b/>
          <w:bCs w:val="0"/>
          <w:color w:val="auto"/>
          <w:sz w:val="24"/>
          <w:szCs w:val="24"/>
          <w:highlight w:val="none"/>
        </w:rPr>
        <w:t>三、获取</w:t>
      </w:r>
      <w:r>
        <w:rPr>
          <w:rFonts w:hint="eastAsia" w:ascii="仿宋" w:hAnsi="仿宋" w:eastAsia="仿宋"/>
          <w:b/>
          <w:bCs w:val="0"/>
          <w:color w:val="auto"/>
          <w:sz w:val="24"/>
          <w:szCs w:val="24"/>
          <w:highlight w:val="none"/>
          <w:lang w:eastAsia="zh-CN"/>
        </w:rPr>
        <w:t>采购</w:t>
      </w:r>
      <w:r>
        <w:rPr>
          <w:rFonts w:hint="eastAsia" w:ascii="仿宋" w:hAnsi="仿宋" w:eastAsia="仿宋"/>
          <w:b/>
          <w:bCs w:val="0"/>
          <w:color w:val="auto"/>
          <w:sz w:val="24"/>
          <w:szCs w:val="24"/>
          <w:highlight w:val="none"/>
        </w:rPr>
        <w:t>文件</w:t>
      </w:r>
    </w:p>
    <w:p w14:paraId="4C4124DF">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1.时间：</w:t>
      </w:r>
      <w:r>
        <w:rPr>
          <w:rFonts w:hint="eastAsia" w:ascii="仿宋" w:hAnsi="仿宋" w:eastAsia="仿宋"/>
          <w:color w:val="auto"/>
          <w:sz w:val="24"/>
          <w:szCs w:val="24"/>
          <w:highlight w:val="none"/>
          <w:lang w:val="en-US" w:eastAsia="zh-CN"/>
        </w:rPr>
        <w:t>2025</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11</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13</w:t>
      </w:r>
      <w:r>
        <w:rPr>
          <w:rFonts w:hint="eastAsia" w:ascii="仿宋" w:hAnsi="仿宋" w:eastAsia="仿宋"/>
          <w:color w:val="auto"/>
          <w:sz w:val="24"/>
          <w:szCs w:val="24"/>
          <w:highlight w:val="none"/>
        </w:rPr>
        <w:t>日至</w:t>
      </w:r>
      <w:r>
        <w:rPr>
          <w:rFonts w:hint="eastAsia" w:ascii="仿宋" w:hAnsi="仿宋" w:eastAsia="仿宋"/>
          <w:color w:val="auto"/>
          <w:sz w:val="24"/>
          <w:szCs w:val="24"/>
          <w:highlight w:val="none"/>
          <w:lang w:val="en-US" w:eastAsia="zh-CN"/>
        </w:rPr>
        <w:t>2025</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11</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19</w:t>
      </w:r>
      <w:r>
        <w:rPr>
          <w:rFonts w:hint="eastAsia" w:ascii="仿宋" w:hAnsi="仿宋" w:eastAsia="仿宋"/>
          <w:color w:val="auto"/>
          <w:sz w:val="24"/>
          <w:szCs w:val="24"/>
          <w:highlight w:val="none"/>
        </w:rPr>
        <w:t xml:space="preserve">日，每天上午00:00至12:00，下午12:00至23:59（北京时间，法定节假日除外。） </w:t>
      </w:r>
    </w:p>
    <w:p w14:paraId="5B265B5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2.地点：洛阳市公共资源交易中心网站（http://lyggzyjy.ly.gov.cn/）</w:t>
      </w:r>
    </w:p>
    <w:p w14:paraId="2CB55095">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方式：洛阳市公共资源交易中心网站（http://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办事指南内的“主体注册CA办理”和“洛阳政府采购系统操作手册（供应商用）”。</w:t>
      </w:r>
    </w:p>
    <w:p w14:paraId="68586883">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4.售价：0元</w:t>
      </w:r>
    </w:p>
    <w:p w14:paraId="0C9BBAC1">
      <w:pPr>
        <w:pStyle w:val="36"/>
        <w:spacing w:before="0" w:beforeAutospacing="0" w:after="0" w:afterAutospacing="0" w:line="460" w:lineRule="exact"/>
        <w:ind w:firstLine="359"/>
        <w:jc w:val="both"/>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四、响应文件提交</w:t>
      </w:r>
    </w:p>
    <w:p w14:paraId="17ADD749">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eastAsia="zh-CN"/>
        </w:rPr>
        <w:t>截止</w:t>
      </w:r>
      <w:r>
        <w:rPr>
          <w:rFonts w:hint="eastAsia" w:ascii="仿宋" w:hAnsi="仿宋" w:eastAsia="仿宋"/>
          <w:color w:val="auto"/>
          <w:sz w:val="24"/>
          <w:szCs w:val="24"/>
          <w:highlight w:val="none"/>
        </w:rPr>
        <w:t>时间：202</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11</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24</w:t>
      </w:r>
      <w:r>
        <w:rPr>
          <w:rFonts w:hint="eastAsia" w:ascii="仿宋" w:hAnsi="仿宋" w:eastAsia="仿宋"/>
          <w:color w:val="auto"/>
          <w:sz w:val="24"/>
          <w:szCs w:val="24"/>
          <w:highlight w:val="none"/>
        </w:rPr>
        <w:t>日</w:t>
      </w:r>
      <w:r>
        <w:rPr>
          <w:rFonts w:hint="eastAsia" w:ascii="仿宋" w:hAnsi="仿宋" w:eastAsia="仿宋"/>
          <w:color w:val="auto"/>
          <w:sz w:val="24"/>
          <w:szCs w:val="24"/>
          <w:highlight w:val="none"/>
          <w:lang w:val="en-US" w:eastAsia="zh-CN"/>
        </w:rPr>
        <w:t>9</w:t>
      </w:r>
      <w:r>
        <w:rPr>
          <w:rFonts w:hint="eastAsia" w:ascii="仿宋" w:hAnsi="仿宋" w:eastAsia="仿宋"/>
          <w:color w:val="auto"/>
          <w:sz w:val="24"/>
          <w:szCs w:val="24"/>
          <w:highlight w:val="none"/>
        </w:rPr>
        <w:t>时</w:t>
      </w:r>
      <w:r>
        <w:rPr>
          <w:rFonts w:hint="eastAsia" w:ascii="仿宋" w:hAnsi="仿宋" w:eastAsia="仿宋"/>
          <w:color w:val="auto"/>
          <w:sz w:val="24"/>
          <w:szCs w:val="24"/>
          <w:highlight w:val="none"/>
          <w:lang w:val="en-US" w:eastAsia="zh-CN"/>
        </w:rPr>
        <w:t>05</w:t>
      </w:r>
      <w:r>
        <w:rPr>
          <w:rFonts w:hint="eastAsia" w:ascii="仿宋" w:hAnsi="仿宋" w:eastAsia="仿宋"/>
          <w:color w:val="auto"/>
          <w:sz w:val="24"/>
          <w:szCs w:val="24"/>
          <w:highlight w:val="none"/>
        </w:rPr>
        <w:t>分（北京时间）</w:t>
      </w:r>
    </w:p>
    <w:p w14:paraId="2C69F23F">
      <w:pPr>
        <w:pStyle w:val="36"/>
        <w:spacing w:before="0" w:beforeAutospacing="0" w:after="0" w:afterAutospacing="0" w:line="460" w:lineRule="exact"/>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地点：洛阳市公共资源交易中心网站（http://lyggzyjy.ly.gov.cn/）。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w:t>
      </w:r>
    </w:p>
    <w:p w14:paraId="54C2B004">
      <w:pPr>
        <w:pStyle w:val="36"/>
        <w:spacing w:before="0" w:beforeAutospacing="0" w:after="0" w:afterAutospacing="0" w:line="460" w:lineRule="exact"/>
        <w:ind w:firstLine="359"/>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rPr>
        <w:t>五、</w:t>
      </w:r>
      <w:r>
        <w:rPr>
          <w:rFonts w:hint="eastAsia" w:ascii="仿宋" w:hAnsi="仿宋" w:eastAsia="仿宋"/>
          <w:b/>
          <w:color w:val="auto"/>
          <w:sz w:val="24"/>
          <w:szCs w:val="24"/>
          <w:highlight w:val="none"/>
          <w:lang w:eastAsia="zh-CN"/>
        </w:rPr>
        <w:t>响应文件开启</w:t>
      </w:r>
    </w:p>
    <w:p w14:paraId="17C3D89C">
      <w:pPr>
        <w:pStyle w:val="37"/>
        <w:spacing w:before="0" w:beforeAutospacing="0" w:after="0" w:afterAutospacing="0"/>
        <w:ind w:firstLine="358"/>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1.时间：</w:t>
      </w:r>
      <w:r>
        <w:rPr>
          <w:rFonts w:hint="eastAsia" w:ascii="仿宋" w:hAnsi="仿宋" w:eastAsia="仿宋"/>
          <w:color w:val="auto"/>
          <w:sz w:val="24"/>
          <w:szCs w:val="24"/>
          <w:highlight w:val="none"/>
          <w:lang w:val="en-US" w:eastAsia="zh-CN"/>
        </w:rPr>
        <w:t>2025年11月24日9时05分</w:t>
      </w:r>
      <w:r>
        <w:rPr>
          <w:rFonts w:hint="eastAsia" w:ascii="仿宋" w:hAnsi="仿宋" w:eastAsia="仿宋"/>
          <w:color w:val="auto"/>
          <w:sz w:val="24"/>
          <w:szCs w:val="24"/>
          <w:highlight w:val="none"/>
        </w:rPr>
        <w:t>（北京时间）</w:t>
      </w:r>
    </w:p>
    <w:p w14:paraId="178809DD">
      <w:pPr>
        <w:pStyle w:val="36"/>
        <w:spacing w:before="0" w:beforeAutospacing="0" w:after="0" w:afterAutospacing="0" w:line="460" w:lineRule="exact"/>
        <w:ind w:firstLine="359"/>
        <w:jc w:val="both"/>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2.地点：洛阳市公共资源交易中心开标</w:t>
      </w:r>
      <w:r>
        <w:rPr>
          <w:rFonts w:hint="eastAsia" w:ascii="仿宋" w:hAnsi="仿宋" w:eastAsia="仿宋"/>
          <w:color w:val="auto"/>
          <w:sz w:val="24"/>
          <w:szCs w:val="24"/>
          <w:highlight w:val="none"/>
          <w:lang w:val="en-US" w:eastAsia="zh-CN"/>
        </w:rPr>
        <w:t>四</w:t>
      </w:r>
      <w:r>
        <w:rPr>
          <w:rFonts w:hint="eastAsia" w:ascii="仿宋" w:hAnsi="仿宋" w:eastAsia="仿宋"/>
          <w:color w:val="auto"/>
          <w:sz w:val="24"/>
          <w:szCs w:val="24"/>
          <w:highlight w:val="none"/>
        </w:rPr>
        <w:t>室（洛龙区开元大道与永泰街交叉口西南角洛阳市民之家六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供应商）”。除电子投标（响应）文件外，投标时不再接受任何纸质文件、资料等。</w:t>
      </w:r>
    </w:p>
    <w:p w14:paraId="3FCAA907">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六、发布公告的媒介及招标公告期限</w:t>
      </w:r>
    </w:p>
    <w:p w14:paraId="6F8A42A8">
      <w:pPr>
        <w:pStyle w:val="36"/>
        <w:spacing w:before="0" w:beforeAutospacing="0" w:after="0" w:afterAutospacing="0" w:line="460" w:lineRule="exact"/>
        <w:ind w:left="160" w:firstLine="358"/>
        <w:jc w:val="both"/>
        <w:rPr>
          <w:rFonts w:hint="eastAsia" w:ascii="仿宋" w:hAnsi="仿宋" w:eastAsia="仿宋"/>
          <w:color w:val="auto"/>
          <w:sz w:val="24"/>
          <w:szCs w:val="24"/>
        </w:rPr>
      </w:pPr>
      <w:r>
        <w:rPr>
          <w:rFonts w:hint="eastAsia" w:ascii="仿宋" w:hAnsi="仿宋" w:eastAsia="仿宋"/>
          <w:color w:val="auto"/>
          <w:sz w:val="24"/>
          <w:szCs w:val="24"/>
        </w:rPr>
        <w:t>本次招标公告在《中国招标投标公共服务平台》、《河南省政府采购网》、《洛阳市公共资源交易中心网》上发布。采购公告期限为五个工作日。</w:t>
      </w:r>
    </w:p>
    <w:p w14:paraId="6395F451">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七、其他补充事宜</w:t>
      </w:r>
    </w:p>
    <w:p w14:paraId="0E60764A">
      <w:pPr>
        <w:pStyle w:val="13"/>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1、本项目代理服务费由成交人支付给采购代理机构，，请供应商投标时充分考虑这一因素。</w:t>
      </w:r>
    </w:p>
    <w:p w14:paraId="302A01E0">
      <w:pPr>
        <w:pStyle w:val="13"/>
        <w:rPr>
          <w:rFonts w:hint="eastAsia" w:ascii="仿宋" w:hAnsi="仿宋" w:eastAsia="仿宋"/>
          <w:color w:val="auto"/>
          <w:sz w:val="24"/>
          <w:szCs w:val="24"/>
        </w:rPr>
      </w:pPr>
      <w:r>
        <w:rPr>
          <w:rFonts w:hint="eastAsia" w:ascii="仿宋" w:hAnsi="仿宋" w:eastAsia="仿宋"/>
          <w:color w:val="auto"/>
          <w:sz w:val="24"/>
          <w:szCs w:val="24"/>
          <w:lang w:val="en-US" w:eastAsia="zh-CN"/>
        </w:rPr>
        <w:t>2</w:t>
      </w:r>
      <w:r>
        <w:rPr>
          <w:rFonts w:hint="eastAsia" w:ascii="仿宋" w:hAnsi="仿宋" w:eastAsia="仿宋"/>
          <w:color w:val="auto"/>
          <w:sz w:val="24"/>
          <w:szCs w:val="24"/>
        </w:rPr>
        <w:t>、供应商在参与本项目采购活动期间应及时关注本网站获取相关澄清或变更等信息（如果有）。</w:t>
      </w:r>
    </w:p>
    <w:p w14:paraId="372340D1">
      <w:pPr>
        <w:pStyle w:val="13"/>
        <w:rPr>
          <w:rFonts w:hint="default"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3、提出异议的渠道和方式：供应商认为采购文件、采购过程和中标、成交结果使自己的权益受到损害的，可以在知道或者应知其权益受到损害之日起七个工作日内，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14:paraId="61D43157">
      <w:pPr>
        <w:pStyle w:val="13"/>
        <w:rPr>
          <w:rFonts w:hint="eastAsia"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4、监管部门：洛阳市财政局</w:t>
      </w:r>
    </w:p>
    <w:p w14:paraId="2F648B8F">
      <w:pPr>
        <w:pStyle w:val="13"/>
        <w:rPr>
          <w:rFonts w:hint="eastAsia"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监管部门联系人：洛阳市财政局政府采购科</w:t>
      </w:r>
    </w:p>
    <w:p w14:paraId="1F466F87">
      <w:pPr>
        <w:pStyle w:val="36"/>
        <w:spacing w:before="0" w:beforeAutospacing="0" w:after="0" w:afterAutospacing="0" w:line="460" w:lineRule="exact"/>
        <w:ind w:firstLine="359"/>
        <w:jc w:val="both"/>
        <w:rPr>
          <w:rFonts w:hint="eastAsia" w:ascii="仿宋" w:hAnsi="仿宋" w:eastAsia="仿宋" w:cs="宋体"/>
          <w:color w:val="auto"/>
          <w:sz w:val="24"/>
          <w:szCs w:val="24"/>
          <w:lang w:val="en-US" w:eastAsia="zh-CN"/>
        </w:rPr>
      </w:pPr>
      <w:r>
        <w:rPr>
          <w:rFonts w:hint="eastAsia" w:ascii="仿宋" w:hAnsi="仿宋" w:eastAsia="仿宋" w:cs="宋体"/>
          <w:color w:val="auto"/>
          <w:sz w:val="24"/>
          <w:szCs w:val="24"/>
          <w:lang w:val="en-US" w:eastAsia="zh-CN"/>
        </w:rPr>
        <w:t>监管部门联系方式：0379-63259707</w:t>
      </w:r>
    </w:p>
    <w:p w14:paraId="5A0D1C6F">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八、凡对本次采购提出询问，请按以下方式联系</w:t>
      </w:r>
    </w:p>
    <w:p w14:paraId="29ACE0F4">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1.采购人信息</w:t>
      </w:r>
    </w:p>
    <w:p w14:paraId="7B86BB2E">
      <w:pPr>
        <w:pStyle w:val="36"/>
        <w:spacing w:before="0" w:beforeAutospacing="0" w:after="0" w:afterAutospacing="0" w:line="460" w:lineRule="exact"/>
        <w:ind w:firstLine="358"/>
        <w:jc w:val="both"/>
        <w:rPr>
          <w:rFonts w:hint="eastAsia" w:ascii="仿宋" w:hAnsi="仿宋" w:eastAsia="仿宋"/>
          <w:bCs/>
          <w:color w:val="auto"/>
          <w:sz w:val="24"/>
          <w:szCs w:val="24"/>
          <w:lang w:eastAsia="zh-CN"/>
        </w:rPr>
      </w:pPr>
      <w:r>
        <w:rPr>
          <w:rFonts w:hint="eastAsia" w:ascii="仿宋" w:hAnsi="仿宋" w:eastAsia="仿宋"/>
          <w:bCs/>
          <w:color w:val="auto"/>
          <w:sz w:val="24"/>
          <w:szCs w:val="24"/>
        </w:rPr>
        <w:t>采 购 人：</w:t>
      </w:r>
      <w:r>
        <w:rPr>
          <w:rFonts w:hint="eastAsia" w:ascii="仿宋" w:hAnsi="仿宋" w:eastAsia="仿宋"/>
          <w:color w:val="auto"/>
          <w:sz w:val="24"/>
          <w:szCs w:val="24"/>
        </w:rPr>
        <w:t>河南科技大学附属高级中学</w:t>
      </w:r>
    </w:p>
    <w:p w14:paraId="2D15B682">
      <w:pPr>
        <w:pStyle w:val="36"/>
        <w:spacing w:before="0" w:beforeAutospacing="0" w:after="0" w:afterAutospacing="0" w:line="460" w:lineRule="exact"/>
        <w:ind w:firstLine="358"/>
        <w:jc w:val="both"/>
        <w:rPr>
          <w:rFonts w:hint="eastAsia" w:ascii="仿宋" w:hAnsi="仿宋" w:eastAsia="仿宋"/>
          <w:bCs/>
          <w:color w:val="auto"/>
          <w:sz w:val="24"/>
          <w:szCs w:val="24"/>
        </w:rPr>
      </w:pPr>
      <w:r>
        <w:rPr>
          <w:rFonts w:hint="eastAsia" w:ascii="仿宋" w:hAnsi="仿宋" w:eastAsia="仿宋"/>
          <w:bCs/>
          <w:color w:val="auto"/>
          <w:sz w:val="24"/>
          <w:szCs w:val="24"/>
        </w:rPr>
        <w:t>地    址：洛阳市高新区华夏路</w:t>
      </w:r>
      <w:r>
        <w:rPr>
          <w:rFonts w:hint="eastAsia" w:ascii="仿宋" w:hAnsi="仿宋" w:eastAsia="仿宋"/>
          <w:bCs/>
          <w:color w:val="auto"/>
          <w:sz w:val="24"/>
          <w:szCs w:val="24"/>
          <w:lang w:val="en-US" w:eastAsia="zh-CN"/>
        </w:rPr>
        <w:t>2</w:t>
      </w:r>
      <w:r>
        <w:rPr>
          <w:rFonts w:hint="eastAsia" w:ascii="仿宋" w:hAnsi="仿宋" w:eastAsia="仿宋"/>
          <w:bCs/>
          <w:color w:val="auto"/>
          <w:sz w:val="24"/>
          <w:szCs w:val="24"/>
        </w:rPr>
        <w:t>号</w:t>
      </w:r>
    </w:p>
    <w:p w14:paraId="2B163839">
      <w:pPr>
        <w:pStyle w:val="36"/>
        <w:spacing w:before="0" w:beforeAutospacing="0" w:after="0" w:afterAutospacing="0" w:line="460" w:lineRule="exact"/>
        <w:ind w:firstLine="358"/>
        <w:jc w:val="both"/>
        <w:rPr>
          <w:rFonts w:hint="eastAsia" w:ascii="仿宋" w:hAnsi="仿宋" w:eastAsia="仿宋"/>
          <w:bCs/>
          <w:color w:val="auto"/>
          <w:sz w:val="24"/>
          <w:szCs w:val="24"/>
          <w:lang w:eastAsia="zh-CN"/>
        </w:rPr>
      </w:pPr>
      <w:r>
        <w:rPr>
          <w:rFonts w:hint="eastAsia" w:ascii="仿宋" w:hAnsi="仿宋" w:eastAsia="仿宋"/>
          <w:bCs/>
          <w:color w:val="auto"/>
          <w:sz w:val="24"/>
          <w:szCs w:val="24"/>
        </w:rPr>
        <w:t>联系人：</w:t>
      </w:r>
      <w:r>
        <w:rPr>
          <w:rFonts w:hint="eastAsia" w:ascii="仿宋" w:hAnsi="仿宋" w:eastAsia="仿宋" w:cs="宋体"/>
          <w:spacing w:val="14"/>
          <w:kern w:val="0"/>
          <w:sz w:val="24"/>
          <w:szCs w:val="24"/>
          <w:lang w:val="en-US" w:eastAsia="zh-CN"/>
        </w:rPr>
        <w:t>闻</w:t>
      </w:r>
      <w:r>
        <w:rPr>
          <w:rFonts w:hint="eastAsia" w:ascii="仿宋" w:hAnsi="仿宋" w:eastAsia="仿宋"/>
          <w:bCs/>
          <w:color w:val="auto"/>
          <w:sz w:val="24"/>
          <w:szCs w:val="24"/>
        </w:rPr>
        <w:t>老师</w:t>
      </w:r>
    </w:p>
    <w:p w14:paraId="2C837C52">
      <w:pPr>
        <w:pStyle w:val="36"/>
        <w:spacing w:before="0" w:beforeAutospacing="0" w:after="0" w:afterAutospacing="0" w:line="460" w:lineRule="exact"/>
        <w:ind w:firstLine="358"/>
        <w:jc w:val="both"/>
        <w:rPr>
          <w:rFonts w:hint="eastAsia" w:ascii="仿宋" w:hAnsi="仿宋" w:eastAsia="仿宋"/>
          <w:bCs/>
          <w:color w:val="auto"/>
          <w:sz w:val="24"/>
          <w:szCs w:val="24"/>
        </w:rPr>
      </w:pPr>
      <w:r>
        <w:rPr>
          <w:rFonts w:hint="eastAsia" w:ascii="仿宋" w:hAnsi="仿宋" w:eastAsia="仿宋"/>
          <w:bCs/>
          <w:color w:val="auto"/>
          <w:sz w:val="24"/>
          <w:szCs w:val="24"/>
        </w:rPr>
        <w:t>联系方式：</w:t>
      </w:r>
      <w:r>
        <w:rPr>
          <w:rFonts w:hint="eastAsia" w:ascii="仿宋" w:hAnsi="仿宋" w:eastAsia="仿宋" w:cs="宋体"/>
          <w:spacing w:val="14"/>
          <w:kern w:val="0"/>
          <w:sz w:val="24"/>
          <w:szCs w:val="24"/>
          <w:highlight w:val="none"/>
        </w:rPr>
        <w:t>13937990835</w:t>
      </w:r>
    </w:p>
    <w:p w14:paraId="6A3AA7DE">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2.采购代理机构信息</w:t>
      </w:r>
    </w:p>
    <w:p w14:paraId="504D5460">
      <w:pPr>
        <w:pStyle w:val="36"/>
        <w:spacing w:before="0" w:beforeAutospacing="0" w:after="0" w:afterAutospacing="0" w:line="460" w:lineRule="exact"/>
        <w:ind w:firstLine="358"/>
        <w:jc w:val="both"/>
        <w:rPr>
          <w:rFonts w:hint="eastAsia" w:ascii="仿宋" w:hAnsi="仿宋" w:eastAsia="仿宋"/>
          <w:color w:val="auto"/>
          <w:sz w:val="24"/>
          <w:szCs w:val="24"/>
          <w:lang w:eastAsia="zh-CN"/>
        </w:rPr>
      </w:pPr>
      <w:r>
        <w:rPr>
          <w:rFonts w:hint="eastAsia" w:ascii="仿宋" w:hAnsi="仿宋" w:eastAsia="仿宋"/>
          <w:color w:val="auto"/>
          <w:sz w:val="24"/>
          <w:szCs w:val="24"/>
        </w:rPr>
        <w:t>名称：河南城发工程管理有限公司</w:t>
      </w:r>
    </w:p>
    <w:p w14:paraId="14601D4A">
      <w:pPr>
        <w:pStyle w:val="36"/>
        <w:spacing w:before="0" w:beforeAutospacing="0" w:after="0" w:afterAutospacing="0" w:line="460" w:lineRule="exact"/>
        <w:ind w:firstLine="358"/>
        <w:jc w:val="both"/>
        <w:rPr>
          <w:rFonts w:hint="eastAsia" w:ascii="仿宋" w:hAnsi="仿宋" w:eastAsia="仿宋"/>
          <w:color w:val="auto"/>
          <w:sz w:val="24"/>
          <w:szCs w:val="24"/>
          <w:lang w:eastAsia="zh-CN"/>
        </w:rPr>
      </w:pPr>
      <w:r>
        <w:rPr>
          <w:rFonts w:hint="eastAsia" w:ascii="仿宋" w:hAnsi="仿宋" w:eastAsia="仿宋"/>
          <w:color w:val="auto"/>
          <w:sz w:val="24"/>
          <w:szCs w:val="24"/>
        </w:rPr>
        <w:t>地址：洛阳市洛龙区王城大道与开元大道交叉口西南角国宝大厦2506室</w:t>
      </w:r>
    </w:p>
    <w:p w14:paraId="7FA59D65">
      <w:pPr>
        <w:pStyle w:val="36"/>
        <w:spacing w:before="0" w:beforeAutospacing="0" w:after="0" w:afterAutospacing="0" w:line="460" w:lineRule="exact"/>
        <w:ind w:firstLine="359"/>
        <w:jc w:val="both"/>
        <w:rPr>
          <w:rFonts w:hint="eastAsia" w:ascii="仿宋" w:hAnsi="仿宋" w:eastAsia="仿宋"/>
          <w:b w:val="0"/>
          <w:bCs/>
          <w:color w:val="auto"/>
          <w:sz w:val="24"/>
          <w:szCs w:val="24"/>
        </w:rPr>
      </w:pPr>
      <w:r>
        <w:rPr>
          <w:rFonts w:hint="eastAsia" w:ascii="仿宋" w:hAnsi="仿宋" w:eastAsia="仿宋"/>
          <w:b w:val="0"/>
          <w:bCs/>
          <w:color w:val="auto"/>
          <w:sz w:val="24"/>
          <w:szCs w:val="24"/>
        </w:rPr>
        <w:t>联 系 人：李先生</w:t>
      </w:r>
    </w:p>
    <w:p w14:paraId="555D3446">
      <w:pPr>
        <w:pStyle w:val="36"/>
        <w:spacing w:before="0" w:beforeAutospacing="0" w:after="0" w:afterAutospacing="0" w:line="460" w:lineRule="exact"/>
        <w:ind w:firstLine="359"/>
        <w:jc w:val="both"/>
        <w:rPr>
          <w:rFonts w:hint="eastAsia" w:ascii="仿宋" w:hAnsi="仿宋" w:eastAsia="仿宋"/>
          <w:b w:val="0"/>
          <w:bCs/>
          <w:color w:val="auto"/>
          <w:sz w:val="24"/>
          <w:szCs w:val="24"/>
        </w:rPr>
      </w:pPr>
      <w:r>
        <w:rPr>
          <w:rFonts w:hint="eastAsia" w:ascii="仿宋" w:hAnsi="仿宋" w:eastAsia="仿宋"/>
          <w:b w:val="0"/>
          <w:bCs/>
          <w:color w:val="auto"/>
          <w:sz w:val="24"/>
          <w:szCs w:val="24"/>
        </w:rPr>
        <w:t>电    话：0379-63333677</w:t>
      </w:r>
    </w:p>
    <w:p w14:paraId="4CB93BC2">
      <w:pPr>
        <w:pStyle w:val="36"/>
        <w:spacing w:before="0" w:beforeAutospacing="0" w:after="0" w:afterAutospacing="0" w:line="460" w:lineRule="exact"/>
        <w:ind w:firstLine="359"/>
        <w:jc w:val="both"/>
        <w:rPr>
          <w:rFonts w:hint="eastAsia" w:ascii="仿宋" w:hAnsi="仿宋" w:eastAsia="仿宋"/>
          <w:b/>
          <w:color w:val="auto"/>
          <w:sz w:val="24"/>
          <w:szCs w:val="24"/>
        </w:rPr>
      </w:pPr>
      <w:r>
        <w:rPr>
          <w:rFonts w:hint="eastAsia" w:ascii="仿宋" w:hAnsi="仿宋" w:eastAsia="仿宋"/>
          <w:b/>
          <w:color w:val="auto"/>
          <w:sz w:val="24"/>
          <w:szCs w:val="24"/>
        </w:rPr>
        <w:t>3.项目联系方式</w:t>
      </w:r>
    </w:p>
    <w:p w14:paraId="39F2BF5B">
      <w:pPr>
        <w:pStyle w:val="36"/>
        <w:spacing w:before="0" w:beforeAutospacing="0" w:after="0" w:afterAutospacing="0" w:line="460" w:lineRule="exact"/>
        <w:ind w:firstLine="358"/>
        <w:jc w:val="both"/>
        <w:rPr>
          <w:rFonts w:hint="eastAsia" w:ascii="仿宋" w:hAnsi="仿宋" w:eastAsia="仿宋"/>
          <w:color w:val="auto"/>
          <w:sz w:val="24"/>
          <w:szCs w:val="24"/>
          <w:lang w:eastAsia="zh-CN"/>
        </w:rPr>
      </w:pPr>
      <w:r>
        <w:rPr>
          <w:rFonts w:hint="eastAsia" w:ascii="仿宋" w:hAnsi="仿宋" w:eastAsia="仿宋"/>
          <w:color w:val="auto"/>
          <w:sz w:val="24"/>
          <w:szCs w:val="24"/>
        </w:rPr>
        <w:t>项目联系人：</w:t>
      </w:r>
      <w:r>
        <w:rPr>
          <w:rFonts w:hint="eastAsia" w:ascii="仿宋" w:hAnsi="仿宋" w:eastAsia="仿宋"/>
          <w:b w:val="0"/>
          <w:bCs/>
          <w:color w:val="auto"/>
          <w:sz w:val="24"/>
          <w:szCs w:val="24"/>
        </w:rPr>
        <w:t>李先生</w:t>
      </w:r>
    </w:p>
    <w:p w14:paraId="3F1E0E70">
      <w:pPr>
        <w:pStyle w:val="36"/>
        <w:spacing w:before="0" w:beforeAutospacing="0" w:after="0" w:afterAutospacing="0" w:line="460" w:lineRule="exact"/>
        <w:ind w:firstLine="358"/>
        <w:jc w:val="both"/>
        <w:rPr>
          <w:rFonts w:hint="eastAsia" w:ascii="仿宋" w:hAnsi="仿宋" w:eastAsia="仿宋"/>
          <w:color w:val="auto"/>
          <w:spacing w:val="14"/>
          <w:sz w:val="24"/>
          <w:szCs w:val="24"/>
        </w:rPr>
      </w:pPr>
      <w:r>
        <w:rPr>
          <w:rFonts w:hint="eastAsia" w:ascii="仿宋" w:hAnsi="仿宋" w:eastAsia="仿宋"/>
          <w:color w:val="auto"/>
          <w:sz w:val="24"/>
          <w:szCs w:val="24"/>
        </w:rPr>
        <w:t>联系方式：</w:t>
      </w:r>
      <w:r>
        <w:rPr>
          <w:rFonts w:hint="eastAsia" w:ascii="仿宋" w:hAnsi="仿宋" w:eastAsia="仿宋"/>
          <w:b w:val="0"/>
          <w:bCs/>
          <w:color w:val="auto"/>
          <w:sz w:val="24"/>
          <w:szCs w:val="24"/>
        </w:rPr>
        <w:t>0379-63333677</w:t>
      </w:r>
    </w:p>
    <w:p w14:paraId="11E0F398">
      <w:pPr>
        <w:widowControl/>
        <w:spacing w:before="240" w:after="60" w:line="360" w:lineRule="auto"/>
        <w:jc w:val="both"/>
        <w:outlineLvl w:val="9"/>
        <w:rPr>
          <w:rFonts w:hint="eastAsia" w:ascii="仿宋" w:hAnsi="仿宋" w:eastAsia="仿宋" w:cs="宋体"/>
          <w:b/>
          <w:bCs/>
          <w:spacing w:val="14"/>
          <w:sz w:val="32"/>
          <w:szCs w:val="32"/>
        </w:rPr>
      </w:pPr>
      <w:bookmarkStart w:id="18" w:name="_Toc256000002"/>
      <w:bookmarkEnd w:id="18"/>
      <w:bookmarkStart w:id="19" w:name="_Toc1662589"/>
      <w:bookmarkEnd w:id="19"/>
      <w:bookmarkStart w:id="20" w:name="_Toc256000012"/>
      <w:bookmarkEnd w:id="20"/>
      <w:bookmarkStart w:id="21" w:name="_Toc20229"/>
      <w:bookmarkEnd w:id="21"/>
      <w:bookmarkStart w:id="22" w:name="_Toc15736"/>
      <w:bookmarkEnd w:id="22"/>
      <w:bookmarkStart w:id="23" w:name="_Toc5333"/>
      <w:bookmarkEnd w:id="23"/>
      <w:bookmarkStart w:id="24" w:name="_Toc256000027"/>
      <w:bookmarkStart w:id="25" w:name="_Toc256000029"/>
      <w:bookmarkStart w:id="26" w:name="_Toc11609"/>
      <w:bookmarkStart w:id="27" w:name="_Toc130305926"/>
    </w:p>
    <w:p w14:paraId="6163CDBE">
      <w:pPr>
        <w:widowControl/>
        <w:spacing w:before="240" w:after="60" w:line="360" w:lineRule="auto"/>
        <w:jc w:val="both"/>
        <w:outlineLvl w:val="9"/>
        <w:rPr>
          <w:rFonts w:hint="eastAsia" w:ascii="仿宋" w:hAnsi="仿宋" w:eastAsia="仿宋" w:cs="宋体"/>
          <w:b/>
          <w:bCs/>
          <w:spacing w:val="14"/>
          <w:sz w:val="32"/>
          <w:szCs w:val="32"/>
        </w:rPr>
      </w:pPr>
    </w:p>
    <w:p w14:paraId="71035456">
      <w:pPr>
        <w:widowControl/>
        <w:spacing w:before="240" w:after="60" w:line="360" w:lineRule="auto"/>
        <w:jc w:val="both"/>
        <w:outlineLvl w:val="9"/>
        <w:rPr>
          <w:rFonts w:hint="eastAsia" w:ascii="仿宋" w:hAnsi="仿宋" w:eastAsia="仿宋" w:cs="宋体"/>
          <w:b/>
          <w:bCs/>
          <w:spacing w:val="14"/>
          <w:sz w:val="32"/>
          <w:szCs w:val="32"/>
        </w:rPr>
      </w:pPr>
    </w:p>
    <w:p w14:paraId="5AE7B63C">
      <w:pPr>
        <w:widowControl/>
        <w:spacing w:before="240" w:after="60" w:line="360" w:lineRule="auto"/>
        <w:jc w:val="both"/>
        <w:outlineLvl w:val="9"/>
        <w:rPr>
          <w:rFonts w:hint="eastAsia" w:ascii="仿宋" w:hAnsi="仿宋" w:eastAsia="仿宋" w:cs="宋体"/>
          <w:b/>
          <w:bCs/>
          <w:spacing w:val="14"/>
          <w:sz w:val="32"/>
          <w:szCs w:val="32"/>
        </w:rPr>
      </w:pPr>
    </w:p>
    <w:p w14:paraId="0B4A20A9">
      <w:pPr>
        <w:widowControl/>
        <w:spacing w:before="240" w:after="60" w:line="360" w:lineRule="auto"/>
        <w:jc w:val="both"/>
        <w:outlineLvl w:val="9"/>
        <w:rPr>
          <w:rFonts w:hint="eastAsia" w:ascii="仿宋" w:hAnsi="仿宋" w:eastAsia="仿宋" w:cs="宋体"/>
          <w:b/>
          <w:bCs/>
          <w:spacing w:val="14"/>
          <w:sz w:val="32"/>
          <w:szCs w:val="32"/>
        </w:rPr>
      </w:pPr>
    </w:p>
    <w:p w14:paraId="3E7D593E">
      <w:pPr>
        <w:widowControl/>
        <w:spacing w:before="240" w:after="60" w:line="360" w:lineRule="auto"/>
        <w:jc w:val="both"/>
        <w:outlineLvl w:val="9"/>
        <w:rPr>
          <w:rFonts w:hint="eastAsia" w:ascii="仿宋" w:hAnsi="仿宋" w:eastAsia="仿宋" w:cs="宋体"/>
          <w:b/>
          <w:bCs/>
          <w:spacing w:val="14"/>
          <w:sz w:val="32"/>
          <w:szCs w:val="32"/>
        </w:rPr>
      </w:pPr>
    </w:p>
    <w:p w14:paraId="67777A07">
      <w:pPr>
        <w:widowControl/>
        <w:spacing w:before="240" w:after="60" w:line="360" w:lineRule="auto"/>
        <w:jc w:val="both"/>
        <w:outlineLvl w:val="9"/>
        <w:rPr>
          <w:rFonts w:hint="eastAsia" w:ascii="仿宋" w:hAnsi="仿宋" w:eastAsia="仿宋" w:cs="宋体"/>
          <w:b/>
          <w:bCs/>
          <w:spacing w:val="14"/>
          <w:sz w:val="32"/>
          <w:szCs w:val="32"/>
          <w:lang w:val="en-US" w:eastAsia="zh-CN"/>
        </w:rPr>
      </w:pPr>
    </w:p>
    <w:p w14:paraId="712FBE0D">
      <w:pPr>
        <w:pStyle w:val="40"/>
        <w:rPr>
          <w:rFonts w:hint="eastAsia"/>
          <w:lang w:val="en-US" w:eastAsia="zh-CN"/>
        </w:rPr>
      </w:pPr>
    </w:p>
    <w:p w14:paraId="1C7C4B2E">
      <w:pPr>
        <w:widowControl/>
        <w:spacing w:before="240" w:after="60" w:line="360" w:lineRule="auto"/>
        <w:jc w:val="both"/>
        <w:outlineLvl w:val="9"/>
        <w:rPr>
          <w:rFonts w:hint="eastAsia" w:ascii="仿宋" w:hAnsi="仿宋" w:eastAsia="仿宋" w:cs="宋体"/>
          <w:b/>
          <w:bCs/>
          <w:spacing w:val="14"/>
          <w:sz w:val="32"/>
          <w:szCs w:val="32"/>
          <w:lang w:val="en-US" w:eastAsia="zh-CN"/>
        </w:rPr>
      </w:pPr>
    </w:p>
    <w:p w14:paraId="37A027A1">
      <w:pPr>
        <w:widowControl/>
        <w:spacing w:before="240" w:after="60" w:line="360" w:lineRule="auto"/>
        <w:jc w:val="both"/>
        <w:outlineLvl w:val="9"/>
        <w:rPr>
          <w:rFonts w:hint="eastAsia" w:ascii="仿宋" w:hAnsi="仿宋" w:eastAsia="仿宋" w:cs="宋体"/>
          <w:b/>
          <w:bCs/>
          <w:spacing w:val="14"/>
          <w:sz w:val="32"/>
          <w:szCs w:val="32"/>
        </w:rPr>
      </w:pPr>
    </w:p>
    <w:p w14:paraId="5F977A18">
      <w:pPr>
        <w:widowControl/>
        <w:spacing w:before="240" w:after="60" w:line="360" w:lineRule="auto"/>
        <w:jc w:val="center"/>
        <w:outlineLvl w:val="0"/>
        <w:rPr>
          <w:rFonts w:hint="eastAsia" w:ascii="仿宋" w:hAnsi="仿宋" w:eastAsia="仿宋" w:cs="宋体"/>
          <w:b/>
          <w:bCs/>
          <w:spacing w:val="14"/>
          <w:sz w:val="32"/>
          <w:szCs w:val="32"/>
        </w:rPr>
      </w:pPr>
      <w:bookmarkStart w:id="28" w:name="_Toc25598"/>
      <w:r>
        <w:rPr>
          <w:rFonts w:hint="eastAsia" w:ascii="仿宋" w:hAnsi="仿宋" w:eastAsia="仿宋" w:cs="宋体"/>
          <w:b/>
          <w:bCs/>
          <w:spacing w:val="14"/>
          <w:sz w:val="32"/>
          <w:szCs w:val="32"/>
        </w:rPr>
        <w:t xml:space="preserve">第二章  </w:t>
      </w:r>
      <w:bookmarkEnd w:id="24"/>
      <w:r>
        <w:rPr>
          <w:rFonts w:hint="eastAsia" w:ascii="仿宋" w:hAnsi="仿宋" w:eastAsia="仿宋" w:cs="宋体"/>
          <w:b/>
          <w:bCs/>
          <w:spacing w:val="14"/>
          <w:sz w:val="32"/>
          <w:szCs w:val="32"/>
        </w:rPr>
        <w:t>供应商须知</w:t>
      </w:r>
      <w:bookmarkEnd w:id="25"/>
      <w:bookmarkEnd w:id="26"/>
      <w:bookmarkEnd w:id="27"/>
      <w:bookmarkEnd w:id="28"/>
    </w:p>
    <w:p w14:paraId="22E5FFA8">
      <w:pPr>
        <w:pStyle w:val="13"/>
        <w:jc w:val="center"/>
        <w:rPr>
          <w:rFonts w:hint="eastAsia" w:ascii="仿宋" w:hAnsi="仿宋" w:eastAsia="仿宋"/>
          <w:b/>
          <w:color w:val="auto"/>
          <w:spacing w:val="14"/>
          <w:sz w:val="28"/>
          <w:szCs w:val="28"/>
        </w:rPr>
      </w:pPr>
      <w:r>
        <w:rPr>
          <w:rFonts w:hint="eastAsia" w:ascii="仿宋" w:hAnsi="仿宋" w:eastAsia="仿宋"/>
          <w:b/>
          <w:color w:val="auto"/>
          <w:spacing w:val="14"/>
          <w:sz w:val="28"/>
          <w:szCs w:val="28"/>
        </w:rPr>
        <w:t>供应商须知前附表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835"/>
        <w:gridCol w:w="5399"/>
      </w:tblGrid>
      <w:tr w14:paraId="3580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9BD3F8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条款号</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ED0D05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名 称</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07A83E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内   容</w:t>
            </w:r>
          </w:p>
        </w:tc>
      </w:tr>
      <w:tr w14:paraId="7ED4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358C1B9">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153949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采购人</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6326AD0">
            <w:pPr>
              <w:widowControl/>
              <w:ind w:firstLine="0"/>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名称：河南科技大学附属高级中学</w:t>
            </w:r>
          </w:p>
          <w:p w14:paraId="1042E4F6">
            <w:pPr>
              <w:widowControl/>
              <w:ind w:firstLine="0"/>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地址：洛阳市高新区华夏路2号</w:t>
            </w:r>
          </w:p>
          <w:p w14:paraId="46C0F812">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联系人：</w:t>
            </w:r>
            <w:r>
              <w:rPr>
                <w:rFonts w:hint="eastAsia" w:ascii="仿宋" w:hAnsi="仿宋" w:eastAsia="仿宋" w:cs="宋体"/>
                <w:spacing w:val="14"/>
                <w:kern w:val="0"/>
                <w:sz w:val="24"/>
                <w:szCs w:val="24"/>
                <w:highlight w:val="none"/>
                <w:lang w:eastAsia="zh-CN"/>
              </w:rPr>
              <w:t>闻</w:t>
            </w:r>
            <w:r>
              <w:rPr>
                <w:rFonts w:hint="eastAsia" w:ascii="仿宋" w:hAnsi="仿宋" w:eastAsia="仿宋" w:cs="宋体"/>
                <w:spacing w:val="14"/>
                <w:kern w:val="0"/>
                <w:sz w:val="24"/>
                <w:szCs w:val="24"/>
                <w:highlight w:val="none"/>
              </w:rPr>
              <w:t>老师</w:t>
            </w:r>
          </w:p>
          <w:p w14:paraId="1398EB71">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highlight w:val="none"/>
              </w:rPr>
              <w:t>联系方式：13937990835</w:t>
            </w:r>
          </w:p>
        </w:tc>
      </w:tr>
      <w:tr w14:paraId="4E6C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73A2781">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B6184B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采购代理机构</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ECE7448">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代理机构：河南城发工程管理有限公司</w:t>
            </w:r>
          </w:p>
          <w:p w14:paraId="4325C4BA">
            <w:pPr>
              <w:widowControl/>
              <w:ind w:firstLine="0"/>
              <w:jc w:val="left"/>
              <w:rPr>
                <w:rFonts w:hint="eastAsia" w:ascii="仿宋" w:hAnsi="仿宋" w:eastAsia="仿宋" w:cs="宋体"/>
                <w:bCs/>
                <w:kern w:val="0"/>
                <w:sz w:val="24"/>
                <w:szCs w:val="24"/>
              </w:rPr>
            </w:pPr>
            <w:r>
              <w:rPr>
                <w:rFonts w:hint="eastAsia" w:ascii="仿宋" w:hAnsi="仿宋" w:eastAsia="仿宋" w:cs="宋体"/>
                <w:spacing w:val="14"/>
                <w:kern w:val="0"/>
                <w:sz w:val="24"/>
                <w:szCs w:val="24"/>
              </w:rPr>
              <w:t>地址：洛阳市洛龙区王城大道与开元大道交叉口西南角国宝大厦2506室</w:t>
            </w:r>
          </w:p>
          <w:p w14:paraId="6B7D411B">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联系人：李先生</w:t>
            </w:r>
          </w:p>
          <w:p w14:paraId="7FB3271D">
            <w:pPr>
              <w:widowControl/>
              <w:ind w:firstLine="0"/>
              <w:jc w:val="left"/>
              <w:rPr>
                <w:rFonts w:hint="eastAsia" w:ascii="仿宋" w:hAnsi="仿宋" w:eastAsia="仿宋" w:cs="宋体"/>
                <w:spacing w:val="14"/>
                <w:kern w:val="0"/>
                <w:sz w:val="24"/>
                <w:szCs w:val="24"/>
              </w:rPr>
            </w:pPr>
            <w:r>
              <w:rPr>
                <w:rFonts w:hint="eastAsia" w:ascii="仿宋" w:hAnsi="仿宋" w:eastAsia="仿宋" w:cs="宋体"/>
                <w:kern w:val="0"/>
                <w:sz w:val="24"/>
                <w:szCs w:val="24"/>
              </w:rPr>
              <w:t>联系方式：0379-63333677</w:t>
            </w:r>
          </w:p>
          <w:p w14:paraId="732D465F">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邮箱：chengfa2505@163.com</w:t>
            </w:r>
          </w:p>
        </w:tc>
      </w:tr>
      <w:tr w14:paraId="2F2B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D33878B">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3B0B6A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采购项目名称</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9C4DC9C">
            <w:pPr>
              <w:widowControl/>
              <w:ind w:firstLine="0"/>
              <w:jc w:val="left"/>
              <w:rPr>
                <w:rFonts w:hint="eastAsia" w:ascii="仿宋" w:hAnsi="仿宋" w:eastAsia="仿宋" w:cs="宋体"/>
                <w:spacing w:val="14"/>
                <w:kern w:val="0"/>
                <w:sz w:val="24"/>
                <w:szCs w:val="24"/>
                <w:u w:val="single" w:color="000000"/>
              </w:rPr>
            </w:pPr>
            <w:r>
              <w:rPr>
                <w:rFonts w:hint="eastAsia" w:ascii="仿宋" w:hAnsi="仿宋" w:eastAsia="仿宋"/>
                <w:color w:val="auto"/>
                <w:sz w:val="24"/>
                <w:szCs w:val="24"/>
              </w:rPr>
              <w:t>河南科技大学附属高级中学理化生实验室装备项目</w:t>
            </w:r>
          </w:p>
        </w:tc>
      </w:tr>
      <w:tr w14:paraId="724E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98ABF46">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9C4597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落实政府采购政策要求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69EF2AB">
            <w:pPr>
              <w:widowControl/>
              <w:spacing w:before="0" w:beforeAutospacing="0" w:after="0" w:afterAutospacing="0" w:line="460" w:lineRule="exact"/>
              <w:ind w:firstLine="0" w:firstLineChars="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☑节能环保产品优先或强制采购。</w:t>
            </w:r>
          </w:p>
          <w:p w14:paraId="542FC354">
            <w:pPr>
              <w:widowControl/>
              <w:spacing w:before="0" w:beforeAutospacing="0" w:after="0" w:afterAutospacing="0" w:line="460" w:lineRule="exact"/>
              <w:ind w:firstLine="0" w:firstLineChars="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☑专门面向中小微（监狱、残疾人福利性单位）企业。</w:t>
            </w:r>
          </w:p>
          <w:p w14:paraId="4985A33B">
            <w:pPr>
              <w:widowControl/>
              <w:spacing w:before="0" w:beforeAutospacing="0" w:after="0" w:afterAutospacing="0" w:line="460" w:lineRule="exact"/>
              <w:ind w:firstLine="0" w:firstLineChars="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☑不接受进口产品。</w:t>
            </w:r>
          </w:p>
        </w:tc>
      </w:tr>
      <w:tr w14:paraId="5C16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7BD6541">
            <w:pPr>
              <w:widowControl/>
              <w:jc w:val="center"/>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1.1.</w:t>
            </w:r>
            <w:r>
              <w:rPr>
                <w:rFonts w:hint="eastAsia" w:ascii="仿宋" w:hAnsi="仿宋" w:eastAsia="仿宋" w:cs="宋体"/>
                <w:spacing w:val="14"/>
                <w:kern w:val="0"/>
                <w:sz w:val="24"/>
                <w:szCs w:val="24"/>
                <w:highlight w:val="none"/>
                <w:lang w:eastAsia="zh-CN"/>
              </w:rPr>
              <w:t>6</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F2DA2D6">
            <w:pPr>
              <w:widowControl/>
              <w:ind w:firstLine="0"/>
              <w:jc w:val="left"/>
              <w:rPr>
                <w:rFonts w:ascii="仿宋" w:hAnsi="仿宋" w:eastAsia="仿宋" w:cs="宋体"/>
                <w:kern w:val="0"/>
                <w:sz w:val="24"/>
                <w:szCs w:val="24"/>
                <w:highlight w:val="none"/>
              </w:rPr>
            </w:pPr>
            <w:r>
              <w:rPr>
                <w:rFonts w:hint="eastAsia" w:ascii="仿宋" w:hAnsi="仿宋" w:eastAsia="仿宋" w:cs="宋体"/>
                <w:kern w:val="0"/>
                <w:sz w:val="24"/>
                <w:szCs w:val="24"/>
                <w:highlight w:val="none"/>
                <w:lang w:eastAsia="zh-CN"/>
              </w:rPr>
              <w:t>项目</w:t>
            </w:r>
            <w:r>
              <w:rPr>
                <w:rFonts w:hint="eastAsia" w:ascii="仿宋" w:hAnsi="仿宋" w:eastAsia="仿宋" w:cs="宋体"/>
                <w:kern w:val="0"/>
                <w:sz w:val="24"/>
                <w:szCs w:val="24"/>
                <w:highlight w:val="none"/>
              </w:rPr>
              <w:t>编号</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09D4BB1B">
            <w:pPr>
              <w:widowControl/>
              <w:ind w:firstLine="0"/>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洛采竞磋-2025-188</w:t>
            </w:r>
          </w:p>
        </w:tc>
      </w:tr>
      <w:tr w14:paraId="09D2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0AECE68">
            <w:pPr>
              <w:widowControl/>
              <w:ind w:firstLine="0"/>
              <w:jc w:val="center"/>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rPr>
              <w:t>1.1.</w:t>
            </w:r>
            <w:r>
              <w:rPr>
                <w:rFonts w:hint="eastAsia" w:ascii="仿宋" w:hAnsi="仿宋" w:eastAsia="仿宋" w:cs="宋体"/>
                <w:spacing w:val="14"/>
                <w:kern w:val="0"/>
                <w:sz w:val="24"/>
                <w:szCs w:val="24"/>
                <w:lang w:val="en-US" w:eastAsia="zh-CN"/>
              </w:rPr>
              <w:t>7</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384C10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采购包划分</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16B0DA7">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本次采购共1个包。</w:t>
            </w:r>
          </w:p>
          <w:p w14:paraId="63F8EA18">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供应商应就该项目进行完整响应，否则将不被接受。</w:t>
            </w:r>
          </w:p>
        </w:tc>
      </w:tr>
      <w:tr w14:paraId="0F63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82A224A">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0CF019B">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资金来源</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6544D79B">
            <w:pPr>
              <w:widowControl/>
              <w:ind w:firstLine="0"/>
              <w:jc w:val="left"/>
              <w:rPr>
                <w:rFonts w:ascii="仿宋" w:hAnsi="仿宋" w:eastAsia="仿宋" w:cs="宋体"/>
                <w:spacing w:val="14"/>
                <w:kern w:val="0"/>
                <w:sz w:val="24"/>
                <w:szCs w:val="24"/>
                <w:u w:val="single" w:color="000000"/>
              </w:rPr>
            </w:pPr>
            <w:r>
              <w:rPr>
                <w:rFonts w:hint="eastAsia" w:ascii="仿宋" w:hAnsi="仿宋" w:eastAsia="仿宋" w:cs="宋体"/>
                <w:spacing w:val="14"/>
                <w:kern w:val="0"/>
                <w:sz w:val="24"/>
                <w:szCs w:val="24"/>
              </w:rPr>
              <w:t xml:space="preserve">财政资金  </w:t>
            </w:r>
          </w:p>
        </w:tc>
      </w:tr>
      <w:tr w14:paraId="6F6C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59B3462">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89357FD">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付款方式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5ECC55A">
            <w:pPr>
              <w:rPr>
                <w:rFonts w:hint="default" w:eastAsia="仿宋" w:cs="宋体"/>
                <w:sz w:val="24"/>
                <w:szCs w:val="24"/>
                <w:highlight w:val="none"/>
                <w:lang w:val="en-US" w:eastAsia="zh-CN"/>
              </w:rPr>
            </w:pPr>
            <w:r>
              <w:rPr>
                <w:rFonts w:hint="eastAsia" w:eastAsia="仿宋" w:cs="宋体"/>
                <w:sz w:val="24"/>
                <w:szCs w:val="24"/>
                <w:highlight w:val="none"/>
                <w:lang w:val="en-US" w:eastAsia="zh-CN"/>
              </w:rPr>
              <w:t>合同签订后，成交人在约定的交货期内交货并完成安装调试，经第三方检测机构检验合格且出具检测报告后，采购人向成交人一次性支付完毕；最终付款进度以财政部门到位资金为准。</w:t>
            </w:r>
          </w:p>
        </w:tc>
      </w:tr>
      <w:tr w14:paraId="6F18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DCFDE9F">
            <w:pPr>
              <w:widowControl/>
              <w:ind w:firstLine="0"/>
              <w:jc w:val="center"/>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1.3.1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235D335">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kern w:val="0"/>
                <w:sz w:val="24"/>
                <w:szCs w:val="24"/>
                <w:highlight w:val="none"/>
              </w:rPr>
              <w:t>合同履行期限（交货期）</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2152DC19">
            <w:pPr>
              <w:widowControl/>
              <w:ind w:firstLine="0"/>
              <w:jc w:val="left"/>
              <w:rPr>
                <w:rFonts w:hint="eastAsia" w:ascii="仿宋" w:hAnsi="仿宋" w:eastAsia="仿宋" w:cs="宋体"/>
                <w:spacing w:val="14"/>
                <w:kern w:val="0"/>
                <w:sz w:val="24"/>
                <w:szCs w:val="24"/>
                <w:highlight w:val="none"/>
                <w:lang w:eastAsia="zh-CN"/>
              </w:rPr>
            </w:pPr>
            <w:r>
              <w:rPr>
                <w:rFonts w:hint="eastAsia" w:ascii="仿宋" w:hAnsi="仿宋" w:eastAsia="仿宋" w:cs="宋体"/>
                <w:spacing w:val="14"/>
                <w:kern w:val="0"/>
                <w:sz w:val="24"/>
                <w:szCs w:val="24"/>
                <w:highlight w:val="none"/>
              </w:rPr>
              <w:t>合同签订</w:t>
            </w:r>
            <w:r>
              <w:rPr>
                <w:rFonts w:hint="eastAsia" w:ascii="仿宋" w:hAnsi="仿宋" w:eastAsia="仿宋" w:cs="宋体"/>
                <w:spacing w:val="14"/>
                <w:kern w:val="0"/>
                <w:sz w:val="24"/>
                <w:szCs w:val="24"/>
                <w:highlight w:val="none"/>
                <w:lang w:eastAsia="zh-CN"/>
              </w:rPr>
              <w:t>后</w:t>
            </w:r>
            <w:r>
              <w:rPr>
                <w:rFonts w:hint="eastAsia" w:ascii="仿宋" w:hAnsi="仿宋" w:eastAsia="仿宋" w:cs="宋体"/>
                <w:spacing w:val="14"/>
                <w:kern w:val="0"/>
                <w:sz w:val="24"/>
                <w:szCs w:val="24"/>
                <w:highlight w:val="none"/>
                <w:lang w:val="en-US" w:eastAsia="zh-CN"/>
              </w:rPr>
              <w:t>20个工作日内</w:t>
            </w:r>
            <w:r>
              <w:rPr>
                <w:rFonts w:hint="eastAsia" w:ascii="仿宋" w:hAnsi="仿宋" w:eastAsia="仿宋" w:cs="宋体"/>
                <w:spacing w:val="14"/>
                <w:kern w:val="0"/>
                <w:sz w:val="24"/>
                <w:szCs w:val="24"/>
                <w:highlight w:val="none"/>
                <w:lang w:eastAsia="zh-CN"/>
              </w:rPr>
              <w:t>。</w:t>
            </w:r>
          </w:p>
        </w:tc>
      </w:tr>
      <w:tr w14:paraId="338E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67F4C1F">
            <w:pPr>
              <w:widowControl/>
              <w:ind w:firstLine="0"/>
              <w:jc w:val="center"/>
              <w:rPr>
                <w:rFonts w:hint="eastAsia" w:ascii="仿宋" w:hAnsi="仿宋" w:eastAsia="仿宋" w:cs="仿宋"/>
                <w:spacing w:val="14"/>
                <w:kern w:val="0"/>
                <w:sz w:val="24"/>
                <w:szCs w:val="24"/>
                <w:lang w:val="en-US" w:eastAsia="zh-CN"/>
              </w:rPr>
            </w:pPr>
            <w:r>
              <w:rPr>
                <w:rFonts w:hint="eastAsia" w:ascii="仿宋" w:hAnsi="仿宋" w:eastAsia="仿宋" w:cs="仿宋"/>
                <w:spacing w:val="14"/>
                <w:kern w:val="0"/>
                <w:sz w:val="24"/>
                <w:szCs w:val="24"/>
                <w:lang w:val="en-US" w:eastAsia="zh-CN"/>
              </w:rPr>
              <w:t>1.3.2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2BED937">
            <w:pPr>
              <w:widowControl/>
              <w:spacing w:line="360" w:lineRule="auto"/>
              <w:ind w:firstLine="0" w:firstLineChars="0"/>
              <w:rPr>
                <w:rFonts w:hint="eastAsia" w:ascii="仿宋" w:hAnsi="仿宋" w:eastAsia="仿宋" w:cs="仿宋"/>
                <w:spacing w:val="14"/>
                <w:kern w:val="2"/>
                <w:sz w:val="24"/>
                <w:szCs w:val="24"/>
                <w:lang w:val="en-US" w:eastAsia="zh-CN" w:bidi="ar-SA"/>
              </w:rPr>
            </w:pPr>
            <w:r>
              <w:rPr>
                <w:rFonts w:hint="eastAsia" w:ascii="仿宋" w:hAnsi="仿宋" w:eastAsia="仿宋" w:cs="仿宋"/>
                <w:spacing w:val="14"/>
                <w:sz w:val="24"/>
                <w:szCs w:val="24"/>
                <w:lang w:eastAsia="zh-CN"/>
              </w:rPr>
              <w:t>交货地点</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46955A5">
            <w:pPr>
              <w:pStyle w:val="41"/>
              <w:spacing w:line="360" w:lineRule="auto"/>
              <w:ind w:firstLine="0" w:firstLineChars="0"/>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采购人指定地点。</w:t>
            </w:r>
          </w:p>
        </w:tc>
      </w:tr>
      <w:tr w14:paraId="3A85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4E88CDA">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1.3.</w:t>
            </w:r>
            <w:r>
              <w:rPr>
                <w:rFonts w:hint="eastAsia" w:ascii="仿宋" w:hAnsi="仿宋" w:eastAsia="仿宋" w:cs="宋体"/>
                <w:spacing w:val="14"/>
                <w:kern w:val="0"/>
                <w:sz w:val="24"/>
                <w:szCs w:val="24"/>
                <w:lang w:val="en-US" w:eastAsia="zh-CN"/>
              </w:rPr>
              <w:t>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1B438FC">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质量要求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BD97DD2">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符合国家或行业规定的合格标准，满足采购人要求。</w:t>
            </w:r>
          </w:p>
        </w:tc>
      </w:tr>
      <w:tr w14:paraId="299F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C98ACED">
            <w:pPr>
              <w:widowControl/>
              <w:ind w:firstLine="0"/>
              <w:jc w:val="center"/>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1.3.</w:t>
            </w:r>
            <w:r>
              <w:rPr>
                <w:rFonts w:hint="eastAsia" w:ascii="仿宋" w:hAnsi="仿宋" w:eastAsia="仿宋" w:cs="宋体"/>
                <w:spacing w:val="14"/>
                <w:kern w:val="0"/>
                <w:sz w:val="24"/>
                <w:szCs w:val="24"/>
                <w:lang w:val="en-US" w:eastAsia="zh-CN"/>
              </w:rPr>
              <w:t>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4424D9E">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履约验收</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0BF0EC1">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采购人根据国家有关规定、磋商文件、</w:t>
            </w:r>
            <w:r>
              <w:rPr>
                <w:rFonts w:hint="eastAsia" w:ascii="仿宋" w:hAnsi="仿宋" w:eastAsia="仿宋" w:cs="宋体"/>
                <w:spacing w:val="14"/>
                <w:kern w:val="0"/>
                <w:sz w:val="24"/>
                <w:szCs w:val="24"/>
                <w:lang w:val="en-US" w:eastAsia="zh-CN"/>
              </w:rPr>
              <w:t>成交供应商的响应文件</w:t>
            </w:r>
            <w:r>
              <w:rPr>
                <w:rFonts w:hint="eastAsia" w:ascii="仿宋" w:hAnsi="仿宋" w:eastAsia="仿宋" w:cs="宋体"/>
                <w:spacing w:val="14"/>
                <w:kern w:val="0"/>
                <w:sz w:val="24"/>
                <w:szCs w:val="24"/>
              </w:rPr>
              <w:t xml:space="preserve">以及合同约定的内容和验收标准进行验收。验收情况作为支付价款的依据。 </w:t>
            </w:r>
          </w:p>
        </w:tc>
      </w:tr>
      <w:tr w14:paraId="4D6F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5B1DF01">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1.3.5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F48DC43">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质保期</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5FBBD38">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质保期：</w:t>
            </w:r>
            <w:r>
              <w:rPr>
                <w:rFonts w:hint="eastAsia" w:ascii="仿宋" w:hAnsi="仿宋" w:eastAsia="仿宋" w:cs="宋体"/>
                <w:spacing w:val="14"/>
                <w:kern w:val="0"/>
                <w:sz w:val="24"/>
                <w:szCs w:val="24"/>
                <w:highlight w:val="none"/>
                <w:lang w:val="en-US" w:eastAsia="zh-CN"/>
              </w:rPr>
              <w:t>1</w:t>
            </w:r>
            <w:r>
              <w:rPr>
                <w:rFonts w:hint="eastAsia" w:ascii="仿宋" w:hAnsi="仿宋" w:eastAsia="仿宋" w:cs="宋体"/>
                <w:spacing w:val="14"/>
                <w:kern w:val="0"/>
                <w:sz w:val="24"/>
                <w:szCs w:val="24"/>
                <w:highlight w:val="none"/>
              </w:rPr>
              <w:t>年</w:t>
            </w:r>
          </w:p>
        </w:tc>
      </w:tr>
      <w:tr w14:paraId="1655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5FA4835">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1.3.6</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E262A42">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售后服务</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6228FC0">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lang w:val="en-US" w:eastAsia="zh-CN"/>
              </w:rPr>
              <w:t>1、</w:t>
            </w:r>
            <w:r>
              <w:rPr>
                <w:rFonts w:hint="eastAsia" w:ascii="仿宋" w:hAnsi="仿宋" w:eastAsia="仿宋" w:cs="仿宋"/>
                <w:b w:val="0"/>
                <w:bCs w:val="0"/>
                <w:snapToGrid w:val="0"/>
                <w:color w:val="000000"/>
                <w:kern w:val="0"/>
                <w:sz w:val="24"/>
                <w:szCs w:val="24"/>
                <w:highlight w:val="none"/>
              </w:rPr>
              <w:t>质保期内（以本项目验收合格之日算起）应当为采购人提供以下技术支持和服务：</w:t>
            </w:r>
          </w:p>
          <w:p w14:paraId="7609C8DC">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（1）电话咨询。成交人应当为采购人提供技术援助电话，解答采购人在使用中遇到的问题，及时为采购人提出解决问题的建议和办法。</w:t>
            </w:r>
          </w:p>
          <w:p w14:paraId="70585C51">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（2）现场响应。采购人遇到使用及技术问题，电话咨询不能解决的，成交人售后应在24小时内到达现场进行处理，确保设备系统正常工作。</w:t>
            </w:r>
          </w:p>
          <w:p w14:paraId="3F3E1C5D">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（3）供应商应当定期对所供设备系统运行情况进行检测，消除故障隐患，以保证设备的正常运行。</w:t>
            </w:r>
          </w:p>
          <w:p w14:paraId="4BEB551D">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（4）技术升级。在质保期内，如果制造商的产品技术升级，供应商应及时通知采购人，如采购人有相应要求，供应商和制造商应对采购人购买的产品进行免费升级服务或优惠价格的有偿升级服务。</w:t>
            </w:r>
          </w:p>
          <w:p w14:paraId="77F31A3F">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lang w:val="en-US" w:eastAsia="zh-CN"/>
              </w:rPr>
              <w:t>2</w:t>
            </w:r>
            <w:r>
              <w:rPr>
                <w:rFonts w:hint="eastAsia" w:ascii="仿宋" w:hAnsi="仿宋" w:eastAsia="仿宋" w:cs="仿宋"/>
                <w:b w:val="0"/>
                <w:bCs w:val="0"/>
                <w:snapToGrid w:val="0"/>
                <w:color w:val="000000"/>
                <w:kern w:val="0"/>
                <w:sz w:val="24"/>
                <w:szCs w:val="24"/>
                <w:highlight w:val="none"/>
              </w:rPr>
              <w:t>、质保期后应当为采购人提供以下技术支持和服务：</w:t>
            </w:r>
          </w:p>
          <w:p w14:paraId="6C7866CE">
            <w:pPr>
              <w:widowControl/>
              <w:spacing w:line="240" w:lineRule="auto"/>
              <w:ind w:firstLine="0"/>
              <w:rPr>
                <w:rFonts w:hint="eastAsia" w:ascii="仿宋" w:hAnsi="仿宋" w:eastAsia="仿宋" w:cs="仿宋"/>
                <w:b w:val="0"/>
                <w:bCs w:val="0"/>
                <w:snapToGrid w:val="0"/>
                <w:color w:val="000000"/>
                <w:kern w:val="0"/>
                <w:sz w:val="24"/>
                <w:szCs w:val="24"/>
                <w:highlight w:val="none"/>
              </w:rPr>
            </w:pPr>
            <w:r>
              <w:rPr>
                <w:rFonts w:hint="eastAsia" w:ascii="仿宋" w:hAnsi="仿宋" w:eastAsia="仿宋" w:cs="仿宋"/>
                <w:b w:val="0"/>
                <w:bCs w:val="0"/>
                <w:snapToGrid w:val="0"/>
                <w:color w:val="000000"/>
                <w:kern w:val="0"/>
                <w:sz w:val="24"/>
                <w:szCs w:val="24"/>
                <w:highlight w:val="none"/>
              </w:rPr>
              <w:t>（1）应同样提供免费电话咨询服务，并以优惠价格应提供产品上门维护服务。</w:t>
            </w:r>
          </w:p>
          <w:p w14:paraId="0C5176CC">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仿宋"/>
                <w:b w:val="0"/>
                <w:bCs w:val="0"/>
                <w:snapToGrid w:val="0"/>
                <w:color w:val="000000"/>
                <w:kern w:val="0"/>
                <w:sz w:val="24"/>
                <w:szCs w:val="24"/>
                <w:highlight w:val="none"/>
              </w:rPr>
              <w:t>（2）应以优惠价格继续提供售后服务。</w:t>
            </w:r>
          </w:p>
        </w:tc>
      </w:tr>
      <w:tr w14:paraId="26B4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B8AAF7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1.4.1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4CBBB8A">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供应商资格要求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9A3263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见第一章采购公告</w:t>
            </w:r>
          </w:p>
        </w:tc>
      </w:tr>
      <w:tr w14:paraId="1D8A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B578B1D">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1.4.2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371F457">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是否接受联合体</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24A0BE64">
            <w:pPr>
              <w:widowControl/>
              <w:ind w:firstLine="0"/>
              <w:jc w:val="left"/>
              <w:rPr>
                <w:rFonts w:ascii="仿宋" w:hAnsi="仿宋" w:eastAsia="仿宋" w:cs="宋体"/>
                <w:spacing w:val="14"/>
                <w:kern w:val="0"/>
                <w:sz w:val="24"/>
                <w:szCs w:val="24"/>
                <w:u w:val="single" w:color="000000"/>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不接受</w:t>
            </w:r>
          </w:p>
        </w:tc>
      </w:tr>
      <w:tr w14:paraId="6320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E7451B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1.4.3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AEC5614">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供应商不得存在的其他情形</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E66309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7F9B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9E2584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1.9.1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BC8D297">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磋商预备会</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1C79FFA">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不召开</w:t>
            </w:r>
          </w:p>
        </w:tc>
      </w:tr>
      <w:tr w14:paraId="647F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8F13792">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1.9.2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93C3BFC">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在磋商预备会前提出问题</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538475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时间：/</w:t>
            </w:r>
          </w:p>
          <w:p w14:paraId="5EBC807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形式：/</w:t>
            </w:r>
          </w:p>
        </w:tc>
      </w:tr>
      <w:tr w14:paraId="73B0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2E67A89">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1.10.1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7A088E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分包</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CBEEEFC">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不允许</w:t>
            </w:r>
          </w:p>
        </w:tc>
      </w:tr>
      <w:tr w14:paraId="2AB9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92AE235">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961BFFD">
            <w:pPr>
              <w:widowControl/>
              <w:ind w:firstLine="0"/>
              <w:jc w:val="left"/>
              <w:rPr>
                <w:rFonts w:ascii="仿宋" w:hAnsi="仿宋" w:eastAsia="仿宋" w:cs="宋体"/>
                <w:b/>
                <w:spacing w:val="14"/>
                <w:kern w:val="0"/>
                <w:sz w:val="24"/>
                <w:szCs w:val="24"/>
              </w:rPr>
            </w:pPr>
            <w:r>
              <w:rPr>
                <w:rFonts w:hint="eastAsia" w:ascii="仿宋" w:hAnsi="仿宋" w:eastAsia="仿宋" w:cs="宋体"/>
                <w:b/>
                <w:spacing w:val="14"/>
                <w:kern w:val="0"/>
                <w:sz w:val="24"/>
                <w:szCs w:val="24"/>
              </w:rPr>
              <w:t>实质性要求和条件</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E9E55B4">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合同履行期限（交货期）；</w:t>
            </w:r>
          </w:p>
          <w:p w14:paraId="661C8694">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 xml:space="preserve">付款方式； </w:t>
            </w:r>
          </w:p>
          <w:p w14:paraId="32029711">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 xml:space="preserve">质量要求； </w:t>
            </w:r>
          </w:p>
          <w:p w14:paraId="7A7D0E5B">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质保期：</w:t>
            </w:r>
          </w:p>
          <w:p w14:paraId="3CF90C9D">
            <w:pPr>
              <w:widowControl/>
              <w:ind w:firstLine="0"/>
              <w:jc w:val="left"/>
              <w:rPr>
                <w:rFonts w:hint="eastAsia" w:ascii="仿宋" w:hAnsi="仿宋" w:eastAsia="仿宋" w:cs="宋体"/>
                <w:b/>
                <w:spacing w:val="14"/>
                <w:kern w:val="0"/>
                <w:sz w:val="24"/>
                <w:szCs w:val="24"/>
                <w:lang w:eastAsia="zh-CN"/>
              </w:rPr>
            </w:pPr>
            <w:r>
              <w:rPr>
                <w:rFonts w:hint="eastAsia" w:ascii="仿宋" w:hAnsi="仿宋" w:eastAsia="仿宋" w:cs="宋体"/>
                <w:b/>
                <w:spacing w:val="14"/>
                <w:kern w:val="0"/>
                <w:sz w:val="24"/>
                <w:szCs w:val="24"/>
              </w:rPr>
              <w:t>售后服务</w:t>
            </w:r>
            <w:r>
              <w:rPr>
                <w:rFonts w:hint="eastAsia" w:ascii="仿宋" w:hAnsi="仿宋" w:eastAsia="仿宋" w:cs="宋体"/>
                <w:b/>
                <w:spacing w:val="14"/>
                <w:kern w:val="0"/>
                <w:sz w:val="24"/>
                <w:szCs w:val="24"/>
                <w:lang w:eastAsia="zh-CN"/>
              </w:rPr>
              <w:t>：</w:t>
            </w:r>
          </w:p>
          <w:p w14:paraId="06A4131E">
            <w:pPr>
              <w:widowControl/>
              <w:ind w:firstLine="0"/>
              <w:jc w:val="left"/>
              <w:rPr>
                <w:rFonts w:hint="eastAsia" w:ascii="仿宋" w:hAnsi="仿宋" w:eastAsia="仿宋" w:cs="宋体"/>
                <w:b/>
                <w:spacing w:val="14"/>
                <w:kern w:val="0"/>
                <w:sz w:val="24"/>
                <w:szCs w:val="24"/>
              </w:rPr>
            </w:pPr>
            <w:r>
              <w:rPr>
                <w:rFonts w:hint="eastAsia" w:ascii="仿宋" w:hAnsi="仿宋" w:eastAsia="仿宋" w:cs="宋体"/>
                <w:b/>
                <w:spacing w:val="14"/>
                <w:kern w:val="0"/>
                <w:sz w:val="24"/>
                <w:szCs w:val="24"/>
              </w:rPr>
              <w:t>交货地点；</w:t>
            </w:r>
          </w:p>
          <w:p w14:paraId="7D3EA811">
            <w:pPr>
              <w:widowControl/>
              <w:ind w:firstLine="0"/>
              <w:jc w:val="left"/>
              <w:rPr>
                <w:rFonts w:ascii="仿宋" w:hAnsi="仿宋" w:eastAsia="仿宋" w:cs="宋体"/>
                <w:b/>
                <w:spacing w:val="14"/>
                <w:kern w:val="0"/>
                <w:sz w:val="24"/>
                <w:szCs w:val="24"/>
              </w:rPr>
            </w:pPr>
            <w:r>
              <w:rPr>
                <w:rFonts w:hint="eastAsia" w:ascii="仿宋" w:hAnsi="仿宋" w:eastAsia="仿宋" w:cs="宋体"/>
                <w:b/>
                <w:spacing w:val="14"/>
                <w:kern w:val="0"/>
                <w:sz w:val="24"/>
                <w:szCs w:val="24"/>
              </w:rPr>
              <w:t>其他：/</w:t>
            </w:r>
          </w:p>
        </w:tc>
      </w:tr>
      <w:tr w14:paraId="0A8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D514F01">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1.11.3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2BC2017">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其他可以被接受的技术支持资料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A83356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4D8A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C1CE39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1.11.4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49AC50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偏差</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091D62C">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允许</w:t>
            </w:r>
          </w:p>
        </w:tc>
      </w:tr>
      <w:tr w14:paraId="42E1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D5CC3B1">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B8F535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构成磋商文件的其他资料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64B6623E">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37FC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4E215A5">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2.2.1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8B1838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供应商提出问题或要求澄清磋商文件的截止时间</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878BAE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提交响应文件截止时间5日前，由供应商的被授权人提交书面材料（盖供应商公章）。</w:t>
            </w:r>
          </w:p>
          <w:p w14:paraId="55CB4CD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在提交响应文件截止时间前5日内，采购人、采购代理机构不再受理供应商提出的问题。</w:t>
            </w:r>
          </w:p>
        </w:tc>
      </w:tr>
      <w:tr w14:paraId="114E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063AB3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2.2.2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52A3CC3">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磋商文件澄清、修改发出的形式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A7BAEC8">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磋商文件的澄清、修改将在《中国招标投标公共服务平台》、</w:t>
            </w:r>
            <w:r>
              <w:rPr>
                <w:rFonts w:hint="eastAsia" w:ascii="仿宋" w:hAnsi="仿宋" w:eastAsia="仿宋" w:cs="宋体"/>
                <w:kern w:val="0"/>
                <w:sz w:val="24"/>
                <w:szCs w:val="24"/>
              </w:rPr>
              <w:t>《</w:t>
            </w:r>
            <w:r>
              <w:rPr>
                <w:rFonts w:hint="eastAsia" w:ascii="仿宋" w:hAnsi="仿宋" w:eastAsia="仿宋" w:cs="仿宋"/>
                <w:kern w:val="0"/>
                <w:sz w:val="24"/>
                <w:szCs w:val="24"/>
              </w:rPr>
              <w:t>河南省政府采购网</w:t>
            </w:r>
            <w:r>
              <w:rPr>
                <w:rFonts w:hint="eastAsia" w:ascii="仿宋" w:hAnsi="仿宋" w:eastAsia="仿宋" w:cs="宋体"/>
                <w:kern w:val="0"/>
                <w:sz w:val="24"/>
                <w:szCs w:val="24"/>
              </w:rPr>
              <w:t>》、《洛阳市公共资源交易中心网》</w:t>
            </w:r>
            <w:r>
              <w:rPr>
                <w:rFonts w:hint="eastAsia" w:ascii="仿宋" w:hAnsi="仿宋" w:eastAsia="仿宋" w:cs="宋体"/>
                <w:spacing w:val="14"/>
                <w:kern w:val="0"/>
                <w:sz w:val="24"/>
                <w:szCs w:val="24"/>
              </w:rPr>
              <w:t>网站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07A3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8706E9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E32163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构成响应文件的其他资料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0C89F640">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w:t>
            </w:r>
          </w:p>
        </w:tc>
      </w:tr>
      <w:tr w14:paraId="7FCC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7015A5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7A5184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报价方式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2E156E80">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总价</w:t>
            </w:r>
          </w:p>
        </w:tc>
      </w:tr>
      <w:tr w14:paraId="0C52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3A592F0">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3.2.4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2B1ACB7">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预算控制金额</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FB06351">
            <w:pPr>
              <w:widowControl/>
              <w:ind w:firstLine="0"/>
              <w:jc w:val="left"/>
              <w:rPr>
                <w:rFonts w:hint="eastAsia"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预算控制金额</w:t>
            </w:r>
            <w:r>
              <w:rPr>
                <w:rFonts w:hint="eastAsia" w:ascii="仿宋" w:hAnsi="仿宋" w:eastAsia="仿宋" w:cs="宋体"/>
                <w:color w:val="auto"/>
                <w:sz w:val="24"/>
                <w:szCs w:val="24"/>
                <w:highlight w:val="none"/>
                <w:lang w:val="en-US" w:eastAsia="zh-CN"/>
              </w:rPr>
              <w:t>1815453.00</w:t>
            </w:r>
            <w:r>
              <w:rPr>
                <w:rFonts w:hint="eastAsia" w:ascii="仿宋" w:hAnsi="仿宋" w:eastAsia="仿宋" w:cs="宋体"/>
                <w:color w:val="auto"/>
                <w:spacing w:val="0"/>
                <w:sz w:val="24"/>
                <w:szCs w:val="24"/>
                <w:highlight w:val="none"/>
              </w:rPr>
              <w:t>元</w:t>
            </w:r>
          </w:p>
          <w:p w14:paraId="4C5A5337">
            <w:pPr>
              <w:widowControl/>
              <w:ind w:firstLine="0"/>
              <w:jc w:val="left"/>
              <w:rPr>
                <w:rFonts w:ascii="仿宋" w:hAnsi="仿宋" w:eastAsia="仿宋" w:cs="宋体"/>
                <w:spacing w:val="14"/>
                <w:kern w:val="0"/>
                <w:sz w:val="24"/>
                <w:szCs w:val="24"/>
                <w:highlight w:val="none"/>
              </w:rPr>
            </w:pPr>
            <w:r>
              <w:rPr>
                <w:rFonts w:hint="eastAsia" w:ascii="仿宋" w:hAnsi="仿宋" w:eastAsia="仿宋" w:cs="宋体"/>
                <w:spacing w:val="14"/>
                <w:kern w:val="0"/>
                <w:sz w:val="24"/>
                <w:szCs w:val="24"/>
                <w:highlight w:val="none"/>
              </w:rPr>
              <w:t>供应商的磋商报价超过控制金额的，其响应将被否决。</w:t>
            </w:r>
          </w:p>
        </w:tc>
      </w:tr>
      <w:tr w14:paraId="6695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31C1FE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3.2.5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31C83BF">
            <w:pPr>
              <w:jc w:val="left"/>
              <w:rPr>
                <w:rFonts w:ascii="仿宋" w:hAnsi="仿宋" w:eastAsia="仿宋" w:cs="宋体"/>
                <w:spacing w:val="14"/>
                <w:sz w:val="24"/>
                <w:szCs w:val="24"/>
              </w:rPr>
            </w:pPr>
            <w:r>
              <w:rPr>
                <w:rFonts w:hint="eastAsia" w:ascii="仿宋" w:hAnsi="仿宋" w:eastAsia="仿宋" w:cs="宋体"/>
                <w:spacing w:val="14"/>
                <w:sz w:val="24"/>
                <w:szCs w:val="24"/>
              </w:rPr>
              <w:t>报价的其他要求</w:t>
            </w:r>
          </w:p>
        </w:tc>
        <w:tc>
          <w:tcPr>
            <w:tcW w:w="5399" w:type="dxa"/>
            <w:tcBorders>
              <w:top w:val="single" w:color="auto" w:sz="4" w:space="0"/>
              <w:left w:val="single" w:color="auto" w:sz="4" w:space="0"/>
              <w:bottom w:val="single" w:color="auto" w:sz="4" w:space="0"/>
              <w:right w:val="single" w:color="auto" w:sz="4" w:space="0"/>
            </w:tcBorders>
            <w:noWrap w:val="0"/>
            <w:vAlign w:val="top"/>
          </w:tcPr>
          <w:p w14:paraId="33711388">
            <w:pPr>
              <w:widowControl/>
              <w:numPr>
                <w:ilvl w:val="0"/>
                <w:numId w:val="1"/>
              </w:numPr>
              <w:ind w:firstLine="0"/>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符合要求的供应商在规定的时间提交最终报价。（即二次报价）</w:t>
            </w:r>
          </w:p>
          <w:p w14:paraId="724DDC2C">
            <w:pPr>
              <w:widowControl/>
              <w:numPr>
                <w:ilvl w:val="0"/>
                <w:numId w:val="1"/>
              </w:numPr>
              <w:ind w:firstLine="0"/>
              <w:rPr>
                <w:rFonts w:ascii="仿宋" w:hAnsi="仿宋" w:eastAsia="仿宋" w:cs="宋体"/>
                <w:spacing w:val="14"/>
                <w:sz w:val="24"/>
                <w:szCs w:val="24"/>
              </w:rPr>
            </w:pPr>
            <w:r>
              <w:rPr>
                <w:rFonts w:hint="eastAsia" w:ascii="仿宋" w:hAnsi="仿宋" w:eastAsia="仿宋" w:cs="宋体"/>
                <w:spacing w:val="14"/>
                <w:sz w:val="24"/>
                <w:szCs w:val="24"/>
              </w:rPr>
              <w:t>投标报价</w:t>
            </w:r>
            <w:r>
              <w:rPr>
                <w:rFonts w:hint="eastAsia" w:ascii="仿宋" w:hAnsi="仿宋" w:eastAsia="仿宋" w:cs="宋体"/>
                <w:spacing w:val="14"/>
                <w:kern w:val="0"/>
                <w:sz w:val="24"/>
                <w:szCs w:val="24"/>
              </w:rPr>
              <w:t>是履行合同的最终报价，无特别注明，均为人民币报价</w:t>
            </w:r>
            <w:r>
              <w:rPr>
                <w:rFonts w:hint="eastAsia" w:ascii="仿宋" w:hAnsi="仿宋" w:eastAsia="仿宋" w:cs="宋体"/>
                <w:spacing w:val="14"/>
                <w:kern w:val="0"/>
                <w:sz w:val="24"/>
                <w:szCs w:val="24"/>
                <w:lang w:eastAsia="zh-CN"/>
              </w:rPr>
              <w:t>。</w:t>
            </w:r>
            <w:r>
              <w:rPr>
                <w:rFonts w:hint="eastAsia" w:ascii="仿宋" w:hAnsi="仿宋" w:eastAsia="仿宋" w:cs="宋体"/>
                <w:spacing w:val="14"/>
                <w:sz w:val="24"/>
                <w:szCs w:val="24"/>
              </w:rPr>
              <w:t>应包括本采购项目所包含的货物、软件、标准附件、备品备件、专用工具、图纸资料、技术服务，包装、仓储、运输、装卸、保险、税金，货到就位以及安装、调试、培训、保修等一切税金和费用。</w:t>
            </w:r>
          </w:p>
        </w:tc>
      </w:tr>
      <w:tr w14:paraId="2A15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BFB61AA">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3.3.1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41C77D7">
            <w:pPr>
              <w:jc w:val="left"/>
              <w:rPr>
                <w:rFonts w:ascii="仿宋" w:hAnsi="仿宋" w:eastAsia="仿宋" w:cs="宋体"/>
                <w:spacing w:val="14"/>
                <w:sz w:val="24"/>
                <w:szCs w:val="24"/>
              </w:rPr>
            </w:pPr>
            <w:r>
              <w:rPr>
                <w:rFonts w:hint="eastAsia" w:ascii="仿宋" w:hAnsi="仿宋" w:eastAsia="仿宋" w:cs="宋体"/>
                <w:spacing w:val="14"/>
                <w:sz w:val="24"/>
                <w:szCs w:val="24"/>
              </w:rPr>
              <w:t>响应文件有效期</w:t>
            </w:r>
          </w:p>
        </w:tc>
        <w:tc>
          <w:tcPr>
            <w:tcW w:w="5399" w:type="dxa"/>
            <w:tcBorders>
              <w:top w:val="single" w:color="auto" w:sz="4" w:space="0"/>
              <w:left w:val="single" w:color="auto" w:sz="4" w:space="0"/>
              <w:bottom w:val="single" w:color="auto" w:sz="4" w:space="0"/>
              <w:right w:val="single" w:color="auto" w:sz="4" w:space="0"/>
            </w:tcBorders>
            <w:noWrap w:val="0"/>
            <w:vAlign w:val="top"/>
          </w:tcPr>
          <w:p w14:paraId="6C7FA824">
            <w:pPr>
              <w:jc w:val="left"/>
              <w:rPr>
                <w:rFonts w:ascii="仿宋" w:hAnsi="仿宋" w:eastAsia="仿宋" w:cs="宋体"/>
                <w:spacing w:val="14"/>
                <w:sz w:val="24"/>
                <w:szCs w:val="24"/>
              </w:rPr>
            </w:pPr>
            <w:r>
              <w:rPr>
                <w:rFonts w:hint="eastAsia" w:ascii="仿宋" w:hAnsi="仿宋" w:eastAsia="仿宋" w:cs="宋体"/>
                <w:spacing w:val="14"/>
                <w:sz w:val="24"/>
                <w:szCs w:val="24"/>
              </w:rPr>
              <w:t>提交响应文件截止时间后90天，有效期短于该期限的响应将被拒绝。</w:t>
            </w:r>
          </w:p>
        </w:tc>
      </w:tr>
      <w:tr w14:paraId="17EE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38F850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3.4</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3994F2A">
            <w:pPr>
              <w:jc w:val="left"/>
              <w:rPr>
                <w:rFonts w:ascii="仿宋" w:hAnsi="仿宋" w:eastAsia="仿宋" w:cs="宋体"/>
                <w:spacing w:val="14"/>
                <w:sz w:val="24"/>
                <w:szCs w:val="24"/>
              </w:rPr>
            </w:pPr>
            <w:r>
              <w:rPr>
                <w:rFonts w:hint="eastAsia" w:ascii="仿宋" w:hAnsi="仿宋" w:eastAsia="仿宋" w:cs="宋体"/>
                <w:spacing w:val="14"/>
                <w:sz w:val="24"/>
                <w:szCs w:val="24"/>
              </w:rPr>
              <w:t>磋商保证金</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FBFB294">
            <w:pPr>
              <w:jc w:val="left"/>
              <w:rPr>
                <w:rFonts w:ascii="仿宋" w:hAnsi="仿宋" w:eastAsia="仿宋" w:cs="宋体"/>
                <w:spacing w:val="14"/>
                <w:sz w:val="24"/>
                <w:szCs w:val="24"/>
              </w:rPr>
            </w:pPr>
            <w:r>
              <w:rPr>
                <w:rFonts w:hint="eastAsia" w:ascii="仿宋" w:hAnsi="仿宋" w:eastAsia="仿宋" w:cs="宋体"/>
                <w:spacing w:val="14"/>
                <w:sz w:val="24"/>
                <w:szCs w:val="24"/>
              </w:rPr>
              <w:t>本次采购免收磋商保证金。</w:t>
            </w:r>
          </w:p>
        </w:tc>
      </w:tr>
      <w:tr w14:paraId="6407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56FAC8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3.5.3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8CB7603">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资格审查资料的特殊要求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18B6949B">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无</w:t>
            </w:r>
          </w:p>
          <w:p w14:paraId="6784EE7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□有，具体要求：/</w:t>
            </w:r>
          </w:p>
        </w:tc>
      </w:tr>
      <w:tr w14:paraId="7281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AE4E8F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3.6.1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A891002">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是否允许提交备选方案</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19FA72F">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不允许</w:t>
            </w:r>
          </w:p>
          <w:p w14:paraId="0F3F1AE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□允许</w:t>
            </w:r>
          </w:p>
        </w:tc>
      </w:tr>
      <w:tr w14:paraId="0B4D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B2E9586">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0835C0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提交响应文件截止时间</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67D824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见第一章采购公告。</w:t>
            </w:r>
          </w:p>
        </w:tc>
      </w:tr>
      <w:tr w14:paraId="207E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CDDE551">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0B6EB2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提交响应文件地点</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D9684CD">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见第一章采购公告。</w:t>
            </w:r>
          </w:p>
        </w:tc>
      </w:tr>
      <w:tr w14:paraId="7087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F53117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9419FA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响应文件份数及其他要求</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7B5B62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加密的电子响应文件一份（*.lytf 格式）</w:t>
            </w:r>
          </w:p>
        </w:tc>
      </w:tr>
      <w:tr w14:paraId="63B2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693E08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4.2.5</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E7DE056">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响应文件上传问题联系方式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4F484052">
            <w:pPr>
              <w:widowControl/>
              <w:ind w:firstLine="0"/>
              <w:jc w:val="left"/>
              <w:rPr>
                <w:rFonts w:ascii="仿宋" w:hAnsi="仿宋" w:eastAsia="仿宋" w:cs="宋体"/>
                <w:kern w:val="0"/>
                <w:sz w:val="24"/>
                <w:szCs w:val="24"/>
              </w:rPr>
            </w:pPr>
            <w:r>
              <w:rPr>
                <w:rFonts w:hint="eastAsia" w:ascii="仿宋" w:hAnsi="仿宋" w:eastAsia="仿宋" w:cs="宋体"/>
                <w:spacing w:val="14"/>
                <w:kern w:val="0"/>
                <w:sz w:val="24"/>
                <w:szCs w:val="24"/>
              </w:rPr>
              <w:t>供应商因洛阳市电子招投标交易平台问题无法上传电子响应文件时，请在工作时间与交易中心联系。联系方式：400-998-0000；0379-69921055。</w:t>
            </w:r>
          </w:p>
        </w:tc>
      </w:tr>
      <w:tr w14:paraId="0323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39E1DD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4.2.6</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760C3E4">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响应文件是否退还</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6A82492">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不退还。</w:t>
            </w:r>
          </w:p>
        </w:tc>
      </w:tr>
      <w:tr w14:paraId="777C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1774FCB">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5.1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3151D40">
            <w:pPr>
              <w:jc w:val="left"/>
              <w:rPr>
                <w:rFonts w:ascii="仿宋" w:hAnsi="仿宋" w:eastAsia="仿宋" w:cs="宋体"/>
                <w:spacing w:val="14"/>
                <w:sz w:val="24"/>
                <w:szCs w:val="24"/>
              </w:rPr>
            </w:pPr>
            <w:r>
              <w:rPr>
                <w:rFonts w:hint="eastAsia" w:ascii="仿宋" w:hAnsi="仿宋" w:eastAsia="仿宋" w:cs="宋体"/>
                <w:spacing w:val="14"/>
                <w:sz w:val="24"/>
                <w:szCs w:val="24"/>
              </w:rPr>
              <w:t>磋商开启时间和地点</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0175E997">
            <w:pPr>
              <w:jc w:val="left"/>
              <w:rPr>
                <w:rFonts w:ascii="仿宋" w:hAnsi="仿宋" w:eastAsia="仿宋" w:cs="宋体"/>
                <w:spacing w:val="14"/>
                <w:sz w:val="24"/>
                <w:szCs w:val="24"/>
              </w:rPr>
            </w:pPr>
            <w:r>
              <w:rPr>
                <w:rFonts w:hint="eastAsia" w:ascii="仿宋" w:hAnsi="仿宋" w:eastAsia="仿宋" w:cs="宋体"/>
                <w:spacing w:val="14"/>
                <w:sz w:val="24"/>
                <w:szCs w:val="24"/>
              </w:rPr>
              <w:t>开启时间：同提交响应文件截止时间</w:t>
            </w:r>
          </w:p>
          <w:p w14:paraId="3FC5A725">
            <w:pPr>
              <w:jc w:val="left"/>
              <w:rPr>
                <w:rFonts w:ascii="仿宋" w:hAnsi="仿宋" w:eastAsia="仿宋" w:cs="宋体"/>
                <w:spacing w:val="14"/>
                <w:sz w:val="24"/>
                <w:szCs w:val="24"/>
              </w:rPr>
            </w:pPr>
            <w:r>
              <w:rPr>
                <w:rFonts w:hint="eastAsia" w:ascii="仿宋" w:hAnsi="仿宋" w:eastAsia="仿宋" w:cs="宋体"/>
                <w:spacing w:val="14"/>
                <w:sz w:val="24"/>
                <w:szCs w:val="24"/>
              </w:rPr>
              <w:t>开启地点：同提交响应文件地点</w:t>
            </w:r>
          </w:p>
        </w:tc>
      </w:tr>
      <w:tr w14:paraId="61BB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74E1A0E">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6.1.1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F25C019">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磋商小组的组建</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4841557">
            <w:pPr>
              <w:jc w:val="left"/>
              <w:rPr>
                <w:rFonts w:ascii="仿宋" w:hAnsi="仿宋" w:eastAsia="仿宋" w:cs="宋体"/>
                <w:spacing w:val="14"/>
                <w:sz w:val="24"/>
                <w:szCs w:val="24"/>
              </w:rPr>
            </w:pPr>
            <w:r>
              <w:rPr>
                <w:rFonts w:hint="eastAsia" w:ascii="仿宋" w:hAnsi="仿宋" w:eastAsia="仿宋" w:cs="宋体"/>
                <w:spacing w:val="14"/>
                <w:sz w:val="24"/>
                <w:szCs w:val="24"/>
              </w:rPr>
              <w:t>磋商小组构成：共3人，其中采购人代表1人，经济、技术专家2人。</w:t>
            </w:r>
          </w:p>
          <w:p w14:paraId="57043851">
            <w:pPr>
              <w:jc w:val="left"/>
              <w:rPr>
                <w:rFonts w:ascii="仿宋" w:hAnsi="仿宋" w:eastAsia="仿宋" w:cs="宋体"/>
                <w:spacing w:val="14"/>
                <w:sz w:val="24"/>
                <w:szCs w:val="24"/>
              </w:rPr>
            </w:pPr>
            <w:r>
              <w:rPr>
                <w:rFonts w:hint="eastAsia" w:ascii="仿宋" w:hAnsi="仿宋" w:eastAsia="仿宋" w:cs="宋体"/>
                <w:spacing w:val="14"/>
                <w:sz w:val="24"/>
                <w:szCs w:val="24"/>
              </w:rPr>
              <w:t>评标专家确定方式：河南省政府采购评审专家库随机抽取。</w:t>
            </w:r>
          </w:p>
        </w:tc>
      </w:tr>
      <w:tr w14:paraId="7CD1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2C576AE">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6.3.2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AE8487B">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磋商小组推荐成交候选人的人数</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62874FAF">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u w:val="single" w:color="000000"/>
              </w:rPr>
              <w:t xml:space="preserve"> 3 </w:t>
            </w:r>
            <w:r>
              <w:rPr>
                <w:rFonts w:hint="eastAsia" w:ascii="仿宋" w:hAnsi="仿宋" w:eastAsia="仿宋" w:cs="宋体"/>
                <w:spacing w:val="14"/>
                <w:kern w:val="0"/>
                <w:sz w:val="24"/>
                <w:szCs w:val="24"/>
              </w:rPr>
              <w:t>名</w:t>
            </w:r>
          </w:p>
        </w:tc>
      </w:tr>
      <w:tr w14:paraId="2E7E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604B6A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7.1.1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BA7665A">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是否授权磋商小组确定成交供应商</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3E992772">
            <w:pPr>
              <w:widowControl/>
              <w:ind w:firstLine="0"/>
              <w:jc w:val="left"/>
              <w:rPr>
                <w:rFonts w:ascii="仿宋" w:hAnsi="仿宋" w:eastAsia="仿宋" w:cs="宋体"/>
                <w:spacing w:val="14"/>
                <w:kern w:val="0"/>
                <w:sz w:val="24"/>
                <w:szCs w:val="24"/>
              </w:rPr>
            </w:pPr>
            <w:r>
              <w:rPr>
                <w:rFonts w:hint="eastAsia" w:ascii="MS Mincho" w:hAnsi="MS Mincho" w:eastAsia="MS Mincho" w:cs="MS Mincho"/>
                <w:spacing w:val="14"/>
                <w:kern w:val="0"/>
                <w:sz w:val="24"/>
                <w:szCs w:val="24"/>
              </w:rPr>
              <w:t>☑</w:t>
            </w:r>
            <w:r>
              <w:rPr>
                <w:rFonts w:hint="eastAsia" w:ascii="仿宋" w:hAnsi="仿宋" w:eastAsia="仿宋" w:cs="宋体"/>
                <w:spacing w:val="14"/>
                <w:kern w:val="0"/>
                <w:sz w:val="24"/>
                <w:szCs w:val="24"/>
              </w:rPr>
              <w:t>是</w:t>
            </w:r>
          </w:p>
          <w:p w14:paraId="19E3644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□否</w:t>
            </w:r>
          </w:p>
        </w:tc>
      </w:tr>
      <w:tr w14:paraId="5852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3"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596A0C8">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7.1.2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EDFE522">
            <w:pPr>
              <w:jc w:val="left"/>
              <w:rPr>
                <w:rFonts w:ascii="仿宋" w:hAnsi="仿宋" w:eastAsia="仿宋" w:cs="宋体"/>
                <w:spacing w:val="14"/>
                <w:sz w:val="24"/>
                <w:szCs w:val="24"/>
                <w:highlight w:val="none"/>
              </w:rPr>
            </w:pPr>
            <w:r>
              <w:rPr>
                <w:rFonts w:hint="eastAsia" w:ascii="仿宋" w:hAnsi="仿宋" w:eastAsia="仿宋" w:cs="宋体"/>
                <w:spacing w:val="14"/>
                <w:sz w:val="24"/>
                <w:szCs w:val="24"/>
                <w:highlight w:val="none"/>
              </w:rPr>
              <w:t>确定成交的原则</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C10F5D0">
            <w:pPr>
              <w:jc w:val="left"/>
              <w:rPr>
                <w:rFonts w:hint="eastAsia" w:ascii="仿宋" w:hAnsi="仿宋" w:eastAsia="仿宋" w:cs="宋体"/>
                <w:spacing w:val="14"/>
                <w:sz w:val="24"/>
                <w:szCs w:val="24"/>
                <w:highlight w:val="none"/>
              </w:rPr>
            </w:pPr>
            <w:r>
              <w:rPr>
                <w:rFonts w:hint="eastAsia" w:ascii="仿宋" w:hAnsi="仿宋" w:eastAsia="仿宋" w:cs="宋体"/>
                <w:spacing w:val="14"/>
                <w:sz w:val="24"/>
                <w:szCs w:val="24"/>
                <w:highlight w:val="none"/>
              </w:rPr>
              <w:t>磋商小组根据评审排列顺序确定第一名、第二名、第三名为成交候选人，并确定第一名为成交人。得分相同的，按最终报价由低到高顺序排列。得分且最终报价相同的，按技术标得分由高到低的顺序排列。得分、报价、技术标均相等，则由磋商小组投票决定成交人及成交候选人排名。</w:t>
            </w:r>
          </w:p>
          <w:p w14:paraId="07F259DA">
            <w:pPr>
              <w:jc w:val="left"/>
              <w:rPr>
                <w:rFonts w:ascii="仿宋" w:hAnsi="仿宋" w:eastAsia="仿宋" w:cs="宋体"/>
                <w:spacing w:val="14"/>
                <w:sz w:val="24"/>
                <w:szCs w:val="24"/>
                <w:highlight w:val="none"/>
              </w:rPr>
            </w:pPr>
            <w:r>
              <w:rPr>
                <w:rFonts w:hint="eastAsia" w:ascii="仿宋" w:hAnsi="仿宋" w:eastAsia="仿宋" w:cs="宋体"/>
                <w:spacing w:val="14"/>
                <w:sz w:val="24"/>
                <w:szCs w:val="24"/>
                <w:highlight w:val="none"/>
              </w:rPr>
              <w:t>若第一名成交人因自身原因未能在规定的时间内与采购人签订合同，采购人有权取消其中标资格，并顺延第</w:t>
            </w:r>
            <w:r>
              <w:rPr>
                <w:rFonts w:hint="eastAsia" w:ascii="仿宋" w:hAnsi="仿宋" w:eastAsia="仿宋" w:cs="宋体"/>
                <w:spacing w:val="14"/>
                <w:sz w:val="24"/>
                <w:szCs w:val="24"/>
                <w:highlight w:val="none"/>
                <w:lang w:eastAsia="zh-CN"/>
              </w:rPr>
              <w:t>二</w:t>
            </w:r>
            <w:r>
              <w:rPr>
                <w:rFonts w:hint="eastAsia" w:ascii="仿宋" w:hAnsi="仿宋" w:eastAsia="仿宋" w:cs="宋体"/>
                <w:spacing w:val="14"/>
                <w:sz w:val="24"/>
                <w:szCs w:val="24"/>
                <w:highlight w:val="none"/>
              </w:rPr>
              <w:t>名成交候选人中标或重新进行招标采购，造成的一切损失由第</w:t>
            </w:r>
            <w:r>
              <w:rPr>
                <w:rFonts w:hint="eastAsia" w:ascii="仿宋" w:hAnsi="仿宋" w:eastAsia="仿宋" w:cs="宋体"/>
                <w:spacing w:val="14"/>
                <w:sz w:val="24"/>
                <w:szCs w:val="24"/>
                <w:highlight w:val="none"/>
                <w:lang w:eastAsia="zh-CN"/>
              </w:rPr>
              <w:t>一</w:t>
            </w:r>
            <w:r>
              <w:rPr>
                <w:rFonts w:hint="eastAsia" w:ascii="仿宋" w:hAnsi="仿宋" w:eastAsia="仿宋" w:cs="宋体"/>
                <w:spacing w:val="14"/>
                <w:sz w:val="24"/>
                <w:szCs w:val="24"/>
                <w:highlight w:val="none"/>
              </w:rPr>
              <w:t>名成交人承担，其失信行为将上报相关部门处理。</w:t>
            </w:r>
          </w:p>
        </w:tc>
      </w:tr>
      <w:tr w14:paraId="607F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0C8B7A44">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1346961">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成交结果公布媒介及期限</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5639DCDC">
            <w:pPr>
              <w:widowControl/>
              <w:ind w:firstLine="0"/>
              <w:jc w:val="left"/>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公布媒介：同竞争性磋商公告</w:t>
            </w:r>
          </w:p>
          <w:p w14:paraId="7CA6D4E3">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公告期限：1个工作日</w:t>
            </w:r>
          </w:p>
        </w:tc>
      </w:tr>
      <w:tr w14:paraId="4326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DEA90AA">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7.4.1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549779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履约保证金</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F866B85">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免收履约保证金</w:t>
            </w:r>
          </w:p>
        </w:tc>
      </w:tr>
      <w:tr w14:paraId="3E8C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6D2A0A1C">
            <w:pPr>
              <w:widowControl/>
              <w:ind w:firstLine="0"/>
              <w:jc w:val="center"/>
              <w:rPr>
                <w:rFonts w:ascii="仿宋" w:hAnsi="仿宋" w:eastAsia="仿宋" w:cs="宋体"/>
                <w:spacing w:val="14"/>
                <w:kern w:val="0"/>
                <w:sz w:val="24"/>
                <w:szCs w:val="24"/>
              </w:rPr>
            </w:pPr>
            <w:r>
              <w:rPr>
                <w:rFonts w:hint="eastAsia" w:ascii="仿宋" w:hAnsi="仿宋" w:eastAsia="仿宋" w:cs="宋体"/>
                <w:spacing w:val="14"/>
                <w:kern w:val="0"/>
                <w:sz w:val="24"/>
                <w:szCs w:val="24"/>
              </w:rPr>
              <w:t>8.5.2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E7EA3F0">
            <w:pPr>
              <w:widowControl/>
              <w:ind w:firstLine="0"/>
              <w:jc w:val="left"/>
              <w:rPr>
                <w:rFonts w:ascii="仿宋" w:hAnsi="仿宋" w:eastAsia="仿宋" w:cs="宋体"/>
                <w:spacing w:val="14"/>
                <w:kern w:val="0"/>
                <w:sz w:val="24"/>
                <w:szCs w:val="24"/>
              </w:rPr>
            </w:pPr>
            <w:r>
              <w:rPr>
                <w:rFonts w:hint="eastAsia" w:ascii="仿宋" w:hAnsi="仿宋" w:eastAsia="仿宋" w:cs="宋体"/>
                <w:spacing w:val="14"/>
                <w:kern w:val="0"/>
                <w:sz w:val="24"/>
                <w:szCs w:val="24"/>
              </w:rPr>
              <w:t>质疑函的递交方式</w:t>
            </w:r>
          </w:p>
        </w:tc>
        <w:tc>
          <w:tcPr>
            <w:tcW w:w="5399" w:type="dxa"/>
            <w:tcBorders>
              <w:top w:val="single" w:color="auto" w:sz="4" w:space="0"/>
              <w:left w:val="single" w:color="auto" w:sz="4" w:space="0"/>
              <w:bottom w:val="single" w:color="auto" w:sz="4" w:space="0"/>
              <w:right w:val="single" w:color="auto" w:sz="4" w:space="0"/>
            </w:tcBorders>
            <w:noWrap w:val="0"/>
            <w:vAlign w:val="center"/>
          </w:tcPr>
          <w:p w14:paraId="72BD28AC">
            <w:pPr>
              <w:jc w:val="left"/>
              <w:rPr>
                <w:rFonts w:ascii="仿宋" w:hAnsi="仿宋" w:eastAsia="仿宋" w:cs="宋体"/>
                <w:spacing w:val="14"/>
                <w:sz w:val="24"/>
                <w:szCs w:val="24"/>
              </w:rPr>
            </w:pPr>
            <w:r>
              <w:rPr>
                <w:rFonts w:hint="eastAsia" w:ascii="仿宋" w:hAnsi="仿宋" w:eastAsia="仿宋" w:cs="宋体"/>
                <w:spacing w:val="14"/>
                <w:sz w:val="24"/>
                <w:szCs w:val="24"/>
              </w:rPr>
              <w:t>质疑函应当面递交；因情况特殊而邮寄的，交邮前应通知采购人、采购代理机构。接受质疑函的采购人、采购代理机构的联系部门、联系电话和通讯地址详见本项目采购公告和供应商须知前附表。也可通过交易平台对参与投标的项目向招标采购代理机构发送异议，代理机构通过交易平台给予答复。</w:t>
            </w:r>
          </w:p>
        </w:tc>
      </w:tr>
      <w:tr w14:paraId="0D84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7BEC1D70">
            <w:pPr>
              <w:widowControl/>
              <w:ind w:firstLine="0"/>
              <w:jc w:val="center"/>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9</w:t>
            </w:r>
          </w:p>
        </w:tc>
        <w:tc>
          <w:tcPr>
            <w:tcW w:w="8234" w:type="dxa"/>
            <w:gridSpan w:val="2"/>
            <w:tcBorders>
              <w:top w:val="single" w:color="auto" w:sz="4" w:space="0"/>
              <w:left w:val="nil"/>
              <w:bottom w:val="single" w:color="auto" w:sz="4" w:space="0"/>
              <w:right w:val="single" w:color="auto" w:sz="4" w:space="0"/>
            </w:tcBorders>
            <w:noWrap w:val="0"/>
            <w:vAlign w:val="center"/>
          </w:tcPr>
          <w:p w14:paraId="04FCC3B1">
            <w:pPr>
              <w:widowControl/>
              <w:ind w:firstLine="0"/>
              <w:jc w:val="center"/>
              <w:rPr>
                <w:rFonts w:hint="eastAsia" w:ascii="仿宋" w:hAnsi="仿宋" w:eastAsia="仿宋" w:cs="宋体"/>
                <w:spacing w:val="14"/>
                <w:kern w:val="0"/>
                <w:sz w:val="24"/>
                <w:szCs w:val="24"/>
              </w:rPr>
            </w:pPr>
            <w:r>
              <w:rPr>
                <w:rFonts w:hint="eastAsia" w:ascii="仿宋" w:hAnsi="仿宋" w:eastAsia="仿宋" w:cs="宋体"/>
                <w:spacing w:val="14"/>
                <w:kern w:val="0"/>
                <w:sz w:val="24"/>
                <w:szCs w:val="24"/>
              </w:rPr>
              <w:t>需要补充的其他内容</w:t>
            </w:r>
          </w:p>
        </w:tc>
      </w:tr>
      <w:tr w14:paraId="31C2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473530B">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eastAsia="zh-CN"/>
              </w:rPr>
              <w:t>9</w:t>
            </w:r>
            <w:r>
              <w:rPr>
                <w:rFonts w:hint="eastAsia" w:ascii="仿宋" w:hAnsi="仿宋" w:eastAsia="仿宋" w:cs="宋体"/>
                <w:spacing w:val="14"/>
                <w:kern w:val="0"/>
                <w:sz w:val="24"/>
                <w:szCs w:val="24"/>
                <w:lang w:val="en-US" w:eastAsia="zh-CN"/>
              </w:rPr>
              <w:t>.1</w:t>
            </w:r>
          </w:p>
        </w:tc>
        <w:tc>
          <w:tcPr>
            <w:tcW w:w="2835" w:type="dxa"/>
            <w:tcBorders>
              <w:top w:val="single" w:color="auto" w:sz="4" w:space="0"/>
              <w:left w:val="nil"/>
              <w:bottom w:val="single" w:color="auto" w:sz="4" w:space="0"/>
              <w:right w:val="single" w:color="auto" w:sz="4" w:space="0"/>
            </w:tcBorders>
            <w:noWrap w:val="0"/>
            <w:vAlign w:val="center"/>
          </w:tcPr>
          <w:p w14:paraId="45FD02A0">
            <w:pPr>
              <w:widowControl/>
              <w:ind w:firstLine="0"/>
              <w:jc w:val="left"/>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rPr>
              <w:t>样品</w:t>
            </w:r>
          </w:p>
        </w:tc>
        <w:tc>
          <w:tcPr>
            <w:tcW w:w="5399" w:type="dxa"/>
            <w:tcBorders>
              <w:top w:val="single" w:color="auto" w:sz="4" w:space="0"/>
              <w:left w:val="nil"/>
              <w:bottom w:val="single" w:color="auto" w:sz="4" w:space="0"/>
              <w:right w:val="single" w:color="auto" w:sz="4" w:space="0"/>
            </w:tcBorders>
            <w:noWrap w:val="0"/>
            <w:vAlign w:val="center"/>
          </w:tcPr>
          <w:p w14:paraId="00C06280">
            <w:pPr>
              <w:widowControl/>
              <w:ind w:firstLine="0"/>
              <w:jc w:val="left"/>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w:t>
            </w:r>
          </w:p>
        </w:tc>
      </w:tr>
      <w:tr w14:paraId="65BD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9116D28">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9.2</w:t>
            </w:r>
          </w:p>
        </w:tc>
        <w:tc>
          <w:tcPr>
            <w:tcW w:w="2835" w:type="dxa"/>
            <w:tcBorders>
              <w:top w:val="single" w:color="auto" w:sz="4" w:space="0"/>
              <w:left w:val="nil"/>
              <w:bottom w:val="single" w:color="auto" w:sz="4" w:space="0"/>
              <w:right w:val="single" w:color="auto" w:sz="4" w:space="0"/>
            </w:tcBorders>
            <w:noWrap w:val="0"/>
            <w:vAlign w:val="center"/>
          </w:tcPr>
          <w:p w14:paraId="6F2BC9B8">
            <w:pPr>
              <w:widowControl/>
              <w:ind w:firstLine="0"/>
              <w:jc w:val="left"/>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rPr>
              <w:t>相同品牌产品的处理</w:t>
            </w:r>
          </w:p>
        </w:tc>
        <w:tc>
          <w:tcPr>
            <w:tcW w:w="5399" w:type="dxa"/>
            <w:tcBorders>
              <w:top w:val="single" w:color="auto" w:sz="4" w:space="0"/>
              <w:left w:val="nil"/>
              <w:bottom w:val="single" w:color="auto" w:sz="4" w:space="0"/>
              <w:right w:val="single" w:color="auto" w:sz="4" w:space="0"/>
            </w:tcBorders>
            <w:noWrap w:val="0"/>
            <w:vAlign w:val="center"/>
          </w:tcPr>
          <w:p w14:paraId="6961F470">
            <w:pPr>
              <w:widowControl/>
              <w:ind w:firstLine="0"/>
              <w:jc w:val="left"/>
              <w:rPr>
                <w:rFonts w:hint="eastAsia" w:ascii="仿宋" w:hAnsi="仿宋" w:eastAsia="仿宋" w:cs="宋体"/>
                <w:spacing w:val="14"/>
                <w:kern w:val="0"/>
                <w:sz w:val="24"/>
                <w:szCs w:val="24"/>
                <w:lang w:eastAsia="zh-CN"/>
              </w:rPr>
            </w:pPr>
            <w:r>
              <w:rPr>
                <w:rFonts w:hint="eastAsia" w:ascii="仿宋" w:hAnsi="仿宋" w:eastAsia="仿宋" w:cs="宋体"/>
                <w:spacing w:val="14"/>
                <w:kern w:val="0"/>
                <w:sz w:val="24"/>
                <w:szCs w:val="24"/>
              </w:rPr>
              <w:t>提供相同品牌产品且通过资格性审查、符合性审查的不同供应商参加同一包的，按一家供应商计算，评审后得分最高的同品牌供应商获得成交供应商推荐资格；评审得分相同的，最后报价最低的供应商获得成交供应商推荐资格，最后报价也相同的，由磋商小组投票决定。非单一产品采购项目中，多家供应商提供的核心产品品牌相同的，视为提供相同品牌产品。</w:t>
            </w:r>
          </w:p>
          <w:p w14:paraId="24FCFFDB">
            <w:pPr>
              <w:widowControl/>
              <w:ind w:firstLine="0"/>
              <w:jc w:val="left"/>
              <w:rPr>
                <w:rFonts w:hint="eastAsia" w:ascii="仿宋" w:hAnsi="仿宋" w:eastAsia="仿宋" w:cs="宋体"/>
                <w:spacing w:val="14"/>
                <w:kern w:val="0"/>
                <w:sz w:val="24"/>
                <w:szCs w:val="24"/>
                <w:lang w:val="en-US" w:eastAsia="zh-CN"/>
              </w:rPr>
            </w:pPr>
            <w:r>
              <w:rPr>
                <w:rFonts w:hint="eastAsia" w:ascii="仿宋" w:hAnsi="仿宋" w:eastAsia="仿宋" w:cs="宋体"/>
                <w:spacing w:val="14"/>
                <w:kern w:val="0"/>
                <w:sz w:val="24"/>
                <w:szCs w:val="24"/>
                <w:highlight w:val="none"/>
              </w:rPr>
              <w:t>本次</w:t>
            </w:r>
            <w:r>
              <w:rPr>
                <w:rFonts w:hint="eastAsia" w:ascii="仿宋" w:hAnsi="仿宋" w:eastAsia="仿宋" w:cs="宋体"/>
                <w:spacing w:val="14"/>
                <w:kern w:val="0"/>
                <w:sz w:val="24"/>
                <w:szCs w:val="24"/>
                <w:highlight w:val="none"/>
                <w:lang w:eastAsia="zh-CN"/>
              </w:rPr>
              <w:t>采购</w:t>
            </w:r>
            <w:r>
              <w:rPr>
                <w:rFonts w:hint="eastAsia" w:ascii="仿宋" w:hAnsi="仿宋" w:eastAsia="仿宋" w:cs="宋体"/>
                <w:spacing w:val="14"/>
                <w:kern w:val="0"/>
                <w:sz w:val="24"/>
                <w:szCs w:val="24"/>
                <w:highlight w:val="none"/>
              </w:rPr>
              <w:t>项目的核心产品为</w:t>
            </w:r>
            <w:r>
              <w:rPr>
                <w:rFonts w:hint="eastAsia" w:ascii="仿宋" w:hAnsi="仿宋" w:eastAsia="仿宋" w:cs="宋体"/>
                <w:spacing w:val="14"/>
                <w:kern w:val="0"/>
                <w:sz w:val="24"/>
                <w:szCs w:val="24"/>
                <w:highlight w:val="none"/>
                <w:lang w:eastAsia="zh-CN"/>
              </w:rPr>
              <w:t>：/</w:t>
            </w:r>
          </w:p>
        </w:tc>
      </w:tr>
      <w:tr w14:paraId="0F0D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42CDC774">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9.3</w:t>
            </w:r>
          </w:p>
        </w:tc>
        <w:tc>
          <w:tcPr>
            <w:tcW w:w="2835" w:type="dxa"/>
            <w:tcBorders>
              <w:top w:val="single" w:color="auto" w:sz="4" w:space="0"/>
              <w:left w:val="nil"/>
              <w:bottom w:val="single" w:color="auto" w:sz="4" w:space="0"/>
              <w:right w:val="single" w:color="auto" w:sz="4" w:space="0"/>
            </w:tcBorders>
            <w:noWrap w:val="0"/>
            <w:vAlign w:val="center"/>
          </w:tcPr>
          <w:p w14:paraId="53961282">
            <w:pPr>
              <w:widowControl/>
              <w:ind w:firstLine="0"/>
              <w:rPr>
                <w:rFonts w:hint="eastAsia" w:ascii="仿宋" w:hAnsi="仿宋" w:eastAsia="仿宋"/>
                <w:spacing w:val="14"/>
                <w:kern w:val="0"/>
                <w:sz w:val="24"/>
                <w:szCs w:val="24"/>
              </w:rPr>
            </w:pPr>
            <w:r>
              <w:rPr>
                <w:rFonts w:hint="eastAsia" w:ascii="仿宋" w:hAnsi="仿宋" w:eastAsia="仿宋"/>
                <w:spacing w:val="14"/>
                <w:kern w:val="0"/>
                <w:sz w:val="24"/>
                <w:szCs w:val="24"/>
              </w:rPr>
              <w:t>代理服务费</w:t>
            </w:r>
          </w:p>
        </w:tc>
        <w:tc>
          <w:tcPr>
            <w:tcW w:w="5399" w:type="dxa"/>
            <w:tcBorders>
              <w:top w:val="single" w:color="auto" w:sz="4" w:space="0"/>
              <w:left w:val="nil"/>
              <w:bottom w:val="single" w:color="auto" w:sz="4" w:space="0"/>
              <w:right w:val="single" w:color="auto" w:sz="4" w:space="0"/>
            </w:tcBorders>
            <w:noWrap w:val="0"/>
            <w:vAlign w:val="center"/>
          </w:tcPr>
          <w:p w14:paraId="673DA80A">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highlight w:val="none"/>
              </w:rPr>
              <w:t>本次招标代理服务费收费标准参照河南省招标投标协会豫招协[2023]002号文《河南省招标代理服务收费指导意见》规定的收费标准收取，由成交人在领取成交通知书前一次性支付给代理机构。此费用由供应商在响应报价中综合考虑。</w:t>
            </w:r>
          </w:p>
        </w:tc>
      </w:tr>
      <w:tr w14:paraId="2A0D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19461111">
            <w:pPr>
              <w:widowControl/>
              <w:ind w:firstLine="0"/>
              <w:jc w:val="center"/>
              <w:rPr>
                <w:rFonts w:hint="default" w:ascii="仿宋" w:hAnsi="仿宋" w:eastAsia="仿宋" w:cs="宋体"/>
                <w:spacing w:val="14"/>
                <w:kern w:val="0"/>
                <w:sz w:val="24"/>
                <w:szCs w:val="24"/>
                <w:lang w:val="en-US" w:eastAsia="zh-CN"/>
              </w:rPr>
            </w:pPr>
            <w:r>
              <w:rPr>
                <w:rFonts w:hint="eastAsia" w:ascii="仿宋" w:hAnsi="仿宋" w:eastAsia="仿宋" w:cs="宋体"/>
                <w:spacing w:val="14"/>
                <w:kern w:val="0"/>
                <w:sz w:val="24"/>
                <w:szCs w:val="24"/>
                <w:lang w:val="en-US" w:eastAsia="zh-CN"/>
              </w:rPr>
              <w:t>9.4</w:t>
            </w:r>
          </w:p>
        </w:tc>
        <w:tc>
          <w:tcPr>
            <w:tcW w:w="2835" w:type="dxa"/>
            <w:tcBorders>
              <w:top w:val="single" w:color="auto" w:sz="4" w:space="0"/>
              <w:left w:val="nil"/>
              <w:bottom w:val="single" w:color="auto" w:sz="4" w:space="0"/>
              <w:right w:val="single" w:color="auto" w:sz="4" w:space="0"/>
            </w:tcBorders>
            <w:noWrap w:val="0"/>
            <w:vAlign w:val="center"/>
          </w:tcPr>
          <w:p w14:paraId="1D34F39C">
            <w:pPr>
              <w:widowControl/>
              <w:ind w:firstLine="0"/>
              <w:rPr>
                <w:rFonts w:hint="eastAsia" w:ascii="仿宋" w:hAnsi="仿宋" w:eastAsia="仿宋"/>
                <w:spacing w:val="14"/>
                <w:kern w:val="0"/>
                <w:sz w:val="24"/>
                <w:szCs w:val="24"/>
              </w:rPr>
            </w:pPr>
            <w:r>
              <w:rPr>
                <w:rFonts w:hint="eastAsia" w:ascii="仿宋" w:hAnsi="仿宋" w:eastAsia="仿宋"/>
                <w:spacing w:val="14"/>
                <w:kern w:val="0"/>
                <w:sz w:val="24"/>
                <w:szCs w:val="24"/>
              </w:rPr>
              <w:t>监督部门及电话</w:t>
            </w:r>
          </w:p>
        </w:tc>
        <w:tc>
          <w:tcPr>
            <w:tcW w:w="5399" w:type="dxa"/>
            <w:tcBorders>
              <w:top w:val="single" w:color="auto" w:sz="4" w:space="0"/>
              <w:left w:val="nil"/>
              <w:bottom w:val="single" w:color="auto" w:sz="4" w:space="0"/>
              <w:right w:val="single" w:color="auto" w:sz="4" w:space="0"/>
            </w:tcBorders>
            <w:noWrap w:val="0"/>
            <w:vAlign w:val="center"/>
          </w:tcPr>
          <w:p w14:paraId="3549C3A8">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rPr>
              <w:t>监管部门：洛阳市财政局</w:t>
            </w:r>
          </w:p>
          <w:p w14:paraId="7D028B18">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rPr>
              <w:t>监管部门联系人：洛阳市财政局政府采购科</w:t>
            </w:r>
          </w:p>
          <w:p w14:paraId="42389EB0">
            <w:pPr>
              <w:adjustRightInd w:val="0"/>
              <w:snapToGrid w:val="0"/>
              <w:spacing w:line="360" w:lineRule="auto"/>
              <w:rPr>
                <w:rFonts w:hint="eastAsia" w:ascii="仿宋" w:hAnsi="仿宋" w:eastAsia="仿宋" w:cs="Times New Roman"/>
                <w:spacing w:val="14"/>
                <w:sz w:val="24"/>
                <w:szCs w:val="24"/>
              </w:rPr>
            </w:pPr>
            <w:r>
              <w:rPr>
                <w:rFonts w:hint="eastAsia" w:ascii="仿宋" w:hAnsi="仿宋" w:eastAsia="仿宋" w:cs="Times New Roman"/>
                <w:spacing w:val="14"/>
                <w:sz w:val="24"/>
                <w:szCs w:val="24"/>
              </w:rPr>
              <w:t>监管部门联系方式：0379-63259707</w:t>
            </w:r>
          </w:p>
        </w:tc>
      </w:tr>
      <w:tr w14:paraId="5BB6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3"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24967E21">
            <w:pPr>
              <w:jc w:val="center"/>
              <w:rPr>
                <w:rFonts w:hint="eastAsia" w:ascii="仿宋" w:hAnsi="仿宋" w:eastAsia="仿宋" w:cs="Times New Roman"/>
                <w:b w:val="0"/>
                <w:bCs w:val="0"/>
                <w:spacing w:val="14"/>
                <w:kern w:val="0"/>
                <w:sz w:val="24"/>
                <w:szCs w:val="24"/>
                <w:lang w:eastAsia="zh-CN"/>
              </w:rPr>
            </w:pPr>
            <w:r>
              <w:rPr>
                <w:rFonts w:hint="eastAsia" w:ascii="仿宋" w:hAnsi="仿宋" w:eastAsia="仿宋" w:cs="Times New Roman"/>
                <w:b w:val="0"/>
                <w:bCs w:val="0"/>
                <w:spacing w:val="14"/>
                <w:kern w:val="0"/>
                <w:sz w:val="24"/>
                <w:szCs w:val="24"/>
              </w:rPr>
              <w:t>9.</w:t>
            </w:r>
            <w:r>
              <w:rPr>
                <w:rFonts w:hint="eastAsia" w:ascii="仿宋" w:hAnsi="仿宋" w:eastAsia="仿宋" w:cs="Times New Roman"/>
                <w:b w:val="0"/>
                <w:bCs w:val="0"/>
                <w:spacing w:val="14"/>
                <w:kern w:val="0"/>
                <w:sz w:val="24"/>
                <w:szCs w:val="24"/>
                <w:lang w:val="en-US" w:eastAsia="zh-CN"/>
              </w:rPr>
              <w:t>5</w:t>
            </w:r>
          </w:p>
        </w:tc>
        <w:tc>
          <w:tcPr>
            <w:tcW w:w="2835" w:type="dxa"/>
            <w:tcBorders>
              <w:top w:val="single" w:color="auto" w:sz="4" w:space="0"/>
              <w:left w:val="nil"/>
              <w:bottom w:val="single" w:color="auto" w:sz="4" w:space="0"/>
              <w:right w:val="single" w:color="auto" w:sz="4" w:space="0"/>
            </w:tcBorders>
            <w:noWrap w:val="0"/>
            <w:vAlign w:val="center"/>
          </w:tcPr>
          <w:p w14:paraId="0FC1D9D9">
            <w:pPr>
              <w:rPr>
                <w:rFonts w:hint="default" w:ascii="仿宋" w:hAnsi="仿宋" w:eastAsia="仿宋" w:cs="Times New Roman"/>
                <w:b w:val="0"/>
                <w:bCs w:val="0"/>
                <w:spacing w:val="14"/>
                <w:kern w:val="0"/>
                <w:sz w:val="24"/>
                <w:szCs w:val="24"/>
                <w:lang w:val="en-US" w:eastAsia="zh-CN"/>
              </w:rPr>
            </w:pPr>
            <w:r>
              <w:rPr>
                <w:rFonts w:hint="default" w:ascii="仿宋" w:hAnsi="仿宋" w:eastAsia="仿宋" w:cs="Times New Roman"/>
                <w:b w:val="0"/>
                <w:bCs w:val="0"/>
                <w:spacing w:val="14"/>
                <w:kern w:val="0"/>
                <w:sz w:val="24"/>
                <w:szCs w:val="24"/>
                <w:lang w:val="en-US" w:eastAsia="zh-CN"/>
              </w:rPr>
              <w:t>其他</w:t>
            </w:r>
          </w:p>
        </w:tc>
        <w:tc>
          <w:tcPr>
            <w:tcW w:w="5399" w:type="dxa"/>
            <w:tcBorders>
              <w:top w:val="single" w:color="auto" w:sz="4" w:space="0"/>
              <w:left w:val="nil"/>
              <w:bottom w:val="single" w:color="auto" w:sz="4" w:space="0"/>
              <w:right w:val="single" w:color="auto" w:sz="4" w:space="0"/>
            </w:tcBorders>
            <w:noWrap w:val="0"/>
            <w:vAlign w:val="center"/>
          </w:tcPr>
          <w:p w14:paraId="013CBDC4">
            <w:pPr>
              <w:adjustRightInd/>
              <w:snapToGrid/>
              <w:spacing w:line="240" w:lineRule="auto"/>
              <w:ind w:firstLine="0" w:firstLineChars="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b w:val="0"/>
                <w:bCs w:val="0"/>
                <w:spacing w:val="14"/>
                <w:sz w:val="24"/>
                <w:szCs w:val="24"/>
                <w:lang w:val="en-US" w:eastAsia="zh-CN"/>
              </w:rPr>
              <w:t>1、</w:t>
            </w:r>
            <w:r>
              <w:rPr>
                <w:rFonts w:hint="eastAsia" w:ascii="仿宋" w:hAnsi="仿宋" w:eastAsia="仿宋"/>
                <w:b w:val="0"/>
                <w:bCs w:val="0"/>
                <w:spacing w:val="14"/>
                <w:sz w:val="24"/>
                <w:szCs w:val="24"/>
              </w:rPr>
              <w:t>根据《中小企业划型标准规定》（工信部联企</w:t>
            </w:r>
            <w:r>
              <w:rPr>
                <w:rFonts w:hint="eastAsia" w:ascii="仿宋" w:hAnsi="仿宋" w:eastAsia="仿宋"/>
                <w:b w:val="0"/>
                <w:bCs w:val="0"/>
                <w:spacing w:val="14"/>
                <w:sz w:val="24"/>
                <w:szCs w:val="24"/>
                <w:highlight w:val="none"/>
              </w:rPr>
              <w:t>业〔2011〕300 号）的规定，本项目适用的行业为：</w:t>
            </w:r>
            <w:r>
              <w:rPr>
                <w:rFonts w:hint="eastAsia" w:ascii="仿宋" w:hAnsi="仿宋" w:eastAsia="仿宋"/>
                <w:b w:val="0"/>
                <w:bCs w:val="0"/>
                <w:spacing w:val="14"/>
                <w:sz w:val="24"/>
                <w:szCs w:val="24"/>
                <w:highlight w:val="none"/>
                <w:lang w:eastAsia="zh-CN"/>
              </w:rPr>
              <w:t>工</w:t>
            </w:r>
            <w:r>
              <w:rPr>
                <w:rFonts w:hint="eastAsia" w:ascii="仿宋" w:hAnsi="仿宋" w:eastAsia="仿宋"/>
                <w:b w:val="0"/>
                <w:bCs w:val="0"/>
                <w:spacing w:val="14"/>
                <w:sz w:val="24"/>
                <w:szCs w:val="24"/>
                <w:highlight w:val="none"/>
              </w:rPr>
              <w:t>业。</w:t>
            </w:r>
          </w:p>
          <w:p w14:paraId="01616204">
            <w:pPr>
              <w:ind w:firstLine="0" w:firstLineChars="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2、暗标评审 </w:t>
            </w:r>
          </w:p>
          <w:p w14:paraId="621D8946">
            <w:pPr>
              <w:ind w:firstLine="0" w:firstLineChars="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2.1本次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 xml:space="preserve">采用暗标评审。 </w:t>
            </w:r>
          </w:p>
          <w:p w14:paraId="12A2DA84">
            <w:pPr>
              <w:ind w:firstLine="0" w:firstLineChars="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2.2本项目综合标为暗标内容，投标文件中暗标部分不符合要求的，其暗标部分整体得零分： </w:t>
            </w:r>
          </w:p>
          <w:p w14:paraId="082A599A">
            <w:pPr>
              <w:ind w:firstLine="0" w:firstLineChars="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highlight w:val="none"/>
                <w:lang w:val="en-US" w:eastAsia="zh-CN"/>
              </w:rPr>
              <w:t>2.2.1签章要求：不得对暗标部分进行电子签</w:t>
            </w:r>
            <w:r>
              <w:rPr>
                <w:rFonts w:hint="eastAsia" w:ascii="仿宋" w:hAnsi="仿宋" w:eastAsia="仿宋" w:cs="Times New Roman"/>
                <w:b/>
                <w:bCs/>
                <w:spacing w:val="14"/>
                <w:kern w:val="0"/>
                <w:sz w:val="24"/>
                <w:szCs w:val="24"/>
                <w:lang w:val="en-US" w:eastAsia="zh-CN"/>
              </w:rPr>
              <w:t>章</w:t>
            </w:r>
            <w:r>
              <w:rPr>
                <w:rFonts w:hint="eastAsia" w:ascii="仿宋" w:hAnsi="仿宋" w:eastAsia="仿宋" w:cs="Times New Roman"/>
                <w:b/>
                <w:bCs/>
                <w:spacing w:val="14"/>
                <w:kern w:val="0"/>
                <w:sz w:val="24"/>
                <w:szCs w:val="24"/>
                <w:lang w:eastAsia="zh-CN"/>
              </w:rPr>
              <w:t>。</w:t>
            </w:r>
          </w:p>
          <w:p w14:paraId="4F77612E">
            <w:pPr>
              <w:ind w:firstLine="0" w:firstLineChars="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lang w:val="en-US" w:eastAsia="zh-CN"/>
              </w:rPr>
              <w:t>2.2.2排版要求：全文采用A4大小，不允许插入空白页，页边距均为2.5厘米，不得出现页眉、页脚、页码，全文均为白底黑字，字体为宋体四号字，不允许倾斜和下划线，行间距采用固定值28磅，段前段后间距为0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lang w:eastAsia="zh-CN"/>
              </w:rPr>
              <w:t>。</w:t>
            </w:r>
          </w:p>
          <w:p w14:paraId="6B84B06B">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2.2.3标题编号要求：标题序号最多设置7级，每一个暗标部分的标题都要重新开始编号，编号格式为：</w:t>
            </w:r>
          </w:p>
          <w:p w14:paraId="61C64E35">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一级为“一、”、“二、”......，  </w:t>
            </w:r>
          </w:p>
          <w:p w14:paraId="1A97B1FE">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二级为“（一）”、“（二）”......，  </w:t>
            </w:r>
          </w:p>
          <w:p w14:paraId="6F460BC1">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三级为“1.”、“2.”......，  </w:t>
            </w:r>
          </w:p>
          <w:p w14:paraId="49958FD9">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四级为“（1）”、“（2）”......，  </w:t>
            </w:r>
          </w:p>
          <w:p w14:paraId="598448C6">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五级为“1）”、“2）”......，  </w:t>
            </w:r>
          </w:p>
          <w:p w14:paraId="4437894F">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六级为“a.”、“b.”......，  </w:t>
            </w:r>
          </w:p>
          <w:p w14:paraId="054E1459">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七级为“a）”、“b）”......。</w:t>
            </w:r>
          </w:p>
          <w:p w14:paraId="54B47E4D">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2.2.4图表要求：电脑绘制（不得手绘），白底黑字。宋体四号字，字体不允许倾斜和下划线。</w:t>
            </w:r>
          </w:p>
          <w:p w14:paraId="6EF0CC78">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2.2.5内容中不得出现投标人名称和其他可识别投标人身份的字符、徽标、人员名称以及其他特殊标记等。</w:t>
            </w:r>
          </w:p>
          <w:p w14:paraId="510E5F1D">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2.2.6不得插入图片（招标文件要求有图片除外）。</w:t>
            </w:r>
          </w:p>
          <w:p w14:paraId="2EAB5E5F">
            <w:pPr>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2.2.7</w:t>
            </w:r>
            <w:r>
              <w:rPr>
                <w:rFonts w:hint="eastAsia" w:ascii="仿宋" w:hAnsi="仿宋" w:eastAsia="仿宋" w:cs="仿宋"/>
                <w:b/>
                <w:bCs/>
                <w:color w:val="auto"/>
                <w:sz w:val="24"/>
                <w:szCs w:val="24"/>
                <w:highlight w:val="none"/>
                <w:lang w:eastAsia="zh-CN"/>
              </w:rPr>
              <w:t>黑字必须为标准黑色字体，颜色为RGB（0,0,0）。</w:t>
            </w:r>
          </w:p>
          <w:p w14:paraId="75471B0B">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2.2.8</w:t>
            </w:r>
            <w:r>
              <w:rPr>
                <w:rFonts w:hint="eastAsia" w:ascii="仿宋" w:hAnsi="仿宋" w:eastAsia="仿宋" w:cs="仿宋"/>
                <w:b/>
                <w:bCs/>
                <w:color w:val="auto"/>
                <w:sz w:val="24"/>
                <w:szCs w:val="24"/>
                <w:highlight w:val="none"/>
                <w:lang w:eastAsia="zh-CN"/>
              </w:rPr>
              <w:t>每个暗标评审点的文档都要重新开始标题编号。</w:t>
            </w:r>
          </w:p>
          <w:p w14:paraId="6CB040F5">
            <w:pPr>
              <w:ind w:firstLine="0" w:firstLineChars="0"/>
              <w:jc w:val="left"/>
              <w:rPr>
                <w:rFonts w:hint="eastAsia" w:ascii="仿宋" w:hAnsi="仿宋" w:eastAsia="仿宋" w:cs="Times New Roman"/>
                <w:b/>
                <w:bCs/>
                <w:spacing w:val="14"/>
                <w:kern w:val="0"/>
                <w:sz w:val="24"/>
                <w:szCs w:val="24"/>
                <w:lang w:val="en-US" w:eastAsia="zh-CN"/>
              </w:rPr>
            </w:pPr>
            <w:r>
              <w:rPr>
                <w:rFonts w:hint="eastAsia" w:ascii="仿宋" w:hAnsi="仿宋" w:eastAsia="仿宋" w:cs="仿宋"/>
                <w:b/>
                <w:bCs/>
                <w:color w:val="auto"/>
                <w:sz w:val="24"/>
                <w:szCs w:val="24"/>
                <w:highlight w:val="none"/>
                <w:lang w:val="en-US" w:eastAsia="zh-CN"/>
              </w:rPr>
              <w:t>2.2.9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tc>
      </w:tr>
      <w:tr w14:paraId="4701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4292DAAC">
            <w:pPr>
              <w:rPr>
                <w:rFonts w:hint="eastAsia" w:ascii="仿宋" w:hAnsi="仿宋" w:eastAsia="仿宋" w:cs="Times New Roman"/>
                <w:b w:val="0"/>
                <w:bCs w:val="0"/>
                <w:spacing w:val="14"/>
                <w:kern w:val="0"/>
                <w:sz w:val="24"/>
                <w:szCs w:val="24"/>
                <w:lang w:val="en-US" w:eastAsia="zh-CN"/>
              </w:rPr>
            </w:pPr>
            <w:r>
              <w:rPr>
                <w:rFonts w:hint="eastAsia" w:ascii="仿宋" w:hAnsi="仿宋" w:eastAsia="仿宋" w:cs="Times New Roman"/>
                <w:b w:val="0"/>
                <w:bCs w:val="0"/>
                <w:spacing w:val="14"/>
                <w:kern w:val="0"/>
                <w:sz w:val="24"/>
                <w:szCs w:val="24"/>
              </w:rPr>
              <w:t>解释权：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供应商须知、评标办法、响应文件格式的先后顺序解释；同一组成文件中就同一事项的规定或约定不一致的，以编排顺序在后者为准；同一组成文件不同版本之间有不一致的， 以形成时间在后者为准。按本款前述规定仍不能形成结论的，由招标人负责解释。</w:t>
            </w:r>
          </w:p>
        </w:tc>
      </w:tr>
      <w:tr w14:paraId="1043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gridSpan w:val="3"/>
            <w:noWrap w:val="0"/>
            <w:vAlign w:val="center"/>
          </w:tcPr>
          <w:p w14:paraId="369EC4DE">
            <w:pPr>
              <w:rPr>
                <w:rFonts w:hint="eastAsia" w:ascii="仿宋" w:hAnsi="仿宋" w:eastAsia="仿宋" w:cs="Times New Roman"/>
                <w:b w:val="0"/>
                <w:bCs w:val="0"/>
                <w:spacing w:val="14"/>
                <w:kern w:val="0"/>
                <w:sz w:val="24"/>
                <w:szCs w:val="24"/>
                <w:lang w:val="en-US" w:eastAsia="zh-CN"/>
              </w:rPr>
            </w:pPr>
            <w:r>
              <w:rPr>
                <w:rFonts w:hint="eastAsia" w:ascii="仿宋" w:hAnsi="仿宋" w:eastAsia="仿宋" w:cs="Times New Roman"/>
                <w:b w:val="0"/>
                <w:bCs w:val="0"/>
                <w:spacing w:val="14"/>
                <w:kern w:val="0"/>
                <w:sz w:val="24"/>
                <w:szCs w:val="24"/>
              </w:rPr>
              <w:t>签字盖章：响应文件中要盖单位公章的地方，供应商均应使用CA数字证书加盖供应商的单位电子签章。签字可以是手签后上传的，也可以是电子手写签名或法定代表人的个人电子签章。</w:t>
            </w:r>
          </w:p>
        </w:tc>
      </w:tr>
      <w:tr w14:paraId="7CE2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gridSpan w:val="3"/>
            <w:noWrap w:val="0"/>
            <w:vAlign w:val="center"/>
          </w:tcPr>
          <w:p w14:paraId="5C7DD394">
            <w:pPr>
              <w:rPr>
                <w:rFonts w:hint="eastAsia" w:ascii="仿宋" w:hAnsi="仿宋" w:eastAsia="仿宋" w:cs="Times New Roman"/>
                <w:b w:val="0"/>
                <w:bCs w:val="0"/>
                <w:spacing w:val="14"/>
                <w:kern w:val="0"/>
                <w:sz w:val="24"/>
                <w:szCs w:val="24"/>
                <w:lang w:val="en-US" w:eastAsia="zh-CN"/>
              </w:rPr>
            </w:pPr>
            <w:r>
              <w:rPr>
                <w:rFonts w:hint="eastAsia" w:ascii="仿宋" w:hAnsi="仿宋" w:eastAsia="仿宋" w:cs="Times New Roman"/>
                <w:b w:val="0"/>
                <w:bCs w:val="0"/>
                <w:spacing w:val="14"/>
                <w:kern w:val="0"/>
                <w:sz w:val="24"/>
                <w:szCs w:val="24"/>
              </w:rPr>
              <w:t>如成交人放弃中标、因不可抗力提出不能履行合同、不按照采购文件的要求提交履约保证金，或者被查实存在影响成交结果的违法行为等情形，不符合成交条件的，采购人可以按照磋商小组提出的成交候选人名单排序依次确定其他成交候选人为成交人。依次确定其他成交候选人与采购人预期差距较大，或者对采购人明显不利的，采购人可以重新采购。</w:t>
            </w:r>
          </w:p>
        </w:tc>
      </w:tr>
    </w:tbl>
    <w:p w14:paraId="7F5E81E0">
      <w:pPr>
        <w:pStyle w:val="13"/>
        <w:ind w:firstLine="0"/>
        <w:rPr>
          <w:rFonts w:hint="eastAsia" w:ascii="仿宋" w:hAnsi="仿宋" w:eastAsia="仿宋"/>
          <w:bCs/>
          <w:color w:val="auto"/>
          <w:spacing w:val="14"/>
        </w:rPr>
      </w:pPr>
      <w:r>
        <w:rPr>
          <w:rFonts w:hint="eastAsia" w:ascii="仿宋" w:hAnsi="仿宋" w:eastAsia="仿宋"/>
          <w:bCs/>
          <w:color w:val="auto"/>
          <w:spacing w:val="14"/>
        </w:rPr>
        <w:t xml:space="preserve"> </w:t>
      </w:r>
      <w:bookmarkStart w:id="29" w:name="_Toc21056"/>
      <w:bookmarkEnd w:id="29"/>
      <w:bookmarkStart w:id="30" w:name="_Toc256000017"/>
      <w:bookmarkEnd w:id="30"/>
      <w:bookmarkStart w:id="31" w:name="_Toc1662590"/>
      <w:bookmarkEnd w:id="31"/>
      <w:bookmarkStart w:id="32" w:name="_Toc256000028"/>
      <w:bookmarkEnd w:id="32"/>
      <w:bookmarkStart w:id="33" w:name="_Toc256000003"/>
      <w:bookmarkEnd w:id="33"/>
      <w:bookmarkStart w:id="34" w:name="_Toc2309"/>
      <w:bookmarkStart w:id="35" w:name="_Toc256000030"/>
      <w:bookmarkStart w:id="36" w:name="_Toc26197"/>
      <w:bookmarkStart w:id="37" w:name="_Toc19291"/>
      <w:bookmarkStart w:id="38" w:name="_Toc130305927"/>
    </w:p>
    <w:p w14:paraId="4E7284F7">
      <w:pPr>
        <w:pStyle w:val="13"/>
        <w:ind w:firstLine="0"/>
        <w:rPr>
          <w:rFonts w:hint="eastAsia" w:ascii="仿宋" w:hAnsi="仿宋" w:eastAsia="仿宋"/>
          <w:b/>
          <w:bCs/>
          <w:sz w:val="28"/>
          <w:szCs w:val="28"/>
        </w:rPr>
      </w:pPr>
      <w:r>
        <w:rPr>
          <w:rFonts w:hint="eastAsia" w:ascii="仿宋" w:hAnsi="仿宋" w:eastAsia="仿宋"/>
          <w:b/>
          <w:bCs/>
          <w:sz w:val="28"/>
          <w:szCs w:val="28"/>
        </w:rPr>
        <w:t>1、总则</w:t>
      </w:r>
      <w:bookmarkEnd w:id="34"/>
      <w:bookmarkEnd w:id="35"/>
      <w:bookmarkEnd w:id="36"/>
      <w:bookmarkEnd w:id="37"/>
      <w:bookmarkEnd w:id="38"/>
    </w:p>
    <w:p w14:paraId="419E665E">
      <w:pPr>
        <w:keepNext/>
        <w:keepLines/>
        <w:spacing w:line="372" w:lineRule="auto"/>
        <w:outlineLvl w:val="9"/>
        <w:rPr>
          <w:rFonts w:hint="eastAsia" w:ascii="仿宋" w:hAnsi="仿宋" w:eastAsia="仿宋" w:cs="Arial"/>
          <w:b/>
          <w:bCs/>
          <w:spacing w:val="14"/>
          <w:sz w:val="28"/>
          <w:szCs w:val="28"/>
        </w:rPr>
      </w:pPr>
      <w:bookmarkStart w:id="39" w:name="_Toc1662591"/>
      <w:bookmarkEnd w:id="39"/>
      <w:r>
        <w:rPr>
          <w:rFonts w:hint="eastAsia" w:ascii="仿宋" w:hAnsi="仿宋" w:eastAsia="仿宋" w:cs="Arial"/>
          <w:b/>
          <w:bCs/>
          <w:spacing w:val="14"/>
          <w:sz w:val="28"/>
          <w:szCs w:val="28"/>
        </w:rPr>
        <w:t>1.1采购项目概况</w:t>
      </w:r>
    </w:p>
    <w:p w14:paraId="3FEDB73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1.1.1根据《中华人民共和国政府采购法》、《中华人民共和国政府采购法实施条例》、《政府采购竞争性磋商采购方式管理暂行办法》等有关法律、法规和规章的规定，本采购项目已具备采购条件，现进行采购。</w:t>
      </w:r>
    </w:p>
    <w:p w14:paraId="0B75138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1.1.2采购人：见供应商须知前附表。</w:t>
      </w:r>
    </w:p>
    <w:p w14:paraId="4838CDC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1.1.3采购代理机构：见供应商须知前附表。</w:t>
      </w:r>
    </w:p>
    <w:p w14:paraId="750086B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1.1.4采购项目名称：见供应商须知前附表。</w:t>
      </w:r>
    </w:p>
    <w:p w14:paraId="0F3732F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1.1.5落实政府采购政策要求: 见须知前附表。</w:t>
      </w:r>
    </w:p>
    <w:p w14:paraId="3C451074">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1）根据财政部工业和信息化部《政府采购促进中小企业发展暂行办法》（财库〔2020〕46号）和（洛财购﹝2022﹞6号）的规定，支持中小企业采购的，对中小企业作为供应商所提供的小微企业生产的产品的价格给予</w:t>
      </w:r>
      <w:r>
        <w:rPr>
          <w:rFonts w:hint="eastAsia" w:ascii="仿宋" w:hAnsi="仿宋" w:eastAsia="仿宋"/>
          <w:color w:val="auto"/>
          <w:spacing w:val="14"/>
          <w:sz w:val="24"/>
          <w:szCs w:val="24"/>
          <w:lang w:val="en-US" w:eastAsia="zh-CN"/>
        </w:rPr>
        <w:t>1</w:t>
      </w:r>
      <w:r>
        <w:rPr>
          <w:rFonts w:hint="eastAsia" w:ascii="仿宋" w:hAnsi="仿宋" w:eastAsia="仿宋"/>
          <w:color w:val="auto"/>
          <w:spacing w:val="14"/>
          <w:sz w:val="24"/>
          <w:szCs w:val="24"/>
        </w:rPr>
        <w:t>0%的扣除。</w:t>
      </w:r>
    </w:p>
    <w:p w14:paraId="122B3FE3">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（2）根据财政部司法部《关于政府采购支持监狱企业发展有关问题的通知》（财库〔2014〕68号）规定，监狱企业视同小型、微型企业，享受评审中价格扣除等政府采购促进中小企业发展的政府采购政策。</w:t>
      </w:r>
    </w:p>
    <w:p w14:paraId="5C2950BF">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3）根据财政部民政部中国残疾人联合会《关于促进残疾人就业政府采购政策的通知》（财库〔2017〕141号）规定，残疾人福利性单位视同小型、微型企业，享受评审中价格扣除等政府采购促进中小企业发展的政府采购政策。</w:t>
      </w:r>
    </w:p>
    <w:p w14:paraId="51B4C470">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（4）同一供应商（包括联合体），中小微企业产品、监狱企业产品、残疾人福利性单位产品价格扣除优惠只享受一次，不得重复享受。</w:t>
      </w:r>
    </w:p>
    <w:p w14:paraId="4257E9D4">
      <w:pPr>
        <w:pStyle w:val="35"/>
        <w:rPr>
          <w:rFonts w:hint="eastAsia" w:ascii="仿宋" w:hAnsi="仿宋" w:eastAsia="仿宋"/>
          <w:color w:val="auto"/>
          <w:spacing w:val="14"/>
          <w:sz w:val="24"/>
          <w:szCs w:val="24"/>
        </w:rPr>
      </w:pPr>
      <w:r>
        <w:rPr>
          <w:rFonts w:hint="eastAsia" w:ascii="仿宋" w:hAnsi="仿宋" w:eastAsia="仿宋"/>
          <w:color w:val="auto"/>
          <w:spacing w:val="14"/>
          <w:sz w:val="24"/>
          <w:szCs w:val="24"/>
        </w:rPr>
        <w:t>（5）根据财政部工业和信息化部《政府采购促进中小企业发展暂行办法》（财库〔2020〕46号）的规定，</w:t>
      </w:r>
      <w:r>
        <w:rPr>
          <w:rFonts w:hint="eastAsia" w:ascii="仿宋" w:hAnsi="仿宋" w:eastAsia="仿宋"/>
          <w:b/>
          <w:bCs/>
          <w:color w:val="auto"/>
          <w:spacing w:val="14"/>
          <w:sz w:val="24"/>
          <w:szCs w:val="24"/>
          <w:lang w:val="en-US" w:eastAsia="zh-CN"/>
        </w:rPr>
        <w:t>如</w:t>
      </w:r>
      <w:r>
        <w:rPr>
          <w:rFonts w:hint="eastAsia" w:ascii="仿宋" w:hAnsi="仿宋" w:eastAsia="仿宋"/>
          <w:b/>
          <w:bCs/>
          <w:color w:val="auto"/>
          <w:spacing w:val="14"/>
          <w:sz w:val="24"/>
          <w:szCs w:val="24"/>
        </w:rPr>
        <w:t>本项目专门面向中小企业或小微企业采购的，评审中价格将均不予扣除</w:t>
      </w:r>
      <w:r>
        <w:rPr>
          <w:rFonts w:hint="eastAsia" w:ascii="仿宋" w:hAnsi="仿宋" w:eastAsia="仿宋"/>
          <w:color w:val="auto"/>
          <w:spacing w:val="14"/>
          <w:sz w:val="24"/>
          <w:szCs w:val="24"/>
        </w:rPr>
        <w:t>。</w:t>
      </w:r>
    </w:p>
    <w:p w14:paraId="1257DF9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1.1.6项目编号: 见供应商须知前附表。</w:t>
      </w:r>
    </w:p>
    <w:p w14:paraId="59E672F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w:t>
      </w:r>
      <w:r>
        <w:rPr>
          <w:rFonts w:hint="eastAsia" w:ascii="仿宋" w:hAnsi="仿宋" w:eastAsia="仿宋"/>
          <w:color w:val="auto"/>
          <w:spacing w:val="14"/>
          <w:sz w:val="24"/>
          <w:szCs w:val="24"/>
          <w:lang w:val="en-US" w:eastAsia="zh-CN"/>
        </w:rPr>
        <w:t>7</w:t>
      </w:r>
      <w:r>
        <w:rPr>
          <w:rFonts w:hint="eastAsia" w:ascii="仿宋" w:hAnsi="仿宋" w:eastAsia="仿宋"/>
          <w:color w:val="auto"/>
          <w:spacing w:val="14"/>
          <w:sz w:val="24"/>
          <w:szCs w:val="24"/>
        </w:rPr>
        <w:t>采购</w:t>
      </w:r>
      <w:r>
        <w:rPr>
          <w:rFonts w:hint="eastAsia" w:ascii="仿宋" w:hAnsi="仿宋" w:eastAsia="仿宋"/>
          <w:color w:val="auto"/>
          <w:spacing w:val="14"/>
          <w:sz w:val="24"/>
          <w:szCs w:val="24"/>
          <w:lang w:val="en-US" w:eastAsia="zh-CN"/>
        </w:rPr>
        <w:t>包</w:t>
      </w:r>
      <w:r>
        <w:rPr>
          <w:rFonts w:hint="eastAsia" w:ascii="仿宋" w:hAnsi="仿宋" w:eastAsia="仿宋"/>
          <w:color w:val="auto"/>
          <w:spacing w:val="14"/>
          <w:sz w:val="24"/>
          <w:szCs w:val="24"/>
        </w:rPr>
        <w:t>划分: 见供应商须知前附表。</w:t>
      </w:r>
    </w:p>
    <w:p w14:paraId="143CF070">
      <w:pPr>
        <w:keepNext/>
        <w:keepLines/>
        <w:spacing w:line="372" w:lineRule="auto"/>
        <w:outlineLvl w:val="3"/>
        <w:rPr>
          <w:rFonts w:hint="eastAsia" w:ascii="仿宋" w:hAnsi="仿宋" w:eastAsia="仿宋" w:cs="Arial"/>
          <w:b/>
          <w:bCs/>
          <w:spacing w:val="14"/>
          <w:sz w:val="28"/>
          <w:szCs w:val="28"/>
        </w:rPr>
      </w:pPr>
      <w:bookmarkStart w:id="40" w:name="_Toc1662592"/>
      <w:bookmarkEnd w:id="40"/>
      <w:r>
        <w:rPr>
          <w:rFonts w:hint="eastAsia" w:ascii="仿宋" w:hAnsi="仿宋" w:eastAsia="仿宋" w:cs="Arial"/>
          <w:b/>
          <w:bCs/>
          <w:spacing w:val="14"/>
          <w:sz w:val="28"/>
          <w:szCs w:val="28"/>
        </w:rPr>
        <w:t>1.2</w:t>
      </w:r>
      <w:r>
        <w:rPr>
          <w:rFonts w:hint="eastAsia" w:ascii="仿宋" w:hAnsi="仿宋" w:eastAsia="仿宋" w:cs="Arial"/>
          <w:b/>
          <w:bCs/>
          <w:sz w:val="28"/>
          <w:szCs w:val="28"/>
        </w:rPr>
        <w:t>采购项目的资金来源及付款方式</w:t>
      </w:r>
    </w:p>
    <w:p w14:paraId="69E038F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1.2.1资金来源: 见供应商须知前附表。</w:t>
      </w:r>
    </w:p>
    <w:p w14:paraId="34D3692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1.2.2付款方式: 见供应商须知前附表，不接受该条件的响应将被否决。</w:t>
      </w:r>
    </w:p>
    <w:p w14:paraId="3E02E7EB">
      <w:pPr>
        <w:keepNext/>
        <w:keepLines/>
        <w:spacing w:line="372" w:lineRule="auto"/>
        <w:outlineLvl w:val="9"/>
        <w:rPr>
          <w:rFonts w:hint="eastAsia" w:ascii="仿宋" w:hAnsi="仿宋" w:eastAsia="仿宋" w:cs="Arial"/>
          <w:b/>
          <w:bCs/>
          <w:spacing w:val="14"/>
          <w:sz w:val="28"/>
          <w:szCs w:val="28"/>
        </w:rPr>
      </w:pPr>
      <w:bookmarkStart w:id="41" w:name="_Toc1662593"/>
      <w:bookmarkEnd w:id="41"/>
      <w:r>
        <w:rPr>
          <w:rFonts w:hint="eastAsia" w:ascii="仿宋" w:hAnsi="仿宋" w:eastAsia="仿宋" w:cs="Arial"/>
          <w:b/>
          <w:bCs/>
          <w:spacing w:val="14"/>
          <w:sz w:val="28"/>
          <w:szCs w:val="28"/>
        </w:rPr>
        <w:t>1.3合同履行期限（交货期）、质量要求等</w:t>
      </w:r>
    </w:p>
    <w:p w14:paraId="032950B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1.3.1合同履行期限（交货期）：见供应商须知前附表。</w:t>
      </w:r>
    </w:p>
    <w:p w14:paraId="097F4DB4">
      <w:pPr>
        <w:pStyle w:val="13"/>
        <w:rPr>
          <w:rFonts w:hint="eastAsia" w:ascii="仿宋" w:hAnsi="仿宋" w:eastAsia="仿宋"/>
          <w:color w:val="auto"/>
          <w:spacing w:val="14"/>
          <w:sz w:val="24"/>
          <w:szCs w:val="24"/>
          <w:lang w:val="en-US" w:eastAsia="zh-CN"/>
        </w:rPr>
      </w:pPr>
      <w:r>
        <w:rPr>
          <w:rFonts w:hint="eastAsia" w:ascii="仿宋" w:hAnsi="仿宋" w:eastAsia="仿宋"/>
          <w:color w:val="auto"/>
          <w:spacing w:val="14"/>
          <w:sz w:val="24"/>
          <w:szCs w:val="24"/>
        </w:rPr>
        <w:t>1.3.2</w:t>
      </w:r>
      <w:r>
        <w:rPr>
          <w:rFonts w:hint="eastAsia" w:ascii="仿宋" w:hAnsi="仿宋" w:eastAsia="仿宋"/>
          <w:color w:val="auto"/>
          <w:spacing w:val="14"/>
          <w:sz w:val="24"/>
          <w:szCs w:val="24"/>
          <w:lang w:val="en-US" w:eastAsia="zh-CN"/>
        </w:rPr>
        <w:t>交货地点：见供应商须知前附表。</w:t>
      </w:r>
    </w:p>
    <w:p w14:paraId="739A848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3质量要求：见供应商须知前附表。</w:t>
      </w:r>
    </w:p>
    <w:p w14:paraId="03DDD6C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4</w:t>
      </w:r>
      <w:r>
        <w:rPr>
          <w:rFonts w:hint="eastAsia" w:ascii="仿宋" w:hAnsi="仿宋" w:eastAsia="仿宋"/>
          <w:color w:val="auto"/>
          <w:spacing w:val="14"/>
          <w:sz w:val="24"/>
          <w:szCs w:val="24"/>
        </w:rPr>
        <w:t>履约验收：见供应商须知前附表。</w:t>
      </w:r>
    </w:p>
    <w:p w14:paraId="40B9B4D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5质保期</w:t>
      </w:r>
      <w:r>
        <w:rPr>
          <w:rFonts w:hint="eastAsia" w:ascii="仿宋" w:hAnsi="仿宋" w:eastAsia="仿宋"/>
          <w:color w:val="auto"/>
          <w:spacing w:val="14"/>
          <w:sz w:val="24"/>
          <w:szCs w:val="24"/>
        </w:rPr>
        <w:t>：见供应商须知前附表。</w:t>
      </w:r>
    </w:p>
    <w:p w14:paraId="0B541673">
      <w:pPr>
        <w:pStyle w:val="13"/>
        <w:rPr>
          <w:rFonts w:hint="eastAsia"/>
        </w:rPr>
      </w:pPr>
      <w:r>
        <w:rPr>
          <w:rFonts w:hint="eastAsia" w:ascii="仿宋" w:hAnsi="仿宋" w:eastAsia="仿宋"/>
          <w:color w:val="auto"/>
          <w:spacing w:val="14"/>
          <w:sz w:val="24"/>
          <w:szCs w:val="24"/>
        </w:rPr>
        <w:t>1.3.</w:t>
      </w:r>
      <w:r>
        <w:rPr>
          <w:rFonts w:hint="eastAsia" w:ascii="仿宋" w:hAnsi="仿宋" w:eastAsia="仿宋"/>
          <w:color w:val="auto"/>
          <w:spacing w:val="14"/>
          <w:sz w:val="24"/>
          <w:szCs w:val="24"/>
          <w:lang w:val="en-US" w:eastAsia="zh-CN"/>
        </w:rPr>
        <w:t>6售后服务</w:t>
      </w:r>
      <w:r>
        <w:rPr>
          <w:rFonts w:hint="eastAsia" w:ascii="仿宋" w:hAnsi="仿宋" w:eastAsia="仿宋"/>
          <w:color w:val="auto"/>
          <w:spacing w:val="14"/>
          <w:sz w:val="24"/>
          <w:szCs w:val="24"/>
        </w:rPr>
        <w:t>：见供应商须知前附表。</w:t>
      </w:r>
    </w:p>
    <w:p w14:paraId="69F367AF">
      <w:pPr>
        <w:keepNext/>
        <w:keepLines/>
        <w:spacing w:line="372" w:lineRule="auto"/>
        <w:outlineLvl w:val="3"/>
        <w:rPr>
          <w:rFonts w:hint="eastAsia" w:ascii="仿宋" w:hAnsi="仿宋" w:eastAsia="仿宋" w:cs="Arial"/>
          <w:b/>
          <w:bCs/>
          <w:spacing w:val="14"/>
          <w:sz w:val="28"/>
          <w:szCs w:val="28"/>
        </w:rPr>
      </w:pPr>
      <w:bookmarkStart w:id="42" w:name="_Toc1662594"/>
      <w:bookmarkEnd w:id="42"/>
      <w:r>
        <w:rPr>
          <w:rFonts w:hint="eastAsia" w:ascii="仿宋" w:hAnsi="仿宋" w:eastAsia="仿宋" w:cs="Arial"/>
          <w:b/>
          <w:bCs/>
          <w:spacing w:val="14"/>
          <w:sz w:val="28"/>
          <w:szCs w:val="28"/>
        </w:rPr>
        <w:t>1.4 供应商资格要求</w:t>
      </w:r>
    </w:p>
    <w:p w14:paraId="16CF0DD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1.4.1供应商资格要求：供应商应当符合《政府采购法》第二十二条第一款规定的条件，具体供应商见须知前附表。</w:t>
      </w:r>
    </w:p>
    <w:p w14:paraId="3A6C335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1.4.2供应商须知前附表规定接受联合体的，联合体除应符合本章第 1.4.1 项和供应商须知前附表的要求外，还应遵守以下规定：</w:t>
      </w:r>
    </w:p>
    <w:p w14:paraId="67425C0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（1）联合体各方应按磋商文件提供的格式签订联合体协议书，明确联合体牵头人和各方权利义务，并承诺就成交项目向采购人承担连带责任；</w:t>
      </w:r>
    </w:p>
    <w:p w14:paraId="0B48646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（2）两个以上的自然人、法人或者其他组织可以组成一个联合体，以一个供应商的身份共同参加政府采购。</w:t>
      </w:r>
    </w:p>
    <w:p w14:paraId="398A1B8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联合体各方均应当符合《政府采购法》第二十二条第一款规定的条件，根据采购项目的特殊要求规定供应商特定条件的，联合体各方中至少应当有一方符合采购公告规定的供应商资格条件。联合体中有同类资质的供应商按照联合体分工承担相同工作的，应当按照资质等级较低的供应商确定资质等级。</w:t>
      </w:r>
    </w:p>
    <w:p w14:paraId="0F3A140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（4）联合体各方不得再以自己名义单独或参加其他联合体在本采购项目中参与，否则各相关响应文件均无效。</w:t>
      </w:r>
    </w:p>
    <w:p w14:paraId="7DF9B33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1.4.3供应商不得存在下列情形之一：</w:t>
      </w:r>
    </w:p>
    <w:p w14:paraId="11F1C877">
      <w:pPr>
        <w:pStyle w:val="13"/>
        <w:rPr>
          <w:rFonts w:hint="eastAsia" w:ascii="仿宋" w:hAnsi="仿宋" w:eastAsia="仿宋"/>
          <w:color w:val="auto"/>
          <w:spacing w:val="14"/>
          <w:sz w:val="24"/>
          <w:szCs w:val="24"/>
        </w:rPr>
      </w:pPr>
      <w:bookmarkStart w:id="43" w:name="_Toc1662595"/>
      <w:bookmarkEnd w:id="43"/>
      <w:r>
        <w:rPr>
          <w:rFonts w:hint="eastAsia" w:ascii="仿宋" w:hAnsi="仿宋" w:eastAsia="仿宋"/>
          <w:color w:val="auto"/>
          <w:spacing w:val="14"/>
          <w:sz w:val="24"/>
          <w:szCs w:val="24"/>
        </w:rPr>
        <w:t>（1）与采购人存在利害关系且可能影响采购公正性；</w:t>
      </w:r>
    </w:p>
    <w:p w14:paraId="73BC9B2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（2）与本采购项目的其他供应商为同一个单位负责人；</w:t>
      </w:r>
    </w:p>
    <w:p w14:paraId="471CD77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（3）与本采购项目的其他供应商存在直接控股、管理关系；</w:t>
      </w:r>
    </w:p>
    <w:p w14:paraId="40C60EE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（4）为本采购项目提供整体设计、规范编制或者项目管理、监理等服务；</w:t>
      </w:r>
    </w:p>
    <w:p w14:paraId="32B5B1C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（5）为本采购项目的采购代理机构或与采购代理机构同为一个法定代表人；</w:t>
      </w:r>
    </w:p>
    <w:p w14:paraId="69D6748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（6）因违法经营受到刑事处罚或者责令停产停业、吊销许可证或者执照、较大数额罚款等行政处罚；</w:t>
      </w:r>
    </w:p>
    <w:p w14:paraId="13708F4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（7）进入清算程序，或被宣告破产，或其他丧失履约能力的情形；</w:t>
      </w:r>
    </w:p>
    <w:p w14:paraId="56BF664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（8）在近三年内供应商有行贿犯罪行为的；</w:t>
      </w:r>
    </w:p>
    <w:p w14:paraId="26779E7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（9）法律法规或供应商须知前附表规定的其他情形。</w:t>
      </w:r>
    </w:p>
    <w:p w14:paraId="5A4E5E1B">
      <w:pPr>
        <w:keepNext/>
        <w:keepLines/>
        <w:spacing w:line="440" w:lineRule="exact"/>
        <w:outlineLvl w:val="9"/>
        <w:rPr>
          <w:rFonts w:hint="eastAsia" w:ascii="仿宋" w:hAnsi="仿宋" w:eastAsia="仿宋" w:cs="Arial"/>
          <w:b/>
          <w:bCs/>
          <w:spacing w:val="14"/>
          <w:sz w:val="28"/>
          <w:szCs w:val="28"/>
        </w:rPr>
      </w:pPr>
      <w:r>
        <w:rPr>
          <w:rFonts w:hint="eastAsia" w:ascii="仿宋" w:hAnsi="仿宋" w:eastAsia="仿宋" w:cs="Arial"/>
          <w:b/>
          <w:bCs/>
          <w:spacing w:val="14"/>
          <w:sz w:val="28"/>
          <w:szCs w:val="28"/>
        </w:rPr>
        <w:t>1.5 费用承担</w:t>
      </w:r>
    </w:p>
    <w:p w14:paraId="055B5D1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供应商准备和参加采购活动发生的费用自理。</w:t>
      </w:r>
    </w:p>
    <w:p w14:paraId="0BE2BF27">
      <w:pPr>
        <w:keepNext/>
        <w:keepLines/>
        <w:spacing w:line="440" w:lineRule="exact"/>
        <w:outlineLvl w:val="3"/>
        <w:rPr>
          <w:rFonts w:hint="eastAsia" w:ascii="仿宋" w:hAnsi="仿宋" w:eastAsia="仿宋" w:cs="Arial"/>
          <w:b/>
          <w:bCs/>
          <w:spacing w:val="14"/>
          <w:sz w:val="28"/>
          <w:szCs w:val="28"/>
        </w:rPr>
      </w:pPr>
      <w:bookmarkStart w:id="44" w:name="_Toc1662596"/>
      <w:bookmarkEnd w:id="44"/>
      <w:r>
        <w:rPr>
          <w:rFonts w:hint="eastAsia" w:ascii="仿宋" w:hAnsi="仿宋" w:eastAsia="仿宋" w:cs="Arial"/>
          <w:b/>
          <w:bCs/>
          <w:spacing w:val="14"/>
          <w:sz w:val="28"/>
          <w:szCs w:val="28"/>
        </w:rPr>
        <w:t>1.6 保密</w:t>
      </w:r>
    </w:p>
    <w:p w14:paraId="58891E1E">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参与采购活动的各方应对磋商文件和响应文件中的商业和技术等秘密保密，否则应承担相应的法律责任。</w:t>
      </w:r>
    </w:p>
    <w:p w14:paraId="1552F32C">
      <w:pPr>
        <w:keepNext/>
        <w:keepLines/>
        <w:spacing w:line="440" w:lineRule="exact"/>
        <w:outlineLvl w:val="3"/>
        <w:rPr>
          <w:rFonts w:hint="eastAsia" w:ascii="仿宋" w:hAnsi="仿宋" w:eastAsia="仿宋" w:cs="Arial"/>
          <w:b/>
          <w:bCs/>
          <w:spacing w:val="14"/>
          <w:sz w:val="28"/>
          <w:szCs w:val="28"/>
        </w:rPr>
      </w:pPr>
      <w:bookmarkStart w:id="45" w:name="_Toc1662597"/>
      <w:bookmarkEnd w:id="45"/>
      <w:r>
        <w:rPr>
          <w:rFonts w:hint="eastAsia" w:ascii="仿宋" w:hAnsi="仿宋" w:eastAsia="仿宋" w:cs="Arial"/>
          <w:b/>
          <w:bCs/>
          <w:spacing w:val="14"/>
          <w:sz w:val="28"/>
          <w:szCs w:val="28"/>
        </w:rPr>
        <w:t>1.7 语言文字</w:t>
      </w:r>
    </w:p>
    <w:p w14:paraId="07C68F28">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磋商文件、响应文件使用的语言文字为中文。专用术语使用外文的，应附有中文注释。</w:t>
      </w:r>
    </w:p>
    <w:p w14:paraId="0E4BEC23">
      <w:pPr>
        <w:keepNext/>
        <w:keepLines/>
        <w:spacing w:line="440" w:lineRule="exact"/>
        <w:outlineLvl w:val="3"/>
        <w:rPr>
          <w:rFonts w:hint="eastAsia" w:ascii="仿宋" w:hAnsi="仿宋" w:eastAsia="仿宋" w:cs="Arial"/>
          <w:b/>
          <w:bCs/>
          <w:spacing w:val="14"/>
          <w:sz w:val="28"/>
          <w:szCs w:val="28"/>
        </w:rPr>
      </w:pPr>
      <w:bookmarkStart w:id="46" w:name="_Toc1662598"/>
      <w:bookmarkEnd w:id="46"/>
      <w:r>
        <w:rPr>
          <w:rFonts w:hint="eastAsia" w:ascii="仿宋" w:hAnsi="仿宋" w:eastAsia="仿宋" w:cs="Arial"/>
          <w:b/>
          <w:bCs/>
          <w:spacing w:val="14"/>
          <w:sz w:val="28"/>
          <w:szCs w:val="28"/>
        </w:rPr>
        <w:t>1.8 计量单位</w:t>
      </w:r>
    </w:p>
    <w:p w14:paraId="1C60D980">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所有计量均采用中华人民共和国法定计量单位。</w:t>
      </w:r>
    </w:p>
    <w:p w14:paraId="4070977E">
      <w:pPr>
        <w:keepNext/>
        <w:keepLines/>
        <w:spacing w:line="440" w:lineRule="exact"/>
        <w:outlineLvl w:val="3"/>
        <w:rPr>
          <w:rFonts w:hint="eastAsia" w:ascii="仿宋" w:hAnsi="仿宋" w:eastAsia="仿宋" w:cs="Arial"/>
          <w:b/>
          <w:bCs/>
          <w:spacing w:val="14"/>
          <w:sz w:val="28"/>
          <w:szCs w:val="28"/>
        </w:rPr>
      </w:pPr>
      <w:bookmarkStart w:id="47" w:name="_Toc1662599"/>
      <w:bookmarkEnd w:id="47"/>
      <w:r>
        <w:rPr>
          <w:rFonts w:hint="eastAsia" w:ascii="仿宋" w:hAnsi="仿宋" w:eastAsia="仿宋" w:cs="Arial"/>
          <w:b/>
          <w:bCs/>
          <w:spacing w:val="14"/>
          <w:sz w:val="28"/>
          <w:szCs w:val="28"/>
        </w:rPr>
        <w:t>1.9 磋商预备会</w:t>
      </w:r>
    </w:p>
    <w:p w14:paraId="672CBBF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1.9.1供应商须知前附表规定召开磋商预备会的，采购人按供应商须知前附表规定的时间和地点召开磋商预备会，澄清提出的问题。</w:t>
      </w:r>
    </w:p>
    <w:p w14:paraId="5F9D642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1.9.2供应商应按供应商须知前附表规定的时间和形式将提出的问题送达采购人，以便采购人在会议期间澄清。</w:t>
      </w:r>
    </w:p>
    <w:p w14:paraId="1E45FFC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1.9.3磋商预备会后，采购人对供应商所提问题的澄清为磋商文件的组成部分。</w:t>
      </w:r>
    </w:p>
    <w:p w14:paraId="5FE4AC1D">
      <w:pPr>
        <w:keepNext/>
        <w:keepLines/>
        <w:spacing w:line="440" w:lineRule="exact"/>
        <w:outlineLvl w:val="3"/>
        <w:rPr>
          <w:rFonts w:hint="eastAsia" w:ascii="仿宋" w:hAnsi="仿宋" w:eastAsia="仿宋" w:cs="Arial"/>
          <w:b/>
          <w:bCs/>
          <w:spacing w:val="14"/>
          <w:sz w:val="28"/>
          <w:szCs w:val="28"/>
        </w:rPr>
      </w:pPr>
      <w:bookmarkStart w:id="48" w:name="_Toc1662600"/>
      <w:bookmarkEnd w:id="48"/>
      <w:r>
        <w:rPr>
          <w:rFonts w:hint="eastAsia" w:ascii="仿宋" w:hAnsi="仿宋" w:eastAsia="仿宋" w:cs="Arial"/>
          <w:b/>
          <w:bCs/>
          <w:spacing w:val="14"/>
          <w:sz w:val="28"/>
          <w:szCs w:val="28"/>
        </w:rPr>
        <w:t>1.10 分包</w:t>
      </w:r>
    </w:p>
    <w:p w14:paraId="7C1D263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1.10.1供应商拟在成交后将成交项目的非主体货物进行分包的，应符合供应商须知前附表规定的分包内容、分包金额和资质要求等限制性条件，除供应商须知前附表规定的非主体货物外，其他工作不得分包。</w:t>
      </w:r>
    </w:p>
    <w:p w14:paraId="6F8D2E5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1.10.2成交供应商不得向他人转让成交项目，接受分包的人不得再次分包。成交供应商应当就分包项目向采购人负责，接受分包的人就分包项目承担连带责任。</w:t>
      </w:r>
    </w:p>
    <w:p w14:paraId="1A440919">
      <w:pPr>
        <w:keepNext/>
        <w:keepLines/>
        <w:spacing w:line="440" w:lineRule="exact"/>
        <w:outlineLvl w:val="3"/>
        <w:rPr>
          <w:rFonts w:hint="eastAsia" w:ascii="仿宋" w:hAnsi="仿宋" w:eastAsia="仿宋" w:cs="Arial"/>
          <w:b/>
          <w:bCs/>
          <w:spacing w:val="14"/>
          <w:sz w:val="28"/>
          <w:szCs w:val="28"/>
        </w:rPr>
      </w:pPr>
      <w:bookmarkStart w:id="49" w:name="_Toc1662601"/>
      <w:bookmarkEnd w:id="49"/>
      <w:r>
        <w:rPr>
          <w:rFonts w:hint="eastAsia" w:ascii="仿宋" w:hAnsi="仿宋" w:eastAsia="仿宋" w:cs="Arial"/>
          <w:b/>
          <w:bCs/>
          <w:spacing w:val="14"/>
          <w:sz w:val="28"/>
          <w:szCs w:val="28"/>
        </w:rPr>
        <w:t>1.11 响应和偏差</w:t>
      </w:r>
    </w:p>
    <w:p w14:paraId="7439E250">
      <w:pPr>
        <w:pStyle w:val="42"/>
        <w:ind w:firstLine="539"/>
        <w:rPr>
          <w:rFonts w:hint="eastAsia" w:ascii="仿宋" w:hAnsi="仿宋" w:eastAsia="仿宋"/>
          <w:color w:val="auto"/>
          <w:spacing w:val="14"/>
          <w:kern w:val="0"/>
          <w:sz w:val="24"/>
          <w:szCs w:val="24"/>
        </w:rPr>
      </w:pPr>
      <w:bookmarkStart w:id="50" w:name="_Toc1662602"/>
      <w:bookmarkEnd w:id="50"/>
      <w:bookmarkStart w:id="51" w:name="_Toc26764"/>
      <w:bookmarkEnd w:id="51"/>
      <w:bookmarkStart w:id="52" w:name="_Toc256000004"/>
      <w:bookmarkEnd w:id="52"/>
      <w:bookmarkStart w:id="53" w:name="_Toc256000034"/>
      <w:r>
        <w:rPr>
          <w:rFonts w:hint="eastAsia" w:ascii="仿宋" w:hAnsi="仿宋" w:eastAsia="仿宋"/>
          <w:color w:val="auto"/>
          <w:spacing w:val="14"/>
          <w:kern w:val="0"/>
          <w:sz w:val="24"/>
          <w:szCs w:val="24"/>
        </w:rPr>
        <w:t>1.11.1 响应文件应当对磋商文件的实质性要求和条件作出满足性或更有利于采购人的响应，否则，供应商的投标将被否决。实质性要求和条件见供应商须知前附表。</w:t>
      </w:r>
      <w:bookmarkEnd w:id="53"/>
    </w:p>
    <w:p w14:paraId="6E640145">
      <w:pPr>
        <w:pStyle w:val="42"/>
        <w:ind w:firstLine="539"/>
        <w:rPr>
          <w:rFonts w:hint="eastAsia" w:ascii="仿宋" w:hAnsi="仿宋" w:eastAsia="仿宋"/>
          <w:color w:val="auto"/>
          <w:spacing w:val="14"/>
          <w:sz w:val="24"/>
          <w:szCs w:val="24"/>
        </w:rPr>
      </w:pPr>
      <w:r>
        <w:rPr>
          <w:rFonts w:hint="eastAsia" w:ascii="仿宋" w:hAnsi="仿宋" w:eastAsia="仿宋"/>
          <w:color w:val="auto"/>
          <w:spacing w:val="14"/>
          <w:kern w:val="0"/>
          <w:sz w:val="24"/>
          <w:szCs w:val="24"/>
        </w:rPr>
        <w:t>1.11.2 供应商应根据磋商文件的要求</w:t>
      </w:r>
      <w:r>
        <w:rPr>
          <w:rFonts w:hint="eastAsia" w:ascii="仿宋" w:hAnsi="仿宋" w:eastAsia="仿宋"/>
          <w:color w:val="auto"/>
          <w:spacing w:val="14"/>
          <w:sz w:val="24"/>
          <w:szCs w:val="24"/>
        </w:rPr>
        <w:t>提供服务要求响应与偏差表、商务要求响应与偏差表等内容以对招标文件作出响应。</w:t>
      </w:r>
    </w:p>
    <w:p w14:paraId="010CBDDE">
      <w:pPr>
        <w:pStyle w:val="42"/>
        <w:ind w:firstLine="539"/>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1.11.3 供应商须知前附表规定了可以偏差的范围和最高偏差项数的，偏差应当符合供应商须知前附表规定的偏差范围和最高项数，超出偏差范围和最高偏差项数的投标将被否决。</w:t>
      </w:r>
    </w:p>
    <w:p w14:paraId="4271C47B">
      <w:pPr>
        <w:pStyle w:val="42"/>
        <w:ind w:firstLine="539"/>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1.11.4 响应文件对招标文件的全部偏差，均应在响应文件的商务要求响应与偏差表中列明，除列明的内容外，视为供应商响应招标文件的全部要求。</w:t>
      </w:r>
    </w:p>
    <w:p w14:paraId="61424B7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1.11.5如响应文件服务要求响应与偏差表、商务要求响应与偏差表中列明的内容与响应文件的其他地方存在不一致，以服务要求响应与偏差表、商务要求响应与偏差表中列明的内容为准。</w:t>
      </w:r>
    </w:p>
    <w:p w14:paraId="37BE575D">
      <w:pPr>
        <w:keepNext/>
        <w:keepLines/>
        <w:spacing w:before="260" w:after="260" w:line="440" w:lineRule="exact"/>
        <w:outlineLvl w:val="2"/>
        <w:rPr>
          <w:rFonts w:hint="eastAsia" w:ascii="仿宋" w:hAnsi="仿宋" w:eastAsia="仿宋"/>
          <w:b/>
          <w:bCs/>
          <w:sz w:val="28"/>
          <w:szCs w:val="28"/>
        </w:rPr>
      </w:pPr>
      <w:bookmarkStart w:id="54" w:name="_Toc256000018"/>
      <w:bookmarkEnd w:id="54"/>
      <w:bookmarkStart w:id="55" w:name="_Toc23046"/>
      <w:bookmarkStart w:id="56" w:name="_Toc20059"/>
      <w:bookmarkStart w:id="57" w:name="_Toc130305928"/>
      <w:bookmarkStart w:id="58" w:name="_Toc256000031"/>
      <w:bookmarkStart w:id="59" w:name="_Toc16803"/>
      <w:bookmarkStart w:id="60" w:name="_Toc11806"/>
      <w:r>
        <w:rPr>
          <w:rFonts w:hint="eastAsia" w:ascii="仿宋" w:hAnsi="仿宋" w:eastAsia="仿宋"/>
          <w:b/>
          <w:bCs/>
          <w:sz w:val="28"/>
          <w:szCs w:val="28"/>
        </w:rPr>
        <w:t>2、磋商文件</w:t>
      </w:r>
      <w:bookmarkEnd w:id="55"/>
      <w:bookmarkEnd w:id="56"/>
      <w:bookmarkEnd w:id="57"/>
      <w:bookmarkEnd w:id="58"/>
      <w:bookmarkEnd w:id="59"/>
      <w:bookmarkEnd w:id="60"/>
    </w:p>
    <w:p w14:paraId="036A17E6">
      <w:pPr>
        <w:keepNext/>
        <w:keepLines/>
        <w:spacing w:line="440" w:lineRule="exact"/>
        <w:outlineLvl w:val="3"/>
        <w:rPr>
          <w:rFonts w:hint="eastAsia" w:ascii="仿宋" w:hAnsi="仿宋" w:eastAsia="仿宋" w:cs="Arial"/>
          <w:b/>
          <w:bCs/>
          <w:spacing w:val="14"/>
          <w:sz w:val="28"/>
          <w:szCs w:val="28"/>
        </w:rPr>
      </w:pPr>
      <w:bookmarkStart w:id="61" w:name="_Toc1662603"/>
      <w:bookmarkEnd w:id="61"/>
      <w:r>
        <w:rPr>
          <w:rFonts w:hint="eastAsia" w:ascii="仿宋" w:hAnsi="仿宋" w:eastAsia="仿宋" w:cs="Arial"/>
          <w:b/>
          <w:bCs/>
          <w:spacing w:val="14"/>
          <w:sz w:val="28"/>
          <w:szCs w:val="28"/>
        </w:rPr>
        <w:t>2.1 磋商文件的组成</w:t>
      </w:r>
    </w:p>
    <w:p w14:paraId="132BD47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本磋商文件包括：</w:t>
      </w:r>
    </w:p>
    <w:p w14:paraId="556F66C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（1）采购公告；</w:t>
      </w:r>
    </w:p>
    <w:p w14:paraId="4A47143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（2）供应商须知； </w:t>
      </w:r>
    </w:p>
    <w:p w14:paraId="292964C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（3）采购需求；</w:t>
      </w:r>
    </w:p>
    <w:p w14:paraId="2976451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（4）合同（样本）；</w:t>
      </w:r>
    </w:p>
    <w:p w14:paraId="6D8F4CD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（5）资格审查与评审办法；</w:t>
      </w:r>
    </w:p>
    <w:p w14:paraId="56AAAC5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（6）资格审查与评审标准；</w:t>
      </w:r>
    </w:p>
    <w:p w14:paraId="371D209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（7）响应文件格式。</w:t>
      </w:r>
    </w:p>
    <w:p w14:paraId="0818CF77">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根据本章第 1.9 款、第 2.2 款对磋商文件所作的澄清、修改，构成磋商文件的组成部分。</w:t>
      </w:r>
    </w:p>
    <w:p w14:paraId="76817B2D">
      <w:pPr>
        <w:keepNext/>
        <w:keepLines/>
        <w:spacing w:line="440" w:lineRule="exact"/>
        <w:outlineLvl w:val="3"/>
        <w:rPr>
          <w:rFonts w:hint="eastAsia" w:ascii="仿宋" w:hAnsi="仿宋" w:eastAsia="仿宋" w:cs="Arial"/>
          <w:b/>
          <w:bCs/>
          <w:spacing w:val="14"/>
          <w:sz w:val="28"/>
          <w:szCs w:val="28"/>
        </w:rPr>
      </w:pPr>
      <w:bookmarkStart w:id="62" w:name="_Toc1662604"/>
      <w:bookmarkEnd w:id="62"/>
      <w:r>
        <w:rPr>
          <w:rFonts w:hint="eastAsia" w:ascii="仿宋" w:hAnsi="仿宋" w:eastAsia="仿宋" w:cs="Arial"/>
          <w:b/>
          <w:bCs/>
          <w:spacing w:val="14"/>
          <w:sz w:val="28"/>
          <w:szCs w:val="28"/>
        </w:rPr>
        <w:t>2.2 磋商文件的澄清</w:t>
      </w:r>
    </w:p>
    <w:p w14:paraId="30BFA58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3463AD6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2.2.2 磋商文件的澄清、修改按供应商须知前附表规定的形式发出。澄清、修改发出的时间距提交响应文件截止时间不足5日的，并且修改内容可能影响响应文件编制的，将相应延长提交响应文件截止时间。</w:t>
      </w:r>
    </w:p>
    <w:p w14:paraId="43921E72">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2.2.3 除非采购人认为确有必要答复，否则，采购人有权拒绝回复供应商在本章第 2.2.1 项规定的时间后的任何澄清要求。</w:t>
      </w:r>
    </w:p>
    <w:p w14:paraId="136535DA">
      <w:pPr>
        <w:keepNext/>
        <w:keepLines/>
        <w:spacing w:line="440" w:lineRule="exact"/>
        <w:outlineLvl w:val="3"/>
        <w:rPr>
          <w:rFonts w:hint="eastAsia" w:ascii="仿宋" w:hAnsi="仿宋" w:eastAsia="仿宋" w:cs="Arial"/>
          <w:b/>
          <w:bCs/>
          <w:spacing w:val="14"/>
          <w:sz w:val="28"/>
          <w:szCs w:val="28"/>
        </w:rPr>
      </w:pPr>
      <w:bookmarkStart w:id="63" w:name="_Toc1662605"/>
      <w:bookmarkEnd w:id="63"/>
      <w:r>
        <w:rPr>
          <w:rFonts w:hint="eastAsia" w:ascii="仿宋" w:hAnsi="仿宋" w:eastAsia="仿宋" w:cs="Arial"/>
          <w:b/>
          <w:bCs/>
          <w:spacing w:val="14"/>
          <w:sz w:val="28"/>
          <w:szCs w:val="28"/>
        </w:rPr>
        <w:t>2.3 磋商文件的异议</w:t>
      </w:r>
    </w:p>
    <w:p w14:paraId="095AF777">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供应商或者其他利害关系人对磋商文件有质疑的，应当在提交响应文件截止时间5日前以书面形式提出。</w:t>
      </w:r>
    </w:p>
    <w:p w14:paraId="67C7D93F">
      <w:pPr>
        <w:keepNext/>
        <w:keepLines/>
        <w:spacing w:before="260" w:after="260" w:line="440" w:lineRule="exact"/>
        <w:outlineLvl w:val="9"/>
        <w:rPr>
          <w:rFonts w:hint="eastAsia" w:ascii="仿宋" w:hAnsi="仿宋" w:eastAsia="仿宋"/>
          <w:b/>
          <w:bCs/>
          <w:sz w:val="28"/>
          <w:szCs w:val="28"/>
          <w:highlight w:val="none"/>
        </w:rPr>
      </w:pPr>
      <w:bookmarkStart w:id="64" w:name="_Toc256000035"/>
      <w:bookmarkEnd w:id="64"/>
      <w:bookmarkStart w:id="65" w:name="_Toc1662606"/>
      <w:bookmarkEnd w:id="65"/>
      <w:bookmarkStart w:id="66" w:name="_Toc30496"/>
      <w:bookmarkEnd w:id="66"/>
      <w:bookmarkStart w:id="67" w:name="_Toc256000005"/>
      <w:bookmarkEnd w:id="67"/>
      <w:bookmarkStart w:id="68" w:name="_Toc256000025"/>
      <w:bookmarkEnd w:id="68"/>
      <w:bookmarkStart w:id="69" w:name="_Toc130305929"/>
      <w:bookmarkStart w:id="70" w:name="_Toc30115"/>
      <w:bookmarkStart w:id="71" w:name="_Toc25157"/>
      <w:bookmarkStart w:id="72" w:name="_Toc10418"/>
      <w:bookmarkStart w:id="73" w:name="_Toc256000032"/>
      <w:r>
        <w:rPr>
          <w:rFonts w:hint="eastAsia" w:ascii="仿宋" w:hAnsi="仿宋" w:eastAsia="仿宋"/>
          <w:b/>
          <w:bCs/>
          <w:sz w:val="28"/>
          <w:szCs w:val="28"/>
          <w:highlight w:val="none"/>
        </w:rPr>
        <w:t>3、响应文件</w:t>
      </w:r>
      <w:bookmarkEnd w:id="69"/>
      <w:bookmarkEnd w:id="70"/>
      <w:bookmarkEnd w:id="71"/>
      <w:bookmarkEnd w:id="72"/>
      <w:bookmarkEnd w:id="73"/>
    </w:p>
    <w:p w14:paraId="5916433B">
      <w:pPr>
        <w:keepNext/>
        <w:keepLines/>
        <w:spacing w:line="440" w:lineRule="exact"/>
        <w:outlineLvl w:val="3"/>
        <w:rPr>
          <w:rFonts w:hint="eastAsia" w:ascii="仿宋" w:hAnsi="仿宋" w:eastAsia="仿宋" w:cs="Arial"/>
          <w:b/>
          <w:bCs/>
          <w:spacing w:val="14"/>
          <w:sz w:val="28"/>
          <w:szCs w:val="28"/>
          <w:highlight w:val="none"/>
        </w:rPr>
      </w:pPr>
      <w:bookmarkStart w:id="74" w:name="_Toc1662607"/>
      <w:bookmarkEnd w:id="74"/>
      <w:r>
        <w:rPr>
          <w:rFonts w:hint="eastAsia" w:ascii="仿宋" w:hAnsi="仿宋" w:eastAsia="仿宋" w:cs="Arial"/>
          <w:b/>
          <w:bCs/>
          <w:spacing w:val="14"/>
          <w:sz w:val="28"/>
          <w:szCs w:val="28"/>
          <w:highlight w:val="none"/>
        </w:rPr>
        <w:t>3.1 响应文件的组成</w:t>
      </w:r>
    </w:p>
    <w:p w14:paraId="4D466605">
      <w:pPr>
        <w:pStyle w:val="13"/>
        <w:rPr>
          <w:rFonts w:hint="eastAsia" w:ascii="仿宋" w:hAnsi="仿宋" w:eastAsia="仿宋"/>
          <w:color w:val="auto"/>
          <w:spacing w:val="14"/>
          <w:sz w:val="24"/>
          <w:szCs w:val="24"/>
          <w:highlight w:val="none"/>
        </w:rPr>
      </w:pPr>
      <w:r>
        <w:rPr>
          <w:rFonts w:hint="eastAsia" w:ascii="仿宋" w:hAnsi="仿宋" w:eastAsia="仿宋"/>
          <w:color w:val="auto"/>
          <w:spacing w:val="14"/>
          <w:sz w:val="24"/>
          <w:szCs w:val="24"/>
          <w:highlight w:val="none"/>
        </w:rPr>
        <w:t>3.1.1 响应文件应包括下列内容（具体详见磋商文件第七章“响应文件格式”）：</w:t>
      </w:r>
    </w:p>
    <w:p w14:paraId="78CFB38D">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一、封面</w:t>
      </w:r>
    </w:p>
    <w:p w14:paraId="08A4449B">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二、投标函</w:t>
      </w:r>
    </w:p>
    <w:p w14:paraId="2DD6B9DA">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三、法定代表人授权书</w:t>
      </w:r>
    </w:p>
    <w:p w14:paraId="67699166">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四、法人被授权人身份证扫描件</w:t>
      </w:r>
    </w:p>
    <w:p w14:paraId="0D92FF7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五、资格证明材料</w:t>
      </w:r>
    </w:p>
    <w:p w14:paraId="0EB60E8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六、开标一览表</w:t>
      </w:r>
    </w:p>
    <w:p w14:paraId="5013C79E">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七、报价明细表</w:t>
      </w:r>
    </w:p>
    <w:p w14:paraId="51B7598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八、中小微企业声明函</w:t>
      </w:r>
    </w:p>
    <w:p w14:paraId="488F2A2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九、残疾人福利性单位声明函</w:t>
      </w:r>
    </w:p>
    <w:p w14:paraId="566335A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十、监狱企业证明文件</w:t>
      </w:r>
    </w:p>
    <w:p w14:paraId="4CBBEDF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十一、技术要求响应与偏差表</w:t>
      </w:r>
    </w:p>
    <w:p w14:paraId="159B446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十二、商务要求响应与偏差表</w:t>
      </w:r>
    </w:p>
    <w:p w14:paraId="3FBDFBC6">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十三、节能产品、环境标志产品明细表</w:t>
      </w:r>
    </w:p>
    <w:p w14:paraId="380296D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十四、实质性技术要求的支持资料</w:t>
      </w:r>
    </w:p>
    <w:p w14:paraId="234798FA">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lang w:eastAsia="zh-CN"/>
        </w:rPr>
        <w:t>十五、</w:t>
      </w:r>
      <w:r>
        <w:rPr>
          <w:rFonts w:hint="eastAsia" w:ascii="仿宋" w:hAnsi="仿宋" w:eastAsia="仿宋"/>
          <w:color w:val="auto"/>
          <w:spacing w:val="14"/>
          <w:sz w:val="24"/>
          <w:szCs w:val="24"/>
        </w:rPr>
        <w:t>项目实施方案</w:t>
      </w:r>
    </w:p>
    <w:p w14:paraId="378E8CE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十六、其他需要提供的资料</w:t>
      </w:r>
    </w:p>
    <w:p w14:paraId="7FD26B5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十</w:t>
      </w:r>
      <w:r>
        <w:rPr>
          <w:rFonts w:hint="eastAsia" w:ascii="仿宋" w:hAnsi="仿宋" w:eastAsia="仿宋"/>
          <w:color w:val="auto"/>
          <w:spacing w:val="14"/>
          <w:sz w:val="24"/>
          <w:szCs w:val="24"/>
          <w:lang w:eastAsia="zh-CN"/>
        </w:rPr>
        <w:t>七</w:t>
      </w:r>
      <w:r>
        <w:rPr>
          <w:rFonts w:hint="eastAsia" w:ascii="仿宋" w:hAnsi="仿宋" w:eastAsia="仿宋"/>
          <w:color w:val="auto"/>
          <w:spacing w:val="14"/>
          <w:sz w:val="24"/>
          <w:szCs w:val="24"/>
        </w:rPr>
        <w:t>、参与评审打分的合同业绩一览表</w:t>
      </w:r>
    </w:p>
    <w:p w14:paraId="6334E1A8">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lang w:eastAsia="zh-CN"/>
        </w:rPr>
        <w:t>十八</w:t>
      </w:r>
      <w:r>
        <w:rPr>
          <w:rFonts w:hint="eastAsia" w:ascii="仿宋" w:hAnsi="仿宋" w:eastAsia="仿宋"/>
          <w:color w:val="auto"/>
          <w:spacing w:val="14"/>
          <w:sz w:val="24"/>
          <w:szCs w:val="24"/>
        </w:rPr>
        <w:t>、参与评审打分的合同业绩扫描件</w:t>
      </w:r>
    </w:p>
    <w:p w14:paraId="58D94822">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供应商在评审过程中作出的符合法律法规和磋商文件规定的澄清确认，构成响应文件的组成部分。</w:t>
      </w:r>
    </w:p>
    <w:p w14:paraId="4B8C2917">
      <w:pPr>
        <w:keepNext/>
        <w:keepLines/>
        <w:spacing w:line="440" w:lineRule="exact"/>
        <w:outlineLvl w:val="3"/>
        <w:rPr>
          <w:rFonts w:hint="eastAsia" w:ascii="仿宋" w:hAnsi="仿宋" w:eastAsia="仿宋" w:cs="Arial"/>
          <w:b/>
          <w:bCs/>
          <w:spacing w:val="14"/>
          <w:sz w:val="28"/>
          <w:szCs w:val="28"/>
        </w:rPr>
      </w:pPr>
      <w:bookmarkStart w:id="75" w:name="_Toc1662608"/>
      <w:bookmarkEnd w:id="75"/>
      <w:r>
        <w:rPr>
          <w:rFonts w:hint="eastAsia" w:ascii="仿宋" w:hAnsi="仿宋" w:eastAsia="仿宋" w:cs="Arial"/>
          <w:b/>
          <w:bCs/>
          <w:spacing w:val="14"/>
          <w:sz w:val="28"/>
          <w:szCs w:val="28"/>
        </w:rPr>
        <w:t>3.2报价</w:t>
      </w:r>
    </w:p>
    <w:p w14:paraId="7BFED99A">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3.2.1报价涉及货币的应为人民币，包括国家规定的增值税税金。供应商应按第七章“响应文件格式”的要求进行报价并填写报价明细表。</w:t>
      </w:r>
    </w:p>
    <w:p w14:paraId="037B732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3.2.2供应商应充分了解该项目的总体情况以及影响报价的其他要素。总报价为各分项报价金额之和，总报价与分项报价的合价不一致的，应以各分项合价累计数为准，修正总报价；如分项报价中存在缺漏项，则视为缺漏项价格已包含在其他分项报价之中。</w:t>
      </w:r>
    </w:p>
    <w:p w14:paraId="6D31A51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3.2.4 采购人设有预算控制金额的，供应商的报价不得超过预算控制金额，预算控制金额在须知前附表中载明。</w:t>
      </w:r>
    </w:p>
    <w:p w14:paraId="26E214A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3.2.5报价的其他要求见供应商须知前附表。</w:t>
      </w:r>
    </w:p>
    <w:p w14:paraId="16A68CCF">
      <w:pPr>
        <w:spacing w:line="440" w:lineRule="exact"/>
        <w:ind w:firstLine="472" w:firstLineChars="199"/>
        <w:rPr>
          <w:rFonts w:hint="eastAsia" w:ascii="仿宋" w:hAnsi="仿宋" w:eastAsia="仿宋" w:cs="宋体"/>
          <w:b/>
          <w:spacing w:val="14"/>
          <w:sz w:val="24"/>
          <w:szCs w:val="24"/>
        </w:rPr>
      </w:pPr>
      <w:r>
        <w:rPr>
          <w:rFonts w:hint="eastAsia" w:ascii="仿宋" w:hAnsi="仿宋" w:eastAsia="仿宋" w:cs="宋体"/>
          <w:b/>
          <w:spacing w:val="14"/>
          <w:sz w:val="24"/>
          <w:szCs w:val="24"/>
        </w:rPr>
        <w:t>3.2.6本次采购为竞争性磋商采购，允许符合要求的供应商在规定的时间提交最终报价，本次磋商采用不见面开标方式，最终报价将以远程系统方式进行报价，请各位供应商在开评标期间网络在线，保持畅通。</w:t>
      </w:r>
    </w:p>
    <w:p w14:paraId="0A5A7B20">
      <w:pPr>
        <w:keepNext/>
        <w:keepLines/>
        <w:spacing w:line="440" w:lineRule="exact"/>
        <w:outlineLvl w:val="3"/>
        <w:rPr>
          <w:rFonts w:hint="eastAsia" w:ascii="仿宋" w:hAnsi="仿宋" w:eastAsia="仿宋" w:cs="Arial"/>
          <w:b/>
          <w:bCs/>
          <w:spacing w:val="14"/>
          <w:sz w:val="24"/>
          <w:szCs w:val="24"/>
        </w:rPr>
      </w:pPr>
      <w:bookmarkStart w:id="76" w:name="_Toc1662609"/>
      <w:bookmarkEnd w:id="76"/>
      <w:r>
        <w:rPr>
          <w:rFonts w:hint="eastAsia" w:ascii="仿宋" w:hAnsi="仿宋" w:eastAsia="仿宋" w:cs="Arial"/>
          <w:b/>
          <w:bCs/>
          <w:spacing w:val="14"/>
          <w:sz w:val="24"/>
          <w:szCs w:val="24"/>
        </w:rPr>
        <w:t>3.3 响应文件有效期</w:t>
      </w:r>
    </w:p>
    <w:p w14:paraId="1A21B805">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3.3.1 除供应商须知前附表另有规定外，提交响应文件截止时间后90天。</w:t>
      </w:r>
    </w:p>
    <w:p w14:paraId="645D5F4B">
      <w:pPr>
        <w:pStyle w:val="38"/>
        <w:widowControl/>
        <w:ind w:firstLine="474" w:firstLineChars="200"/>
        <w:jc w:val="left"/>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 xml:space="preserve">3.3.2 在响应文件有效期内，供应商撤销响应文件的，应承担磋商文件和法律规定的责任。 </w:t>
      </w:r>
    </w:p>
    <w:p w14:paraId="57E0A663">
      <w:pPr>
        <w:pStyle w:val="38"/>
        <w:widowControl/>
        <w:ind w:firstLine="474" w:firstLineChars="200"/>
        <w:jc w:val="left"/>
        <w:rPr>
          <w:rFonts w:hint="eastAsia" w:ascii="仿宋" w:hAnsi="仿宋" w:eastAsia="仿宋"/>
          <w:color w:val="auto"/>
          <w:spacing w:val="14"/>
          <w:kern w:val="0"/>
          <w:sz w:val="24"/>
          <w:szCs w:val="24"/>
        </w:rPr>
      </w:pPr>
      <w:r>
        <w:rPr>
          <w:rFonts w:hint="eastAsia" w:ascii="仿宋" w:hAnsi="仿宋" w:eastAsia="仿宋"/>
          <w:color w:val="auto"/>
          <w:spacing w:val="14"/>
          <w:kern w:val="0"/>
          <w:sz w:val="24"/>
          <w:szCs w:val="24"/>
        </w:rPr>
        <w:t>3.3.3 出现特殊情况需要延长响应文件有效期的，采购人以书面形式通知所有供应商延长响应文件有效期。供应商应予以书面答复，同意延长的，应相应延长其磋商保证金。</w:t>
      </w:r>
    </w:p>
    <w:p w14:paraId="78D89ADF">
      <w:pPr>
        <w:keepNext/>
        <w:keepLines/>
        <w:spacing w:line="440" w:lineRule="exact"/>
        <w:outlineLvl w:val="3"/>
        <w:rPr>
          <w:rFonts w:hint="eastAsia" w:ascii="仿宋" w:hAnsi="仿宋" w:eastAsia="仿宋" w:cs="Arial"/>
          <w:b/>
          <w:bCs/>
          <w:spacing w:val="14"/>
          <w:sz w:val="28"/>
          <w:szCs w:val="28"/>
        </w:rPr>
      </w:pPr>
      <w:bookmarkStart w:id="77" w:name="_Toc1662610"/>
      <w:bookmarkEnd w:id="77"/>
      <w:r>
        <w:rPr>
          <w:rFonts w:hint="eastAsia" w:ascii="仿宋" w:hAnsi="仿宋" w:eastAsia="仿宋" w:cs="Arial"/>
          <w:b/>
          <w:bCs/>
          <w:spacing w:val="14"/>
          <w:sz w:val="28"/>
          <w:szCs w:val="28"/>
        </w:rPr>
        <w:t>3.4 磋商保证金</w:t>
      </w:r>
      <w:bookmarkStart w:id="78" w:name="_Toc1662611"/>
      <w:bookmarkEnd w:id="78"/>
    </w:p>
    <w:p w14:paraId="3F731AD5">
      <w:pPr>
        <w:keepNext/>
        <w:keepLines/>
        <w:spacing w:line="440" w:lineRule="exact"/>
        <w:ind w:firstLine="474" w:firstLineChars="200"/>
        <w:outlineLvl w:val="9"/>
        <w:rPr>
          <w:rFonts w:hint="eastAsia" w:ascii="仿宋" w:hAnsi="仿宋" w:eastAsia="仿宋" w:cs="Arial"/>
          <w:spacing w:val="14"/>
          <w:kern w:val="0"/>
          <w:sz w:val="24"/>
          <w:szCs w:val="24"/>
        </w:rPr>
      </w:pPr>
      <w:r>
        <w:rPr>
          <w:rFonts w:hint="eastAsia" w:ascii="仿宋" w:hAnsi="仿宋" w:eastAsia="仿宋" w:cs="Arial"/>
          <w:spacing w:val="14"/>
          <w:kern w:val="0"/>
          <w:sz w:val="24"/>
          <w:szCs w:val="24"/>
        </w:rPr>
        <w:t>本次采购免收磋商保证金。</w:t>
      </w:r>
    </w:p>
    <w:p w14:paraId="71BCA412">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3.5 资格审查资料</w:t>
      </w:r>
    </w:p>
    <w:p w14:paraId="7EE940E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3.5.1根据第六章内容提供证明材料。</w:t>
      </w:r>
    </w:p>
    <w:p w14:paraId="7D6BEA5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3.5.2供应商须知前附表规定接受联合体的，联合体各方均应提供资格审查资料。</w:t>
      </w:r>
    </w:p>
    <w:p w14:paraId="18CFFC9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3.5.3资格审查资料的特殊要求见供应商须知前附表。</w:t>
      </w:r>
    </w:p>
    <w:p w14:paraId="0D4CB49F">
      <w:pPr>
        <w:keepNext/>
        <w:keepLines/>
        <w:spacing w:before="260" w:after="260" w:line="440" w:lineRule="exact"/>
        <w:outlineLvl w:val="2"/>
        <w:rPr>
          <w:rFonts w:hint="eastAsia" w:ascii="仿宋" w:hAnsi="仿宋" w:eastAsia="仿宋"/>
          <w:b/>
          <w:bCs/>
          <w:sz w:val="28"/>
          <w:szCs w:val="28"/>
        </w:rPr>
      </w:pPr>
      <w:bookmarkStart w:id="79" w:name="_Toc1662612"/>
      <w:bookmarkEnd w:id="79"/>
      <w:r>
        <w:rPr>
          <w:rFonts w:hint="eastAsia" w:ascii="仿宋" w:hAnsi="仿宋" w:eastAsia="仿宋"/>
          <w:b/>
          <w:bCs/>
          <w:sz w:val="28"/>
          <w:szCs w:val="28"/>
        </w:rPr>
        <w:t>4、响应文件提交</w:t>
      </w:r>
    </w:p>
    <w:p w14:paraId="2DC5494C">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4.1 响应文件的密封和标记</w:t>
      </w:r>
    </w:p>
    <w:p w14:paraId="4B04C77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4.1.1响应文件的密封和标记的要求：按照采购文件和电子招标投标交易平台的要求加密响应文件。</w:t>
      </w:r>
    </w:p>
    <w:p w14:paraId="29F279BD">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4.1.2未按要求密封和标记的响应文件，采购人将予以拒收。</w:t>
      </w:r>
    </w:p>
    <w:p w14:paraId="1CA65C8A">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4.2 响应文件的提交</w:t>
      </w:r>
    </w:p>
    <w:p w14:paraId="1EC4907D">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4.2.1供应商应在供应商须知前附表规定的提交响应文件截止时间前提交响应文件。不接受邮寄、电报、电话、传真等方式。除电子响应文件外，不再接受任何纸质文件、资料等。</w:t>
      </w:r>
    </w:p>
    <w:p w14:paraId="35E587B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4.2.2供应商提交响应文件的地点：见供应商须知前附表。</w:t>
      </w:r>
    </w:p>
    <w:p w14:paraId="1838630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4.2.3供应商响应文件份数及其他要求：见供应商须知前附表。</w:t>
      </w:r>
    </w:p>
    <w:p w14:paraId="1D23CD1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4.2.4供应商应在提交响应文件截止时间前上传加密的电子响应文件 （*.lytf）到洛阳市电子招投标交易平台指定位置。上传时供应商须使用制作该响应文件的同一CA锁进行上传操作。请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7F942A0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4.2.5供应商因洛阳市电子招投标交易平台问题无法上传电子响应文件时，请在工作时间与交易中心联系。联系方式见供应商须知前附表。</w:t>
      </w:r>
    </w:p>
    <w:p w14:paraId="66680FE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4.2.6除供应商须知前附表另有规定外，所提交的响应文件不予退还。</w:t>
      </w:r>
    </w:p>
    <w:p w14:paraId="0D900751">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4.3 响应文件的修改与撤回</w:t>
      </w:r>
    </w:p>
    <w:p w14:paraId="0EA26714">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4.3.1供应商在提交响应文件后可对其响应文件进行修改并重新上传响应文件或在洛阳市电子招投标交易平台上进行撤回响应文件的操作。</w:t>
      </w:r>
    </w:p>
    <w:p w14:paraId="3461752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4.3.2 提交响应文件截止时间以后不得修改响应文件。</w:t>
      </w:r>
    </w:p>
    <w:p w14:paraId="686FC66F">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3.6 备选方案</w:t>
      </w:r>
    </w:p>
    <w:p w14:paraId="6C0EAF43">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3.6.1 除供应商须知前附表规定允许外，供应商不得提交备选方案，否则其响应将被否决。</w:t>
      </w:r>
    </w:p>
    <w:p w14:paraId="0813D0C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3.6.2 允许供应商提交备选方案的，只有成交供应商所提交的备选方案方可予以考虑。磋商小组认为成交供应商的备选方案优于其按照磋商文件要求编制的响应方案的，采购人可以接受该备选方案。</w:t>
      </w:r>
    </w:p>
    <w:p w14:paraId="341C91AB">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3.6.3 供应商提供两个或两个以上报价，或者在响应文件中提供一个报价，但同时提供两个或两个以上供货方案的，视为提供备选方案。</w:t>
      </w:r>
    </w:p>
    <w:p w14:paraId="2209672B">
      <w:pPr>
        <w:keepNext/>
        <w:keepLines/>
        <w:spacing w:line="440" w:lineRule="exact"/>
        <w:outlineLvl w:val="3"/>
        <w:rPr>
          <w:rFonts w:hint="eastAsia" w:ascii="仿宋" w:hAnsi="仿宋" w:eastAsia="仿宋" w:cs="Arial"/>
          <w:b/>
          <w:bCs/>
          <w:spacing w:val="14"/>
          <w:sz w:val="28"/>
          <w:szCs w:val="28"/>
        </w:rPr>
      </w:pPr>
      <w:bookmarkStart w:id="80" w:name="_Toc1662613"/>
      <w:bookmarkEnd w:id="80"/>
      <w:r>
        <w:rPr>
          <w:rFonts w:hint="eastAsia" w:ascii="仿宋" w:hAnsi="仿宋" w:eastAsia="仿宋" w:cs="Arial"/>
          <w:b/>
          <w:bCs/>
          <w:spacing w:val="14"/>
          <w:sz w:val="28"/>
          <w:szCs w:val="28"/>
        </w:rPr>
        <w:t>3.7 响应文件的制作</w:t>
      </w:r>
    </w:p>
    <w:p w14:paraId="39042FDE">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3.7.1供应商登录“洛阳市公共资源交易中心”网站，按要求下载“新点响应文件制作软件”。</w:t>
      </w:r>
    </w:p>
    <w:p w14:paraId="3C68B30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3.7.2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时，只能用本单位的企业CA锁。联合体投标的，响应文件由联合体牵头人按上述规定进行签章。</w:t>
      </w:r>
    </w:p>
    <w:p w14:paraId="6157A0C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3.7.3加密的电子响应文件为“洛阳市公共资源交易中心”网站提供的“新点响应文件制作软件”制作生成的加密版响应文件。</w:t>
      </w:r>
    </w:p>
    <w:p w14:paraId="0B3E023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3.7.4磋商文件格式所要求包含的全部资料应全部制作在响应文件内，严格按照本项目磋商文件所有格式如实填写（不涉及的内容除外），不应存在漏项或缺项，否则将存在响应文件被否决的风险。</w:t>
      </w:r>
    </w:p>
    <w:p w14:paraId="09EF77FC">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3.7.5响应文件所附证明材料均为原件的扫描件（或照片），清晰复印件的扫描件加盖公章视同原件（如没有特殊要求原件的），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3704F24D">
      <w:pPr>
        <w:keepNext/>
        <w:keepLines/>
        <w:spacing w:before="260" w:after="260" w:line="440" w:lineRule="exact"/>
        <w:outlineLvl w:val="2"/>
        <w:rPr>
          <w:rFonts w:hint="eastAsia" w:ascii="仿宋" w:hAnsi="仿宋" w:eastAsia="仿宋"/>
          <w:b/>
          <w:bCs/>
          <w:sz w:val="28"/>
          <w:szCs w:val="28"/>
        </w:rPr>
      </w:pPr>
      <w:bookmarkStart w:id="81" w:name="_Toc256000006"/>
      <w:bookmarkEnd w:id="81"/>
      <w:bookmarkStart w:id="82" w:name="_Toc256000007"/>
      <w:bookmarkEnd w:id="82"/>
      <w:bookmarkStart w:id="83" w:name="_Toc686"/>
      <w:bookmarkEnd w:id="83"/>
      <w:bookmarkStart w:id="84" w:name="_Toc1662618"/>
      <w:bookmarkEnd w:id="84"/>
      <w:bookmarkStart w:id="85" w:name="_Toc30483"/>
      <w:bookmarkEnd w:id="85"/>
      <w:bookmarkStart w:id="86" w:name="_Toc256000047"/>
      <w:bookmarkEnd w:id="86"/>
      <w:bookmarkStart w:id="87" w:name="_Toc256000037"/>
      <w:bookmarkEnd w:id="87"/>
      <w:bookmarkStart w:id="88" w:name="_Toc8749"/>
      <w:bookmarkEnd w:id="88"/>
      <w:bookmarkStart w:id="89" w:name="_Toc1662614"/>
      <w:bookmarkEnd w:id="89"/>
      <w:bookmarkStart w:id="90" w:name="_Toc256000046"/>
      <w:bookmarkEnd w:id="90"/>
      <w:bookmarkStart w:id="91" w:name="_Toc29129"/>
      <w:bookmarkStart w:id="92" w:name="_Toc2850"/>
      <w:bookmarkStart w:id="93" w:name="_Toc256000041"/>
      <w:bookmarkStart w:id="94" w:name="_Toc15210"/>
      <w:bookmarkStart w:id="95" w:name="_Toc130305931"/>
      <w:bookmarkStart w:id="96" w:name="_Toc14410"/>
      <w:r>
        <w:rPr>
          <w:rFonts w:hint="eastAsia" w:ascii="仿宋" w:hAnsi="仿宋" w:eastAsia="仿宋"/>
          <w:b/>
          <w:bCs/>
          <w:sz w:val="28"/>
          <w:szCs w:val="28"/>
        </w:rPr>
        <w:t>5、磋商开启</w:t>
      </w:r>
      <w:bookmarkEnd w:id="91"/>
      <w:bookmarkEnd w:id="92"/>
      <w:bookmarkEnd w:id="93"/>
      <w:bookmarkEnd w:id="94"/>
      <w:bookmarkEnd w:id="95"/>
      <w:bookmarkEnd w:id="96"/>
    </w:p>
    <w:p w14:paraId="7623F2B8">
      <w:pPr>
        <w:keepNext/>
        <w:keepLines/>
        <w:spacing w:line="440" w:lineRule="exact"/>
        <w:outlineLvl w:val="3"/>
        <w:rPr>
          <w:rFonts w:hint="eastAsia" w:ascii="仿宋" w:hAnsi="仿宋" w:eastAsia="仿宋" w:cs="Arial"/>
          <w:b/>
          <w:bCs/>
          <w:spacing w:val="14"/>
          <w:sz w:val="28"/>
          <w:szCs w:val="28"/>
        </w:rPr>
      </w:pPr>
      <w:bookmarkStart w:id="97" w:name="_Toc1662619"/>
      <w:bookmarkEnd w:id="97"/>
      <w:r>
        <w:rPr>
          <w:rFonts w:hint="eastAsia" w:ascii="仿宋" w:hAnsi="仿宋" w:eastAsia="仿宋" w:cs="Arial"/>
          <w:b/>
          <w:bCs/>
          <w:spacing w:val="14"/>
          <w:sz w:val="28"/>
          <w:szCs w:val="28"/>
        </w:rPr>
        <w:t>5.1 磋商开启时间和地点</w:t>
      </w:r>
    </w:p>
    <w:p w14:paraId="4AD04221">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采购人在本章第 4.2.1 项规定的提交响应文件截止时间和供应商须知前附表规定的地点开启磋商活动。</w:t>
      </w:r>
    </w:p>
    <w:p w14:paraId="1C1C49EA">
      <w:pPr>
        <w:keepNext/>
        <w:keepLines/>
        <w:spacing w:line="440" w:lineRule="exact"/>
        <w:outlineLvl w:val="3"/>
        <w:rPr>
          <w:rFonts w:hint="eastAsia" w:ascii="仿宋" w:hAnsi="仿宋" w:eastAsia="仿宋" w:cs="Arial"/>
          <w:b/>
          <w:bCs/>
          <w:spacing w:val="14"/>
          <w:sz w:val="28"/>
          <w:szCs w:val="28"/>
        </w:rPr>
      </w:pPr>
      <w:bookmarkStart w:id="98" w:name="_Toc1662620"/>
      <w:bookmarkEnd w:id="98"/>
      <w:r>
        <w:rPr>
          <w:rFonts w:hint="eastAsia" w:ascii="仿宋" w:hAnsi="仿宋" w:eastAsia="仿宋" w:cs="Arial"/>
          <w:b/>
          <w:bCs/>
          <w:spacing w:val="14"/>
          <w:sz w:val="28"/>
          <w:szCs w:val="28"/>
        </w:rPr>
        <w:t>5.2 磋商开启规定</w:t>
      </w:r>
    </w:p>
    <w:p w14:paraId="791A96E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5.2.1 采购人在磋商文件规定的时间和地点开启磋商活动，本项目采用远程不见面交易的模式。开标当日，无需到开标现场参加开标会议，应当在投标截止时间前，登录不见面开标大厅选择洛阳市公共资源电子招投标系统进行登录，在线准时参加开标活动并进行响应文件解密等。因原因未能解密、解密失败或解密超时的将被拒绝。请参照洛阳市公共资源交易中心首页—办事指南—下载中心—操作手册—《洛阳市公共资源交易中心不见面开标大厅操作手册（供应商）》。</w:t>
      </w:r>
    </w:p>
    <w:p w14:paraId="0EF0E42D">
      <w:pPr>
        <w:pStyle w:val="13"/>
        <w:spacing w:line="440" w:lineRule="exact"/>
        <w:rPr>
          <w:rFonts w:hint="eastAsia" w:ascii="仿宋" w:hAnsi="仿宋" w:eastAsia="仿宋"/>
          <w:color w:val="auto"/>
          <w:sz w:val="24"/>
          <w:szCs w:val="24"/>
        </w:rPr>
      </w:pPr>
      <w:r>
        <w:rPr>
          <w:rFonts w:hint="eastAsia" w:ascii="仿宋" w:hAnsi="仿宋" w:eastAsia="仿宋"/>
          <w:color w:val="auto"/>
          <w:spacing w:val="14"/>
          <w:sz w:val="24"/>
          <w:szCs w:val="24"/>
        </w:rPr>
        <w:t>5.2.2各供应商应在规定时间内对本单位的响应文件解密。</w:t>
      </w:r>
    </w:p>
    <w:p w14:paraId="2A45AA1A">
      <w:pPr>
        <w:keepNext/>
        <w:keepLines/>
        <w:spacing w:before="260" w:after="260" w:line="440" w:lineRule="exact"/>
        <w:outlineLvl w:val="2"/>
        <w:rPr>
          <w:rFonts w:hint="eastAsia" w:ascii="仿宋" w:hAnsi="仿宋" w:eastAsia="仿宋"/>
          <w:b/>
          <w:bCs/>
          <w:sz w:val="28"/>
          <w:szCs w:val="28"/>
        </w:rPr>
      </w:pPr>
      <w:bookmarkStart w:id="99" w:name="_Toc24035"/>
      <w:bookmarkEnd w:id="99"/>
      <w:bookmarkStart w:id="100" w:name="_Toc256000038"/>
      <w:bookmarkEnd w:id="100"/>
      <w:bookmarkStart w:id="101" w:name="_Toc256000008"/>
      <w:bookmarkEnd w:id="101"/>
      <w:bookmarkStart w:id="102" w:name="_Toc29602"/>
      <w:bookmarkEnd w:id="102"/>
      <w:bookmarkStart w:id="103" w:name="_Toc256000055"/>
      <w:bookmarkEnd w:id="103"/>
      <w:bookmarkStart w:id="104" w:name="_Toc1662621"/>
      <w:bookmarkStart w:id="105" w:name="_Toc8316"/>
      <w:bookmarkStart w:id="106" w:name="_Toc130305932"/>
      <w:bookmarkStart w:id="107" w:name="_Toc256000042"/>
      <w:bookmarkStart w:id="108" w:name="_Toc19423"/>
      <w:bookmarkStart w:id="109" w:name="_Toc17562"/>
      <w:r>
        <w:rPr>
          <w:rFonts w:hint="eastAsia" w:ascii="仿宋" w:hAnsi="仿宋" w:eastAsia="仿宋"/>
          <w:b/>
          <w:bCs/>
          <w:sz w:val="28"/>
          <w:szCs w:val="28"/>
        </w:rPr>
        <w:t>6、磋商</w:t>
      </w:r>
      <w:bookmarkEnd w:id="104"/>
      <w:bookmarkEnd w:id="105"/>
      <w:bookmarkEnd w:id="106"/>
      <w:bookmarkEnd w:id="107"/>
      <w:bookmarkEnd w:id="108"/>
      <w:bookmarkEnd w:id="109"/>
    </w:p>
    <w:p w14:paraId="560BAFAD">
      <w:pPr>
        <w:keepNext/>
        <w:keepLines/>
        <w:spacing w:line="440" w:lineRule="exact"/>
        <w:outlineLvl w:val="3"/>
        <w:rPr>
          <w:rFonts w:hint="eastAsia" w:ascii="仿宋" w:hAnsi="仿宋" w:eastAsia="仿宋" w:cs="Arial"/>
          <w:b/>
          <w:bCs/>
          <w:spacing w:val="14"/>
          <w:sz w:val="28"/>
          <w:szCs w:val="28"/>
        </w:rPr>
      </w:pPr>
      <w:bookmarkStart w:id="110" w:name="_Toc1662622"/>
      <w:bookmarkEnd w:id="110"/>
      <w:r>
        <w:rPr>
          <w:rFonts w:hint="eastAsia" w:ascii="仿宋" w:hAnsi="仿宋" w:eastAsia="仿宋" w:cs="Arial"/>
          <w:b/>
          <w:bCs/>
          <w:spacing w:val="14"/>
          <w:sz w:val="28"/>
          <w:szCs w:val="28"/>
        </w:rPr>
        <w:t>6.1 磋商小组</w:t>
      </w:r>
    </w:p>
    <w:p w14:paraId="1F155B51">
      <w:pPr>
        <w:pStyle w:val="13"/>
        <w:rPr>
          <w:rFonts w:hint="eastAsia" w:ascii="仿宋" w:hAnsi="仿宋" w:eastAsia="仿宋"/>
          <w:color w:val="auto"/>
          <w:spacing w:val="14"/>
          <w:sz w:val="24"/>
          <w:szCs w:val="24"/>
        </w:rPr>
      </w:pPr>
      <w:bookmarkStart w:id="111" w:name="_Toc531934441"/>
      <w:bookmarkEnd w:id="111"/>
      <w:bookmarkStart w:id="112" w:name="_Hlt531934718"/>
      <w:r>
        <w:rPr>
          <w:rFonts w:hint="eastAsia" w:ascii="仿宋" w:hAnsi="仿宋" w:eastAsia="仿宋"/>
          <w:color w:val="auto"/>
          <w:spacing w:val="14"/>
          <w:sz w:val="24"/>
          <w:szCs w:val="24"/>
        </w:rPr>
        <w:t>6.1.1评审由采购人依法组建的磋商小组负责。磋商小组由采购人代表以及评审专家组成。磋商小组成员人数以及评审专家的确定方式见</w:t>
      </w:r>
      <w:bookmarkEnd w:id="112"/>
      <w:r>
        <w:rPr>
          <w:rFonts w:hint="eastAsia" w:ascii="仿宋" w:hAnsi="仿宋" w:eastAsia="仿宋"/>
          <w:color w:val="auto"/>
          <w:spacing w:val="14"/>
          <w:sz w:val="24"/>
          <w:szCs w:val="24"/>
        </w:rPr>
        <w:t>供应商须知前附表。</w:t>
      </w:r>
    </w:p>
    <w:p w14:paraId="7036D4B9">
      <w:pPr>
        <w:pStyle w:val="13"/>
        <w:rPr>
          <w:rFonts w:hint="eastAsia" w:ascii="仿宋" w:hAnsi="仿宋" w:eastAsia="仿宋"/>
          <w:color w:val="auto"/>
          <w:spacing w:val="14"/>
          <w:sz w:val="24"/>
          <w:szCs w:val="24"/>
        </w:rPr>
      </w:pPr>
      <w:bookmarkStart w:id="113" w:name="_Toc531934442"/>
      <w:bookmarkEnd w:id="113"/>
      <w:r>
        <w:rPr>
          <w:rFonts w:hint="eastAsia" w:ascii="仿宋" w:hAnsi="仿宋" w:eastAsia="仿宋"/>
          <w:color w:val="auto"/>
          <w:spacing w:val="14"/>
          <w:sz w:val="24"/>
          <w:szCs w:val="24"/>
        </w:rPr>
        <w:t>6.1.2 磋商小组成员有下列情形之一的，应当回避：</w:t>
      </w:r>
    </w:p>
    <w:p w14:paraId="360B1C35">
      <w:pPr>
        <w:pStyle w:val="13"/>
        <w:rPr>
          <w:rFonts w:hint="eastAsia" w:ascii="仿宋" w:hAnsi="仿宋" w:eastAsia="仿宋"/>
          <w:color w:val="auto"/>
          <w:spacing w:val="14"/>
          <w:sz w:val="24"/>
          <w:szCs w:val="24"/>
        </w:rPr>
      </w:pPr>
      <w:bookmarkStart w:id="114" w:name="_Toc531934443"/>
      <w:bookmarkEnd w:id="114"/>
      <w:r>
        <w:rPr>
          <w:rFonts w:hint="eastAsia" w:ascii="仿宋" w:hAnsi="仿宋" w:eastAsia="仿宋"/>
          <w:color w:val="auto"/>
          <w:spacing w:val="14"/>
          <w:sz w:val="24"/>
          <w:szCs w:val="24"/>
        </w:rPr>
        <w:t>（1）参加采购活动前3年内与供应商存在劳动关系；</w:t>
      </w:r>
    </w:p>
    <w:p w14:paraId="1A1B196E">
      <w:pPr>
        <w:pStyle w:val="13"/>
        <w:rPr>
          <w:rFonts w:hint="eastAsia" w:ascii="仿宋" w:hAnsi="仿宋" w:eastAsia="仿宋"/>
          <w:color w:val="auto"/>
          <w:spacing w:val="14"/>
          <w:sz w:val="24"/>
          <w:szCs w:val="24"/>
        </w:rPr>
      </w:pPr>
      <w:bookmarkStart w:id="115" w:name="_Toc531934444"/>
      <w:bookmarkEnd w:id="115"/>
      <w:r>
        <w:rPr>
          <w:rFonts w:hint="eastAsia" w:ascii="仿宋" w:hAnsi="仿宋" w:eastAsia="仿宋"/>
          <w:color w:val="auto"/>
          <w:spacing w:val="14"/>
          <w:sz w:val="24"/>
          <w:szCs w:val="24"/>
        </w:rPr>
        <w:t>（2）参加采购活动前3年内担任供应商的董事、监事；</w:t>
      </w:r>
    </w:p>
    <w:p w14:paraId="3F42F4DE">
      <w:pPr>
        <w:pStyle w:val="13"/>
        <w:rPr>
          <w:rFonts w:hint="eastAsia" w:ascii="仿宋" w:hAnsi="仿宋" w:eastAsia="仿宋"/>
          <w:color w:val="auto"/>
          <w:spacing w:val="14"/>
          <w:sz w:val="24"/>
          <w:szCs w:val="24"/>
        </w:rPr>
      </w:pPr>
      <w:bookmarkStart w:id="116" w:name="_Toc531934445"/>
      <w:bookmarkEnd w:id="116"/>
      <w:r>
        <w:rPr>
          <w:rFonts w:hint="eastAsia" w:ascii="仿宋" w:hAnsi="仿宋" w:eastAsia="仿宋"/>
          <w:color w:val="auto"/>
          <w:spacing w:val="14"/>
          <w:sz w:val="24"/>
          <w:szCs w:val="24"/>
        </w:rPr>
        <w:t>（3）参加采购活动前3年内是供应商的控股股东或者实际控制人；</w:t>
      </w:r>
    </w:p>
    <w:p w14:paraId="37CC793F">
      <w:pPr>
        <w:pStyle w:val="13"/>
        <w:rPr>
          <w:rFonts w:hint="eastAsia" w:ascii="仿宋" w:hAnsi="仿宋" w:eastAsia="仿宋"/>
          <w:color w:val="auto"/>
          <w:spacing w:val="14"/>
          <w:sz w:val="24"/>
          <w:szCs w:val="24"/>
        </w:rPr>
      </w:pPr>
      <w:bookmarkStart w:id="117" w:name="_Toc531934446"/>
      <w:bookmarkEnd w:id="117"/>
      <w:r>
        <w:rPr>
          <w:rFonts w:hint="eastAsia" w:ascii="仿宋" w:hAnsi="仿宋" w:eastAsia="仿宋"/>
          <w:color w:val="auto"/>
          <w:spacing w:val="14"/>
          <w:sz w:val="24"/>
          <w:szCs w:val="24"/>
        </w:rPr>
        <w:t>（4）与供应商的法定代表人或者负责人有夫妻、直系血亲、三代以内旁系血亲或者近姻亲关系；</w:t>
      </w:r>
    </w:p>
    <w:p w14:paraId="05B17BEB">
      <w:pPr>
        <w:pStyle w:val="13"/>
        <w:rPr>
          <w:rFonts w:hint="eastAsia" w:ascii="仿宋" w:hAnsi="仿宋" w:eastAsia="仿宋"/>
          <w:color w:val="auto"/>
          <w:spacing w:val="14"/>
          <w:sz w:val="24"/>
          <w:szCs w:val="24"/>
        </w:rPr>
      </w:pPr>
      <w:bookmarkStart w:id="118" w:name="_Toc531934447"/>
      <w:bookmarkEnd w:id="118"/>
      <w:r>
        <w:rPr>
          <w:rFonts w:hint="eastAsia" w:ascii="仿宋" w:hAnsi="仿宋" w:eastAsia="仿宋"/>
          <w:color w:val="auto"/>
          <w:spacing w:val="14"/>
          <w:sz w:val="24"/>
          <w:szCs w:val="24"/>
        </w:rPr>
        <w:t>（5）与供应商有其他可能影响政府采购活动公平、公正进行的关系。</w:t>
      </w:r>
    </w:p>
    <w:p w14:paraId="33ED8508">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6.1.3 评审过程中，磋商小组成员有回避事由、擅离职守或者因健康等原因不能继续评审的，采购人有权更换。被更换的磋商小组成员作出的评审结论无效，由更换后的磋商小组成员重新进行评审。</w:t>
      </w:r>
    </w:p>
    <w:p w14:paraId="275287DA">
      <w:pPr>
        <w:keepNext/>
        <w:keepLines/>
        <w:spacing w:line="440" w:lineRule="exact"/>
        <w:outlineLvl w:val="3"/>
        <w:rPr>
          <w:rFonts w:hint="eastAsia" w:ascii="仿宋" w:hAnsi="仿宋" w:eastAsia="仿宋" w:cs="Arial"/>
          <w:b/>
          <w:bCs/>
          <w:spacing w:val="14"/>
          <w:sz w:val="28"/>
          <w:szCs w:val="28"/>
        </w:rPr>
      </w:pPr>
      <w:bookmarkStart w:id="119" w:name="_Toc1662623"/>
      <w:bookmarkEnd w:id="119"/>
      <w:r>
        <w:rPr>
          <w:rFonts w:hint="eastAsia" w:ascii="仿宋" w:hAnsi="仿宋" w:eastAsia="仿宋" w:cs="Arial"/>
          <w:b/>
          <w:bCs/>
          <w:spacing w:val="14"/>
          <w:sz w:val="28"/>
          <w:szCs w:val="28"/>
        </w:rPr>
        <w:t>6.2 磋商程序</w:t>
      </w:r>
    </w:p>
    <w:p w14:paraId="0297BE1B">
      <w:pPr>
        <w:pStyle w:val="13"/>
        <w:rPr>
          <w:rFonts w:hint="eastAsia" w:ascii="仿宋" w:hAnsi="仿宋" w:eastAsia="仿宋"/>
          <w:color w:val="auto"/>
          <w:spacing w:val="14"/>
          <w:sz w:val="24"/>
          <w:szCs w:val="24"/>
        </w:rPr>
      </w:pPr>
      <w:bookmarkStart w:id="120" w:name="_Toc1662624"/>
      <w:bookmarkEnd w:id="120"/>
      <w:r>
        <w:rPr>
          <w:rFonts w:hint="eastAsia" w:ascii="仿宋" w:hAnsi="仿宋" w:eastAsia="仿宋"/>
          <w:color w:val="auto"/>
          <w:spacing w:val="14"/>
          <w:sz w:val="24"/>
          <w:szCs w:val="24"/>
        </w:rPr>
        <w:t xml:space="preserve">6.2.1 磋商小组对响应文件的有效性、完整性和响应程度进行资格性审查及符合性审查。 </w:t>
      </w:r>
    </w:p>
    <w:p w14:paraId="030C406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6.2.2 磋商小组所有成员集中与单一供应商分别进行磋商，并给予所有参加磋商的供应商平等的磋商机会。 </w:t>
      </w:r>
    </w:p>
    <w:p w14:paraId="0D7E7B1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 </w:t>
      </w:r>
    </w:p>
    <w:p w14:paraId="7B9A797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6.2.4 供应商应当按照磋商文件的变动情况和磋商小组的要求重新提交响应文件（如果有），并由其法定代表人或其授权代表签字或者加盖公章。 </w:t>
      </w:r>
    </w:p>
    <w:p w14:paraId="3FD40BD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6.2.5 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 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 </w:t>
      </w:r>
    </w:p>
    <w:p w14:paraId="5BEC274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6.2.6 最后报价是供应商响应文件的有效组成部分，未按要求进行最后报价的，其响应文件将被否决。 </w:t>
      </w:r>
    </w:p>
    <w:p w14:paraId="0BC3CFA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6.2.7 经磋商确定最终采购需求和提交最后报价的供应商后，由磋商小组采用综合评分法对提交最后报价的供应商的响应文件和最后报价进行综合评分。</w:t>
      </w:r>
    </w:p>
    <w:p w14:paraId="4E94A689">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6.3评审原则</w:t>
      </w:r>
    </w:p>
    <w:p w14:paraId="5AA3196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w:t>
      </w:r>
    </w:p>
    <w:p w14:paraId="62F9548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6.3.2评审完成后，磋商小组应当提交书面评审报告和成交候选人名单。磋商小组推荐成交候选人的人数见供应商须知前附表。</w:t>
      </w:r>
    </w:p>
    <w:p w14:paraId="4E1EC159">
      <w:pPr>
        <w:pStyle w:val="13"/>
        <w:spacing w:line="44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6.3.3本次磋商采用电子化评审，如“洛阳市电子招投标交易平台”系统出现故障，导致无法继续评审工作的，可暂停评审，对原有资料及信息作出妥善保密处理，待电子评标系统恢复正常之后组织评审。</w:t>
      </w:r>
    </w:p>
    <w:p w14:paraId="2BD55A1F">
      <w:pPr>
        <w:keepNext/>
        <w:keepLines/>
        <w:spacing w:before="260" w:after="260" w:line="440" w:lineRule="exact"/>
        <w:outlineLvl w:val="2"/>
        <w:rPr>
          <w:rFonts w:hint="eastAsia" w:ascii="仿宋" w:hAnsi="仿宋" w:eastAsia="仿宋"/>
          <w:b/>
          <w:bCs/>
          <w:sz w:val="28"/>
          <w:szCs w:val="28"/>
        </w:rPr>
      </w:pPr>
      <w:bookmarkStart w:id="121" w:name="_Toc2816"/>
      <w:bookmarkEnd w:id="121"/>
      <w:bookmarkStart w:id="122" w:name="_Toc256000009"/>
      <w:bookmarkEnd w:id="122"/>
      <w:bookmarkStart w:id="123" w:name="_Toc488"/>
      <w:bookmarkEnd w:id="123"/>
      <w:bookmarkStart w:id="124" w:name="_Toc1662625"/>
      <w:bookmarkEnd w:id="124"/>
      <w:bookmarkStart w:id="125" w:name="_Toc256000056"/>
      <w:bookmarkEnd w:id="125"/>
      <w:bookmarkStart w:id="126" w:name="_Toc130305933"/>
      <w:bookmarkStart w:id="127" w:name="_Toc256000048"/>
      <w:bookmarkStart w:id="128" w:name="_Toc200"/>
      <w:bookmarkStart w:id="129" w:name="_Toc256000039"/>
      <w:bookmarkStart w:id="130" w:name="_Toc1866"/>
      <w:bookmarkStart w:id="131" w:name="_Toc22899"/>
      <w:r>
        <w:rPr>
          <w:rFonts w:hint="eastAsia" w:ascii="仿宋" w:hAnsi="仿宋" w:eastAsia="仿宋"/>
          <w:b/>
          <w:bCs/>
          <w:sz w:val="28"/>
          <w:szCs w:val="28"/>
        </w:rPr>
        <w:t>7、确定成交及合同授予</w:t>
      </w:r>
      <w:bookmarkEnd w:id="126"/>
      <w:bookmarkEnd w:id="127"/>
      <w:bookmarkEnd w:id="128"/>
      <w:bookmarkEnd w:id="129"/>
      <w:bookmarkEnd w:id="130"/>
      <w:bookmarkEnd w:id="131"/>
    </w:p>
    <w:p w14:paraId="77E4C36A">
      <w:pPr>
        <w:keepNext/>
        <w:keepLines/>
        <w:spacing w:line="440" w:lineRule="exact"/>
        <w:outlineLvl w:val="3"/>
        <w:rPr>
          <w:rFonts w:hint="eastAsia" w:ascii="仿宋" w:hAnsi="仿宋" w:eastAsia="仿宋" w:cs="Arial"/>
          <w:b/>
          <w:bCs/>
          <w:spacing w:val="14"/>
          <w:sz w:val="28"/>
          <w:szCs w:val="28"/>
        </w:rPr>
      </w:pPr>
      <w:bookmarkStart w:id="132" w:name="_Toc1662626"/>
      <w:bookmarkEnd w:id="132"/>
      <w:r>
        <w:rPr>
          <w:rFonts w:hint="eastAsia" w:ascii="仿宋" w:hAnsi="仿宋" w:eastAsia="仿宋" w:cs="Arial"/>
          <w:b/>
          <w:bCs/>
          <w:spacing w:val="14"/>
          <w:sz w:val="28"/>
          <w:szCs w:val="28"/>
        </w:rPr>
        <w:t>7.1 确定成交的原则</w:t>
      </w:r>
    </w:p>
    <w:p w14:paraId="31B0ED9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7.1.1按照供应商须知前附表的规定，采购人或采购人授权的磋商小组依法确定成交供应商。</w:t>
      </w:r>
    </w:p>
    <w:p w14:paraId="27F80A2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7.1.2按供应商须知前附表的规定的原则确定成交供应商。</w:t>
      </w:r>
    </w:p>
    <w:p w14:paraId="67863667">
      <w:pPr>
        <w:keepNext/>
        <w:keepLines/>
        <w:spacing w:line="440" w:lineRule="exact"/>
        <w:outlineLvl w:val="3"/>
        <w:rPr>
          <w:rFonts w:hint="eastAsia" w:ascii="仿宋" w:hAnsi="仿宋" w:eastAsia="仿宋" w:cs="Arial"/>
          <w:b/>
          <w:bCs/>
          <w:spacing w:val="14"/>
          <w:sz w:val="28"/>
          <w:szCs w:val="28"/>
        </w:rPr>
      </w:pPr>
      <w:bookmarkStart w:id="133" w:name="_Toc1662627"/>
      <w:bookmarkEnd w:id="133"/>
      <w:r>
        <w:rPr>
          <w:rFonts w:hint="eastAsia" w:ascii="仿宋" w:hAnsi="仿宋" w:eastAsia="仿宋" w:cs="Arial"/>
          <w:b/>
          <w:bCs/>
          <w:spacing w:val="14"/>
          <w:sz w:val="28"/>
          <w:szCs w:val="28"/>
        </w:rPr>
        <w:t>7.2 成交结果</w:t>
      </w:r>
    </w:p>
    <w:p w14:paraId="11DCAA76">
      <w:pPr>
        <w:pStyle w:val="13"/>
        <w:spacing w:line="440" w:lineRule="exact"/>
        <w:rPr>
          <w:rFonts w:hint="eastAsia" w:ascii="仿宋" w:hAnsi="仿宋" w:eastAsia="仿宋"/>
          <w:b/>
          <w:bCs/>
          <w:color w:val="auto"/>
          <w:spacing w:val="14"/>
          <w:kern w:val="2"/>
          <w:sz w:val="24"/>
          <w:szCs w:val="24"/>
        </w:rPr>
      </w:pPr>
      <w:bookmarkStart w:id="134" w:name="_Toc1662628"/>
      <w:bookmarkEnd w:id="134"/>
      <w:r>
        <w:rPr>
          <w:rFonts w:hint="eastAsia" w:ascii="仿宋" w:hAnsi="仿宋" w:eastAsia="仿宋"/>
          <w:color w:val="auto"/>
          <w:spacing w:val="14"/>
          <w:sz w:val="24"/>
          <w:szCs w:val="24"/>
        </w:rPr>
        <w:t>原则上采购人应在评标结束之日起1个工作日内确定采购结果，并在须知前附表规定的媒体上公告成交结果，磋商文件随成交结果同时公告。</w:t>
      </w:r>
      <w:r>
        <w:rPr>
          <w:rFonts w:hint="eastAsia" w:ascii="仿宋" w:hAnsi="仿宋" w:eastAsia="仿宋"/>
          <w:b/>
          <w:bCs/>
          <w:color w:val="auto"/>
          <w:spacing w:val="14"/>
          <w:kern w:val="2"/>
          <w:sz w:val="24"/>
          <w:szCs w:val="24"/>
        </w:rPr>
        <w:t xml:space="preserve"> </w:t>
      </w:r>
    </w:p>
    <w:p w14:paraId="3427420C">
      <w:pPr>
        <w:pStyle w:val="13"/>
        <w:spacing w:line="440" w:lineRule="exact"/>
        <w:ind w:firstLine="0"/>
        <w:rPr>
          <w:rFonts w:hint="eastAsia" w:ascii="仿宋" w:hAnsi="仿宋" w:eastAsia="仿宋"/>
          <w:b/>
          <w:bCs/>
          <w:color w:val="auto"/>
          <w:spacing w:val="14"/>
          <w:kern w:val="2"/>
          <w:sz w:val="28"/>
          <w:szCs w:val="28"/>
        </w:rPr>
      </w:pPr>
      <w:r>
        <w:rPr>
          <w:rFonts w:hint="eastAsia" w:ascii="仿宋" w:hAnsi="仿宋" w:eastAsia="仿宋"/>
          <w:b/>
          <w:bCs/>
          <w:color w:val="auto"/>
          <w:spacing w:val="14"/>
          <w:kern w:val="2"/>
          <w:sz w:val="28"/>
          <w:szCs w:val="28"/>
        </w:rPr>
        <w:t>7.3 成交通知</w:t>
      </w:r>
    </w:p>
    <w:p w14:paraId="3042417C">
      <w:pPr>
        <w:pStyle w:val="35"/>
        <w:ind w:firstLine="474" w:firstLineChars="200"/>
        <w:rPr>
          <w:rFonts w:hint="eastAsia" w:ascii="仿宋" w:hAnsi="仿宋" w:eastAsia="仿宋"/>
          <w:color w:val="auto"/>
          <w:spacing w:val="14"/>
          <w:sz w:val="24"/>
          <w:szCs w:val="24"/>
        </w:rPr>
      </w:pPr>
      <w:bookmarkStart w:id="135" w:name="_Toc1662629"/>
      <w:bookmarkEnd w:id="135"/>
      <w:r>
        <w:rPr>
          <w:rFonts w:hint="eastAsia" w:ascii="仿宋" w:hAnsi="仿宋" w:eastAsia="仿宋"/>
          <w:color w:val="auto"/>
          <w:spacing w:val="14"/>
          <w:sz w:val="24"/>
          <w:szCs w:val="24"/>
        </w:rPr>
        <w:t>《成交通知书》电子版由采购代理机构通过洛阳市电子招投标交易平台向成交供应商发出，纸质版《成交通知书》如有需要可至代理机构现场领取。《成交通知书》由成交供应商和采购人自行下载、打印，并对成交供应商和采购人均具有法律效力。</w:t>
      </w:r>
    </w:p>
    <w:p w14:paraId="0E3B8BBF">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7.4 履约保证金</w:t>
      </w:r>
    </w:p>
    <w:p w14:paraId="1E1C7357">
      <w:pPr>
        <w:keepNext/>
        <w:keepLines/>
        <w:spacing w:line="440" w:lineRule="exact"/>
        <w:ind w:firstLine="474" w:firstLineChars="200"/>
        <w:outlineLvl w:val="3"/>
        <w:rPr>
          <w:rFonts w:hint="eastAsia" w:ascii="仿宋" w:hAnsi="仿宋" w:eastAsia="仿宋" w:cs="Arial"/>
          <w:spacing w:val="14"/>
          <w:kern w:val="0"/>
          <w:sz w:val="24"/>
          <w:szCs w:val="24"/>
        </w:rPr>
      </w:pPr>
      <w:bookmarkStart w:id="136" w:name="_Toc1662630"/>
      <w:bookmarkEnd w:id="136"/>
      <w:r>
        <w:rPr>
          <w:rFonts w:hint="eastAsia" w:ascii="仿宋" w:hAnsi="仿宋" w:eastAsia="仿宋" w:cs="Arial"/>
          <w:spacing w:val="14"/>
          <w:kern w:val="0"/>
          <w:sz w:val="24"/>
          <w:szCs w:val="24"/>
        </w:rPr>
        <w:t>本项目免收履约保证金</w:t>
      </w:r>
    </w:p>
    <w:p w14:paraId="45503D44">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7.5 签订合同</w:t>
      </w:r>
    </w:p>
    <w:p w14:paraId="09766FA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7.5.1 采购人和成交供应商应当在成交通知书发出之日起1个工作日内与中标（成交）供应商签订政府采购合同（可在线签订），根据采购文件和成交供应商的投标文件订立书面合同。成交供应商无正当理由拒签合同，在签订合同时向采购人提出附加条件，采购人有权取消其成交资格，给采购人造成的，成交供应商应当予以赔偿。</w:t>
      </w:r>
    </w:p>
    <w:p w14:paraId="2C36F4FD">
      <w:pPr>
        <w:pStyle w:val="13"/>
        <w:rPr>
          <w:rFonts w:hint="eastAsia" w:ascii="仿宋" w:hAnsi="仿宋" w:eastAsia="仿宋"/>
          <w:color w:val="auto"/>
          <w:spacing w:val="14"/>
          <w:sz w:val="24"/>
          <w:szCs w:val="24"/>
        </w:rPr>
      </w:pPr>
      <w:bookmarkStart w:id="137" w:name="_Toc24362"/>
      <w:bookmarkEnd w:id="137"/>
      <w:bookmarkStart w:id="138" w:name="_Toc256000010"/>
      <w:bookmarkEnd w:id="138"/>
      <w:bookmarkStart w:id="139" w:name="_Toc256000057"/>
      <w:bookmarkEnd w:id="139"/>
      <w:bookmarkStart w:id="140" w:name="_Toc256000040"/>
      <w:bookmarkEnd w:id="140"/>
      <w:bookmarkStart w:id="141" w:name="_Toc1662631"/>
      <w:r>
        <w:rPr>
          <w:rFonts w:hint="eastAsia" w:ascii="仿宋" w:hAnsi="仿宋" w:eastAsia="仿宋"/>
          <w:color w:val="auto"/>
          <w:spacing w:val="14"/>
          <w:sz w:val="24"/>
          <w:szCs w:val="24"/>
        </w:rPr>
        <w:t>7.</w:t>
      </w:r>
      <w:bookmarkEnd w:id="141"/>
      <w:r>
        <w:rPr>
          <w:rFonts w:hint="eastAsia" w:ascii="仿宋" w:hAnsi="仿宋" w:eastAsia="仿宋"/>
          <w:color w:val="auto"/>
          <w:spacing w:val="14"/>
          <w:sz w:val="24"/>
          <w:szCs w:val="24"/>
        </w:rPr>
        <w:t>5.2 发出成交通知书后，采购人无正当理由拒签合同，或者在签订合同时向成交供应商提出附加条件的；给成交供应商造成损失的，应当赔偿损失。</w:t>
      </w:r>
    </w:p>
    <w:p w14:paraId="6CC452BA">
      <w:pPr>
        <w:ind w:firstLine="474" w:firstLineChars="200"/>
        <w:rPr>
          <w:rFonts w:hint="eastAsia" w:ascii="仿宋" w:hAnsi="仿宋" w:eastAsia="仿宋" w:cs="宋体"/>
          <w:spacing w:val="14"/>
          <w:sz w:val="24"/>
          <w:szCs w:val="24"/>
        </w:rPr>
      </w:pPr>
      <w:r>
        <w:rPr>
          <w:rFonts w:hint="eastAsia" w:ascii="仿宋" w:hAnsi="仿宋" w:eastAsia="仿宋" w:cs="宋体"/>
          <w:spacing w:val="14"/>
          <w:sz w:val="24"/>
          <w:szCs w:val="24"/>
        </w:rPr>
        <w:t>7.5.3签订合同的其他要求见供应商须知前附表。</w:t>
      </w:r>
    </w:p>
    <w:p w14:paraId="31C88054">
      <w:pPr>
        <w:keepNext/>
        <w:keepLines/>
        <w:spacing w:before="260" w:after="260" w:line="440" w:lineRule="exact"/>
        <w:outlineLvl w:val="2"/>
        <w:rPr>
          <w:rFonts w:hint="eastAsia" w:ascii="仿宋" w:hAnsi="仿宋" w:eastAsia="仿宋"/>
          <w:b/>
          <w:bCs/>
          <w:sz w:val="28"/>
          <w:szCs w:val="28"/>
        </w:rPr>
      </w:pPr>
      <w:bookmarkStart w:id="142" w:name="_Toc24933"/>
      <w:bookmarkEnd w:id="142"/>
      <w:bookmarkStart w:id="143" w:name="_Toc20470"/>
      <w:bookmarkStart w:id="144" w:name="_Toc130305934"/>
      <w:bookmarkStart w:id="145" w:name="_Toc10303"/>
      <w:bookmarkStart w:id="146" w:name="_Toc29218"/>
      <w:bookmarkStart w:id="147" w:name="_Toc256000060"/>
      <w:r>
        <w:rPr>
          <w:rFonts w:hint="eastAsia" w:ascii="仿宋" w:hAnsi="仿宋" w:eastAsia="仿宋"/>
          <w:b/>
          <w:bCs/>
          <w:sz w:val="28"/>
          <w:szCs w:val="28"/>
        </w:rPr>
        <w:t>8、纪律和监督</w:t>
      </w:r>
      <w:bookmarkEnd w:id="143"/>
      <w:bookmarkEnd w:id="144"/>
      <w:bookmarkEnd w:id="145"/>
      <w:bookmarkEnd w:id="146"/>
      <w:bookmarkEnd w:id="147"/>
    </w:p>
    <w:p w14:paraId="51E7C852">
      <w:pPr>
        <w:keepNext/>
        <w:keepLines/>
        <w:spacing w:line="440" w:lineRule="exact"/>
        <w:outlineLvl w:val="3"/>
        <w:rPr>
          <w:rFonts w:hint="eastAsia" w:ascii="仿宋" w:hAnsi="仿宋" w:eastAsia="仿宋" w:cs="Arial"/>
          <w:b/>
          <w:bCs/>
          <w:spacing w:val="14"/>
          <w:sz w:val="28"/>
          <w:szCs w:val="28"/>
        </w:rPr>
      </w:pPr>
      <w:bookmarkStart w:id="148" w:name="_Toc1662632"/>
      <w:bookmarkEnd w:id="148"/>
      <w:r>
        <w:rPr>
          <w:rFonts w:hint="eastAsia" w:ascii="仿宋" w:hAnsi="仿宋" w:eastAsia="仿宋" w:cs="Arial"/>
          <w:b/>
          <w:bCs/>
          <w:spacing w:val="14"/>
          <w:sz w:val="28"/>
          <w:szCs w:val="28"/>
        </w:rPr>
        <w:t>8.1 对采购人的纪律要求</w:t>
      </w:r>
    </w:p>
    <w:p w14:paraId="4B52187F">
      <w:pPr>
        <w:pStyle w:val="13"/>
        <w:rPr>
          <w:rFonts w:hint="eastAsia" w:ascii="仿宋" w:hAnsi="仿宋" w:eastAsia="仿宋"/>
          <w:color w:val="auto"/>
          <w:spacing w:val="14"/>
          <w:sz w:val="24"/>
          <w:szCs w:val="24"/>
        </w:rPr>
      </w:pPr>
      <w:bookmarkStart w:id="149" w:name="_Toc1662633"/>
      <w:bookmarkEnd w:id="149"/>
      <w:r>
        <w:rPr>
          <w:rFonts w:hint="eastAsia" w:ascii="仿宋" w:hAnsi="仿宋" w:eastAsia="仿宋"/>
          <w:color w:val="auto"/>
          <w:spacing w:val="14"/>
          <w:sz w:val="24"/>
          <w:szCs w:val="24"/>
        </w:rPr>
        <w:t xml:space="preserve">8.1.1 不得以不合理的条件对供应商实行差别待遇或者歧视待遇，排斥其他供应商公平参与竞争； </w:t>
      </w:r>
    </w:p>
    <w:p w14:paraId="299451F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8.1.2 不得与供应商或采购代理机构串通损害国家利益、社会公共利益或者他人合法权益； </w:t>
      </w:r>
    </w:p>
    <w:p w14:paraId="3D91F3F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8.1.3 不得诱导、干预或影响磋商小组依法依规评审，不得诱导、干预或影响评审专家依法依规独立评审； </w:t>
      </w:r>
    </w:p>
    <w:p w14:paraId="6680511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8.1.4 不得泄漏采购活动中应当保密的情况和资料； </w:t>
      </w:r>
    </w:p>
    <w:p w14:paraId="2CA842C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8.1.5 不得接受供应商或采购代理机构的贿赂，或获取其他不正当利益； </w:t>
      </w:r>
    </w:p>
    <w:p w14:paraId="6469832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8.1.6 不得无正当理</w:t>
      </w:r>
      <w:r>
        <w:rPr>
          <w:rFonts w:hint="eastAsia" w:ascii="仿宋" w:hAnsi="仿宋" w:eastAsia="仿宋"/>
          <w:color w:val="auto"/>
          <w:spacing w:val="14"/>
          <w:sz w:val="24"/>
          <w:szCs w:val="24"/>
          <w:lang w:eastAsia="zh-CN"/>
        </w:rPr>
        <w:t>由</w:t>
      </w:r>
      <w:r>
        <w:rPr>
          <w:rFonts w:hint="eastAsia" w:ascii="仿宋" w:hAnsi="仿宋" w:eastAsia="仿宋"/>
          <w:color w:val="auto"/>
          <w:spacing w:val="14"/>
          <w:sz w:val="24"/>
          <w:szCs w:val="24"/>
        </w:rPr>
        <w:t xml:space="preserve">拒绝与成交供应商签订合同； </w:t>
      </w:r>
    </w:p>
    <w:p w14:paraId="062C90B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8.1.7 参与采购活动的相关人员与供应商有利害关系的应当回避； </w:t>
      </w:r>
    </w:p>
    <w:p w14:paraId="4E4EC4C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8.1.8 采购过程中，不得有其他违法违规行为。</w:t>
      </w:r>
    </w:p>
    <w:p w14:paraId="0A59A7C4">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8.2 对供应商的纪律要求</w:t>
      </w:r>
    </w:p>
    <w:p w14:paraId="0CBEFF2E">
      <w:pPr>
        <w:pStyle w:val="13"/>
        <w:rPr>
          <w:rFonts w:hint="eastAsia" w:ascii="仿宋" w:hAnsi="仿宋" w:eastAsia="仿宋"/>
          <w:color w:val="auto"/>
          <w:spacing w:val="14"/>
          <w:sz w:val="24"/>
          <w:szCs w:val="24"/>
        </w:rPr>
      </w:pPr>
      <w:bookmarkStart w:id="150" w:name="_Toc1662634"/>
      <w:bookmarkEnd w:id="150"/>
      <w:r>
        <w:rPr>
          <w:rFonts w:hint="eastAsia" w:ascii="仿宋" w:hAnsi="仿宋" w:eastAsia="仿宋"/>
          <w:color w:val="auto"/>
          <w:spacing w:val="14"/>
          <w:sz w:val="24"/>
          <w:szCs w:val="24"/>
        </w:rPr>
        <w:t xml:space="preserve">8.2.1 不得以他人名义参加政府采购活动； </w:t>
      </w:r>
    </w:p>
    <w:p w14:paraId="7C63C52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8.2.2 供应商不得相互串通，不得与采购人、与采购代理机构串通； </w:t>
      </w:r>
    </w:p>
    <w:p w14:paraId="01724D7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8.2.3 不得向采购人或者磋商小组成员行贿，或提供其他不正当利益谋取成交； </w:t>
      </w:r>
    </w:p>
    <w:p w14:paraId="4FA2945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8.2.4 不得弄虚作假骗取成交，不得虚假响应，不得恶意低价响应； </w:t>
      </w:r>
    </w:p>
    <w:p w14:paraId="7B50DB1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8.2.5 供应商不得以任何方式干扰、影响评审工作； </w:t>
      </w:r>
    </w:p>
    <w:p w14:paraId="70D57FC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8.2.6 不得无正当理由放弃成交或成交后拒绝与采购人签订合同； </w:t>
      </w:r>
    </w:p>
    <w:p w14:paraId="3D4D653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8.2.7 不得恶意诋毁其他供应商、采购人或采购代理机构； </w:t>
      </w:r>
    </w:p>
    <w:p w14:paraId="5BF1163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8.2.8 在参与政府采购活动中，不得有其他违法违规行为。 </w:t>
      </w:r>
    </w:p>
    <w:p w14:paraId="2E37ED83">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8.3 对磋商小组成员的纪律要求</w:t>
      </w:r>
    </w:p>
    <w:p w14:paraId="7A754183">
      <w:pPr>
        <w:pStyle w:val="13"/>
        <w:rPr>
          <w:rFonts w:hint="eastAsia" w:ascii="仿宋" w:hAnsi="仿宋" w:eastAsia="仿宋"/>
          <w:color w:val="auto"/>
          <w:spacing w:val="14"/>
          <w:sz w:val="24"/>
          <w:szCs w:val="24"/>
        </w:rPr>
      </w:pPr>
      <w:bookmarkStart w:id="151" w:name="_Toc1662635"/>
      <w:bookmarkEnd w:id="151"/>
      <w:r>
        <w:rPr>
          <w:rFonts w:hint="eastAsia" w:ascii="仿宋" w:hAnsi="仿宋" w:eastAsia="仿宋"/>
          <w:color w:val="auto"/>
          <w:spacing w:val="14"/>
          <w:sz w:val="24"/>
          <w:szCs w:val="24"/>
        </w:rPr>
        <w:t xml:space="preserve">8.3.1 确定参与评审至评审结束前，不得私自接触供应商； </w:t>
      </w:r>
    </w:p>
    <w:p w14:paraId="4FE429B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8.3.2 不得与供应商或采购代理机构串通损害国家利益、社会公共利益或者他人合法权益； </w:t>
      </w:r>
    </w:p>
    <w:p w14:paraId="35409EC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8.3.3 不得接受供应商提出的与响应文件不一致的澄清和说明；</w:t>
      </w:r>
    </w:p>
    <w:p w14:paraId="43ABF79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8.3.4 不得征询采购人的倾向性意见； </w:t>
      </w:r>
    </w:p>
    <w:p w14:paraId="024C61E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8.3.5 不得对主观评审因素协商评分； </w:t>
      </w:r>
    </w:p>
    <w:p w14:paraId="2F4784D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8.3.6 不得对客观评审因素评分不一致； </w:t>
      </w:r>
    </w:p>
    <w:p w14:paraId="42C93B0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8.3.7 磋商小组成员不得接受供应商、采购人和采购代理机构等他人的贿赂或者其他不正当利益； </w:t>
      </w:r>
    </w:p>
    <w:p w14:paraId="517954C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8.3.8 不得以不合理的条件对供应商实行差别待遇或者歧视待遇，排斥其他供应商公平参与竞争； </w:t>
      </w:r>
    </w:p>
    <w:p w14:paraId="72CB712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8.3.9 不得使用磋商文件没有规定的评审方法和评审标准进行评审； </w:t>
      </w:r>
    </w:p>
    <w:p w14:paraId="4BA369B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8.3.10 不得诱导、干预或影响其他评审专家依法依规独立评审； </w:t>
      </w:r>
    </w:p>
    <w:p w14:paraId="7B0C640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8.3.11 在评审活动中，磋商小组成员不得擅离职守，影响评审工作正常进行； </w:t>
      </w:r>
    </w:p>
    <w:p w14:paraId="1379CE7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8.3.12 不得记录、复制或带走任何评审资料； </w:t>
      </w:r>
    </w:p>
    <w:p w14:paraId="50A7A20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8.3.13 不得泄露评审过程中获悉的对响应文件的评审和比较、成交候选人的推荐情况以及与评审有关的应当保密的情况和资料； </w:t>
      </w:r>
    </w:p>
    <w:p w14:paraId="2D51ECF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8.3.14 磋商小组成员与供应商存在利害关系应当回避； </w:t>
      </w:r>
    </w:p>
    <w:p w14:paraId="60C69723">
      <w:pPr>
        <w:pStyle w:val="13"/>
        <w:rPr>
          <w:rFonts w:hint="eastAsia" w:ascii="仿宋" w:hAnsi="仿宋" w:eastAsia="仿宋"/>
          <w:color w:val="auto"/>
          <w:sz w:val="24"/>
          <w:szCs w:val="24"/>
        </w:rPr>
      </w:pPr>
      <w:r>
        <w:rPr>
          <w:rFonts w:hint="eastAsia" w:ascii="仿宋" w:hAnsi="仿宋" w:eastAsia="仿宋"/>
          <w:color w:val="auto"/>
          <w:spacing w:val="14"/>
          <w:sz w:val="24"/>
          <w:szCs w:val="24"/>
        </w:rPr>
        <w:t>8.3.15 在参与政府采购评审活动中，不得有其他违法违规行为。</w:t>
      </w:r>
    </w:p>
    <w:p w14:paraId="703279C7">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8.4 对与评审活动有关的工作人员的纪律要求</w:t>
      </w:r>
    </w:p>
    <w:p w14:paraId="03C367A0">
      <w:pPr>
        <w:pStyle w:val="13"/>
        <w:rPr>
          <w:rFonts w:hint="eastAsia" w:ascii="仿宋" w:hAnsi="仿宋" w:eastAsia="仿宋"/>
          <w:color w:val="auto"/>
          <w:spacing w:val="14"/>
          <w:sz w:val="24"/>
          <w:szCs w:val="24"/>
        </w:rPr>
      </w:pPr>
      <w:bookmarkStart w:id="152" w:name="_Toc1662636"/>
      <w:bookmarkEnd w:id="152"/>
      <w:r>
        <w:rPr>
          <w:rFonts w:hint="eastAsia" w:ascii="仿宋" w:hAnsi="仿宋" w:eastAsia="仿宋"/>
          <w:color w:val="auto"/>
          <w:spacing w:val="14"/>
          <w:sz w:val="24"/>
          <w:szCs w:val="24"/>
        </w:rPr>
        <w:t xml:space="preserve">8.4.1 不得接受供应商、采购人和采购代理机构等他人的贿赂或者其他不正当利益； </w:t>
      </w:r>
    </w:p>
    <w:p w14:paraId="1184F61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8.4.2 不得与供应商、采购代理机构或评审专家串通损害国家利益、社会公共利益或者他人合法权益； </w:t>
      </w:r>
    </w:p>
    <w:p w14:paraId="7163E74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8.4.3 不得以不合理的条件对供应商实行差别待遇或者歧视待遇，排斥其他供应商公平参与竞争； </w:t>
      </w:r>
    </w:p>
    <w:p w14:paraId="2D8A88F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8.4.4 不得诱导、干预或影响磋商小组及其成员依法依规独立评审； </w:t>
      </w:r>
    </w:p>
    <w:p w14:paraId="4C53A5C1">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8.4.5 不得擅离职守，影响评审工作正常进行； </w:t>
      </w:r>
    </w:p>
    <w:p w14:paraId="2FE5899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8.4.6 不得泄漏采购活动中应当保密的情况和资料； </w:t>
      </w:r>
    </w:p>
    <w:p w14:paraId="0B5B4B2D">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8.4.7 与供应商有利害关系的应当回避； </w:t>
      </w:r>
    </w:p>
    <w:p w14:paraId="150CEE1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8.4.8 在参与或服务政府采购活动中，不得有其他违法违规行为。</w:t>
      </w:r>
    </w:p>
    <w:p w14:paraId="39D8AFC0">
      <w:pPr>
        <w:keepNext/>
        <w:keepLines/>
        <w:spacing w:line="440" w:lineRule="exact"/>
        <w:outlineLvl w:val="3"/>
        <w:rPr>
          <w:rFonts w:hint="eastAsia" w:ascii="仿宋" w:hAnsi="仿宋" w:eastAsia="仿宋" w:cs="Arial"/>
          <w:b/>
          <w:bCs/>
          <w:spacing w:val="14"/>
          <w:sz w:val="28"/>
          <w:szCs w:val="28"/>
        </w:rPr>
      </w:pPr>
      <w:r>
        <w:rPr>
          <w:rFonts w:hint="eastAsia" w:ascii="仿宋" w:hAnsi="仿宋" w:eastAsia="仿宋" w:cs="Arial"/>
          <w:b/>
          <w:bCs/>
          <w:spacing w:val="14"/>
          <w:sz w:val="28"/>
          <w:szCs w:val="28"/>
        </w:rPr>
        <w:t>8.5质疑和投诉</w:t>
      </w:r>
    </w:p>
    <w:p w14:paraId="1362420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8.5.1 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 </w:t>
      </w:r>
    </w:p>
    <w:p w14:paraId="25F10DA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8.5.2 质疑函的递交方式：见供应商须知前附表。 </w:t>
      </w:r>
    </w:p>
    <w:p w14:paraId="65E1029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8.5.3 对采购人、采购代理机构的答复不满意或者采购人、采购代理机构未在规定的时间内作出答复的，供应商可以在质疑答复期满后15个工作日内实名向（项目所属）同级政府采购监督管理部门投诉。 </w:t>
      </w:r>
    </w:p>
    <w:p w14:paraId="5F7FDCF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8.5.4 质疑和投诉应有具体的质疑（投诉）事项和必要的证明材料或事实根据，供应商对其质疑和投诉内容的真实性及其来源的合法性承担法律责任。 </w:t>
      </w:r>
    </w:p>
    <w:p w14:paraId="3BC7FD61">
      <w:pPr>
        <w:keepNext/>
        <w:keepLines/>
        <w:spacing w:before="260" w:after="260" w:line="440" w:lineRule="exact"/>
        <w:outlineLvl w:val="2"/>
        <w:rPr>
          <w:rFonts w:hint="eastAsia" w:ascii="仿宋" w:hAnsi="仿宋" w:eastAsia="仿宋"/>
          <w:b/>
          <w:bCs/>
          <w:sz w:val="28"/>
          <w:szCs w:val="28"/>
        </w:rPr>
      </w:pPr>
      <w:bookmarkStart w:id="153" w:name="_Toc256000013"/>
      <w:bookmarkEnd w:id="153"/>
      <w:bookmarkStart w:id="154" w:name="_Toc1662639"/>
      <w:bookmarkEnd w:id="154"/>
      <w:bookmarkStart w:id="155" w:name="_Toc32508"/>
      <w:bookmarkEnd w:id="155"/>
      <w:bookmarkStart w:id="156" w:name="_Toc24239"/>
      <w:bookmarkEnd w:id="156"/>
      <w:bookmarkStart w:id="157" w:name="_Toc256000043"/>
      <w:bookmarkEnd w:id="157"/>
      <w:bookmarkStart w:id="158" w:name="_Toc256000058"/>
      <w:bookmarkStart w:id="159" w:name="_Toc130305935"/>
      <w:bookmarkStart w:id="160" w:name="_Toc31490"/>
      <w:bookmarkStart w:id="161" w:name="_Toc256000061"/>
      <w:bookmarkStart w:id="162" w:name="_Toc19847"/>
      <w:bookmarkStart w:id="163" w:name="_Toc14953"/>
      <w:r>
        <w:rPr>
          <w:rFonts w:hint="eastAsia" w:ascii="仿宋" w:hAnsi="仿宋" w:eastAsia="仿宋"/>
          <w:b/>
          <w:bCs/>
          <w:sz w:val="28"/>
          <w:szCs w:val="28"/>
        </w:rPr>
        <w:t>9</w:t>
      </w:r>
      <w:bookmarkEnd w:id="158"/>
      <w:r>
        <w:rPr>
          <w:rFonts w:hint="eastAsia" w:ascii="仿宋" w:hAnsi="仿宋" w:eastAsia="仿宋"/>
          <w:b/>
          <w:bCs/>
          <w:sz w:val="28"/>
          <w:szCs w:val="28"/>
        </w:rPr>
        <w:t>、需要补充的其他内容</w:t>
      </w:r>
      <w:bookmarkEnd w:id="159"/>
      <w:bookmarkEnd w:id="160"/>
      <w:bookmarkEnd w:id="161"/>
      <w:bookmarkEnd w:id="162"/>
      <w:bookmarkEnd w:id="163"/>
    </w:p>
    <w:p w14:paraId="45781CEB">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需要补充的其他内容：见须知前附表。</w:t>
      </w:r>
    </w:p>
    <w:p w14:paraId="4AE5536A">
      <w:pPr>
        <w:keepNext/>
        <w:keepLines/>
        <w:spacing w:line="360" w:lineRule="auto"/>
        <w:ind w:firstLine="602"/>
        <w:jc w:val="both"/>
        <w:outlineLvl w:val="2"/>
        <w:rPr>
          <w:rFonts w:hint="eastAsia" w:ascii="仿宋" w:hAnsi="仿宋" w:eastAsia="仿宋" w:cs="仿宋"/>
          <w:sz w:val="24"/>
          <w:szCs w:val="24"/>
        </w:rPr>
      </w:pPr>
      <w:r>
        <w:rPr>
          <w:rFonts w:hint="eastAsia" w:ascii="仿宋" w:hAnsi="仿宋" w:eastAsia="仿宋" w:cs="宋体"/>
          <w:szCs w:val="21"/>
        </w:rPr>
        <w:br w:type="page"/>
      </w:r>
      <w:bookmarkStart w:id="164" w:name="_Toc1662640"/>
      <w:bookmarkEnd w:id="164"/>
      <w:bookmarkStart w:id="165" w:name="_Toc23652"/>
      <w:bookmarkStart w:id="166" w:name="_Toc31862"/>
      <w:bookmarkStart w:id="167" w:name="_Toc20417"/>
      <w:bookmarkStart w:id="168" w:name="_Toc1721686"/>
      <w:r>
        <w:rPr>
          <w:rFonts w:hint="eastAsia" w:ascii="仿宋" w:hAnsi="仿宋" w:eastAsia="仿宋" w:cs="仿宋"/>
          <w:b/>
          <w:bCs/>
          <w:sz w:val="28"/>
          <w:szCs w:val="28"/>
        </w:rPr>
        <w:t>附件：质疑函范本</w:t>
      </w:r>
      <w:bookmarkEnd w:id="165"/>
      <w:bookmarkEnd w:id="166"/>
      <w:bookmarkEnd w:id="167"/>
      <w:bookmarkEnd w:id="168"/>
    </w:p>
    <w:p w14:paraId="470D8CAC">
      <w:pPr>
        <w:spacing w:line="360" w:lineRule="auto"/>
        <w:ind w:firstLine="0" w:firstLineChars="0"/>
        <w:jc w:val="center"/>
        <w:rPr>
          <w:rFonts w:hint="eastAsia" w:ascii="仿宋" w:hAnsi="仿宋" w:eastAsia="仿宋" w:cs="仿宋"/>
          <w:b/>
          <w:sz w:val="28"/>
          <w:szCs w:val="28"/>
        </w:rPr>
      </w:pPr>
      <w:r>
        <w:rPr>
          <w:rFonts w:hint="eastAsia" w:ascii="仿宋" w:hAnsi="仿宋" w:eastAsia="仿宋" w:cs="仿宋"/>
          <w:b/>
          <w:spacing w:val="14"/>
          <w:sz w:val="28"/>
          <w:szCs w:val="28"/>
        </w:rPr>
        <w:t>质疑函</w:t>
      </w:r>
    </w:p>
    <w:p w14:paraId="561A7427">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一、质疑供应商基本信息</w:t>
      </w:r>
    </w:p>
    <w:p w14:paraId="2D837627">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质疑供应商：</w:t>
      </w:r>
      <w:r>
        <w:rPr>
          <w:rFonts w:hint="eastAsia" w:ascii="仿宋" w:hAnsi="仿宋" w:eastAsia="仿宋" w:cs="仿宋"/>
          <w:sz w:val="24"/>
          <w:szCs w:val="24"/>
          <w:u w:val="dotted"/>
        </w:rPr>
        <w:t xml:space="preserve">                                        </w:t>
      </w:r>
    </w:p>
    <w:p w14:paraId="04218616">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60EAE921">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联系人：</w:t>
      </w:r>
      <w:r>
        <w:rPr>
          <w:rFonts w:hint="eastAsia" w:ascii="仿宋" w:hAnsi="仿宋" w:eastAsia="仿宋" w:cs="仿宋"/>
          <w:sz w:val="24"/>
          <w:szCs w:val="24"/>
          <w:u w:val="dotted"/>
        </w:rPr>
        <w:t xml:space="preserve">                      </w:t>
      </w: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p>
    <w:p w14:paraId="21D36530">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授权代表：</w:t>
      </w:r>
      <w:r>
        <w:rPr>
          <w:rFonts w:hint="eastAsia" w:ascii="仿宋" w:hAnsi="仿宋" w:eastAsia="仿宋" w:cs="仿宋"/>
          <w:sz w:val="24"/>
          <w:szCs w:val="24"/>
          <w:u w:val="dotted"/>
        </w:rPr>
        <w:t xml:space="preserve">                                          </w:t>
      </w:r>
    </w:p>
    <w:p w14:paraId="15EA9ED5">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联系电话：</w:t>
      </w:r>
      <w:r>
        <w:rPr>
          <w:rFonts w:hint="eastAsia" w:ascii="仿宋" w:hAnsi="仿宋" w:eastAsia="仿宋" w:cs="仿宋"/>
          <w:sz w:val="24"/>
          <w:szCs w:val="24"/>
          <w:u w:val="dotted"/>
        </w:rPr>
        <w:t xml:space="preserve">                                           </w:t>
      </w:r>
      <w:r>
        <w:rPr>
          <w:rFonts w:hint="eastAsia" w:ascii="仿宋" w:hAnsi="仿宋" w:eastAsia="仿宋" w:cs="仿宋"/>
          <w:sz w:val="24"/>
          <w:szCs w:val="24"/>
        </w:rPr>
        <w:t xml:space="preserve"> </w:t>
      </w:r>
    </w:p>
    <w:p w14:paraId="77FB7113">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 xml:space="preserve">地址： </w:t>
      </w:r>
      <w:r>
        <w:rPr>
          <w:rFonts w:hint="eastAsia" w:ascii="仿宋" w:hAnsi="仿宋" w:eastAsia="仿宋" w:cs="仿宋"/>
          <w:sz w:val="24"/>
          <w:szCs w:val="24"/>
          <w:u w:val="dotted"/>
        </w:rPr>
        <w:t xml:space="preserve">                        </w:t>
      </w:r>
      <w:r>
        <w:rPr>
          <w:rFonts w:hint="eastAsia" w:ascii="仿宋" w:hAnsi="仿宋" w:eastAsia="仿宋" w:cs="仿宋"/>
          <w:sz w:val="24"/>
          <w:szCs w:val="24"/>
        </w:rPr>
        <w:t>邮编：</w:t>
      </w:r>
      <w:r>
        <w:rPr>
          <w:rFonts w:hint="eastAsia" w:ascii="仿宋" w:hAnsi="仿宋" w:eastAsia="仿宋" w:cs="仿宋"/>
          <w:sz w:val="24"/>
          <w:szCs w:val="24"/>
          <w:u w:val="dotted"/>
        </w:rPr>
        <w:t xml:space="preserve">                                                </w:t>
      </w:r>
    </w:p>
    <w:p w14:paraId="756343C0">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二、质疑项目基本情况</w:t>
      </w:r>
    </w:p>
    <w:p w14:paraId="2181B7E6">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质疑项目的名称：</w:t>
      </w:r>
      <w:r>
        <w:rPr>
          <w:rFonts w:hint="eastAsia" w:ascii="仿宋" w:hAnsi="仿宋" w:eastAsia="仿宋" w:cs="仿宋"/>
          <w:sz w:val="24"/>
          <w:szCs w:val="24"/>
          <w:u w:val="dotted"/>
        </w:rPr>
        <w:t xml:space="preserve">                                          </w:t>
      </w:r>
    </w:p>
    <w:p w14:paraId="31B8813D">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质疑项目的编号：</w:t>
      </w:r>
      <w:r>
        <w:rPr>
          <w:rFonts w:hint="eastAsia" w:ascii="仿宋" w:hAnsi="仿宋" w:eastAsia="仿宋" w:cs="仿宋"/>
          <w:sz w:val="24"/>
          <w:szCs w:val="24"/>
          <w:u w:val="dotted"/>
        </w:rPr>
        <w:t xml:space="preserve">               </w:t>
      </w:r>
      <w:r>
        <w:rPr>
          <w:rFonts w:hint="eastAsia" w:ascii="仿宋" w:hAnsi="仿宋" w:eastAsia="仿宋" w:cs="仿宋"/>
          <w:sz w:val="24"/>
          <w:szCs w:val="24"/>
        </w:rPr>
        <w:t>包号：</w:t>
      </w:r>
      <w:r>
        <w:rPr>
          <w:rFonts w:hint="eastAsia" w:ascii="仿宋" w:hAnsi="仿宋" w:eastAsia="仿宋" w:cs="仿宋"/>
          <w:sz w:val="24"/>
          <w:szCs w:val="24"/>
          <w:u w:val="dotted"/>
        </w:rPr>
        <w:t xml:space="preserve">                       </w:t>
      </w:r>
    </w:p>
    <w:p w14:paraId="2AB06A76">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采购人名称：</w:t>
      </w:r>
      <w:r>
        <w:rPr>
          <w:rFonts w:hint="eastAsia" w:ascii="仿宋" w:hAnsi="仿宋" w:eastAsia="仿宋" w:cs="仿宋"/>
          <w:sz w:val="24"/>
          <w:szCs w:val="24"/>
          <w:u w:val="dotted"/>
        </w:rPr>
        <w:t xml:space="preserve">                                               </w:t>
      </w:r>
    </w:p>
    <w:p w14:paraId="2E16C209">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采购文件获取日期：</w:t>
      </w:r>
      <w:r>
        <w:rPr>
          <w:rFonts w:hint="eastAsia" w:ascii="仿宋" w:hAnsi="仿宋" w:eastAsia="仿宋" w:cs="仿宋"/>
          <w:sz w:val="24"/>
          <w:szCs w:val="24"/>
          <w:u w:val="dotted"/>
        </w:rPr>
        <w:t xml:space="preserve">                                             </w:t>
      </w:r>
    </w:p>
    <w:p w14:paraId="05291657">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三、质疑事项具体内容</w:t>
      </w:r>
    </w:p>
    <w:p w14:paraId="207B0372">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质疑事项1：</w:t>
      </w:r>
      <w:r>
        <w:rPr>
          <w:rFonts w:hint="eastAsia" w:ascii="仿宋" w:hAnsi="仿宋" w:eastAsia="仿宋" w:cs="仿宋"/>
          <w:sz w:val="24"/>
          <w:szCs w:val="24"/>
          <w:u w:val="dotted"/>
        </w:rPr>
        <w:t xml:space="preserve">                                               </w:t>
      </w:r>
    </w:p>
    <w:p w14:paraId="0E7038AB">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事实依据：</w:t>
      </w:r>
      <w:r>
        <w:rPr>
          <w:rFonts w:hint="eastAsia" w:ascii="仿宋" w:hAnsi="仿宋" w:eastAsia="仿宋" w:cs="仿宋"/>
          <w:sz w:val="24"/>
          <w:szCs w:val="24"/>
          <w:u w:val="dotted"/>
        </w:rPr>
        <w:t xml:space="preserve">                                                </w:t>
      </w:r>
    </w:p>
    <w:p w14:paraId="3DF30BE7">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u w:val="dotted"/>
        </w:rPr>
        <w:t xml:space="preserve">                                                           </w:t>
      </w:r>
    </w:p>
    <w:p w14:paraId="16AEE650">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法律依据：</w:t>
      </w:r>
      <w:r>
        <w:rPr>
          <w:rFonts w:hint="eastAsia" w:ascii="仿宋" w:hAnsi="仿宋" w:eastAsia="仿宋" w:cs="仿宋"/>
          <w:sz w:val="24"/>
          <w:szCs w:val="24"/>
          <w:u w:val="dotted"/>
        </w:rPr>
        <w:t xml:space="preserve">                                                </w:t>
      </w:r>
    </w:p>
    <w:p w14:paraId="7FF7920B">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u w:val="dotted"/>
        </w:rPr>
        <w:t xml:space="preserve">                                                           </w:t>
      </w:r>
    </w:p>
    <w:p w14:paraId="233A8AA9">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质疑事项2</w:t>
      </w:r>
    </w:p>
    <w:p w14:paraId="65F843DF">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w:t>
      </w:r>
    </w:p>
    <w:p w14:paraId="538C669E">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四、与质疑事项相关的质疑请求</w:t>
      </w:r>
    </w:p>
    <w:p w14:paraId="76CEAD15">
      <w:pPr>
        <w:widowControl/>
        <w:spacing w:line="240" w:lineRule="auto"/>
        <w:ind w:firstLine="480"/>
        <w:jc w:val="left"/>
        <w:rPr>
          <w:rFonts w:hint="eastAsia" w:ascii="仿宋" w:hAnsi="仿宋" w:eastAsia="仿宋" w:cs="仿宋"/>
          <w:sz w:val="24"/>
          <w:szCs w:val="24"/>
          <w:u w:val="dotted"/>
        </w:rPr>
      </w:pPr>
      <w:r>
        <w:rPr>
          <w:rFonts w:hint="eastAsia" w:ascii="仿宋" w:hAnsi="仿宋" w:eastAsia="仿宋" w:cs="仿宋"/>
          <w:sz w:val="24"/>
          <w:szCs w:val="24"/>
        </w:rPr>
        <w:t>请求：</w:t>
      </w:r>
      <w:r>
        <w:rPr>
          <w:rFonts w:hint="eastAsia" w:ascii="仿宋" w:hAnsi="仿宋" w:eastAsia="仿宋" w:cs="仿宋"/>
          <w:sz w:val="24"/>
          <w:szCs w:val="24"/>
          <w:u w:val="dotted"/>
        </w:rPr>
        <w:t xml:space="preserve">                                               </w:t>
      </w:r>
    </w:p>
    <w:p w14:paraId="10D71F85">
      <w:pPr>
        <w:widowControl/>
        <w:spacing w:line="240" w:lineRule="auto"/>
        <w:ind w:firstLine="480"/>
        <w:jc w:val="left"/>
        <w:rPr>
          <w:rFonts w:hint="eastAsia" w:ascii="仿宋" w:hAnsi="仿宋" w:eastAsia="仿宋" w:cs="仿宋"/>
          <w:sz w:val="24"/>
          <w:szCs w:val="24"/>
        </w:rPr>
      </w:pPr>
    </w:p>
    <w:p w14:paraId="024D91DC">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 xml:space="preserve">签字(签章)：                   公章： </w:t>
      </w:r>
    </w:p>
    <w:p w14:paraId="5075B649">
      <w:pPr>
        <w:widowControl/>
        <w:spacing w:line="240" w:lineRule="auto"/>
        <w:ind w:firstLine="480"/>
        <w:jc w:val="left"/>
        <w:rPr>
          <w:rFonts w:hint="eastAsia" w:ascii="仿宋" w:hAnsi="仿宋" w:eastAsia="仿宋" w:cs="仿宋"/>
          <w:sz w:val="24"/>
          <w:szCs w:val="24"/>
        </w:rPr>
      </w:pPr>
      <w:r>
        <w:rPr>
          <w:rFonts w:hint="eastAsia" w:ascii="仿宋" w:hAnsi="仿宋" w:eastAsia="仿宋" w:cs="仿宋"/>
          <w:sz w:val="24"/>
          <w:szCs w:val="24"/>
        </w:rPr>
        <w:t xml:space="preserve">日期：    </w:t>
      </w:r>
    </w:p>
    <w:p w14:paraId="69F8F280">
      <w:pPr>
        <w:widowControl/>
        <w:spacing w:line="360" w:lineRule="auto"/>
        <w:ind w:firstLine="480"/>
        <w:jc w:val="both"/>
        <w:rPr>
          <w:rFonts w:hint="eastAsia" w:ascii="仿宋" w:hAnsi="仿宋" w:eastAsia="仿宋" w:cs="仿宋"/>
          <w:sz w:val="24"/>
          <w:szCs w:val="24"/>
        </w:rPr>
      </w:pPr>
    </w:p>
    <w:p w14:paraId="2326F26A">
      <w:pPr>
        <w:widowControl/>
        <w:spacing w:line="360" w:lineRule="auto"/>
        <w:ind w:firstLine="418" w:firstLineChars="200"/>
        <w:jc w:val="both"/>
        <w:rPr>
          <w:rFonts w:hint="eastAsia" w:ascii="仿宋" w:hAnsi="仿宋" w:eastAsia="仿宋" w:cs="仿宋"/>
          <w:sz w:val="24"/>
          <w:szCs w:val="24"/>
        </w:rPr>
      </w:pPr>
      <w:r>
        <w:rPr>
          <w:rFonts w:hint="eastAsia" w:ascii="仿宋" w:hAnsi="仿宋" w:eastAsia="仿宋" w:cs="仿宋"/>
          <w:sz w:val="24"/>
          <w:szCs w:val="24"/>
        </w:rPr>
        <w:t>质疑函制作说明：</w:t>
      </w:r>
    </w:p>
    <w:p w14:paraId="3A873AB0">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1.供应商提出质疑时，应提交质疑函和必要的证明材料。</w:t>
      </w:r>
    </w:p>
    <w:p w14:paraId="36353908">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7FAF9FC">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3.质疑供应商若对项目的某一分包进行质疑，质疑函中应列明具体分包号。</w:t>
      </w:r>
    </w:p>
    <w:p w14:paraId="57AA1965">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4.质疑函的质疑事项应具体、明确，并有必要的事实依据和法律依据。</w:t>
      </w:r>
    </w:p>
    <w:p w14:paraId="40E6C6A1">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5.质疑函的质疑请求应与质疑事项相关。</w:t>
      </w:r>
    </w:p>
    <w:p w14:paraId="02963F5F">
      <w:pPr>
        <w:widowControl/>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6.质疑供应商为自然人的，质疑函应由本人签字；质疑供应商为法人或者其他组织的，质疑函应由法定代表人、主要负责人，或者其授权代表签字或者盖章，并加盖公章。</w:t>
      </w:r>
    </w:p>
    <w:p w14:paraId="1C27E81D">
      <w:pPr>
        <w:pStyle w:val="13"/>
        <w:rPr>
          <w:rFonts w:hint="eastAsia" w:ascii="仿宋" w:hAnsi="仿宋" w:eastAsia="仿宋"/>
          <w:color w:val="auto"/>
        </w:rPr>
      </w:pPr>
    </w:p>
    <w:p w14:paraId="18B7B096">
      <w:pPr>
        <w:rPr>
          <w:rFonts w:hint="eastAsia" w:ascii="仿宋" w:hAnsi="仿宋" w:eastAsia="仿宋" w:cs="宋体"/>
          <w:szCs w:val="21"/>
        </w:rPr>
      </w:pPr>
    </w:p>
    <w:p w14:paraId="5257BC9A">
      <w:pPr>
        <w:rPr>
          <w:rFonts w:hint="eastAsia" w:ascii="仿宋" w:hAnsi="仿宋" w:eastAsia="仿宋" w:cs="宋体"/>
          <w:szCs w:val="21"/>
        </w:rPr>
      </w:pPr>
    </w:p>
    <w:p w14:paraId="5500C198">
      <w:pPr>
        <w:rPr>
          <w:rFonts w:hint="eastAsia" w:ascii="仿宋" w:hAnsi="仿宋" w:eastAsia="仿宋" w:cs="宋体"/>
          <w:szCs w:val="21"/>
        </w:rPr>
      </w:pPr>
    </w:p>
    <w:p w14:paraId="3A17D25B">
      <w:pPr>
        <w:rPr>
          <w:rFonts w:hint="eastAsia" w:ascii="仿宋" w:hAnsi="仿宋" w:eastAsia="仿宋" w:cs="宋体"/>
          <w:szCs w:val="21"/>
        </w:rPr>
      </w:pPr>
    </w:p>
    <w:p w14:paraId="080F9815">
      <w:pPr>
        <w:rPr>
          <w:rFonts w:hint="eastAsia" w:ascii="仿宋" w:hAnsi="仿宋" w:eastAsia="仿宋" w:cs="宋体"/>
          <w:szCs w:val="21"/>
        </w:rPr>
      </w:pPr>
    </w:p>
    <w:p w14:paraId="5A706817">
      <w:pPr>
        <w:rPr>
          <w:rFonts w:hint="eastAsia" w:ascii="仿宋" w:hAnsi="仿宋" w:eastAsia="仿宋" w:cs="宋体"/>
          <w:szCs w:val="21"/>
        </w:rPr>
      </w:pPr>
    </w:p>
    <w:p w14:paraId="57D7F1AF">
      <w:pPr>
        <w:rPr>
          <w:rFonts w:hint="eastAsia" w:ascii="仿宋" w:hAnsi="仿宋" w:eastAsia="仿宋" w:cs="宋体"/>
          <w:szCs w:val="21"/>
        </w:rPr>
      </w:pPr>
    </w:p>
    <w:p w14:paraId="143F4643">
      <w:pPr>
        <w:rPr>
          <w:rFonts w:hint="eastAsia" w:ascii="仿宋" w:hAnsi="仿宋" w:eastAsia="仿宋" w:cs="宋体"/>
          <w:szCs w:val="21"/>
        </w:rPr>
      </w:pPr>
    </w:p>
    <w:p w14:paraId="5F0039E4">
      <w:pPr>
        <w:pStyle w:val="2"/>
        <w:rPr>
          <w:rFonts w:hint="eastAsia"/>
        </w:rPr>
      </w:pPr>
    </w:p>
    <w:p w14:paraId="597D602B">
      <w:pPr>
        <w:rPr>
          <w:rFonts w:hint="eastAsia" w:ascii="仿宋" w:hAnsi="仿宋" w:eastAsia="仿宋" w:cs="宋体"/>
          <w:szCs w:val="21"/>
        </w:rPr>
      </w:pPr>
    </w:p>
    <w:p w14:paraId="2C6CF617">
      <w:pPr>
        <w:rPr>
          <w:rFonts w:hint="eastAsia" w:ascii="仿宋" w:hAnsi="仿宋" w:eastAsia="仿宋" w:cs="宋体"/>
          <w:szCs w:val="21"/>
        </w:rPr>
      </w:pPr>
    </w:p>
    <w:p w14:paraId="09F5684C">
      <w:pPr>
        <w:rPr>
          <w:rFonts w:hint="eastAsia" w:ascii="仿宋" w:hAnsi="仿宋" w:eastAsia="仿宋" w:cs="宋体"/>
          <w:szCs w:val="21"/>
        </w:rPr>
      </w:pPr>
    </w:p>
    <w:p w14:paraId="04D86998">
      <w:pPr>
        <w:rPr>
          <w:rFonts w:hint="eastAsia" w:ascii="仿宋" w:hAnsi="仿宋" w:eastAsia="仿宋" w:cs="宋体"/>
          <w:szCs w:val="21"/>
        </w:rPr>
      </w:pPr>
    </w:p>
    <w:p w14:paraId="22B5E715">
      <w:pPr>
        <w:widowControl/>
        <w:numPr>
          <w:ilvl w:val="0"/>
          <w:numId w:val="2"/>
        </w:numPr>
        <w:spacing w:before="240" w:after="60" w:line="360" w:lineRule="auto"/>
        <w:ind w:firstLine="578" w:firstLineChars="200"/>
        <w:jc w:val="center"/>
        <w:outlineLvl w:val="0"/>
        <w:rPr>
          <w:rFonts w:hint="eastAsia" w:ascii="仿宋" w:hAnsi="仿宋" w:eastAsia="仿宋" w:cs="仿宋"/>
          <w:b/>
          <w:bCs/>
          <w:sz w:val="32"/>
          <w:szCs w:val="32"/>
        </w:rPr>
      </w:pPr>
      <w:bookmarkStart w:id="169" w:name="_Toc27737"/>
      <w:bookmarkEnd w:id="169"/>
      <w:bookmarkStart w:id="170" w:name="_Toc27348"/>
      <w:bookmarkEnd w:id="170"/>
      <w:bookmarkStart w:id="171" w:name="_Toc256000044"/>
      <w:bookmarkEnd w:id="171"/>
      <w:bookmarkStart w:id="172" w:name="_Toc256000065"/>
      <w:bookmarkEnd w:id="172"/>
      <w:bookmarkStart w:id="173" w:name="_Toc256000015"/>
      <w:bookmarkEnd w:id="173"/>
      <w:bookmarkStart w:id="174" w:name="_Toc1662641"/>
      <w:bookmarkEnd w:id="174"/>
      <w:bookmarkStart w:id="175" w:name="_Toc256000062"/>
      <w:bookmarkStart w:id="176" w:name="_Toc130305936"/>
      <w:bookmarkStart w:id="177" w:name="_Toc9108"/>
      <w:bookmarkStart w:id="178" w:name="_Toc14988"/>
      <w:r>
        <w:rPr>
          <w:rFonts w:hint="eastAsia" w:ascii="仿宋" w:hAnsi="仿宋" w:eastAsia="仿宋" w:cs="仿宋"/>
          <w:b/>
          <w:bCs/>
          <w:sz w:val="32"/>
          <w:szCs w:val="32"/>
        </w:rPr>
        <w:t xml:space="preserve"> </w:t>
      </w:r>
      <w:bookmarkStart w:id="179" w:name="_Toc24734"/>
      <w:r>
        <w:rPr>
          <w:rFonts w:hint="eastAsia" w:ascii="仿宋" w:hAnsi="仿宋" w:eastAsia="仿宋" w:cs="仿宋"/>
          <w:b/>
          <w:bCs/>
          <w:sz w:val="32"/>
          <w:szCs w:val="32"/>
        </w:rPr>
        <w:t>采购需求</w:t>
      </w:r>
      <w:bookmarkEnd w:id="175"/>
      <w:bookmarkEnd w:id="176"/>
      <w:bookmarkEnd w:id="177"/>
      <w:bookmarkEnd w:id="178"/>
      <w:bookmarkEnd w:id="179"/>
    </w:p>
    <w:p w14:paraId="2D88DFAE">
      <w:pPr>
        <w:keepNext w:val="0"/>
        <w:keepLines w:val="0"/>
        <w:pageBreakBefore w:val="0"/>
        <w:widowControl w:val="0"/>
        <w:kinsoku/>
        <w:wordWrap/>
        <w:overflowPunct/>
        <w:topLinePunct w:val="0"/>
        <w:autoSpaceDE/>
        <w:autoSpaceDN/>
        <w:bidi w:val="0"/>
        <w:adjustRightInd/>
        <w:snapToGrid/>
        <w:spacing w:beforeLines="50" w:line="500" w:lineRule="exact"/>
        <w:textAlignment w:val="auto"/>
        <w:rPr>
          <w:rFonts w:hint="eastAsia" w:ascii="仿宋" w:hAnsi="仿宋" w:eastAsia="仿宋" w:cs="仿宋"/>
          <w:b/>
          <w:sz w:val="28"/>
          <w:szCs w:val="28"/>
        </w:rPr>
      </w:pPr>
      <w:r>
        <w:rPr>
          <w:rFonts w:hint="eastAsia" w:ascii="仿宋" w:hAnsi="仿宋" w:eastAsia="仿宋" w:cs="仿宋"/>
          <w:b/>
          <w:sz w:val="28"/>
          <w:szCs w:val="28"/>
        </w:rPr>
        <w:t>一、</w:t>
      </w:r>
      <w:r>
        <w:rPr>
          <w:rFonts w:hint="eastAsia" w:ascii="仿宋" w:hAnsi="仿宋" w:eastAsia="仿宋" w:cs="仿宋"/>
          <w:b/>
          <w:sz w:val="28"/>
          <w:szCs w:val="28"/>
          <w:lang w:eastAsia="zh-CN"/>
        </w:rPr>
        <w:t>项目</w:t>
      </w:r>
      <w:r>
        <w:rPr>
          <w:rFonts w:hint="eastAsia" w:ascii="仿宋" w:hAnsi="仿宋" w:eastAsia="仿宋" w:cs="仿宋"/>
          <w:b/>
          <w:sz w:val="28"/>
          <w:szCs w:val="28"/>
        </w:rPr>
        <w:t>概况：</w:t>
      </w:r>
    </w:p>
    <w:p w14:paraId="517A6A68">
      <w:pPr>
        <w:widowControl w:val="0"/>
        <w:spacing w:line="500" w:lineRule="exact"/>
        <w:ind w:firstLine="418" w:firstLineChars="200"/>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rPr>
        <w:t>本项目为河南科技大学附属高级中学理化生实验室装备项目</w:t>
      </w:r>
      <w:r>
        <w:rPr>
          <w:rFonts w:hint="eastAsia" w:ascii="仿宋" w:hAnsi="仿宋" w:eastAsia="仿宋"/>
          <w:color w:val="auto"/>
          <w:sz w:val="24"/>
          <w:szCs w:val="24"/>
          <w:highlight w:val="none"/>
          <w:lang w:val="en-US" w:eastAsia="zh-CN"/>
        </w:rPr>
        <w:t>,</w:t>
      </w:r>
      <w:r>
        <w:rPr>
          <w:rFonts w:hint="eastAsia" w:ascii="仿宋" w:hAnsi="仿宋" w:eastAsia="仿宋"/>
          <w:color w:val="auto"/>
          <w:sz w:val="24"/>
          <w:szCs w:val="24"/>
        </w:rPr>
        <w:t>包括物理1个、化学1个、生物2个共四个实验室和三个学科准备室</w:t>
      </w:r>
      <w:r>
        <w:rPr>
          <w:rFonts w:hint="eastAsia" w:ascii="仿宋" w:hAnsi="仿宋" w:eastAsia="仿宋"/>
          <w:color w:val="auto"/>
          <w:sz w:val="24"/>
          <w:szCs w:val="24"/>
          <w:highlight w:val="none"/>
        </w:rPr>
        <w:t>的基础设备和仪器装备</w:t>
      </w:r>
      <w:r>
        <w:rPr>
          <w:rFonts w:hint="eastAsia" w:ascii="仿宋" w:hAnsi="仿宋" w:eastAsia="仿宋"/>
          <w:color w:val="auto"/>
          <w:sz w:val="24"/>
          <w:szCs w:val="24"/>
        </w:rPr>
        <w:t>，项目实施后可改善学校实验教学条件</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具体详见采购文件</w:t>
      </w:r>
      <w:r>
        <w:rPr>
          <w:rFonts w:hint="eastAsia" w:ascii="仿宋" w:hAnsi="仿宋" w:eastAsia="仿宋" w:cs="仿宋"/>
          <w:b w:val="0"/>
          <w:bCs w:val="0"/>
          <w:sz w:val="24"/>
          <w:szCs w:val="24"/>
          <w:highlight w:val="none"/>
          <w:lang w:eastAsia="zh-CN"/>
        </w:rPr>
        <w:t>。</w:t>
      </w:r>
    </w:p>
    <w:p w14:paraId="00CBFBB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highlight w:val="none"/>
          <w:lang w:eastAsia="zh-CN"/>
        </w:rPr>
      </w:pPr>
      <w:r>
        <w:rPr>
          <w:rFonts w:hint="eastAsia" w:ascii="仿宋" w:hAnsi="仿宋" w:eastAsia="仿宋" w:cs="仿宋"/>
          <w:b/>
          <w:bCs/>
          <w:kern w:val="2"/>
          <w:sz w:val="28"/>
          <w:szCs w:val="28"/>
          <w:lang w:val="en-US" w:eastAsia="zh-CN" w:bidi="ar-SA"/>
        </w:rPr>
        <w:t>二、</w:t>
      </w:r>
      <w:r>
        <w:rPr>
          <w:rFonts w:hint="eastAsia" w:ascii="仿宋" w:hAnsi="仿宋" w:eastAsia="仿宋" w:cs="仿宋"/>
          <w:b/>
          <w:bCs/>
          <w:sz w:val="28"/>
          <w:szCs w:val="28"/>
          <w:highlight w:val="none"/>
          <w:lang w:eastAsia="zh-CN"/>
        </w:rPr>
        <w:t>采购清单及参数：</w:t>
      </w:r>
    </w:p>
    <w:p w14:paraId="7DAF171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18" w:firstLineChars="200"/>
        <w:jc w:val="left"/>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1、物理吊装实验室（56座）</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1"/>
        <w:gridCol w:w="954"/>
        <w:gridCol w:w="6675"/>
        <w:gridCol w:w="648"/>
        <w:gridCol w:w="590"/>
      </w:tblGrid>
      <w:tr w14:paraId="54D21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47DEEDB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504" w:type="pct"/>
            <w:tcBorders>
              <w:top w:val="single" w:color="000000" w:sz="4" w:space="0"/>
              <w:left w:val="single" w:color="000000" w:sz="4" w:space="0"/>
              <w:bottom w:val="single" w:color="000000" w:sz="4" w:space="0"/>
              <w:right w:val="single" w:color="000000" w:sz="4" w:space="0"/>
            </w:tcBorders>
            <w:noWrap/>
            <w:vAlign w:val="center"/>
          </w:tcPr>
          <w:p w14:paraId="0053FF9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产品名称</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0D42B19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参数</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5EBC452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36AE1FB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r>
      <w:tr w14:paraId="52DC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4A6D9F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基础实验设备</w:t>
            </w:r>
          </w:p>
        </w:tc>
      </w:tr>
      <w:tr w14:paraId="15C55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1EEE27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F4B71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教师演示台</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2C4D7205">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规格：≥长2800mm×宽700mm×高850mm</w:t>
            </w:r>
          </w:p>
          <w:p w14:paraId="2E83DE46">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 台面采用≥12.7mm厚实芯理化板，外露边沿修圆弧，整体耐高温、耐酸碱、耐腐蚀、不吸水、防火、阻燃、防静电、抗老化、无毒、无褪色、材质坚硬，牢固可靠。</w:t>
            </w:r>
          </w:p>
          <w:p w14:paraId="313660EF">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2.桌柜采用≥16mm厚聚木屑三聚氰胺双面板。</w:t>
            </w:r>
          </w:p>
          <w:p w14:paraId="41D97D78">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3.桌架采用≥40mm×60mm×1.2mm方钢管。</w:t>
            </w:r>
          </w:p>
          <w:p w14:paraId="6CADAF39">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4.五金配件</w:t>
            </w:r>
          </w:p>
          <w:p w14:paraId="7504E56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1）拉手：采用一字型铝合金拉手。</w:t>
            </w:r>
          </w:p>
          <w:p w14:paraId="1D7D58A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2）铰链：采用铰链，最大开启角度 110°，开启 15º以内具有自闭功能。耐腐蚀、承重、经久耐用。</w:t>
            </w:r>
          </w:p>
          <w:p w14:paraId="0E5FFC92">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3）导轨：采用超静音三节滚珠滑轨。</w:t>
            </w:r>
          </w:p>
          <w:p w14:paraId="54B951E5">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4）地脚：ABS工程塑料可调脚，螺杆≥Φ10mm，具有减缓冲击力功能。</w:t>
            </w:r>
          </w:p>
          <w:p w14:paraId="186068C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结构：</w:t>
            </w:r>
          </w:p>
          <w:p w14:paraId="1916C818">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1.钢木左右结构；</w:t>
            </w:r>
          </w:p>
          <w:p w14:paraId="5FEADA8A">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2.钢架采用“工”字形结构，前面放置木柜，木柜下设钢管托撑，并有M8mm螺丝顶固，带可调地脚；</w:t>
            </w:r>
          </w:p>
          <w:p w14:paraId="02256B76">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3.桌柜上设抽屉，下设储物柜；</w:t>
            </w:r>
          </w:p>
          <w:p w14:paraId="16E8B01D">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工艺：</w:t>
            </w:r>
          </w:p>
          <w:p w14:paraId="19F64A79">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1. 板材截面采用pvc封边条机械高温封边；</w:t>
            </w:r>
          </w:p>
          <w:p w14:paraId="4AB1A87D">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2.钢材采用CO₂保护焊焊接，钢材表面经喷砂抛丸去油除锈，静电喷涂；</w:t>
            </w:r>
          </w:p>
          <w:p w14:paraId="41BDAB48">
            <w:pPr>
              <w:keepNext w:val="0"/>
              <w:keepLines w:val="0"/>
              <w:widowControl/>
              <w:suppressLineNumbers w:val="0"/>
              <w:jc w:val="left"/>
              <w:textAlignment w:val="center"/>
              <w:rPr>
                <w:rStyle w:val="81"/>
                <w:rFonts w:hint="eastAsia" w:ascii="仿宋" w:hAnsi="仿宋" w:eastAsia="仿宋" w:cs="仿宋"/>
                <w:sz w:val="21"/>
                <w:szCs w:val="21"/>
                <w:lang w:val="en-US" w:eastAsia="zh-CN" w:bidi="ar"/>
              </w:rPr>
            </w:pPr>
            <w:r>
              <w:rPr>
                <w:rStyle w:val="81"/>
                <w:rFonts w:hint="eastAsia" w:ascii="仿宋" w:hAnsi="仿宋" w:eastAsia="仿宋" w:cs="仿宋"/>
                <w:sz w:val="21"/>
                <w:szCs w:val="21"/>
                <w:lang w:val="en-US" w:eastAsia="zh-CN" w:bidi="ar"/>
              </w:rPr>
              <w:t>性能：1. 台面双面膜耐腐蚀实芯理化板，耐酸、耐碱、耐高温，坚固耐用，防潮、无细孔、不膨胀、不龟裂、不变形、不导电、便于维护及具有良好的承重性；</w:t>
            </w:r>
          </w:p>
          <w:p w14:paraId="6DA2EF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Style w:val="81"/>
                <w:rFonts w:hint="eastAsia" w:ascii="仿宋" w:hAnsi="仿宋" w:eastAsia="仿宋" w:cs="仿宋"/>
                <w:sz w:val="21"/>
                <w:szCs w:val="21"/>
                <w:lang w:val="en-US" w:eastAsia="zh-CN" w:bidi="ar"/>
              </w:rPr>
              <w:t>2.桌柜离地150mm左右；</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320D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6F650D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w:t>
            </w:r>
          </w:p>
        </w:tc>
      </w:tr>
      <w:tr w14:paraId="7AB32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030C9B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33CE1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高中物理实验室总控电源</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76AD6925">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产品外壳采用镀锌板折弯焊接成型，表面喷塑。 </w:t>
            </w:r>
          </w:p>
          <w:p w14:paraId="453BBA83">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1.电源面板表面贴面膜，有漏电总开关、交流220V五孔带防护插座、教师用低压调整单元、低压交直流电压、电流、40A倒计时时间均采用二位半数显表头显示。</w:t>
            </w:r>
          </w:p>
          <w:p w14:paraId="2D8263C2">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2.直流稳压输出</w:t>
            </w:r>
          </w:p>
          <w:p w14:paraId="1B4350A4">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a.标称电压:1.5V～30V，每0.1V步进调整。</w:t>
            </w:r>
          </w:p>
          <w:p w14:paraId="0CEE64A7">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b.额定电流:1.5V～6V，≥6A；7V～12V，≥3A，12～30V，≥2A。</w:t>
            </w:r>
          </w:p>
          <w:p w14:paraId="533E9C74">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c.负载特性:交流输入电压在198V～242V间变化，在额定电流输出时电压变化≤0.2V，纹波电压≤3mV。</w:t>
            </w:r>
          </w:p>
          <w:p w14:paraId="737E55D6">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3.交流输出</w:t>
            </w:r>
          </w:p>
          <w:p w14:paraId="0C006E0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a.0V～30V，每0.5V步进调整，自动稳压。</w:t>
            </w:r>
          </w:p>
          <w:p w14:paraId="295C091E">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b.额定电流:0V～6V，≥9A；7V～12V，≥4A，13V～30V，≥3A。</w:t>
            </w:r>
          </w:p>
          <w:p w14:paraId="4659257D">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c.负载特性:交流输入电压在220V不变时，负载电流在0至额定电流范围内变化，输出电压各档变化量≤±0.5V。</w:t>
            </w:r>
          </w:p>
          <w:p w14:paraId="7B8C8942">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4.直流40A大电流，当负载电流≥10A时，10秒内负载自动关断，并有倒计时时间显示。</w:t>
            </w:r>
          </w:p>
          <w:p w14:paraId="4A0DDD7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5.过载保护</w:t>
            </w:r>
          </w:p>
          <w:p w14:paraId="308DAD2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a.当教师电源的低压交直流输出等于或小于其额定输出电流值时，电流应正常工作，当输出电流在额定电流的1.5～1.1倍时电源应能过载保护。</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AD81E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380465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53E2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4"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AAA50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B7A41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学生实验桌</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0940BB4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规格：≥长1200mm×宽600mm×高780mm </w:t>
            </w:r>
          </w:p>
          <w:p w14:paraId="5AB8816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1.台面：台面采用≥12mm 双面膜理化板台面，学生位置设圆弧造型 两侧设阻水边。台面后方卡入学生桌铝型槽内。耐酸、耐碱、耐高温，坚固耐用，防潮、无细孔、不膨胀、不龟裂、不变形、不导电、便于维护及具有良好的承重性能。</w:t>
            </w:r>
          </w:p>
          <w:p w14:paraId="288BC51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2.结构：新型钢塑结构，符合人体工程学设计。专用书包斗采用 ABS 工程塑料一次性注塑成型结合，内净尺寸≥365mm×280mm×120mm。镂空设计，底部设有排水孔，便于清理，不屯垃圾，中间设挂凳卡。</w:t>
            </w:r>
          </w:p>
          <w:p w14:paraId="4C20ECD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3.桌架：桌腿采用≥90mm×60mm×2mm 椭圆管模具一体成型为”Y”字型（不得二次焊接），下开口采用磨具成型改性工程塑料材料装饰，上端连接件采用铸铝一体成型，上框采用 20mm×30mm矩形管焊接成型，并用高强度内六角螺丝连接，便于组装及拆卸，外观流线形设计，简洁美观，易碰撞处全部采用倒圆角，产品款式要求整体设计美观、合理、安全、牢固、耐用。金属表面经静电粉沫喷涂处理。要做到承重性能强和耐酸碱、耐腐蚀。</w:t>
            </w:r>
          </w:p>
          <w:p w14:paraId="5EF4B1D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4.挡水板：后挡水板采用≥115mm×14mm×2mm 厚一体成型铝合金，左右堵头连接件采用ABS模具一体成型，固定于台架不易脱落，便于组装及拆卸，外观流线形设计，简洁美观,易碰撞处全部采用倒圆角，产品款式要求整体设计美观、合理、安全牢固、耐用。金属表面经静电粉沫喷涂处理。要做到承重性能强和耐酸碱、耐腐蚀。</w:t>
            </w:r>
          </w:p>
          <w:p w14:paraId="649F5F1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5.桌脚：采用一体注塑模具成型，结构美观牢固，并设有防滑调整脚，同时可以与地面固定，防止桌体移动。采用专用注塑模具件装饰。</w:t>
            </w:r>
          </w:p>
          <w:p w14:paraId="385A4D1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为保证产品质量以及从环保角度保障实验室人员健康，符合以下技术参数及要求：</w:t>
            </w:r>
          </w:p>
          <w:p w14:paraId="3034865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▲（1）、台面宽度，净操作面深度，台面高度，操作台高度，操作台下净空高，操作台下净空宽；满足第三方检测机构主要尺寸检测，检测结果均为符合。</w:t>
            </w:r>
          </w:p>
          <w:p w14:paraId="655FAA2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▲（2）、外形尺寸偏差，台面翘曲度，台面平整度，底脚平稳性；满足第三方检测机构外形尺寸偏差及形状位置公差测检测，检测结果均为符合。</w:t>
            </w:r>
          </w:p>
          <w:p w14:paraId="2A550E4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操作台面的裂缝和渗透，板件或部件的毛刺和光滑，封边或包边不应出现脱胶，贴面应严密和平整，零部件结合的严密和牢固，配件安装的无松动，金属件应闭口和焊接无虚焊，焊疤表面波纹应均匀、高低之差应不大于1mm，金属件涂层应无漏喷、锈蚀和脱色、掉色现象，涂层应光滑均匀、色泽一致、应无流挂、疙瘩、皱皮、飞漆等缺陷；满足第三方检测机构检测，检测结果均为符合。</w:t>
            </w:r>
          </w:p>
          <w:p w14:paraId="4A91346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▲（4）、台面磨耗值28mg/100r，表面情况应无露底现象，无整圈连续划痕、无开裂，耐龟裂性0级，无裂纹、鼓泡、起皱和无明显变色，无凸起、龟裂和 明显变色，耐干热1级，冲击凹坑直径7.5mm，化学实验台面抗化学试剂符合要求，耐高温，耐污染1级；满足第三方检测机构检测，检测结果均为符合。</w:t>
            </w:r>
          </w:p>
          <w:p w14:paraId="553BBDD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▲（5）、金属喷(漆)塑涂层硬度3H，冲击强度符合要求，耐腐蚀10级；满足第三方检测机构检测，检测结果均为符合。</w:t>
            </w:r>
          </w:p>
          <w:p w14:paraId="46302F4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产品整体的力学性能经过水平静载荷试验，垂直静载荷试验，持续垂直静载荷，独立操作台水平冲击稳定性试验，独立操作台垂直加载稳定性试验，水平耐久性试验，垂直冲击试验；满足第三方检测机构检测，检测结果均为符合。</w:t>
            </w:r>
          </w:p>
          <w:p w14:paraId="73C2CF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▲（7）、甲醛释放量：≤0.2mg/L；满足第三方检测机构检测，检测结果均为符合。</w:t>
            </w:r>
          </w:p>
          <w:p w14:paraId="1C8AB37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▲（8）、重金属含量中的可溶性铅、可溶性镉、可溶性铬、可溶性汞；满足第三方检测机构检测，检测结果均为符合。</w:t>
            </w:r>
          </w:p>
          <w:p w14:paraId="1086F2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响应文件中需提供国家认可的检测机构出具的检测报告（复印件盖供应商公章），且报告中须反应台面以上（1）～（8）项技术指标。</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5680E1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2" w:type="pct"/>
            <w:tcBorders>
              <w:top w:val="single" w:color="000000" w:sz="4" w:space="0"/>
              <w:left w:val="single" w:color="000000" w:sz="4" w:space="0"/>
              <w:bottom w:val="single" w:color="000000" w:sz="4" w:space="0"/>
              <w:right w:val="single" w:color="000000" w:sz="4" w:space="0"/>
            </w:tcBorders>
            <w:noWrap/>
            <w:vAlign w:val="center"/>
          </w:tcPr>
          <w:p w14:paraId="5A3F98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1360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C4EE5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3E7C9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实验凳</w:t>
            </w:r>
          </w:p>
        </w:tc>
        <w:tc>
          <w:tcPr>
            <w:tcW w:w="35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21051">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规格：≥Φ315mm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1.螺旋式升降。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2.凳脚材质：4个凳脚采用≥17mm×34mm×1.2mm无缝钢管模具一次弯管成型。二氧化碳保护焊焊接，结构牢固，金属表面经静电粉沫喷涂处理。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3.凳面材质：采用聚丙烯共聚级注塑,厚5mm。表面细纹咬花，防滑不发光。凳面底部镶嵌4枚铜质螺纹，采用螺丝与圆型托盘固定。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4.脚垫材质：采用PP加耐磨纤维质塑料，实心倒勾式一体射出成型凳面与凳脚留有一定的空间便于凳子挂在挂凳扣上。方便教室的打扫。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▲（1）、实验凳座高430mm，满足第三方检测机构主要尺寸及偏差检测，检测结果均为符合。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▲（2）、实验凳着地平稳性；满足第三方检测机构形状和位置公差检测，检测结果均为符合。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▲（3）、实验凳外观性能-金属件的喷涂层应涂层应无漏喷、锈蚀和脱色、掉色现象，涂层应光滑均匀、色泽一致，应无流挂、疙瘩、皱皮、飞漆；满足第三方检测机构检测，检测结果均为符合。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▲（4）、实验凳外观性能-塑料件应无裂纹，无明 显变形，应无明显缩孔、气泡、杂质、伤痕，外表用塑料件表面应光洁、无划痕，无污渍，无明显色差；满足第三方检测机构检测，检测结果均为符合。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▲（5）、实验凳应满足安全性能-结构安全的要求；满足第三方检测机构检测，检测结果均为符合。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▲（6）、实验凳金属喷漆 ( 塑 )涂层的硬度4H，冲击高度400mm,应无剥落、裂纹、皱纹，附着力1级，耐腐蚀应无鼓泡产生、无锈迹、剥落、起皱、变色 和失光等现象；满足第三方检测机构检测，检测结果均为符合。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▲（7）、实验凳的塑料件冲击强度29J/m²；满足第三方检测机构检测，检测结果均为符合。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▲（8）、实验凳整体的力学性能通过座面和椅 背静载荷试验-座面静载荷试验，座面和椅背静载荷试验-椅背静载荷试验，座面耐久性试验，椅背耐久性试验，椅腿前向静载荷试验，椅腿侧向静载荷试验，座面冲击试验，椅背冲击试验，跌落试验，凳子任意方向的倾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▲（9）、实验凳重金属含量中的可溶性铅、可溶性镉、可溶性铬、可溶性汞；满足第三方检测机构检测，检测结果均为符合。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响应文件中需提供国家认可的检测机构出具的检测报告（复印件盖供应商公章），且报告中须反应台面以上（1）～（9）项技术指标。</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D9283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7EDA9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40EC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9961FD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总控系统</w:t>
            </w:r>
          </w:p>
        </w:tc>
      </w:tr>
      <w:tr w14:paraId="03F31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0ED48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01344D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控制机柜</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4CB3C682">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1、规格：≥400*600*200㎜；外观设计整洁美观，采用1.0mm厚钢板经数控折弯加工，表面硅烷处理、喷塑。</w:t>
            </w:r>
          </w:p>
          <w:p w14:paraId="6303EE6A">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2、箱门上安裝控制屏、启动开关，急停开关。</w:t>
            </w:r>
          </w:p>
          <w:p w14:paraId="68B1B9A6">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箱内置3P总电源开关，智能控制总开关，漏电、过载、短路保护开关，485通讯输出，微电脑控制器及功能扩展模块，微电脑保护模块，急停控制系统，电源分组控制系统，照明分组控制系统，吊臂控制系统。</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B768C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0631E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r>
      <w:tr w14:paraId="7ED5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26757F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55F73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总控软件系统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45B2F9E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1、开机即用，无系统启动时间。</w:t>
            </w:r>
          </w:p>
          <w:p w14:paraId="7E0A1F1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2、经密码验证之后，方可进入控制系统界面，以增加控制安全性。</w:t>
            </w:r>
          </w:p>
          <w:p w14:paraId="5C568B7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3、接通总开关和支路开关，可集中或分组控制吊臂的升降、照明灯亮与灭、交流220V插座、按百比调节风量大小、给排水控制（排水自动检测并及时排水）、低压交直流电压输出并可控。</w:t>
            </w:r>
          </w:p>
          <w:p w14:paraId="4C096C0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4、系统时间可设置、可延时关机、可定时关机。</w:t>
            </w:r>
          </w:p>
          <w:p w14:paraId="1BD6CBF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5、可支持拓展远程控制系统使用。</w:t>
            </w:r>
          </w:p>
          <w:p w14:paraId="5B34DB3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6、控制柜与各个吊臂之间采用高可靠性的Modbus-RTU通讯协议下进行控制：</w:t>
            </w:r>
          </w:p>
          <w:p w14:paraId="6E083C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a、吊臂控制系统：教师通过智能控制屏对实验室进行单独、分组、全部控制，升、降、暂停，升、降到位后会自动停止。 </w:t>
            </w:r>
          </w:p>
          <w:p w14:paraId="6E1E952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b、电源控制系统：教师通过智能控制屏对实验室进行单独、分组、全部控制交流220V输出和学生用低压输出。</w:t>
            </w:r>
          </w:p>
          <w:p w14:paraId="61820BE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c、照明控制系统：教师通过智能控制屏对实验室吊仓上的照明进行单独、分组、全部控制。</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9E669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268C44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A22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1B1774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0C38A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控制屏</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7480015D">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1、控制屏幕采用≥12.1寸，外部用铝合金包边，分辨率为≥1024*768。</w:t>
            </w:r>
          </w:p>
          <w:p w14:paraId="07D5B4FB">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2、屏幕为电容触摸，支持单点、滑动触摸。</w:t>
            </w:r>
          </w:p>
          <w:p w14:paraId="2C1CCEE7">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3、控制屏装在控制机柜上面</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0994A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0FF712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F5E8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09F3D5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7DF63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远程控制系统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6AA8CB1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1、远程控制系统自适应PC、平板、手机端，兼顾不同系统不同终端的使用需求。</w:t>
            </w:r>
          </w:p>
          <w:p w14:paraId="51C590A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2、远程控制系统采用终端账号统一管理，实现账号与实验室一一对应，避免误操作和账号管理分散，登录验证唯一性，保证安全。</w:t>
            </w:r>
          </w:p>
          <w:p w14:paraId="0F8350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3、远程控制系统与总控软件系统实时通信，保证状态实时同步，实现远程实时对总控软件系统的远程操作。</w:t>
            </w:r>
          </w:p>
          <w:p w14:paraId="25D796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4、具有良好的拓展性，可以接入其他标准系统接口，实现对实验室产品控制功能的拓展。</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B293F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19F6BF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4D3BA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7" w:type="pct"/>
            <w:tcBorders>
              <w:top w:val="single" w:color="000000" w:sz="4" w:space="0"/>
              <w:left w:val="single" w:color="000000" w:sz="4" w:space="0"/>
              <w:bottom w:val="single" w:color="000000" w:sz="4" w:space="0"/>
              <w:right w:val="single" w:color="000000" w:sz="4" w:space="0"/>
            </w:tcBorders>
            <w:noWrap/>
            <w:vAlign w:val="center"/>
          </w:tcPr>
          <w:p w14:paraId="71E128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4092E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环境检测套件</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274BDB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可在实验室加装温度、湿度等传感装置，实时监控房间内的温度和湿度，保障室内舒适的环境舒适性，在控制系统中进行显示</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1FC7C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5DBB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8571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3DF0A48B">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吊臂系统</w:t>
            </w:r>
          </w:p>
        </w:tc>
      </w:tr>
      <w:tr w14:paraId="2CCA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648BEE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2999BC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吊舱模组</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72F4EA15">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规格：≥1200mm×550mm×240mm</w:t>
            </w:r>
          </w:p>
          <w:p w14:paraId="37959DEA">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1、材质：吊舱整体采用≥1mm冷轧钢板经数控折弯成型，连接处采用≥3mm冷轧钢板加固，金属框架部分为一体式结构，比分体式或拼插式结构具有更高的结构强度，内部设有≥20*40*1.2mm矩管做为加强龙骨，两侧设有LED灯，照度不小于150lx，下方设有可拆卸挡板，方便检修；工艺：钢材采用焊接机器人CO₂保护焊焊接，表层采用去油、除锈、打磨、喷塑工艺处理。</w:t>
            </w:r>
          </w:p>
          <w:p w14:paraId="6BB41D33">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为保证产品质量以及从环保角度保障实验室人员健康，产品必须符合以下技术参数及要求：</w:t>
            </w:r>
          </w:p>
          <w:p w14:paraId="53AB7653">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1）、吊装舱喷涂层涂层应无漏喷、锈蚀和脱色、掉色现象，涂层应光滑均匀、色泽一致，无流挂、疙瘩、皱皮、飞漆等缺陷，电镀层表面应无剥落、返锈、毛刺，表面应无烧焦、起泡、针孔、裂纹、花斑(不包括镀彩锌)和划痕；检测结果均为符合。</w:t>
            </w:r>
          </w:p>
          <w:p w14:paraId="5165ED53">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▲（2）、吊装舱涂层-硬度为4H，耐腐蚀，抗盐雾；满足第三方检测机构检测，检测结果均为符合。</w:t>
            </w:r>
          </w:p>
          <w:p w14:paraId="37811AD8">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▲（3）、吊装舱重金属含量中的可溶性铅、可溶性镉、可溶性铬、可溶性汞；满足第三方检测机构检测，检测结果均为符合。</w:t>
            </w:r>
          </w:p>
          <w:p w14:paraId="100B14CB">
            <w:pPr>
              <w:keepNext w:val="0"/>
              <w:keepLines w:val="0"/>
              <w:widowControl/>
              <w:suppressLineNumbers w:val="0"/>
              <w:jc w:val="left"/>
              <w:textAlignment w:val="center"/>
              <w:rPr>
                <w:rStyle w:val="81"/>
                <w:rFonts w:hint="eastAsia" w:ascii="仿宋" w:hAnsi="仿宋" w:eastAsia="仿宋" w:cs="仿宋"/>
                <w:sz w:val="21"/>
                <w:szCs w:val="21"/>
                <w:highlight w:val="none"/>
                <w:lang w:val="en-US" w:eastAsia="zh-CN" w:bidi="ar"/>
              </w:rPr>
            </w:pPr>
            <w:r>
              <w:rPr>
                <w:rStyle w:val="81"/>
                <w:rFonts w:hint="eastAsia" w:ascii="仿宋" w:hAnsi="仿宋" w:eastAsia="仿宋" w:cs="仿宋"/>
                <w:sz w:val="21"/>
                <w:szCs w:val="21"/>
                <w:highlight w:val="none"/>
                <w:lang w:val="en-US" w:eastAsia="zh-CN" w:bidi="ar"/>
              </w:rPr>
              <w:t>▲（4）、吊装舱依据GB/T9286-2021标准《色漆和清漆划格试验》测试，附着力为0级；</w:t>
            </w:r>
          </w:p>
          <w:p w14:paraId="5776329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Style w:val="81"/>
                <w:rFonts w:hint="eastAsia" w:ascii="仿宋" w:hAnsi="仿宋" w:eastAsia="仿宋" w:cs="仿宋"/>
                <w:sz w:val="21"/>
                <w:szCs w:val="21"/>
                <w:highlight w:val="none"/>
                <w:lang w:val="en-US" w:eastAsia="zh-CN" w:bidi="ar"/>
              </w:rPr>
              <w:t>响应文件中需提供国家认可的检测机构出具的检测报告（复印件盖供应商公章），且报告中须反应台面以上（1）～（4）项技术指标。</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0D7AB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4C56F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5E90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C19FF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C7128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吊臂模组</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6D8A3C8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1、吊臂由铝合金加工成型，表面和经环氧树脂粉末静电喷涂、高温固化处理，耐腐蚀，吊臂截面尺寸为≥80*40的D型管材，壁厚≥2mm；长度≥645mm。</w:t>
            </w:r>
          </w:p>
          <w:p w14:paraId="03E4415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2、吊臂模组可由总控系统控制升降，不使用时可收于吊舱之内，起到防止阻挡视线的功能。</w:t>
            </w:r>
          </w:p>
          <w:p w14:paraId="595862B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3、吊臂模组可以实现单独控制、分组控制和整体控制。</w:t>
            </w:r>
          </w:p>
          <w:p w14:paraId="3F1C60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4、在吊臂升降中，如遇障碍物可以实现回弹、或停止，避免出现机械故障或人员夹伤。</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1C0FC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31254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2044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2B45F1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496AB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吊臂控制系统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234E345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摇臂接收智能控制系统信号实现远程遥控，动力采用直流24V减速低压电机。</w:t>
            </w:r>
          </w:p>
          <w:p w14:paraId="0352298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1、可通过总控系统对实验室的吊臂进行控制，可以实现单独控制、分组控制。</w:t>
            </w:r>
          </w:p>
          <w:p w14:paraId="77A49D9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2、系统自带障碍物保护功能，具有防夹，防卡功能，当摇臂在运动的过程中遇到障碍物时会自动停止，具有过流保护功能。</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B65BE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48618D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C78D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16F0D7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8FE3F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吊舱端头模组</w:t>
            </w:r>
          </w:p>
        </w:tc>
        <w:tc>
          <w:tcPr>
            <w:tcW w:w="35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49EB6">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规格：≥300mm×550mm×240mm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整体采用1mm冷轧钢板经数控折弯成型。连接处采用3mm冷轧钢板加固，整体框架为一体式结构.</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4C1C3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12B625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69A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C9E0BB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电源系统</w:t>
            </w:r>
          </w:p>
        </w:tc>
      </w:tr>
      <w:tr w14:paraId="43F1D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C9141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84630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电源分组控制系统</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62C6127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1、可通过电源控制系统控制学生电源的220V供电的开启和关闭，可以实现单独控制、分组控制。</w:t>
            </w:r>
          </w:p>
          <w:p w14:paraId="6AE479F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2、可通过电源控制系统控制选择学生电源的电源交、直流输出的开关。</w:t>
            </w:r>
          </w:p>
          <w:p w14:paraId="6276DD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3、可通过电源控制系统锁定学生电源的低压交直流输出，锁定后受控学生电源不能修改。可锁定学生低压交直流输出上限，锁定后只可向下调整电压，解锁后学生方可自由调节。</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A43AB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20D7ED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4A13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0F57E8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18812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5F4505A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1、学生电源安装于吊臂模组末端ABS塑料壳体之上。壳体正面由钢板加工成型并贴面板膜，文字符号清晰，按键分布合理。</w:t>
            </w:r>
          </w:p>
          <w:p w14:paraId="60D3C61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每个吊臂上安装两组学生电源，分别有低压交、直流输出香焦插座，五孔插座4个、过载短路复位开关1个，网线插孔2个，急停按钮1个。学生用电源设（∧、V、AC/DC按键、过载按任意键复位），2组1.3寸OLED显示屏，显示电压和电流输出。</w:t>
            </w:r>
          </w:p>
          <w:p w14:paraId="330194E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学生用电源参数符合JY/T0374一2004标准中低压输出标准要求。符合以下性能要求：a.交流输出：电压0∨-30Ⅴ、显示±0.5V，每0.5V一档，可随负载变化自动稳压，0V-18V额定电流3A，18V-30V额定电流2A。b.直流稳压输出：电压0V-36Ⅴ、显示±0.2V，连续无极可调，每0.1V递增，0V-16V额定电流2A，16.1V-36V额定电流1A。电压稳定性：≤2%U标+0.1Ⅴ， 负载稳定性：≤2%U标+0.1Ⅴ， 波纹电压：电源电压保持220V，达到额定电流时&lt;3mV。c.电压电流：可实时输出电压和电流，电压分辩率0.1V，电流分辩率0.01A。</w:t>
            </w:r>
          </w:p>
          <w:p w14:paraId="39DC20C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具备过载保护功能：交流输出0V-18V输出3.2A、16.1V-30∨输出2.2A，直流稳压输出0∨-16V输出2.1A、16.1V-36V输出1.1A，当输出过载或短路时电源进入恒流状态延时1分钟后自动关闭输出，并能启动不大于额定电流的白炽灯。</w:t>
            </w:r>
          </w:p>
          <w:p w14:paraId="1A3D282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5、电源输入：AC220Ⅴ±22V，50H±0.5Hz。</w:t>
            </w:r>
          </w:p>
          <w:p w14:paraId="36E0292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6、工作环境条件，温度0~40℃；湿度≤90%（40℃），</w:t>
            </w:r>
          </w:p>
          <w:p w14:paraId="5B19932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7、连续工作时间：输出电流在额定电流范围内，允许8小时连续使用。</w:t>
            </w:r>
          </w:p>
          <w:p w14:paraId="22FDD14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8、急停按钮：单个吊臂使用端用电异常时，可快速切断此吊臂高低压电源。</w:t>
            </w:r>
          </w:p>
          <w:p w14:paraId="764935F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9、国标五孔插座：带安全防护门，额定电流5A。交流220V输出有过载短路复位开关，避免因保险丝熔断更换造成的麻烦。</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3D621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5E1CE7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r>
      <w:tr w14:paraId="0D38C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73957B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实施设备</w:t>
            </w:r>
          </w:p>
        </w:tc>
      </w:tr>
      <w:tr w14:paraId="38E8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14:paraId="76E1B7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1B392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系统安装辅件</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04D8A0F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采用门型框架安装方式，减少楼板承重，防止左右晃动。主要辅件有：吊装专用支架、三角连接件、吊装实验室专用安装支架和墙顶连接件、吊装挂件等。</w:t>
            </w:r>
          </w:p>
          <w:p w14:paraId="113BD1D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吊装附件包含：</w:t>
            </w:r>
          </w:p>
          <w:p w14:paraId="27821EC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1、门型框架：规格采用40mm*40mm光伏支架，规格：980mm*712mm*51mm ，数量16个；</w:t>
            </w:r>
          </w:p>
          <w:p w14:paraId="39FEE6C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2、挂钩：采用40mm*40mm光伏支架及镀锌钢板，规格：248mm*110mm*53mm,数量112个；</w:t>
            </w:r>
          </w:p>
          <w:p w14:paraId="4206AB0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3、吊装连接片：采用镀锌钢板，规格：150mm*40mm*3mm，数量4个；</w:t>
            </w:r>
          </w:p>
          <w:p w14:paraId="67ECDB3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 吊装支架：采用40mm*40mm光伏支架，规格：4250mm*40mm*40mm,数量8个；</w:t>
            </w:r>
          </w:p>
          <w:p w14:paraId="621B844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5、吊丝：φ10*10*3米，数量12根；</w:t>
            </w:r>
          </w:p>
          <w:p w14:paraId="02B0F1A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6、1.5平方铜线100米；</w:t>
            </w:r>
          </w:p>
          <w:p w14:paraId="756031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7、2.5平方铜线300米；</w:t>
            </w:r>
          </w:p>
          <w:p w14:paraId="3DAE259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8、4平方铜线100米；</w:t>
            </w:r>
          </w:p>
          <w:p w14:paraId="10C80D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9、30线槽，3米/根，10根。</w:t>
            </w:r>
          </w:p>
          <w:p w14:paraId="15D51D1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10、膨胀管480个，膨胀螺丝480条，螺丝540条。</w:t>
            </w:r>
          </w:p>
          <w:p w14:paraId="6BE47F9E">
            <w:pPr>
              <w:keepNext w:val="0"/>
              <w:keepLines w:val="0"/>
              <w:widowControl/>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u w:val="none"/>
                <w:lang w:val="en-US" w:eastAsia="zh-CN" w:bidi="ar"/>
              </w:rPr>
              <w:t>11、安装及实施。</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07BA2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14:paraId="751A18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w:t>
            </w:r>
          </w:p>
        </w:tc>
      </w:tr>
    </w:tbl>
    <w:p w14:paraId="6287A73D">
      <w:pPr>
        <w:pStyle w:val="2"/>
        <w:numPr>
          <w:ilvl w:val="0"/>
          <w:numId w:val="0"/>
        </w:numPr>
        <w:rPr>
          <w:rFonts w:hint="eastAsia" w:ascii="仿宋" w:hAnsi="仿宋" w:eastAsia="仿宋" w:cs="仿宋"/>
          <w:b/>
          <w:bCs/>
          <w:sz w:val="24"/>
          <w:szCs w:val="24"/>
          <w:highlight w:val="none"/>
          <w:lang w:val="en-US" w:eastAsia="zh-CN"/>
        </w:rPr>
      </w:pPr>
    </w:p>
    <w:p w14:paraId="161D95C9">
      <w:pPr>
        <w:pStyle w:val="2"/>
        <w:numPr>
          <w:ilvl w:val="0"/>
          <w:numId w:val="0"/>
        </w:numPr>
        <w:rPr>
          <w:rFonts w:hint="default" w:ascii="Times New Roman" w:hAnsi="Times New Roman" w:eastAsia="宋体" w:cs="Times New Roman"/>
          <w:b w:val="0"/>
          <w:bCs w:val="0"/>
          <w:sz w:val="24"/>
          <w:szCs w:val="24"/>
          <w:highlight w:val="none"/>
          <w:lang w:eastAsia="zh-CN"/>
        </w:rPr>
      </w:pPr>
      <w:r>
        <w:rPr>
          <w:rFonts w:hint="eastAsia" w:ascii="仿宋" w:hAnsi="仿宋" w:eastAsia="仿宋" w:cs="仿宋"/>
          <w:b/>
          <w:bCs/>
          <w:sz w:val="24"/>
          <w:szCs w:val="24"/>
          <w:highlight w:val="none"/>
          <w:lang w:val="en-US" w:eastAsia="zh-CN"/>
        </w:rPr>
        <w:t>2、物理准备仪器室</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4"/>
        <w:gridCol w:w="991"/>
        <w:gridCol w:w="6659"/>
        <w:gridCol w:w="630"/>
        <w:gridCol w:w="594"/>
      </w:tblGrid>
      <w:tr w14:paraId="75C3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058E598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bookmarkStart w:id="180" w:name="_Toc23253"/>
            <w:bookmarkEnd w:id="180"/>
            <w:bookmarkStart w:id="181" w:name="_Toc256000045"/>
            <w:bookmarkEnd w:id="181"/>
            <w:bookmarkStart w:id="182" w:name="_Toc1662642"/>
            <w:bookmarkEnd w:id="182"/>
            <w:bookmarkStart w:id="183" w:name="_Toc3229"/>
            <w:bookmarkEnd w:id="183"/>
            <w:bookmarkStart w:id="184" w:name="_Toc256000016"/>
            <w:bookmarkEnd w:id="184"/>
            <w:bookmarkStart w:id="185" w:name="_Toc256000066"/>
            <w:bookmarkEnd w:id="185"/>
            <w:bookmarkStart w:id="186" w:name="_Toc4401"/>
            <w:bookmarkStart w:id="187" w:name="_Toc256000068"/>
            <w:bookmarkStart w:id="188" w:name="_Toc130305940"/>
            <w:r>
              <w:rPr>
                <w:rFonts w:hint="eastAsia" w:ascii="仿宋" w:hAnsi="仿宋" w:eastAsia="仿宋" w:cs="仿宋"/>
                <w:b/>
                <w:bCs/>
                <w:i w:val="0"/>
                <w:iCs w:val="0"/>
                <w:color w:val="000000"/>
                <w:kern w:val="0"/>
                <w:sz w:val="21"/>
                <w:szCs w:val="21"/>
                <w:highlight w:val="none"/>
                <w:u w:val="none"/>
                <w:lang w:val="en-US" w:eastAsia="zh-CN" w:bidi="ar"/>
              </w:rPr>
              <w:t>序号</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6C9EE4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24" w:type="pct"/>
            <w:tcBorders>
              <w:top w:val="single" w:color="000000" w:sz="4" w:space="0"/>
              <w:left w:val="single" w:color="000000" w:sz="4" w:space="0"/>
              <w:bottom w:val="single" w:color="000000" w:sz="4" w:space="0"/>
              <w:right w:val="single" w:color="000000" w:sz="4" w:space="0"/>
            </w:tcBorders>
            <w:noWrap w:val="0"/>
            <w:vAlign w:val="center"/>
          </w:tcPr>
          <w:p w14:paraId="3DAABBB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078F28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786DE81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61B0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7B58C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4772EC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准备台</w:t>
            </w:r>
          </w:p>
        </w:tc>
        <w:tc>
          <w:tcPr>
            <w:tcW w:w="3524" w:type="pct"/>
            <w:tcBorders>
              <w:top w:val="single" w:color="000000" w:sz="4" w:space="0"/>
              <w:left w:val="single" w:color="000000" w:sz="4" w:space="0"/>
              <w:bottom w:val="single" w:color="000000" w:sz="4" w:space="0"/>
              <w:right w:val="single" w:color="000000" w:sz="4" w:space="0"/>
            </w:tcBorders>
            <w:noWrap w:val="0"/>
            <w:vAlign w:val="center"/>
          </w:tcPr>
          <w:p w14:paraId="12C4096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规格：≥长3000mm×宽1100mm×高850mm</w:t>
            </w:r>
          </w:p>
          <w:p w14:paraId="3304734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1.一体化台面，设置抽屉、对开门。</w:t>
            </w:r>
          </w:p>
          <w:p w14:paraId="3D8152F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2.台面材料：采用理化板，台面厚度≥12.7mm，边缘加厚至≥25.4mm。</w:t>
            </w:r>
          </w:p>
          <w:p w14:paraId="54FC0D7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3.台体框架：采用铝合金型材制作，框架的立柱为≥45mm×32mm方管，框架的横梁为≥32mm×32mm方管，壁厚≥1.0mm。通过 ABS专用连接件组装而成，接缝严密，连接牢固，无松动现象。型材带凹槽，槽的宽度、深度应与所采用的柜体板材相匹配，接缝严密，无晃动现象。型材表面需经静电粉沫喷涂处理，整体耐腐蚀、防火、防潮、稳固耐用。</w:t>
            </w:r>
          </w:p>
          <w:p w14:paraId="5E60AC5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台体衬板：用厚度为≥16mm、彩色和灰白色双面三聚氰胺板（即双饰面板）作为台体衬板，其内芯的基材为聚木屑纤维板，外漏截面采用≥1.0mm厚塑制封边条机械封边；甲醛释放限量指标应符合GB18580－2017的要求。</w:t>
            </w:r>
          </w:p>
          <w:p w14:paraId="4423155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5.支脚：采用Φ≥10mm的螺杆与ABS工程塑料一次注塑成型的脚垫，高度可调节。</w:t>
            </w:r>
          </w:p>
          <w:p w14:paraId="2D2DBDD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6.柜门铰链：采用优质不锈钢定位铰链，安全、牢固、防腐、耐用。</w:t>
            </w:r>
          </w:p>
          <w:p w14:paraId="11B897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7.抽屉滑道：采用优质消声三节滑轨，优质合金钢板一次性成型加工。</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76109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13D463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4AC1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7"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21C1D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5BEB52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3524" w:type="pct"/>
            <w:tcBorders>
              <w:top w:val="single" w:color="000000" w:sz="4" w:space="0"/>
              <w:left w:val="single" w:color="000000" w:sz="4" w:space="0"/>
              <w:bottom w:val="single" w:color="000000" w:sz="4" w:space="0"/>
              <w:right w:val="single" w:color="000000" w:sz="4" w:space="0"/>
            </w:tcBorders>
            <w:noWrap w:val="0"/>
            <w:vAlign w:val="center"/>
          </w:tcPr>
          <w:p w14:paraId="768842C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规格：≥1000mm×500mm×2000mm</w:t>
            </w:r>
          </w:p>
          <w:p w14:paraId="51EA9B6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铝木结构，基本要求如下：</w:t>
            </w:r>
          </w:p>
          <w:p w14:paraId="4F18E74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p>
          <w:p w14:paraId="456EC87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封边条机械封边；甲醛释放限量指标应符合GB18580－2017的要求。</w:t>
            </w:r>
          </w:p>
          <w:p w14:paraId="675B585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3.柜门：上部为专用木框对开玻璃门，下部为对开木门，不锈钢拉手。柜门采用不锈钢定位铰链，安全、牢固、防腐、耐用。</w:t>
            </w:r>
          </w:p>
          <w:p w14:paraId="1272A82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p>
          <w:p w14:paraId="7A5D47A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p>
          <w:p w14:paraId="7C83383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p>
          <w:p w14:paraId="4ADD0B4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p>
          <w:p w14:paraId="1D3CCD6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p>
          <w:p w14:paraId="7340FEC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p>
          <w:p w14:paraId="6E3802D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p>
          <w:p w14:paraId="663D59D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p>
          <w:p w14:paraId="35EC75C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p w14:paraId="739B860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响应文件中需提供国家认可的检测机构出具的检测报告（复印件盖供应商公章），且报告中须反应台面以上（1）～（6）项技术指标。</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FDDCA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E0B66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C44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081F0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095000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大仪器柜</w:t>
            </w:r>
          </w:p>
        </w:tc>
        <w:tc>
          <w:tcPr>
            <w:tcW w:w="3524" w:type="pct"/>
            <w:tcBorders>
              <w:top w:val="single" w:color="000000" w:sz="4" w:space="0"/>
              <w:left w:val="single" w:color="000000" w:sz="4" w:space="0"/>
              <w:bottom w:val="single" w:color="000000" w:sz="4" w:space="0"/>
              <w:right w:val="nil"/>
            </w:tcBorders>
            <w:noWrap w:val="0"/>
            <w:vAlign w:val="center"/>
          </w:tcPr>
          <w:p w14:paraId="1C8E72A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规格：≥长1350mm×宽500mm×高2000mm</w:t>
            </w:r>
          </w:p>
          <w:p w14:paraId="2827E11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p>
          <w:p w14:paraId="15894EF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优质封边条机械封边；甲醛释放限量指标应符合GB18580－2017的要求。</w:t>
            </w:r>
          </w:p>
          <w:p w14:paraId="12DD58E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3.柜门：上部为专用木框对开玻璃门，下部为对开木门。柜门采用优质不锈钢定位铰链，安全、牢固、防腐、耐用。</w:t>
            </w:r>
          </w:p>
          <w:p w14:paraId="5A935B0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p>
          <w:p w14:paraId="0588FD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p>
          <w:p w14:paraId="481399F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p>
          <w:p w14:paraId="544B832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p>
          <w:p w14:paraId="14D42FB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p>
          <w:p w14:paraId="10C8079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p>
          <w:p w14:paraId="2A63A4F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p>
          <w:p w14:paraId="5C675A3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p>
          <w:p w14:paraId="6CE4B1E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p w14:paraId="6706BD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响应文件中需提供国家认可的检测机构出具的检测报告（复印件盖供应商公章），且报告中须反应台面以上（1）～（6）项技术指标。</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3E29C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1B5D8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0DEC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CD1C2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13A1A8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灭火器</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7CAD539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商品剂量:4KG 喷射距离:≥3.5M灭火级别: 1A/21B使用温度: -20°C~+50°C 瓶身材质:钢材</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5B7E2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362B83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3F8C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B2122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24FB30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水基灭火器</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00E005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商品剂量:3L 喷射距离:≥3.5M灭火级别: 1A/55B E 使用温度: 士5°C~+55°C 瓶身材质:钢材</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569A92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6F2BF8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AD1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14A50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4273E0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消防箱</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27B843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规格:≥长520m×宽340m×高190mm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箱体采用铁制材质，厚度士0.4MM，表面采用防锈高光漆，双翻盖设计</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3C95A4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4498E3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5691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281A4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24" w:type="pct"/>
            <w:tcBorders>
              <w:top w:val="single" w:color="000000" w:sz="4" w:space="0"/>
              <w:left w:val="single" w:color="000000" w:sz="4" w:space="0"/>
              <w:bottom w:val="single" w:color="000000" w:sz="4" w:space="0"/>
              <w:right w:val="single" w:color="000000" w:sz="4" w:space="0"/>
            </w:tcBorders>
            <w:noWrap w:val="0"/>
            <w:vAlign w:val="center"/>
          </w:tcPr>
          <w:p w14:paraId="40A88E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沙箱</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14:paraId="6C8AF29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规格:≥长600mm×宽400mm×高400mm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箱体采用冷轧钢板制作，表面采用静电喷塑，平整光滑及附着力强。配备消防沙</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1D1842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4" w:type="pct"/>
            <w:tcBorders>
              <w:top w:val="single" w:color="000000" w:sz="4" w:space="0"/>
              <w:left w:val="single" w:color="000000" w:sz="4" w:space="0"/>
              <w:bottom w:val="single" w:color="000000" w:sz="4" w:space="0"/>
              <w:right w:val="nil"/>
            </w:tcBorders>
            <w:noWrap w:val="0"/>
            <w:vAlign w:val="center"/>
          </w:tcPr>
          <w:p w14:paraId="46AEA0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bl>
    <w:p w14:paraId="52E68398">
      <w:pPr>
        <w:pStyle w:val="2"/>
        <w:rPr>
          <w:rFonts w:hint="eastAsia" w:ascii="仿宋" w:hAnsi="仿宋" w:eastAsia="仿宋" w:cs="仿宋"/>
          <w:b/>
          <w:bCs/>
          <w:sz w:val="24"/>
          <w:szCs w:val="24"/>
          <w:highlight w:val="none"/>
          <w:lang w:val="en-US" w:eastAsia="zh-CN"/>
        </w:rPr>
      </w:pPr>
    </w:p>
    <w:p w14:paraId="5260EF60">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3、生物吊装实验室（56座）</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982"/>
        <w:gridCol w:w="6706"/>
        <w:gridCol w:w="593"/>
        <w:gridCol w:w="591"/>
      </w:tblGrid>
      <w:tr w14:paraId="03CAF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1DBE28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6D6C73F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2DAA40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2635FF7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10" w:type="pct"/>
            <w:tcBorders>
              <w:top w:val="single" w:color="000000" w:sz="4" w:space="0"/>
              <w:left w:val="single" w:color="000000" w:sz="4" w:space="0"/>
              <w:bottom w:val="single" w:color="000000" w:sz="4" w:space="0"/>
              <w:right w:val="single" w:color="000000" w:sz="4" w:space="0"/>
            </w:tcBorders>
            <w:noWrap/>
            <w:vAlign w:val="center"/>
          </w:tcPr>
          <w:p w14:paraId="23FB3D5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7E28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184AAD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基础实验设备</w:t>
            </w:r>
          </w:p>
        </w:tc>
      </w:tr>
      <w:tr w14:paraId="24FA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FE563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99D1E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492FA5B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规格：≥长2800mm×宽700mm×高850mm</w:t>
            </w:r>
          </w:p>
          <w:p w14:paraId="142E146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 台面采用≥12.7mm厚实芯理化板，外露边沿修圆弧，整体耐高温、耐酸碱、耐腐蚀、不吸水、防火、阻燃、防静电、抗老化、无毒、无褪色、材质坚硬，牢固可靠。</w:t>
            </w:r>
          </w:p>
          <w:p w14:paraId="04424CB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2.桌柜采用≥16mm厚聚木屑三聚氰胺双面板。</w:t>
            </w:r>
          </w:p>
          <w:p w14:paraId="34F1B29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3.桌架采用≥40mm×60mm×1.2mm方钢管。</w:t>
            </w:r>
          </w:p>
          <w:p w14:paraId="68AF142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4.五金配件</w:t>
            </w:r>
          </w:p>
          <w:p w14:paraId="44A4F92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1）拉手：采用一字型铝合金拉手。</w:t>
            </w:r>
          </w:p>
          <w:p w14:paraId="42D8F77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2）铰链：采用铰链，最大开启角度 110°，开启 15º以内具有自闭功能。耐腐蚀、承重、经久耐用。</w:t>
            </w:r>
          </w:p>
          <w:p w14:paraId="5B96BAE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3）导轨：采用超静音三节滚珠滑轨。</w:t>
            </w:r>
          </w:p>
          <w:p w14:paraId="66D49B0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4）地脚：ABS工程塑料可调脚，螺杆≥Φ10mm，具有减缓冲击力功能。</w:t>
            </w:r>
          </w:p>
          <w:p w14:paraId="0517EC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结构：</w:t>
            </w:r>
          </w:p>
          <w:p w14:paraId="6DF8596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1.钢木左右结构；</w:t>
            </w:r>
          </w:p>
          <w:p w14:paraId="5688F7E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2.钢架采用“工”字形结构，前面放置木柜，木柜下设钢管托撑，并有M8mm螺丝顶固，带可调地脚；</w:t>
            </w:r>
          </w:p>
          <w:p w14:paraId="18EBF71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3.桌柜上设抽屉，下设储物柜；水槽柜设检修门；</w:t>
            </w:r>
          </w:p>
          <w:p w14:paraId="42B852F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工艺：</w:t>
            </w:r>
          </w:p>
          <w:p w14:paraId="1F168FA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 板材截面采用pvc封边条机械高温封边；</w:t>
            </w:r>
          </w:p>
          <w:p w14:paraId="105352A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2.钢材采用CO₂保护焊焊接，钢材表面经喷砂抛丸去油除锈，静电喷涂；</w:t>
            </w:r>
          </w:p>
          <w:p w14:paraId="24F85EF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性能：1. 台面双面膜耐腐蚀实芯理化板，耐酸、耐碱、耐高温，坚固耐用，防潮、无细孔、不膨胀、不龟裂、不变形、不导电、便于维护及具有良好的承重性；</w:t>
            </w:r>
          </w:p>
          <w:p w14:paraId="14F09BB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3.桌柜离地150mm左右；</w:t>
            </w:r>
          </w:p>
          <w:p w14:paraId="6187C23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4.水池柜：演示台一侧应设置水池柜，安放高密度黑色PPR一体化水槽，其内腔尺寸（长宽高）≥480mm×380mm×280mm。并设置活动检修门，便于进行维护。</w:t>
            </w:r>
          </w:p>
          <w:p w14:paraId="4F8678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5.水嘴：喷塑三联式高位水嘴、陶瓷芯片水阀水槽。</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3B7CB5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2C49DB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4015A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A4F18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3A809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生物实验室总控电源</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3B986BF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产品外壳采用镀锌板折弯焊接成型，表面喷塑。</w:t>
            </w:r>
          </w:p>
          <w:p w14:paraId="783F151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1.电源面板表面贴面膜，设有漏电总开关、交流220V五孔带防护插座。</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8A1C1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ign w:val="center"/>
          </w:tcPr>
          <w:p w14:paraId="42852A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A874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338DB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57CF6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辅助光源</w:t>
            </w:r>
          </w:p>
        </w:tc>
        <w:tc>
          <w:tcPr>
            <w:tcW w:w="3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7AD59">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规格：8W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1.材质：优秀不锈钢材质，灯珠：采用LED灯珠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2.发光颜色：正白色、光学平板分光片，令光源更加均匀柔和，提高光能使用率亮度照明。</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3.投射角度：180度</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7672E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7536B8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E70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40891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91027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学生实验桌</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0D4CCC7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规格：≥长1200mm×宽600mm×高780mm </w:t>
            </w:r>
          </w:p>
          <w:p w14:paraId="2BC2D87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1.台面：台面采用≥12mm 双面膜理化板台面，学生位置设圆弧造型 两侧设阻水边。台面后方卡入学生桌铝型槽内。耐酸、耐碱、耐高温，坚固耐用，防潮、无细孔、不膨胀、不龟裂、不变形、不导电、便于维护及具有良好的承重性能。</w:t>
            </w:r>
          </w:p>
          <w:p w14:paraId="1177CD2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2.结构：新型钢塑结构，符合人体工程学设计。专用书包斗采用 ABS 工程塑料一次性注塑成型结合，内净尺寸≥365mm×280mm×120mm。镂空设计，底部设有排水孔，便于清理，不屯垃圾，中间设挂凳卡。</w:t>
            </w:r>
          </w:p>
          <w:p w14:paraId="41DB9ED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3.桌架：桌腿采用≥90mm×60mm×2mm 椭圆管模具一体成型为”Y”字型（不得二次焊接），下开口采用磨具成型改性工程塑料材料装饰，上端连接件采用铸铝一体成型，上框采用 20mm×30mm矩形管焊接成型，并用高强度内六角螺丝连接，便于组装及拆卸，外观流线形设计，简洁美观，易碰撞处全部采用倒圆角，产品款式要求整体设计美观、合理、安全、牢固、耐用。金属表面经静电粉沫喷涂处理。要做到承重性能强和耐酸碱、耐腐蚀。</w:t>
            </w:r>
          </w:p>
          <w:p w14:paraId="29A5B30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4.挡水板：后挡水板采用≥115mm×14mm×2mm 厚一体成型铝合金，左右堵头连接件采用ABS模具一体成型，固定于台架不易脱落，便于组装及拆卸，外观流线形设计，简洁美观,易碰撞处全部采用倒圆角，产品款式要求整体设计美观、合理、安全牢固、耐用。金属表面经静电粉沫喷涂处理。要做到承重性能强和耐酸碱、耐腐蚀。</w:t>
            </w:r>
          </w:p>
          <w:p w14:paraId="76B5346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5.桌脚：采用一体注塑模具成型，结构美观牢固，并设有防滑调整脚，同时可以与地面固定，防止桌体移动。采用专用注塑模具件装饰。</w:t>
            </w:r>
          </w:p>
          <w:p w14:paraId="08D425A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为保证产品质量以及从环保角度保障实验室人员健康，符合以下技术参数及要求：</w:t>
            </w:r>
          </w:p>
          <w:p w14:paraId="68432E0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（1）、台面宽度，净操作面深度，台面高度，操作台高度，操作台下净空高，操作台下净空宽；满足第三方检测机构主要尺寸检测，检测结果均为符合。</w:t>
            </w:r>
          </w:p>
          <w:p w14:paraId="48C835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（2）、外形尺寸偏差，台面翘曲度，台面平整度，底脚平稳性；满足第三方检测机构外形尺寸偏差及形状位置公差测检测，检测结果均为符合。</w:t>
            </w:r>
          </w:p>
          <w:p w14:paraId="4D18C4F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操作台面的裂缝和渗透，板件或部件的毛刺和光滑，封边或包边不应出现脱胶，贴面应严密和平整，零部件结合的严密和牢固，配件安装的无松动，金属件应闭口和焊接无虚焊，焊疤表面波纹应均匀、高低之差应不大于1mm，金属件涂层应无漏喷、锈蚀和脱色、掉色现象，涂层应光滑均匀、色泽一致、应无流挂、疙瘩、皱皮、飞漆等缺陷；满足第三方检测机构检测，检测结果均为符合。</w:t>
            </w:r>
          </w:p>
          <w:p w14:paraId="37C5D79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（4）、台面磨耗值28mg/100r，表面情况应无露底现象，无整圈连续划痕、无开裂，耐龟裂性0级，无裂纹、鼓泡、起皱和无明显变色，无凸起、龟裂和 明显变色，耐干热1级，冲击凹坑直径7.5mm，化学实验台面抗化学试剂符合要求，耐高温，耐污染1级；满足第三方检测机构检测，检测结果均为符合。</w:t>
            </w:r>
          </w:p>
          <w:p w14:paraId="698BA63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（5）、金属喷(漆)塑涂层硬度3H，冲击强度符合要求，耐腐蚀10级；满足第三方检测机构检测，检测结果均为符合。</w:t>
            </w:r>
          </w:p>
          <w:p w14:paraId="5A31274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产品整体的力学性能经过水平静载荷试验，垂直静载荷试验，持续垂直静载荷，独立操作台水平冲击稳定性试验，独立操作台垂直加载稳定性试验，水平耐久性试验，垂直冲击试验；满足第三方检测机构检测，检测结果均为符合。</w:t>
            </w:r>
          </w:p>
          <w:p w14:paraId="4EF3BE4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（7）、甲醛释放量：≤0.2mg/L；满足第三方检测机构检测，检测结果均为符合。</w:t>
            </w:r>
          </w:p>
          <w:p w14:paraId="699C7D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（8）、重金属含量中的可溶性铅、可溶性镉、可溶性铬、可溶性汞；满足第三方检测机构检测，检测结果均为符合。</w:t>
            </w:r>
          </w:p>
        </w:tc>
        <w:tc>
          <w:tcPr>
            <w:tcW w:w="314" w:type="pct"/>
            <w:tcBorders>
              <w:top w:val="single" w:color="000000" w:sz="4" w:space="0"/>
              <w:left w:val="single" w:color="000000" w:sz="4" w:space="0"/>
              <w:bottom w:val="single" w:color="000000" w:sz="4" w:space="0"/>
              <w:right w:val="single" w:color="000000" w:sz="4" w:space="0"/>
            </w:tcBorders>
            <w:noWrap/>
            <w:vAlign w:val="center"/>
          </w:tcPr>
          <w:p w14:paraId="71F491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0" w:type="pct"/>
            <w:tcBorders>
              <w:top w:val="single" w:color="000000" w:sz="4" w:space="0"/>
              <w:left w:val="single" w:color="000000" w:sz="4" w:space="0"/>
              <w:bottom w:val="single" w:color="000000" w:sz="4" w:space="0"/>
              <w:right w:val="single" w:color="000000" w:sz="4" w:space="0"/>
            </w:tcBorders>
            <w:noWrap/>
            <w:vAlign w:val="center"/>
          </w:tcPr>
          <w:p w14:paraId="7BD2E5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04F42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8CD77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29FB5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实验凳</w:t>
            </w:r>
          </w:p>
        </w:tc>
        <w:tc>
          <w:tcPr>
            <w:tcW w:w="3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1BE10">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规格：≥Φ315mm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1.螺旋式升降。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2.凳脚材质：4个凳脚采用≥17mm×34mm×1.2mm无缝钢管模具一次弯管成型。二氧化碳保护焊焊接，结构牢固，金属表面经静电粉沫喷涂处理。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3.凳面材质：采用聚丙烯共聚级注塑,厚5mm。表面细纹咬花，防滑不发光。凳面底部镶嵌4枚铜质螺纹，采用螺丝与圆型托盘固定。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4.脚垫材质：采用PP加耐磨纤维质塑料，实心倒勾式一体射出成型凳面与凳脚留有一定的空间便于凳子挂在挂凳扣上。方便教室的打扫。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（1）、实验凳座高430mm，满足第三方检测机构主要尺寸及偏差检测，检测结果均为符合。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（2）、实验凳着地平稳性；满足第三方检测机构形状和位置公差检测，检测结果均为符合。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（3）、实验凳外观性能-金属件的喷涂层应涂层应无漏喷、锈蚀和脱色、掉色现象，涂层应光滑均匀、色泽一致，应无流挂、疙瘩、皱皮、飞漆；满足第三方检测机构检测，检测结果均为符合。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（4）、实验凳外观性能-塑料件应无裂纹，无明 显变形，应无明显缩孔、气泡、杂质、伤痕，外表用塑料件表面应光洁、无划痕，无污渍，无明显色差；满足第三方检测机构检测，检测结果均为符合。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（5）、实验凳应满足安全性能-结构安全的要求；满足第三方检测机构检测，检测结果均为符合。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（6）、实验凳金属喷漆 ( 塑 )涂层的硬度4H，冲击高度400mm,应无剥落、裂纹、皱纹，附着力1级，耐腐蚀应无鼓泡产生、无锈迹、剥落、起皱、变色 和失光等现象；满足第三方检测机构检测，检测结果均为符合。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（7）、实验凳的塑料件冲击强度29J/m²；满足第三方检测机构检测，检测结果均为符合。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（8）、实验凳整体的力学性能通过座面和椅 背静载荷试验-座面静载荷试验，座面和椅背静载荷试验-椅背静载荷试验，座面耐久性试验，椅背耐久性试验，椅腿前向静载荷试验，椅腿侧向静载荷试验，座面冲击试验，椅背冲击试验，跌落试验，凳子任意方向的倾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（9）、实验凳重金属含量中的可溶性铅、可溶性镉、可溶性铬、可溶性汞；满足第三方检测机构检测，检测结果均为符合。</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4B338F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0603B1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571B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37B89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7AB5C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移动水槽台</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C6314A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规格：≥长600mm×宽460mm×高820mm</w:t>
            </w:r>
          </w:p>
          <w:p w14:paraId="4D7FBE5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1.由柜体和水槽底座部分组成。</w:t>
            </w:r>
          </w:p>
          <w:p w14:paraId="26DA173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水槽内规格≥400mm×300mm×240mm,柜体底座采用ABS注塑成型，水槽采用PP塑料一次模具成型，确保柜体结构稳固；柜体前后带有磁吸检修门，方便日后维修，前沿带有围边挡水，带有防溢水孔，水槽预留安装水嘴孔，洗眼器孔，按压洗手液孔，柜体内设有隐藏式抽屉方便放置洗涤用品，水封式水塞可防止废水回流和堵塞。</w:t>
            </w:r>
          </w:p>
          <w:p w14:paraId="62405C2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3.水嘴：喷塑三联式高位水嘴。</w:t>
            </w:r>
          </w:p>
          <w:p w14:paraId="67E28A9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4.水槽专配型排水管，不锈钢卡扣连接，安装方便不渗漏，储水罐PP材质。</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145B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09E61D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5A11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41B64C0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总控系统</w:t>
            </w:r>
          </w:p>
        </w:tc>
      </w:tr>
      <w:tr w14:paraId="72913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FA78F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15C67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控制机柜</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0B80D1BF">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1、规格：≥400*600*200㎜；外观设计整洁美观，采用1.0mm厚钢板经数控折弯加工，表面硅烷处理、喷塑。</w:t>
            </w:r>
          </w:p>
          <w:p w14:paraId="45B72378">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2、箱门上安裝控制屏、启动开关，急停开关。</w:t>
            </w:r>
          </w:p>
          <w:p w14:paraId="03D6CD8B">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箱内置3P总电源开关，智能控制总开关，漏电、过载、短路保护开关，485通讯输出，微电脑控制器及功能扩展模块，微电脑保护模块，急停控制系统，电源分组控制系统，照明分组控制系统，给排水控制系统，吊臂控制系统。</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96202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692059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r>
      <w:tr w14:paraId="47D9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56421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CB762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总控软件系统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7E452A1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1、开机即用，无系统启动时间。</w:t>
            </w:r>
          </w:p>
          <w:p w14:paraId="2E9D851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2、经密码验证之后，方可进入控制系统界面，以增加控制安全性。</w:t>
            </w:r>
          </w:p>
          <w:p w14:paraId="436E29C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3、接通总开关和支路开关，可集中或分组控制吊臂的升降、照明灯亮与灭、交流220V插座、给排水控制（排水自动检测并及时排水）、低压交直流电压输出并可控。</w:t>
            </w:r>
          </w:p>
          <w:p w14:paraId="5ACAC3E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4、系统时间可设置、可延时关机、可定时关机。</w:t>
            </w:r>
          </w:p>
          <w:p w14:paraId="0FBE52D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5、可支持拓展远程控制系统使用。</w:t>
            </w:r>
          </w:p>
          <w:p w14:paraId="589454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6、控制柜与各个吊臂之间采用高可靠性的Modbus-RTU通讯协议下进行控制：</w:t>
            </w:r>
          </w:p>
          <w:p w14:paraId="22B4DA3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a、吊臂控制系统：教师通过智能控制屏对实验室进行单独、分组、全部控制，升、降、暂停，升、降到位后会自动停止。 </w:t>
            </w:r>
          </w:p>
          <w:p w14:paraId="414C1B0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b、电源控制系统：教师通过智能控制屏对实验室进行单独、分组、全部控制交流220V输出和学生用低压输出。</w:t>
            </w:r>
          </w:p>
          <w:p w14:paraId="62D537A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c、照明控制系统：教师通过智能控制屏对实验室吊仓上的照明进行单独、分组、全部控制。</w:t>
            </w:r>
          </w:p>
          <w:p w14:paraId="449F5D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给排水控制系统：每个学生终端配置一组水流自动检测传感器，当给水时自动进行排水控制；吊臂下方配有插拔式自动锁紧排水接口，接口与学生水槽柜下方水箱连接通过具有耐酸碱、耐腐蚀功能的改性PVC橡胶塑料软管连接，即插即用，用完拔下收起，给排水管具有到位检测功能，在没有拔下水管，吊臂不能收起。</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1F1BB5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74CCF8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6CBD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33C6D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FAB13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控制屏</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6F4DA93">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1、控制屏幕采用≥12.1寸，外部用铝合金包边，分辨率为≥1024*768。</w:t>
            </w:r>
          </w:p>
          <w:p w14:paraId="25484C0D">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2、屏幕为电容触摸，支持单点、滑动触摸。</w:t>
            </w:r>
          </w:p>
          <w:p w14:paraId="4C9E2A25">
            <w:pPr>
              <w:keepNext w:val="0"/>
              <w:keepLines w:val="0"/>
              <w:widowControl/>
              <w:numPr>
                <w:ilvl w:val="0"/>
                <w:numId w:val="0"/>
              </w:numPr>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lang w:val="en-US" w:eastAsia="zh-CN" w:bidi="ar"/>
              </w:rPr>
              <w:t>3、控制屏装在控制机柜上面</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4233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0E8D8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1DD2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03F85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45A29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远程控制系统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111BC3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1、远程控制系统自适应PC、平板、手机端，兼顾不同系统不同终端的使用需求。</w:t>
            </w:r>
          </w:p>
          <w:p w14:paraId="518DAC3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2、远程控制系统采用终端账号统一管理，实现账号与实验室一一对应，避免误操作和账号管理分散，登录验证唯一性，保证安全。</w:t>
            </w:r>
          </w:p>
          <w:p w14:paraId="2D03C45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3、远程控制系统与总控软件系统实时通信，保证状态实时同步，实现远程实时对总控软件系统的远程操作。</w:t>
            </w:r>
          </w:p>
          <w:p w14:paraId="4E2AD8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4、具有良好的拓展性，可以接入其他标准系统接口，实现对实验室产品控制功能的拓展。</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0E128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66B76D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5D7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44350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29162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环境检测套件</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0567F6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可在实验室加装温度、湿度等传感装置，实时监控房间内的温度和湿度，保障室内舒适的环境舒适性，在控制系统中进行显示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CCDF3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184234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877E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A9E74C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吊臂系统</w:t>
            </w:r>
          </w:p>
        </w:tc>
      </w:tr>
      <w:tr w14:paraId="59A6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CBFA6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D6994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吊舱模组</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4453644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规格：≥1200mm×550mm×240mm</w:t>
            </w:r>
          </w:p>
          <w:p w14:paraId="788D24E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材质：吊舱整体采用1mm冷轧钢板经数控折弯成型，连接处采用3mm冷轧钢板加固，金属框架部分为一体式结构，比分体式或拼插式结构具有更高的结构强度，内部设有≥20*40*1.2mm矩管做为加强龙骨，两侧设有LED灯，照度不小于150lx，下方设有可拆卸挡板，方便检修；工艺：钢材采用焊接机器人CO₂保护焊焊接，表层采用去油、除锈、打磨、喷塑工艺处理。</w:t>
            </w:r>
          </w:p>
          <w:p w14:paraId="6389238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为保证产品质量以及从环保角度保障实验室人员健康，产品必须符合以下技术参数及要求：</w:t>
            </w:r>
          </w:p>
          <w:p w14:paraId="62B1AC4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吊装舱喷涂层涂层应无漏喷、锈蚀和脱色、掉色现象，涂层应光滑均匀、色泽一致，无流挂、疙瘩、皱皮、飞漆等缺陷，电镀层表面应无剥落、返锈、毛刺，表面应无烧焦、起泡、针孔、裂纹、花斑(不包括镀彩锌)和划痕；检测结果均为符合。</w:t>
            </w:r>
          </w:p>
          <w:p w14:paraId="06793BB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（2）、吊装舱涂层-硬度为4H，耐腐蚀，抗盐雾；满足第三方检测机构检测，检测结果均为符合。</w:t>
            </w:r>
          </w:p>
          <w:p w14:paraId="72A823F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（3）、吊装舱重金属含量中的可溶性铅、可溶性镉、可溶性铬、可溶性汞；满足第三方检测机构检测，检测结果均为符合。</w:t>
            </w:r>
          </w:p>
          <w:p w14:paraId="68A004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（4）、吊装舱依据GB/T9286-2021标准《色漆和清漆划格试验》测试，附着力为0级。</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1DD4B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6FE48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45D3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2F0D4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CE3C0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吊臂模组</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6D84D5A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1、吊臂由铝合金加工成型，表面和经环氧树脂粉末静电喷涂、高温固化处理，耐腐蚀，吊臂截面尺寸为≥80*40的D型管材，壁厚≥2mm；长度≥645mm。</w:t>
            </w:r>
          </w:p>
          <w:p w14:paraId="668B018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2、吊臂模组可由总控系统控制升降，不使用时可收于吊舱之内，起到防止阻挡视线的功能。</w:t>
            </w:r>
          </w:p>
          <w:p w14:paraId="075845D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3、吊臂模组可以实现单独控制、分组控制和整体控制。</w:t>
            </w:r>
          </w:p>
          <w:p w14:paraId="2CA63D1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4、在吊臂升降中，如遇障碍物可以实现回弹、或停止，避免出现机械故障或人员夹伤。</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672A2F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DE67F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DB48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A9E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53824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371705A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摇臂接收智能控制系统信号实现远程遥控，动力采用直流24V减速低压电机。</w:t>
            </w:r>
          </w:p>
          <w:p w14:paraId="68E554E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1、可通过总控系统对实验室的吊臂进行控制，可以实现单独控制、分组控制。</w:t>
            </w:r>
          </w:p>
          <w:p w14:paraId="342833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2、系统自带障碍物保护功能，具有防夹，防卡功能，当摇臂在运动的过程中遇到障碍物时会自动停止，具有过流保护功能。</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097862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6E228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2626C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1CD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4882D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吊舱端头模组</w:t>
            </w:r>
          </w:p>
        </w:tc>
        <w:tc>
          <w:tcPr>
            <w:tcW w:w="3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3111F">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规格：≥300mm×550mm×240mm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整体采用1mm冷轧钢板经数控折弯成型。连接处采用3mm冷轧钢板加固，整体框架为一体式结构.</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00B81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18D617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55DD8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E1CDD96">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电源系统</w:t>
            </w:r>
          </w:p>
        </w:tc>
      </w:tr>
      <w:tr w14:paraId="018EF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3D31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432D2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电源分组控制系统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1A7417C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1、可通过电源控制系统控制学生电源的220V供电的开启和关闭，可以实现单独控制、分组控制。</w:t>
            </w:r>
          </w:p>
          <w:p w14:paraId="4E396774">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2、可通过电源控制系统控制选择学生电源的电源交、直流输出的开关。</w:t>
            </w:r>
          </w:p>
          <w:p w14:paraId="3EBF81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3、可通过电源控制系统锁定学生电源的低压交直流输出，锁定后受控学生电源不能修改。可锁定学生低压交直流输出上限，锁定后只可向下调整电压，解锁后学生方可自由调节。</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0FC11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1B491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80F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14B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2E7C07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7EF1EF3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1、学生电源安装于吊臂模组末端ABS塑料壳体之上。壳体正面由钢板加工成型并贴面板膜，文字符号清晰，按键分布合理。</w:t>
            </w:r>
          </w:p>
          <w:p w14:paraId="33C1077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每个吊臂上安装两组学生电源，分别有低压交、直流输出香焦插座，五孔插座4个、过载短路复位开关1个，网线插孔2个，急停按钮1个。学生用电源设（∧、V、AC/DC按键、过载按任意键复位），2组1.3寸OLED显示屏，显示电压和电流输出。</w:t>
            </w:r>
          </w:p>
          <w:p w14:paraId="76F00085">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学生用电源参数符合JY/T0374一2004标准中低压输出标准要求。符合以下性能要求：a.交流输出：电压0∨-30Ⅴ、显示±0.5V，每0.5V一档，可随负载变化自动稳压，0V-18V额定电流3A，18V-30V额定电流2A。b.直流稳压输出：电压0V-36Ⅴ、显示±0.2V，连续无极可调，每0.1V递增，0V-16V额定电流2A，16.1V-36V额定电流1A。电压稳定性：≤2%U标+0.1Ⅴ， 负载稳定性：≤2%U标+0.1Ⅴ， 波纹电压：电源电压保持220V，达到额定电流时&lt;3mV。c.电压电流：可实时输出电压和电流，电压分辩率0.1V，电流分辩率0.01A。</w:t>
            </w:r>
          </w:p>
          <w:p w14:paraId="3416ABF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具备过载保护功能：交流输出0V-18V输出3.2A、16.1V-30∨输出2.2A，直流稳压输出0∨-16V输出2.1A、16.1V-36V输出1.1A，当输出过载或短路时电源进入恒流状态延时1分钟后自动关闭输出，并能启动不大于额定电流的白炽灯。</w:t>
            </w:r>
          </w:p>
          <w:p w14:paraId="1A83234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5、电源输入：AC220Ⅴ±22V，50H±0.5Hz。</w:t>
            </w:r>
          </w:p>
          <w:p w14:paraId="26FF757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6、工作环境条件，温度0~40℃；湿度≤90%（40℃），</w:t>
            </w:r>
          </w:p>
          <w:p w14:paraId="2C31799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7、连续工作时间：输出电流在额定电流范围内，允许8小时连续使用。</w:t>
            </w:r>
          </w:p>
          <w:p w14:paraId="4A2D539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8、急停按钮：单个吊臂使用端用电异常时，可快速切断此吊臂高低压电源。</w:t>
            </w:r>
          </w:p>
          <w:p w14:paraId="3550B2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9、国标五孔插座：带安全防护门，额定电流5A。交流220V输出有过载短路复位开关，避免因保险丝熔断更换造成的麻烦。</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60D53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57145B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r>
      <w:tr w14:paraId="71D5E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983A9F1">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给排水系统</w:t>
            </w:r>
          </w:p>
        </w:tc>
      </w:tr>
      <w:tr w14:paraId="5EFF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AE04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2DD2D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给排水控制系统</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2869C26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自动排水模块1组、水模拟量控制器1组、电源控制器1套、自动保护系统1组。</w:t>
            </w:r>
          </w:p>
          <w:p w14:paraId="4FCA04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所有排水由智能化控制系统集中控制，接口均采用自动锁紧插拔式连接方式（拔掉时没有污水流出），用时接上，不用时可收起。连接软管采用防爆PVC橡胶塑料，具有防酸、防碱、耐腐蚀功能，当学生水槽柜下方水箱水量达到一定值时系统自动排水、污水经过连接管排至顶部排水管总管后流出，当水槽柜下方水箱污水排净后排水系统自动关闭。控制系统设置一键排空功能，可一键将管道内所有的污水排空。</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4E080C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018320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1267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3E8A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737F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给排水模组</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52FCC0C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1、给排水接口采用PVC材质，具有耐酸碱，拔插轻松，不生锈；即插即用，具有高密封性能，即使在供水排水工作时，随时拔掉接口不会有任何滴漏现象。</w:t>
            </w:r>
          </w:p>
          <w:p w14:paraId="1FF1230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2、给水主管选用φ20-32mmPP-R给水管，模块化设计，每组模块间采用活接式连接，方便安装、检修。</w:t>
            </w:r>
          </w:p>
          <w:p w14:paraId="32431B9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3、排水管选用加厚φ50-75mmPVC-U国标管（具有防酸、防碱、耐腐蚀功能），模块化设计，每组模块间采用活接式连接，方便安装、检修。</w:t>
            </w:r>
          </w:p>
          <w:p w14:paraId="0870581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4、给水主管前端为减少水中颗粒物设置前置过滤器。</w:t>
            </w:r>
          </w:p>
          <w:p w14:paraId="268556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5、单个模组设置4分电磁阀。</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21B2A8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4179D1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B1DB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83ECAB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实施设备</w:t>
            </w:r>
          </w:p>
        </w:tc>
      </w:tr>
      <w:tr w14:paraId="05657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8570B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682C85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系统安装辅件</w:t>
            </w:r>
          </w:p>
        </w:tc>
        <w:tc>
          <w:tcPr>
            <w:tcW w:w="3549" w:type="pct"/>
            <w:tcBorders>
              <w:top w:val="single" w:color="000000" w:sz="4" w:space="0"/>
              <w:left w:val="single" w:color="000000" w:sz="4" w:space="0"/>
              <w:bottom w:val="single" w:color="000000" w:sz="4" w:space="0"/>
              <w:right w:val="single" w:color="000000" w:sz="4" w:space="0"/>
            </w:tcBorders>
            <w:noWrap w:val="0"/>
            <w:vAlign w:val="center"/>
          </w:tcPr>
          <w:p w14:paraId="79FA4E6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采用门型框架安装方式，减少楼板承重，防止左右晃动。主要辅件有：吊装专用支架、三角连接件、吊装实验室专用安装支架和墙顶连接件、吊装挂件等。</w:t>
            </w:r>
          </w:p>
          <w:p w14:paraId="4C5CA3B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吊装附件包含：</w:t>
            </w:r>
          </w:p>
          <w:p w14:paraId="48821EEE">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1、门型框架：规格采用40mm*40mm光伏支架，规格：980mm*712mm*51mm ，数量16个；</w:t>
            </w:r>
          </w:p>
          <w:p w14:paraId="5D98011F">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2、挂钩：采用40mm*40mm光伏支架及镀锌钢板，规格：248mm*110mm*53mm,数量112个；</w:t>
            </w:r>
          </w:p>
          <w:p w14:paraId="4FACC9C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3、吊装连接片：采用镀锌钢板，规格：150mm*40mm*3mm，数量4个；</w:t>
            </w:r>
          </w:p>
          <w:p w14:paraId="63A959D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 吊装支架：采用40mm*40mm光伏支架，规格：4250mm*40mm*40mm,数量8个；</w:t>
            </w:r>
          </w:p>
          <w:p w14:paraId="3FE9D3A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5、吊丝：φ10*10*3米，数量12根；</w:t>
            </w:r>
          </w:p>
          <w:p w14:paraId="54989729">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6、1.5平方铜线100米；</w:t>
            </w:r>
          </w:p>
          <w:p w14:paraId="5806B890">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7、2.5平方铜线300米；</w:t>
            </w:r>
          </w:p>
          <w:p w14:paraId="74B2A7E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8、4平方铜线100米；</w:t>
            </w:r>
          </w:p>
          <w:p w14:paraId="4130DFA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9、30线槽，3米/根，10根。</w:t>
            </w:r>
          </w:p>
          <w:p w14:paraId="507D33ED">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10、φ32PPR管材，3米/根，数量10根；</w:t>
            </w:r>
          </w:p>
          <w:p w14:paraId="35CE52A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11、φ20PPR管，3米/根，数量6根，</w:t>
            </w:r>
          </w:p>
          <w:p w14:paraId="32226A1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12、φ32*φ20弯头60个、φ32三通20个、φ20三通40个、φ32（90°）10个、φ20（90°）15个，φ32堵头10个、φ20堵头20个；</w:t>
            </w:r>
          </w:p>
          <w:p w14:paraId="4974623A">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13、膨胀管960个，膨胀螺丝960条，螺丝560条。</w:t>
            </w:r>
          </w:p>
          <w:p w14:paraId="23653970">
            <w:pPr>
              <w:keepNext w:val="0"/>
              <w:keepLines w:val="0"/>
              <w:widowControl/>
              <w:suppressLineNumbers w:val="0"/>
              <w:jc w:val="left"/>
              <w:textAlignment w:val="center"/>
              <w:rPr>
                <w:rFonts w:hint="eastAsia"/>
                <w:highlight w:val="none"/>
              </w:rPr>
            </w:pPr>
            <w:r>
              <w:rPr>
                <w:rFonts w:hint="eastAsia" w:ascii="仿宋" w:hAnsi="仿宋" w:eastAsia="仿宋" w:cs="仿宋"/>
                <w:i w:val="0"/>
                <w:iCs w:val="0"/>
                <w:color w:val="000000"/>
                <w:kern w:val="0"/>
                <w:sz w:val="21"/>
                <w:szCs w:val="21"/>
                <w:highlight w:val="none"/>
                <w:u w:val="none"/>
                <w:lang w:val="en-US" w:eastAsia="zh-CN" w:bidi="ar"/>
              </w:rPr>
              <w:t>14、安装及实施。</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5626F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14:paraId="14A1AA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w:t>
            </w:r>
          </w:p>
        </w:tc>
      </w:tr>
    </w:tbl>
    <w:p w14:paraId="4C4FDAA7">
      <w:pPr>
        <w:pStyle w:val="2"/>
        <w:rPr>
          <w:rFonts w:hint="default"/>
          <w:highlight w:val="none"/>
          <w:lang w:val="en-US" w:eastAsia="zh-CN"/>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29A874C4">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4、生物准备仪器室</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5"/>
        <w:gridCol w:w="945"/>
        <w:gridCol w:w="6675"/>
        <w:gridCol w:w="600"/>
        <w:gridCol w:w="653"/>
      </w:tblGrid>
      <w:tr w14:paraId="2EDB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7BF49E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5A040B5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32" w:type="pct"/>
            <w:tcBorders>
              <w:top w:val="single" w:color="000000" w:sz="4" w:space="0"/>
              <w:left w:val="single" w:color="000000" w:sz="4" w:space="0"/>
              <w:bottom w:val="single" w:color="000000" w:sz="4" w:space="0"/>
              <w:right w:val="single" w:color="000000" w:sz="4" w:space="0"/>
            </w:tcBorders>
            <w:noWrap w:val="0"/>
            <w:vAlign w:val="center"/>
          </w:tcPr>
          <w:p w14:paraId="4100A4B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166E3CB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1B14325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23A04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84E3C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BC6D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准备台</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DD3DE9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规格：≥长3000mm×宽1100mm×高850mm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1.一体化台面，设置抽屉、对开门。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2.台面材料：采用理化板，台面厚度≥12.7mm，边缘加厚至≥25.4mm。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3.台体框架：采用铝合金型材制作，框架的立柱为45mm×32mm方管，框架的横梁为32mm×32mm方管，壁厚≥1.0mm。通过 ABS专用连接件组装而成，接缝严密，连接牢固，无松动现象。型材带凹槽，槽的宽度、深度应与所采用的柜体板材相匹配，接缝严密，无晃动现象。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5.支脚：采用Φ≥10mm的螺杆与ABS工程塑料一次注塑成型的脚垫，高度可调节。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6.柜门铰链：采用优质不锈钢定位铰链，安全、牢固、防腐、耐用。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7.抽屉滑道：采用优质消声三节滑轨，优质合金钢板一次性成型加工。</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251B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2F8C03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6A8E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39511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5E76A7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2D3C9A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规格：≥1000mm×500mm×2000mm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铝木结构，基本要求如下：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3.柜门：上部为专用木框对开玻璃门，下部为对开木门，不锈钢拉手。柜门采用不锈钢定位铰链，安全、牢固、防腐、耐用。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3E1ED7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4B88A9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5780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B3AB3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C7686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药品柜</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3A66B2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≥长1000mm×宽500mm×高2000mm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优质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3.柜门：上部为专用木框对开玻璃门，下部为对开木门。柜门采用优质不锈钢定位铰链，安全、牢固、防腐、耐用。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4.隔板：上柜设置2块隔板，带二阶梯药瓶台，隔板和药瓶台材质选用耐腐蚀实芯理化板；下柜设置1块固定隔板材质为三聚氰胺板。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5.支脚：采用Φ≥8mm的螺杆与ABS工程塑料一次注塑成型的脚垫，高度可调节。</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540C49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4FCD11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E31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B4AC1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324AF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标本柜</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4070CE0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规格：≥长1000mm×宽500mm×高2000mm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25mm×30mm（误差±1mm），后立柱、后横梁外径为≥30mm×30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上柜衬板为4mm玻璃，下柜衬板采用厚度为≥16mm、彩色和灰白色双面三聚氰胺板（即双饰面板）作为台体衬板，其内芯的基材为聚木屑纤维板，外漏截面采用≥1.0mm厚塑制优质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3.柜门：上部为移动玻璃门，下部为对开木门，拉手美观耐用，使用方便。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4.搁物板：上部为2层钢化玻璃搁物板，下部1层聚木屑纤维板搁物板。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6.桌脚：采用Φ≥8mm的螺杆与ABS工程塑料一次注塑成型的脚垫，高度可调节。</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3C6864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78A6C0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A19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7C52F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2756B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17224C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商品剂量:4KG 喷射距离:≥3.5M灭火级别: 1A/21B使用温度: -20°C~+50°C 瓶身材质:钢材</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500D2F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5B352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F99E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10816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CDF9D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水基灭火器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7A41C2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商品剂量:3L 喷射距离:≥3.5M灭火级别: 1A/55B E 使用温度: 士5°C~+55°C 瓶身材质:钢材</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69C526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47188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6BB1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7B3EB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39851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消防箱</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08C490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≥长520m×宽340m×高190mm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箱体采用铁制材质，厚度士0.4MM，表面采用防锈高光漆，双翻盖设计</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778618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ign w:val="center"/>
          </w:tcPr>
          <w:p w14:paraId="2D38A0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44C4F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307A8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FFF5F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沙箱</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14:paraId="3F85186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≥长600mm×宽400mm×高400mm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箱体采用冷轧钢板制作，表面采用静电喷塑，平整光滑及附着力强。配备消防沙</w:t>
            </w:r>
          </w:p>
        </w:tc>
        <w:tc>
          <w:tcPr>
            <w:tcW w:w="317" w:type="pct"/>
            <w:tcBorders>
              <w:top w:val="single" w:color="000000" w:sz="4" w:space="0"/>
              <w:left w:val="single" w:color="000000" w:sz="4" w:space="0"/>
              <w:bottom w:val="single" w:color="000000" w:sz="4" w:space="0"/>
              <w:right w:val="single" w:color="000000" w:sz="4" w:space="0"/>
            </w:tcBorders>
            <w:noWrap/>
            <w:vAlign w:val="center"/>
          </w:tcPr>
          <w:p w14:paraId="554888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19775A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bl>
    <w:p w14:paraId="0D697BD6">
      <w:pPr>
        <w:pStyle w:val="2"/>
        <w:rPr>
          <w:rFonts w:hint="eastAsia" w:ascii="仿宋" w:hAnsi="仿宋" w:eastAsia="仿宋" w:cs="仿宋"/>
          <w:b/>
          <w:bCs/>
          <w:sz w:val="24"/>
          <w:szCs w:val="24"/>
          <w:highlight w:val="none"/>
          <w:lang w:val="en-US" w:eastAsia="zh-CN"/>
        </w:rPr>
      </w:pPr>
    </w:p>
    <w:p w14:paraId="11736C38">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5、化学吊装实验室（56座）</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940"/>
        <w:gridCol w:w="6666"/>
        <w:gridCol w:w="605"/>
        <w:gridCol w:w="661"/>
      </w:tblGrid>
      <w:tr w14:paraId="4BD1B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5EDAF2B">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171D90B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60FDBBA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4382E00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1520C766">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40E3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202E23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基础实验设备</w:t>
            </w:r>
          </w:p>
        </w:tc>
      </w:tr>
      <w:tr w14:paraId="359C8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4A13E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4B6BF2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1F89D4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Style w:val="112"/>
                <w:rFonts w:hint="eastAsia" w:ascii="仿宋" w:hAnsi="仿宋" w:eastAsia="仿宋" w:cs="仿宋"/>
                <w:sz w:val="21"/>
                <w:szCs w:val="21"/>
                <w:highlight w:val="none"/>
                <w:lang w:val="en-US" w:eastAsia="zh-CN" w:bidi="ar"/>
              </w:rPr>
              <w:t>规格：≥长2800mm×宽700mm×高850mm</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 台面采用≥12.7mm厚实芯理化板，外露边沿修圆弧，整体耐高温、耐酸碱、耐腐蚀、不吸水、防火、阻燃、防静电、抗老化、无毒、无褪色、材质坚硬，牢固可靠。</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2.桌柜采用≥16mm厚聚木屑三聚氰胺双面板。</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3.桌架采用≥40mm×60mm×1.2mm方钢管。</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4.五金配件</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1）拉手：采用一字型铝合金拉手。</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2）铰链：采用铰链，最大开启角度 110°，开启 15º以内具有自闭功能。耐腐蚀、承重、经久耐用。</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3）导轨：采用超静音三节滚珠滑轨。</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4）地脚：ABS工程塑料可调脚，螺杆≥Φ10mm，具有减缓冲击力功能。</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结构：</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1.钢木左右结构；</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2.钢架采用“工”字形结构，前面放置木柜，木柜下设钢管托撑，并有M8mm螺丝顶固，带可调地脚；</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3.桌柜上设抽屉，下设储物柜；水槽柜设检修门；</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工艺：</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1. 板材截面采用pvc封边条机械高温封边；</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2.钢材采用CO</w:t>
            </w:r>
            <w:r>
              <w:rPr>
                <w:rFonts w:hint="eastAsia" w:ascii="仿宋" w:hAnsi="仿宋" w:eastAsia="仿宋" w:cs="仿宋"/>
                <w:i w:val="0"/>
                <w:iCs w:val="0"/>
                <w:color w:val="000000"/>
                <w:kern w:val="0"/>
                <w:sz w:val="21"/>
                <w:szCs w:val="21"/>
                <w:highlight w:val="none"/>
                <w:u w:val="none"/>
                <w:lang w:val="en-US" w:eastAsia="zh-CN" w:bidi="ar"/>
              </w:rPr>
              <w:t>₂</w:t>
            </w:r>
            <w:r>
              <w:rPr>
                <w:rStyle w:val="112"/>
                <w:rFonts w:hint="eastAsia" w:ascii="仿宋" w:hAnsi="仿宋" w:eastAsia="仿宋" w:cs="仿宋"/>
                <w:sz w:val="21"/>
                <w:szCs w:val="21"/>
                <w:highlight w:val="none"/>
                <w:lang w:val="en-US" w:eastAsia="zh-CN" w:bidi="ar"/>
              </w:rPr>
              <w:t>保护焊焊接，钢材表面经喷砂抛丸去油除锈，静电喷涂；</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性能：1. 台面双面膜耐腐蚀实芯理化板，耐酸、耐碱、耐高温，坚固耐用，防潮、无细孔、不膨胀、不龟裂、不变形、不导电、便于维护及具有良好的承重性；</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3.桌柜离地150mm左右；</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4.水池柜：演示台一侧应设置水池柜，安放高密度黑色PPR一体化水槽，其内腔尺寸（长宽高）≥480mm×380mm×280mm。并设置活动检修门，便于进行维护。</w:t>
            </w:r>
            <w:r>
              <w:rPr>
                <w:rStyle w:val="112"/>
                <w:rFonts w:hint="eastAsia" w:ascii="仿宋" w:hAnsi="仿宋" w:eastAsia="仿宋" w:cs="仿宋"/>
                <w:sz w:val="21"/>
                <w:szCs w:val="21"/>
                <w:highlight w:val="none"/>
                <w:lang w:val="en-US" w:eastAsia="zh-CN" w:bidi="ar"/>
              </w:rPr>
              <w:br w:type="textWrapping"/>
            </w:r>
            <w:r>
              <w:rPr>
                <w:rStyle w:val="112"/>
                <w:rFonts w:hint="eastAsia" w:ascii="仿宋" w:hAnsi="仿宋" w:eastAsia="仿宋" w:cs="仿宋"/>
                <w:sz w:val="21"/>
                <w:szCs w:val="21"/>
                <w:highlight w:val="none"/>
                <w:lang w:val="en-US" w:eastAsia="zh-CN" w:bidi="ar"/>
              </w:rPr>
              <w:t>5.水嘴：喷塑三联式高位水嘴、陶瓷芯片水阀水槽。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E9B70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0B9D23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6315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C5066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726A1A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高中化学实验室总控电源</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39DB4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产品外壳采用镀锌板折弯焊接成型，表面喷塑。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1.电源面板表面贴面膜，有漏电总开关、交流220V五孔带防护插座、教师用低压调整单元、低压交直流电压、电流、40A倒计时时间均采用二位半数显表头显示。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2.直流稳压输出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a.标称电压:1.5V～30V，每0.1V步进调整。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b.额定电流:1.5V～6V，≥6A；7V～12V，≥3A，12～30V，≥2A。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c.负载特性:交流输入电压在198V～242V间变化，在额定电流输出时电压变化≤0.2V，纹波电压≤3mV。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3.交流输出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a.0V～30V，每0.5V步进调整，自动稳压。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b.额定电流:0V～6V，≥9A；7V～12V，≥4A，13V～30V，≥3A。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c.负载特性:交流输入电压在220V不变时，负载电流在0至额定电流范围内变化，输出电压各档变化量≤±0.5V。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4.直流40A大电流，当负载电流≥10A时，10秒内负载自动关断，并有倒计时时间显示。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5.过载保护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a.当教师电源的低压交直流输出等于或小于其额定输出电流值时，电流应正常工作，当输出电流在额定电流的1.5～1.1倍时电源应能过载保护。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A38BB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763840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ABA5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D1077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2BCE96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变频器</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14A5AC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高性能矢量控制变频器，用全新的SVC（无速度传感器矢量控制）带来更好的低速稳定性、更强的低频带载能力，而且支持SVC的转矩控制，通过智能控制屏按百分比控制风量的大小。额定输入电压3相AC380V±15%，频率范围47～63Hz。由变频器对风机进行短路、过载、缺相等保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34AE8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05CDDD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BAD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0EC97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427C07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实验室专用洗眼器</w:t>
            </w:r>
          </w:p>
        </w:tc>
        <w:tc>
          <w:tcPr>
            <w:tcW w:w="35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D3664">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规格：≥250mm×140mm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1、主体：加厚铜质。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2、涂层：高亮度超厚电镀层，耐腐蚀、耐热、防紫外线辐射。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3、防尘盖：PP材质，单喷头设置防尘盖,使用时自动被水冲开。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4、开关手柄：采用杠杆结构，铜质按压阀通过塑料手柄操作，启闭快捷方便。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5、供水软管：配置软性PVC管，内嵌不锈钢网防止杂质进入，外覆不锈钢网，外层包裹PE管，有效防止生锈、磨损、划手.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6、洗眼喷头：模注一体成型，软性橡胶并带有缓冲滤网，出水经缓压处理呈泡沫柱状。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7、控水阀：止逆阀，其闭门可自动关闭.</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37910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8A65A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462C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E85F6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35FB8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学生实验桌</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A6617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规格：≥长1200mm×宽600mm×高780mm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1.台面：台面采用≥12mm 双面膜理化板台面，学生位置设圆弧造型 两侧设阻水边。台面后方卡入学生桌铝型槽内。耐酸、耐碱、耐高温，坚固耐用，防潮、无细孔、不膨胀、不龟裂、不变形、不导电、便于维护及具有良好的承重性能。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2.结构：新型钢塑结构，符合人体工程学设计。专用书包斗采用 ABS 工程塑料一次性注塑成型结合，内净尺寸≥365mm×280mm×120mm。镂空设计，底部设有排水孔，便于清理，不屯垃圾，中间设挂凳卡。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3.桌架：桌腿采用≥90mm×60mm×2mm 椭圆管模具一体成型为”Y”字型（不得二次焊接），下开口采用磨具成型改性工程塑料材料装饰，上端连接件采用铸铝一体成型，上框采用 20mm×30mm矩形管焊接成型，并用高强度内六角螺丝连接，便于组装及拆卸，外观流线形设计，简洁美观，易碰撞处全部采用倒圆角，产品款式要求整体设计美观、合理、安全、牢固、耐用。金属表面经静电粉沫喷涂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4.挡水板：后挡水板采用≥115mm×14mm×2mm 厚一体成型铝合金，左右堵头连接件采用ABS模具一体成型，固定于台架不易脱落，便于组装及拆卸，外观流线形设计，简洁美观,易碰撞处全部采用倒圆角，产品款式要求整体设计美观、合理、安全牢固、耐用。金属表面经静电粉沫喷涂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5.桌脚：采用一体注塑模具成型，结构美观牢固，并设有防滑调整脚，同时可以与地面固定，防止桌体移动。采用专用注塑模具件装饰。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为保证产品质量以及从环保角度保障实验室人员健康，符合以下技术参数及要求：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（1）、台面宽度，净操作面深度，台面高度，操作台高度，操作台下净空高，操作台下净空宽；满足第三方检测机构主要尺寸检测，检测结果均为符合。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（2）、外形尺寸偏差，台面翘曲度，台面平整度，底脚平稳性；满足第三方检测机构外形尺寸偏差及形状位置公差测检测，检测结果均为符合。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操作台面的裂缝和渗透，板件或部件的毛刺和光滑，封边或包边不应出现脱胶，贴面应严密和平整，零部件结合的严密和牢固，配件安装的无松动，金属件应闭口和焊接无虚焊，焊疤表面波纹应均匀、高低之差应不大于1mm，金属件涂层应无漏喷、锈蚀和脱色、掉色现象，涂层应光滑均匀、色泽一致、应无流挂、疙瘩、皱皮、飞漆等缺陷；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（4）、台面磨耗值28mg/100r，表面情况应无露底现象，无整圈连续划痕、无开裂，耐龟裂性0级，无裂纹、鼓泡、起皱和无明显变色，无凸起、龟裂和 明显变色，耐干热1级，冲击凹坑直径7.5mm，化学实验台面抗化学试剂符合要求，耐高温，耐污染1级；满足第三方检测机构检测，检测结果均为符合。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（5）、金属喷(漆)塑涂层硬度3H，冲击强度符合要求，耐腐蚀10级；满足第三方检测机构检测，检测结果均为符合。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产品整体的力学性能经过水平静载荷试验，垂直静载荷试验，持续垂直静载荷，独立操作台水平冲击稳定性试验，独立操作台垂直加载稳定性试验，水平耐久性试验，垂直冲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（7）、甲醛释放量：≤0.2mg/L；满足第三方检测机构检测，检测结果均为符合。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（8）、重金属含量中的可溶性铅、可溶性镉、可溶性铬、可溶性汞；满足第三方检测机构检测，检测结果均为符合。</w:t>
            </w: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5EB040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48" w:type="pct"/>
            <w:tcBorders>
              <w:top w:val="single" w:color="000000" w:sz="4" w:space="0"/>
              <w:left w:val="single" w:color="000000" w:sz="4" w:space="0"/>
              <w:bottom w:val="single" w:color="000000" w:sz="4" w:space="0"/>
              <w:right w:val="single" w:color="000000" w:sz="4" w:space="0"/>
            </w:tcBorders>
            <w:noWrap/>
            <w:vAlign w:val="center"/>
          </w:tcPr>
          <w:p w14:paraId="242673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43C9A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5138C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6122D2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实验凳</w:t>
            </w:r>
          </w:p>
        </w:tc>
        <w:tc>
          <w:tcPr>
            <w:tcW w:w="35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EAE60">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规格：≥Φ315mm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1.螺旋式升降。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2.凳脚材质：4个凳脚采用≥17mm×34mm×1.2mm无缝钢管模具一次弯管成型。二氧化碳保护焊焊接，结构牢固，金属表面经静电粉沫喷涂处理。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3.凳面材质：采用聚丙烯共聚级注塑,厚5mm。表面细纹咬花，防滑不发光。凳面底部镶嵌4枚铜质螺纹，采用螺丝与圆型托盘固定。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4.脚垫材质：采用PP加耐磨纤维质塑料，实心倒勾式一体射出成型凳面与凳脚留有一定的空间便于凳子挂在挂凳扣上。方便教室的打扫。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（1）、实验凳座高430mm，满足第三方检测机构主要尺寸及偏差检测，检测结果均为符合。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（2）、实验凳着地平稳性；满足第三方检测机构形状和位置公差检测，检测结果均为符合。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（3）、实验凳外观性能-金属件的喷涂层应涂层应无漏喷、锈蚀和脱色、掉色现象，涂层应光滑均匀、色泽一致，应无流挂、疙瘩、皱皮、飞漆；满足第三方检测机构检测，检测结果均为符合。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（4）、实验凳外观性能-塑料件应无裂纹，无明 显变形，应无明显缩孔、气泡、杂质、伤痕，外表用塑料件表面应光洁、无划痕，无污渍，无明显色差；满足第三方检测机构检测，检测结果均为符合。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（5）、实验凳应满足安全性能-结构安全的要求；满足第三方检测机构检测，检测结果均为符合。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（6）、实验凳金属喷漆 ( 塑 )涂层的硬度4H，冲击高度400mm,应无剥落、裂纹、皱纹，附着力1级，耐腐蚀应无鼓泡产生、无锈迹、剥落、起皱、变色 和失光等现象；满足第三方检测机构检测，检测结果均为符合。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（7）、实验凳的塑料件冲击强度29J/m²；满足第三方检测机构检测，检测结果均为符合。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（8）、实验凳整体的力学性能通过座面和椅 背静载荷试验-座面静载荷试验，座面和椅背静载荷试验-椅背静载荷试验，座面耐久性试验，椅背耐久性试验，椅腿前向静载荷试验，椅腿侧向静载荷试验，座面冲击试验，椅背冲击试验，跌落试验，凳子任意方向的倾翻试验；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（9）、实验凳重金属含量中的可溶性铅、可溶性镉、可溶性铬、可溶性汞；满足第三方检测机构检测，检测结果均为符合。</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4A079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55ACF1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23DF2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5C84E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207686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移动水槽台</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20E3C0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规格：≥长600mm×宽460mm×高820mm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1.由柜体和水槽底座部分组成。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水槽内规格≥400mm×300mm×240mm,柜体底座采用ABS注塑成型，水槽采用PP塑料一次模具成型，确保柜体结构稳固；柜体前后带有磁吸检修门，方便日后维修，前沿带有围边挡水，带有防溢水孔，水槽预留安装水嘴孔，洗眼器孔，按压洗手液孔，柜体内设有隐藏式抽屉方便放置洗涤用品，水封式水塞可防止废水回流和堵塞。</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3.水嘴：喷塑三联式高位水嘴。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4.水槽专配型排水管，不锈钢卡扣连接，安装方便不渗漏，储水罐PP材质。</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B98E2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2BE65B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E3C8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3D772E04">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总控系统</w:t>
            </w:r>
          </w:p>
        </w:tc>
      </w:tr>
      <w:tr w14:paraId="4846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E8908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02E9AE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控制机柜</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5BEF5AC5">
            <w:pPr>
              <w:keepNext w:val="0"/>
              <w:keepLines w:val="0"/>
              <w:widowControl/>
              <w:suppressLineNumbers w:val="0"/>
              <w:jc w:val="left"/>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1、规格：≥500*800*225 ㎜；外观设计整洁美观，采用1.0mm厚钢板经数控折弯加工，表面硅烷处理、喷塑。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2、箱门上安裝控制屏、启动开关，急停开关。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制箱内置3P总电源开关，智能控制总开关，漏电、过载、短路保护开关，风量控制及风量控制系统保护系统，485通讯输出，微电脑控制器及功能扩展模块，微电脑保护模块，急停控制系统，电源分组控制系统，照明分组控制系统，给排水控制系统，吊臂控制系统。</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76883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20AC3D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r>
      <w:tr w14:paraId="2A9E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7"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5C477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264A83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总控软件系统</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4067E70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1、开机即用，无系统启动时间。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2、经密码验证之后，方可进入控制系统界面，以增加控制安全性。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3、接通总开关和支路开关，可集中或分组控制吊臂的升降、照明灯亮与灭、交流220V插座、按百比调节风量大小、给排水控制（排水自动检测并及时排水）、低压交直流电压输出并可控。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4、系统时间可设置、可延时关机、可定时关机。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5、可支持拓展远程控制系统使用。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6、控制柜与各个吊臂之间采用高可靠性的Modbus-RTU通讯协议下进行控制：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a、吊臂控制系统：教师通过智能控制屏对实验室进行单独、分组、全部控制，升、降、暂停，升、降到位后会自动停止。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b、电源控制系统：教师通过智能控制屏对实验室进行单独、分组、全部控制交流220V输出和学生用低压输出。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c、照明控制系统：教师通过智能控制屏对实验室吊仓上的照明进行单独、分组、全部控制。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d、通风控制系统：用高性能矢量控制变频器，用全新的SVC（无速度传感器矢量控制）带来更好的低速稳定性、更强的低频带载能力，而且支持SVC的转矩控制，通过智能控制屏按百分比控制风量的大小。额定输入电压3相380V±15%，频率范围47～63Hz。由变频器对风机进行短路、过载、缺相等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e、给排水控制系统：每个学生终端配置一组水流自动检测传感器，当给水时自动进行排水控制；吊臂下方配有插拔式自动锁紧排水接口，接口与学生水槽柜下方水箱连接通过具有耐酸碱、耐腐蚀功能的改性PVC橡胶塑料软管连接，即插即用，用完拔下收起，给排水管具有到位检测功能，在没有拔下水管，吊臂不能收起。</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A019A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1272F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6EC5F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04AA3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71A586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控制屏</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60867D3C">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1、控制屏幕采用≥12.1寸，外部用铝合金包边，分辨率为≥1024*768。</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2、屏幕为电容触摸，支持单点、滑动触摸。</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3、控制屏装在控制机柜上面</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70FF2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76BF2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3EEA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8BE86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71A6C2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远程控制系统</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0CF60286">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1、远程控制系统自适应PC、平板、手机端，兼顾不同系统不同终端的使用需求。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2、远程控制系统采用终端账号统一管理，实现账号与实验室一一对应，避免误操作和账号管理分散，登录验证唯一性，保证安全。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3、远程控制系统与总控软件系统实时通信，保证状态实时同步，实现远程实时对总控软件系统的远程操作。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4、具有良好的拓展性，可以接入其他标准系统接口，实现对实验室产品控制功能的拓展。</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673DF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DF9AF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34D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A0616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582CC0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环境检测套件</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4C9FEC0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可在实验室加装温度、湿度等传感装置，实时监控房间内的温度和湿度，保障室内舒适的环境舒适性，在控制系统中进行显示</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8A95D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EB2DD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0EF1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9BED962">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吊臂系统</w:t>
            </w:r>
          </w:p>
        </w:tc>
      </w:tr>
      <w:tr w14:paraId="5F37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8AE1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03C584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吊舱模组</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EFC923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规格：≥1200mm×550mm×240mm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材质：吊舱整体采用1mm冷轧钢板经数控折弯成型，连接处采用3mm冷轧钢板加固，金属框架部分为一体式结构，比分体式或拼插式结构具有更高的结构强度，内部设有20*40*1.2mm矩管做为加强龙骨，两侧设有LED灯，照度不小于150lx，下方设有可拆卸挡板，方便检修；工艺：钢材采用焊接机器人CO₂保护焊焊接，表层采用去油、除锈、打磨、喷塑工艺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为保证产品质量以及从环保角度保障实验室人员健康，产品必须符合以下技术参数及要求：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吊装舱喷涂层涂层应无漏喷、锈蚀和脱色、掉色现象，涂层应光滑均匀、色泽一致，无流挂、疙瘩、皱皮、飞漆等缺陷，电镀层表面应无剥落、返锈、毛刺，表面应无烧焦、起泡、针孔、裂纹、花斑(不包括镀彩锌)和划痕；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（2）、吊装舱涂层-硬度为4H，耐腐蚀，抗盐雾；满足第三方检测机构检测，检测结果均为符合。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（3）、吊装舱重金属含量中的可溶性铅、可溶性镉、可溶性铬、可溶性汞；满足第三方检测机构检测，检测结果均为符合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（4）、吊装舱依据GB/T9286-2021标准《色漆和清漆划格试验》测试，附着力为0级。</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5190A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1043E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D4EF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E996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35F347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吊臂模组</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3C1D42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1、吊臂由铝合金加工成型，表面和经环氧树脂粉末静电喷涂、高温固化处理，耐腐蚀，吊臂截面尺寸为80*40的D型管材，壁厚2mm；长度645mm。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2、吊臂模组可由总控系统控制升降，不使用时可收于吊舱之内，起到防止阻挡视线的功能。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3、吊臂模组可以实现单独控制、分组控制和整体控制。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4、在吊臂升降中，如遇障碍物可以实现回弹、或停止，避免出现机械故障或人员夹伤。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6F50F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0138AF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F8FB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E2673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662CE7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吊臂控制系统</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C36EDA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摇臂接收智能控制系统信号实现远程遥控，动力采用直流24V减速低压电机。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1、可通过总控系统对实验室的吊臂进行控制，可以实现单独控制、分组控制。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2、系统自带障碍物保护功能，具有防夹，防卡功能，当摇臂在运动的过程中遇到障碍物时会自动停止，具有过流保护功能。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2DF63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7F5FFA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0E8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92AE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261A54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吊舱端头模组</w:t>
            </w:r>
          </w:p>
        </w:tc>
        <w:tc>
          <w:tcPr>
            <w:tcW w:w="35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54FE8">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规格：≥300mm×550mm×240mm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整体采用1mm冷轧钢板经数控折弯成型。连接处采用3mm冷轧钢板加固，整体框架为一体式结构.</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F1F2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447258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CF2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D14DFC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电源系统</w:t>
            </w:r>
          </w:p>
        </w:tc>
      </w:tr>
      <w:tr w14:paraId="1FB1E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2803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5B9730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电源分组控制系统</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3797EF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1、可通过电源控制系统控制学生电源的220V供电的开启和关闭，可以实现单独控制、分组控制。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2、可通过电源控制系统控制选择学生电源的电源交、直流输出的开关。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3、可通过电源控制系统锁定学生电源的低压交直流输出，锁定后受控学生电源不能修改。可锁定学生低压交直流输出上限，锁定后只可向下调整电压，解锁后学生方可自由调节。</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2335F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6DE82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1A86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4E57E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70DD3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4F6BA2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1、学生电源安装于吊臂模组末端ABS塑料壳体之上。壳体正面由钢板加工成型并贴面板膜，文字符号清晰，按键分布合理。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每个吊臂上安装两组学生电源，分别有低压交、直流输出香焦插座，五孔插座4个、过载短路复位开关1个，网线插孔2个，急停按钮1个。学生用电源设（∧、V、AC/DC按键、过载按任意键复位），2组1.3寸OLED显示屏，显示电压和电流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学生用电源参数符合JY/T0374一2004标准中低压输出标准要求。符合以下性能要求：a.交流输出：电压0∨-30Ⅴ、显示±0.5V，每0.5V一档，可随负载变化自动稳压，0V-18V额定电流3A，18V-30V额定电流2A。b.直流稳压输出：电压0V-36Ⅴ、显示±0.2V，连续无极可调，每0.1V递增，0V-16V额定电流2A，16.1V-36V额定电流1A。电压稳定性：≤2%U标+0.1Ⅴ， 负载稳定性：≤2%U标+0.1Ⅴ， 波纹电压：电源电压保持220V，达到额定电流时&lt;3mV。c.电压电流：可实时输出电压和电流，电压分辩率0.1V，电流分辩率0.01A。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具备过载保护功能：交流输出0V-18V输出3.2A、16.1V-30∨输出2.2A，直流稳压输出0∨-16V输出2.1A、16.1V-36V输出1.1A，当输出过载或短路时电源进入恒流状态延时1分钟后自动关闭输出，并能启动不大于额定电流的白炽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5、电源输入：AC220Ⅴ±22V，50H±0.5Hz。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6、工作环境条件，温度0~40℃；湿度≤90%（40℃），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7、连续工作时间：输出电流在额定电流范围内，允许8小时连续使用。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8、急停按钮：单个吊臂使用端用电异常时，可快速切断此吊臂高低压电源。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9、国标五孔插座：带安全防护门，额定电流5A。交流220V输出有过载短路复位开关，避免因保险丝熔断更换造成的麻烦。</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BD49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4DAFA6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r>
      <w:tr w14:paraId="6D638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B4FCE6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给排水系统</w:t>
            </w:r>
          </w:p>
        </w:tc>
      </w:tr>
      <w:tr w14:paraId="37A3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C9C0A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388903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给排水控制系统</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3F4460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自动排水模块1组、水模拟量控制器1组、电源控制器1套、自动保护系统1组。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所有排水由智能化控制系统集中控制，接口均采用自动锁紧插拔式连接方式（拔掉时没有污水流出），用时接上，不用时可收起。连接软管采用防爆PVC橡胶塑料，具有防酸、防碱、耐腐蚀功能，当学生水槽柜下方水箱水量达到一定值时系统自动排水、污水经过连接管排至顶部排水管总管后流出，当水槽柜下方水箱污水排净后排水系统自动关闭。控制系统设置一键排空功能，可一键将管道内所有的污水排空。</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2A77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5237A3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442A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5486B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65E098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给排水模组</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AD32E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1、给排水接口采用PVC材质，具有耐酸碱，拔插轻松，不生锈；即插即用，具有高密封性能，即使在供水排水工作时，随时拔掉接口不会有任何滴漏现象。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2、给水主管选用φ20-32mmPP-R给水管，模块化设计，每组模块间采用活接式连接，方便安装、检修。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3、排水管选用加厚φ50-75mmPVC-U国标管（具有防酸、防碱、耐腐蚀功能），模块化设计，每组模块间采用活接式连接，方便安装、检修。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4、给水主管前端为减少水中颗粒物设置前置过滤器。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5、单个模组设置4分电磁阀。</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EE77B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2FA38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11EAD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78AA626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通风系统</w:t>
            </w:r>
          </w:p>
        </w:tc>
      </w:tr>
      <w:tr w14:paraId="649C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9170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6F6EC6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通风控制系统</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7CBCE40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支持SVC的转矩控制，额定输入电压3AC380V±15%，频率范围47～63Hz。由变频器与热过载继电器对风机进行双重的短路、过载、缺相等保护。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1、可通过电源控制系统控制风机的开启及关闭。</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2、可进行百分比控制风量的大小</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B5F9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373D5B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48B8B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9A65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6A3CC0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万向吸风罩</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39D6C7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1.关节：高密度PP材质表面磨砂，优化了视觉美感和手握触感可360°旋转调节方向。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2.关节密封圈：不易老化之高密度橡胶。在关节之间随着旋钮压力加大而产生阻尼效果。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3.关节连接杆：304不锈钢双头锁杆。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4.关节盖：高密度PP材质表面磨砂。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5.关节松紧选钮：高密度PP材质，内置微形平面推力不锈钢轴承，与关节连接杆锁合。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6.拱形集气罩：直径260mm，高密度PC制成。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7.伸缩导管：4节直径63mm的6系专业抗氧化抗腐蚀的镁硅铝合金，表面做特氟龙表面处理，耐酸、耐碱、耐划痕。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8.扭簧：使用90度的4mm专用弹簧钢抗氧化处理，防止吸风罩整体滑下。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9.安装后可根据使用需要达到三维360度任意转停，集气罩吸气角度360度任意转停。吻合高水准专业实验室。</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044EA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4082D8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39BD5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63D7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1DB9AB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室内外通风模组</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20550D3A">
            <w:pPr>
              <w:keepNext w:val="0"/>
              <w:keepLines w:val="0"/>
              <w:widowControl/>
              <w:suppressLineNumbers w:val="0"/>
              <w:jc w:val="left"/>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整体采用PVC风管，具有耐酸碱性能。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室内管道：主风管直径200mm，支风管直径≥110mm。管卡采用碳钢制作，表面经镀铬处理，具有耐腐蚀、防火、防潮等功能。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室内外通风模组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1、φ200pvc管，3米/根，10根；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2、φ110pvc管，3米/根，5根；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3、φ400pvc管，3米/根，5根；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4、110变75三通，15个；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5、75变40补芯，15个；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6、400打孔，2个；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7、吊丝：φ10*10*3米，数量10根；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8、安装及实施。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BD0F8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14115D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项</w:t>
            </w:r>
          </w:p>
        </w:tc>
      </w:tr>
      <w:tr w14:paraId="6543B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5E9A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293BA3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通风风机模组</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4DC038F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1、风机： 离心塑料风机 5.5KW，转速 1440r/min，风量 6840-12700M3/h，全压1137-785Pa，噪声符合国家标准,风机外壳和叶轮均采用模具一次成型。配橡胶减震器用于消除专用通风机引起的震动，配防雨帽，PP材质，主要用于对专用通风机的防护。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消音器：φ400*1000mm,PP材质，内置隔音棉等隔音装置，确保通风室外噪音小于50分贝。</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软连接：φ600-φ400mm,pp材质。进出口接头采用柔性材质，消除因震动引起的微量错位对风机的影响。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制线：国标：采用交联聚乙烯绝缘﹑铝塑带绕包总屏蔽﹑低烟无卤聚烯烃内衬层﹑钢丝铠装﹑低烟无卤聚烯烃护套耐火计算机对绞控制电缆。电缆的额定电压300/500V，电缆长期工作温度-30～90℃，电缆敷设温度不低于0℃，WDZCN-DJYJP3YP3VR-33电缆弯曲半径不小于电缆直径的12倍，低烟无卤成束阻燃型电缆燃烧时析出气体中HCL含量≤100mg/g。</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32D51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1ED8D3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E0D4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6FEC2F2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实施设备</w:t>
            </w:r>
          </w:p>
        </w:tc>
      </w:tr>
      <w:tr w14:paraId="3E065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170D2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5B0290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系统安装辅件</w:t>
            </w:r>
          </w:p>
        </w:tc>
        <w:tc>
          <w:tcPr>
            <w:tcW w:w="3528" w:type="pct"/>
            <w:tcBorders>
              <w:top w:val="single" w:color="000000" w:sz="4" w:space="0"/>
              <w:left w:val="single" w:color="000000" w:sz="4" w:space="0"/>
              <w:bottom w:val="single" w:color="000000" w:sz="4" w:space="0"/>
              <w:right w:val="single" w:color="000000" w:sz="4" w:space="0"/>
            </w:tcBorders>
            <w:noWrap w:val="0"/>
            <w:vAlign w:val="center"/>
          </w:tcPr>
          <w:p w14:paraId="3A02A7D7">
            <w:pPr>
              <w:keepNext w:val="0"/>
              <w:keepLines w:val="0"/>
              <w:widowControl/>
              <w:suppressLineNumbers w:val="0"/>
              <w:jc w:val="left"/>
              <w:textAlignment w:val="center"/>
              <w:rPr>
                <w:rFonts w:hint="eastAsia" w:ascii="仿宋" w:hAnsi="仿宋" w:eastAsia="仿宋" w:cs="仿宋"/>
                <w:sz w:val="21"/>
                <w:szCs w:val="21"/>
                <w:highlight w:val="none"/>
              </w:rPr>
            </w:pPr>
            <w:r>
              <w:rPr>
                <w:rFonts w:hint="eastAsia" w:ascii="仿宋" w:hAnsi="仿宋" w:eastAsia="仿宋" w:cs="仿宋"/>
                <w:i w:val="0"/>
                <w:iCs w:val="0"/>
                <w:color w:val="000000"/>
                <w:kern w:val="0"/>
                <w:sz w:val="21"/>
                <w:szCs w:val="21"/>
                <w:highlight w:val="none"/>
                <w:u w:val="none"/>
                <w:lang w:val="en-US" w:eastAsia="zh-CN" w:bidi="ar"/>
              </w:rPr>
              <w:t>采用门型框架安装方式，减少楼板承重，防止左右晃动。主要辅件有：吊装专用支架、三角连接件、吊装实验室专用安装支架和墙顶连接件、吊装挂件等。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吊装附件包含：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1、门型框架：规格采用40mm*40mm光伏支架，规格：980mm*712mm*51mm ，数量16个；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2、挂钩：采用40mm*40mm光伏支架及镀锌钢板，规格：248mm*110mm*53mm,数量112个；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3、吊装连接片：采用镀锌钢板，规格：150mm*40mm*3mm，数量4个；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 吊装支架：采用40mm*40mm光伏支架，规格：4250mm*40mm*40mm,数量8个；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5、吊丝：φ10*10*3米，数量12根；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6、1.5平方铜线100米；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7、2.5平方铜线300米；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8、4平方铜线100米；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9、30线槽，3米/根，10根。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10、φ32PPR管材，3米/根，数量10根；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11、φ20PPR管，3米/根，数量6根；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12、φ32PPR直接头，数量12个；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13、φ50PPR直接头，数量10个；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14、φ75PPR直接弯头，数量16个；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15、φ20外丝直接，数量35个；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16、φ20PPR管字，3米/根，数量6根；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17、φ20PVC线管，3米/根，数量30根；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18、φ75*φ50弯头45个、φ50*φ32弯头30个、φ32*φ20弯头80个、φ32三通30个、φ20三通45个、φ32（90°）16个、φ20（90°）24个，φ75堵头8个、φ50堵头10个、φ32堵头10个、φ20堵头20个；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19、膨胀管1440个，膨胀螺丝1449条、螺丝960条。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20、安装及实施。</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C0849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14:paraId="65AD5B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w:t>
            </w:r>
          </w:p>
        </w:tc>
      </w:tr>
    </w:tbl>
    <w:p w14:paraId="62B495D9">
      <w:pPr>
        <w:pStyle w:val="2"/>
        <w:rPr>
          <w:rFonts w:hint="eastAsia" w:ascii="仿宋" w:hAnsi="仿宋" w:eastAsia="仿宋" w:cs="仿宋"/>
          <w:b/>
          <w:bCs/>
          <w:sz w:val="24"/>
          <w:szCs w:val="24"/>
          <w:highlight w:val="none"/>
          <w:lang w:val="en-US" w:eastAsia="zh-CN"/>
        </w:rPr>
      </w:pPr>
    </w:p>
    <w:p w14:paraId="50FA32E9">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6、化学准备仪器室</w:t>
      </w:r>
    </w:p>
    <w:tbl>
      <w:tblPr>
        <w:tblStyle w:val="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5"/>
        <w:gridCol w:w="981"/>
        <w:gridCol w:w="6656"/>
        <w:gridCol w:w="599"/>
        <w:gridCol w:w="577"/>
      </w:tblGrid>
      <w:tr w14:paraId="15A7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2289B37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0BD6F6F1">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22" w:type="pct"/>
            <w:tcBorders>
              <w:top w:val="single" w:color="000000" w:sz="4" w:space="0"/>
              <w:left w:val="single" w:color="000000" w:sz="4" w:space="0"/>
              <w:bottom w:val="single" w:color="000000" w:sz="4" w:space="0"/>
              <w:right w:val="single" w:color="000000" w:sz="4" w:space="0"/>
            </w:tcBorders>
            <w:noWrap w:val="0"/>
            <w:vAlign w:val="center"/>
          </w:tcPr>
          <w:p w14:paraId="34D5233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参数</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00E13936">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74FFD1C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r>
      <w:tr w14:paraId="29A59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9"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5854F1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3716D6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准备台</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787960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规格：≥长2400mm×宽1100mm×高850mm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1.一体化台面，设置抽屉、对开门。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2.台面材料：采用理化板，台面厚度≥12.7mm，边缘加厚至≥25.4mm。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3.台体框架：采用铝合金型材制作，框架的立柱为45mm×32mm方管，框架的横梁为32mm×32mm方管，壁厚≥1.0mm。通过 ABS专用连接件组装而成，接缝严密，连接牢固，无松动现象。型材带凹槽，槽的宽度、深度应与所采用的柜体板材相匹配，接缝严密，无晃动现象。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5.支脚：采用Φ≥10mm的螺杆与ABS工程塑料一次注塑成型的脚垫，高度可调节。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6.柜门铰链：采用优质不锈钢定位铰链，安全、牢固、防腐、耐用。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7.抽屉滑道：采用优质消声三节滑轨，优质合金钢板一次性成型加工。</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13E62A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375A7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r>
      <w:tr w14:paraId="0258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9"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2CBEC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377B52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5E304C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规格：≥1000mm×500mm×2000mm铝木结构，基本要求如下：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3.柜门：上部为专用木框对开玻璃门，下部为对开木门，不锈钢拉手。柜门采用不锈钢定位铰链，安全、牢固、防腐、耐用。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活动隔板，下柜设置1块固定隔板。隔板所用的板材与柜体板材相同，厚度为≥16mm，隔板的一条长边采用“［”型槽板包边（槽板材料为冷轧钢板，其尺寸为30mm×19mm，壁厚1.0mm，槽宽与隔板厚度匹配，表面需进行喷塑处理），槽板与隔板用万能胶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5.高度升降条：上部柜体内侧均应安装高度升降条（1.0mm冷轧钢板制作），每侧2根，带活动支撑座（位置可调）。高度升降条和支撑座表面应采用纯环氧树脂静电喷涂高温固化，具有较高耐蚀性能。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6.支脚：采用Φ≥8mm的螺杆与ABS工程塑料一次注塑成型的脚垫，高度可调节。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（1）、仪器柜外形尺寸偏差，翘曲度0.3mm，平整度0.03mm，临边垂直度，位度差0.2mm，分缝0.2mm，地脚平稳性；满足第三方检测机构外形尺寸偏差及形状位置公差检测，检测结果均为符合。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仪器柜冲压件应无脱层、裂缝，喷涂层应无漏喷、锈蚀和脱色、掉色现象，涂层应光滑均匀，色泽一致，应无流挂、疙瘩、皱皮、飞漆等缺陷；满足第三方检测机构木工及外观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（3）、仪器柜与人体接触的零部件不应有毛刺、刃口、尖锐的棱角和端头；满足第三方检测机构安全性要求检测，检测结果均为符合。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（4）、仪器柜金属喷塑涂层硬度4H，耐腐蚀9级，应无剥落、裂纹、皱纹；满足第三方检测机构金属喷塑涂层理化性能检测，检测结果均为符合。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仪器柜整体的力学性能通过搁板稳定性，搁板弯曲试验，搁板支承件试验，拉门强度试验，拉门水平静载荷试验，拉门猛开试验，拉门耐久性试验，过载试验，主体结构和底架的强度试验，空载稳定性试验，活动部件垂直加载稳定性试验；满足第三方检测机构安全性要求检测，检测结果均为符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（6）、仪器柜重金属含量中的可溶性铅、可溶性镉、可溶性铬、可溶性汞；满足第三方检测机构检测，检测结果均为符合。</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6A62CB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EFD1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1320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4"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6D0CED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15B5DB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药品柜</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40F020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≥长1000mm×宽500mm×高2000mm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专用铝合金方管制作，通过ABS专用连接件组装而成，保证连接牢固。前立柱、前横梁外径为27mm×35mm（误差±1mm），后立柱、后横梁外径为35mm×35mm（误差±1mm），铝合金管材的壁厚≥1.0mm（误差±0.15mm）。铝合金型材带凹槽，凹槽的宽度应与柜体衬板相匹配，凹槽的深度应足够，保证柜体衬板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衬板：用厚度为≥16mm、彩色和灰白色双面三聚氰胺板（即双饰面板）作为台体衬板，其内芯的基材为聚木屑纤维板，外漏截面采用≥1.0mm厚塑制优质封边条机械封边；甲醛释放限量指标应符合GB18580－2017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3.柜门：上部为专用木框对开玻璃门，下部为对开木门。柜门采用优质不锈钢定位铰链，安全、牢固、防腐、耐用。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4.隔板：上柜设置2块隔板，带二阶梯药瓶台，隔板和药瓶台材质选用耐腐蚀实芯理化板；下柜设置1块固定隔板材质为三聚氰胺板。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5.支脚：采用Φ≥8mm的螺杆与ABS工程塑料一次注塑成型的脚垫，高度可调节。</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258D00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6A1C4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6BA17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741C42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502C7D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易燃品储存柜(时控开关装置)</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0EDAF02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规格:≥长900mm×宽510mm×高1800mm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1.柜体有明显的易燃警示标识，柜体采用≥1.0mm 冷轧钢板，加强型底座，内外表面经酸洗磷化环氧树脂粉末喷涂，烘热固化处理。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2.柜体内胆（上、下、左、右内衬板）全部采用瓷白 pp（聚丙烯树酯）板；柜体右侧设有可调进风口，有一次成型PP 可调风阀；柜体内部最下层留有可以存放不少于 120mm 厚黄沙填埋腔（漏液槽），用于埋放金属钠、黄磷（白磷）等的易燃物品，挡板应与柜体连为一体；柜底装有四个φ64mm 的聚丙烯移动脚轮，便于柜体移动；配有调节螺杆，方便易燃品储存柜体定位、水平调节。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3.柜中设 3 块三层阶梯式 PP 聚丙烯活动搁板，层板设有 10mm 的通气孔。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4.柜顶部中间开有φ160mm的出风口，柜顶风口内置一个AC220V 50HZ 0.18A轴流风机，最大风量326m3/h，转速2550转/min,环境温度（-10-+70）摄氏度，无火花静电，控制开关设置柜体顶部的右上角，当风机开机前要把柜门下面中间的进风口推置打开状态。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5.防火材料：柜体填充具有保温隔热作用的防火材料陶瓷纤维；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6.铰链：钢琴式铰链，确保门能开 180 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7.密封件：柜体门与柜体之间应安装防火膨胀密封件，密封件应符合GB 16807-2009的要求。（柜体门与柜体之间应安装环保热膨胀密封条。当温度为150℃~180℃时密封条局部膨胀，温度达到200℃时密封条全部膨胀，膨胀比例为1:5，以保证储存药品的安全性。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8.电子锁：应符合 GB10409中 5.4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9.电源：应符合 GB10409中 5.5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10.附加装置：应符合 GB10409中 5.6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11.特殊安全性要求：机械锁钥匙、电子密码锁密码。（学校应由两人分别保管，开启时两人应同时在场）</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68B8EB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E2F4E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2C4C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5"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64DC73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40F882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毒害品储存柜(时控开关装置)</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6F7331F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规格:≥长900mm×宽510mm×高1800mm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1.柜体有明显的毒害品警示标识，柜体全部采用≥1.0mm 冷轧钢板，加强型底座，内外表面经酸洗磷化环氧树脂粉末喷涂，烘热固化处理。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.柜体内胆（上、下、左、右内衬板）全部采用瓷白 pp（聚丙烯树酯）板；柜体右侧设有可调进风口，有一次成型PP 可调风阀；柜体内部最下层留有可以存放不少于 120mm 厚黄沙填埋腔（漏液槽），用于埋放金属钠、黄磷（白磷）等的易燃物品，挡板应与柜体连为一体；柜底装有四个φ64mm 的聚丙烯移动脚轮，便于柜体移动；配有调节螺杆，方便毒害品储存柜体定位、水平调节。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3.柜中设 3 块三层阶梯式 PP 聚丙烯活动搁板，层板设有 10mm 的通气孔。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4.柜顶部中间开有φ160mm的出风口，柜顶风口内置一个AC220V 50HZ 0.18A轴流风机，最大风量326m3/h，转速2550转/min,环境温度（-10-+70）摄氏度，无火花静电，控制开关设置柜体顶部的右上角，当风机开机前要把柜门下面中间的进风口推置打开状态。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5.电子锁：应符合 GB10409中 5.4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6.电源：应符合 GB10409中 5.5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7.附加装置：应符合 GB10409中 5.6 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8.通风控制装置：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8.1 柜体底部设置进风口及可调风阀，可调风阀灵活，并能控制风量大小。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8.2 柜体应设置通风口，通风口最大风速应不小于 0.5m/s。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8.3 配有微电脑时控开关，能根据用户设定的时间自动打开和关闭风机，电源开关指示灯指示风机是否正常工作，可自动或手动控制。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8.4 通风管道口径宜采用φ160mm，通风管应耐高温、阻燃、耐腐蚀、符合 JGJ141 的要求。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9.特殊安全性要求：机械锁钥匙、电子密码锁密码。（学校应由两人分别保管，开启时两人应同时在场）</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315CBC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F446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5BF1D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71597F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2E4B52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通风橱（柜）</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4BEE342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规格：≥长1200mm×宽850mm×高2350mm（全钢结构）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1.外壳说明： 主体框架左右旁板、前钢板、下柜体均采用1.2mm厚钢板，在数控加工中心、剪裁、定位打孔、折弯焊接后成型，酸洗磷化处理后喷涂环氧树脂粉末高温烘烤固化。附着力高、表面硬度耐腐蚀性极强，外形美观。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2.顶板、内衬板、导流板、后背板采用4mm厚实芯抗倍特板具有良好的防腐蚀、化学抗性。导流板为三段式结构，导流板固定件使用PP优质材质制作一体成型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移动视窗门框及拉手为铝合金型材，表面经环氧树脂粉末静电流水线自动化喷涂及高温固化。框内嵌入4mm钢化玻璃，门开启高度为740mm,自由升降，移门上下滑动装置采用同步轴轮皮带式结构，无级任意停留，移门导向装置由抗腐蚀的聚氯乙稀材质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4.台面采用（国产）实芯理化板（12.7mm厚）耐酸碱，耐冲击，耐腐蚀，甲醛达到E1级别标准。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5.排气出口采用PP集气罩模具一体成型，出风口直径250mm圆孔，套管连接，减少气体扰流。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6.水路配有进口一次性成型壁式PP小杯槽，耐酸碱、耐腐蚀。壁式铜质单口水龙头并安装在通风柜内侧面。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7.电路控制面板采用液晶显示屏；照明LED白光灯快速启动类型，安装在通风柜顶部。插座配有四个10A 220V五孔多功能插座。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8.上柜右侧预留检修窗，方便故障检修。</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006380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952DB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r>
      <w:tr w14:paraId="7465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0C3F66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52164F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灭火器</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1A5ACF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商品剂量:4KG 喷射距离:≥3.5M灭火级别: 1A/21B使用温度: -20°C~+50°C 瓶身材质:钢材</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457DA9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50A60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07A8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1487A5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5F8CE3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水基灭火器</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52A4D8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商品剂量:3L 喷射距离:≥3.5M灭火级别: 1A/55B E 使用温度: 士5°C~+55°C 瓶身材质:钢材</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2B1FE8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5C5ECA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2B127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2F10AF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0B9ABF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消防箱</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3A02BF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规格:≥长520m×宽340m×高190mm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箱体采用铁制材质，厚度士0.4MM，表面采用防锈高光漆，双翻盖设计</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1E4CCE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8E4B4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654DE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01160C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1BA34C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沙箱</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40D8E8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规格:≥长600mm×宽400mm×高400mm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箱体采用冷轧钢板制作，表面采用静电喷塑，平整光滑及附着力强。配备消防沙</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5C60E6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3FEF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r w14:paraId="72B50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5B25FB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70C8F6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药品室通风机</w:t>
            </w:r>
          </w:p>
        </w:tc>
        <w:tc>
          <w:tcPr>
            <w:tcW w:w="6656" w:type="dxa"/>
            <w:tcBorders>
              <w:top w:val="single" w:color="000000" w:sz="4" w:space="0"/>
              <w:left w:val="single" w:color="000000" w:sz="4" w:space="0"/>
              <w:bottom w:val="single" w:color="000000" w:sz="4" w:space="0"/>
              <w:right w:val="single" w:color="000000" w:sz="4" w:space="0"/>
            </w:tcBorders>
            <w:noWrap w:val="0"/>
            <w:vAlign w:val="center"/>
          </w:tcPr>
          <w:p w14:paraId="2B1123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离心风机2.2KW，转速 1450r/min，流量3977-7358M3/h，全压794-334Pa，噪声符合国家标准,风机外壳和叶轮均采用模具一次成型。配橡胶减震器用于消除专用通风机引起的震动，配防雨帽，PP材质，主要用于对专用通风机的防护。</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14:paraId="32CA23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C63E3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r>
    </w:tbl>
    <w:p w14:paraId="55F1ACDB">
      <w:pPr>
        <w:pStyle w:val="2"/>
        <w:rPr>
          <w:rFonts w:hint="eastAsia" w:ascii="仿宋" w:hAnsi="仿宋" w:eastAsia="仿宋" w:cs="仿宋"/>
          <w:b/>
          <w:bCs/>
          <w:sz w:val="24"/>
          <w:szCs w:val="24"/>
          <w:highlight w:val="none"/>
          <w:lang w:val="en-US" w:eastAsia="zh-CN"/>
        </w:rPr>
      </w:pPr>
    </w:p>
    <w:p w14:paraId="7A369261">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7、高中物理教学仪器</w:t>
      </w:r>
    </w:p>
    <w:tbl>
      <w:tblPr>
        <w:tblStyle w:val="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1026"/>
        <w:gridCol w:w="6695"/>
        <w:gridCol w:w="576"/>
        <w:gridCol w:w="576"/>
      </w:tblGrid>
      <w:tr w14:paraId="43D66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nil"/>
              <w:right w:val="single" w:color="000000" w:sz="4" w:space="0"/>
            </w:tcBorders>
            <w:noWrap/>
            <w:vAlign w:val="center"/>
          </w:tcPr>
          <w:p w14:paraId="09BE3C9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543" w:type="pct"/>
            <w:tcBorders>
              <w:top w:val="single" w:color="000000" w:sz="4" w:space="0"/>
              <w:left w:val="nil"/>
              <w:bottom w:val="nil"/>
              <w:right w:val="single" w:color="000000" w:sz="4" w:space="0"/>
            </w:tcBorders>
            <w:noWrap/>
            <w:vAlign w:val="center"/>
          </w:tcPr>
          <w:p w14:paraId="31D106EA">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41" w:type="pct"/>
            <w:tcBorders>
              <w:top w:val="single" w:color="000000" w:sz="4" w:space="0"/>
              <w:left w:val="single" w:color="000000" w:sz="4" w:space="0"/>
              <w:bottom w:val="nil"/>
              <w:right w:val="single" w:color="000000" w:sz="4" w:space="0"/>
            </w:tcBorders>
            <w:noWrap w:val="0"/>
            <w:vAlign w:val="center"/>
          </w:tcPr>
          <w:p w14:paraId="5244972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规格参数</w:t>
            </w:r>
          </w:p>
        </w:tc>
        <w:tc>
          <w:tcPr>
            <w:tcW w:w="304" w:type="pct"/>
            <w:tcBorders>
              <w:top w:val="single" w:color="000000" w:sz="4" w:space="0"/>
              <w:left w:val="single" w:color="000000" w:sz="4" w:space="0"/>
              <w:bottom w:val="nil"/>
              <w:right w:val="single" w:color="000000" w:sz="4" w:space="0"/>
            </w:tcBorders>
            <w:noWrap/>
            <w:vAlign w:val="center"/>
          </w:tcPr>
          <w:p w14:paraId="58896F0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305" w:type="pct"/>
            <w:tcBorders>
              <w:top w:val="single" w:color="000000" w:sz="4" w:space="0"/>
              <w:left w:val="single" w:color="000000" w:sz="4" w:space="0"/>
              <w:bottom w:val="nil"/>
              <w:right w:val="single" w:color="000000" w:sz="4" w:space="0"/>
            </w:tcBorders>
            <w:noWrap/>
            <w:vAlign w:val="center"/>
          </w:tcPr>
          <w:p w14:paraId="7792502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r>
      <w:tr w14:paraId="4F76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FAF5D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9919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数据采集器</w:t>
            </w:r>
          </w:p>
        </w:tc>
        <w:tc>
          <w:tcPr>
            <w:tcW w:w="3541" w:type="pct"/>
            <w:tcBorders>
              <w:top w:val="single" w:color="000000" w:sz="4" w:space="0"/>
              <w:left w:val="single" w:color="000000" w:sz="4" w:space="0"/>
              <w:bottom w:val="single" w:color="000000" w:sz="4" w:space="0"/>
              <w:right w:val="single" w:color="000000" w:sz="4" w:space="0"/>
            </w:tcBorders>
            <w:noWrap w:val="0"/>
            <w:vAlign w:val="top"/>
          </w:tcPr>
          <w:p w14:paraId="4A3C8B37">
            <w:pPr>
              <w:keepNext w:val="0"/>
              <w:keepLines w:val="0"/>
              <w:widowControl/>
              <w:suppressLineNumbers w:val="0"/>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1、模块化结构，透明外壳设计，内含状态、电源指示灯；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2、与计算机采用USB2.0通讯协议，四路全数字通道，单通道最大采样率20KByte，采集器最大采样率80KByte，数字通道采样精度达5微妙；</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3、通过USB接口供电，无需外接电源，所有端口具备防静电保护功能；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4、与传感器采用BT自锁接口，支持热插拔，即插即用，传感器可以任意组合，采集分辨率12bits；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5、内置双处理器主板，CPU主频48Mhz；支持有线/无线状态下的四通道并行采集；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6、采用插接式结构，可根据实验教学需要，方便有线、无线工作模式切换。</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69F5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0C9F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DFB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BF7A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13BAD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传感器数据显示模块</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51FFB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1、模块化设计既可以与传感器通过BT接口连接，也可以与计算机通过USB直接连接。数据的获取和上传无需通过数据采集器即可实现；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2、自带1.8寸彩色LED屏，可实时显示传感器数据；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3、自动识别传感器及测量范围和分度。无需按键调控，简洁、美观、实用，减少因按键失灵造成的实验功能缺失；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4、接口采用BT接口连接，自带锁扣，有效防止脱落。同时具有单向连接属性，避免因连接失误导致的数据传输失败。支持热插拔，使用寿命：≥10000次插拔；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5、自带≥8M内存；</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数据上传有线模式：数据显示模块自带miniUSB接口，可与计算机连接。通过软件将数据上传并自动绘制变化图像。导出数据以Excel形式保存，图像可以图片的形式保存。可用于编制实验报告上传至实验评测系统进行数据统计及分析（也可结合学校实际情况上传至云端服务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7、数据上传无线模式：设备自带二维码，可用移动手持终端（手机、平板等）通过移动端实验软件w扫描，导出实验数据，并绘制变化图线；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8、自带可充电锂电池，最大电池容量不低于1100MAh。全铜触点，双保电芯，自动锁电。3.7V。满电最大待机续航时间≥240h。可通过专用充电器完成充电，也可通过数据上传有线模式完成充电。</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F4A9B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F9F2B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1C66E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A71D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141A2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力传感器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68C0F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1、测量范围：-20N～20N；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2、分度：0.01N；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3、可用于测拉力（显示正值）和压力（显示负值）；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4、手柄式结构，自带防滑纹。符合人体工程学原理。自带一大一小两个传感器固定位，便于传感器的固定；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BE3E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EAF3C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9D60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83754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C0307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微力传感器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E428BC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1、测量范围：-2N～2N；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2、分度：0.001N；</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3、可用于测拉力（显示正值）和压力（显示负值）；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4、手柄式结构，自带防滑纹。符合人体工程学原理。自带一大一小两个传感器固定位，便于传感器的固定；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290B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00A2A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E372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38F5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36828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温度传感器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7ABBCE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1、测量范围：-50℃～200℃；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3、不锈钢探针，可测各种物体或溶液的温度；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F4AB6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A708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BFEE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E7549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39D27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声波/声级传感器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042D5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1、声波频率测量范围：20Hz～20kHz，声级测量范围：20 dB ～130dB，分度：0.1dB；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2、通过转换按钮切换测量声音的波形和强度，研究声音的频率、周期、振幅等特征；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750DE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152BE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DBD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9762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2FD6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光电门传感器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44E60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1、分度：2μS；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2、用于测量挡光片（U型、I型）的挡光时间；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3、自带2个传感器固定口，便于传感器固定；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5、支持系统：windows、Android、iOS系统。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32E8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4FD1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39D9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5CA2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8AAFD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微电流传感器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85EC5C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1、测量范围：-5μA～5μA；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2、分度：0.01μA；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3、鳄鱼夹导线，便于与多种电学仪器连接；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5A90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55B11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16CC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82FB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5FB3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多量程电流传感器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7BC60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1、测量范围：测量范围：-3A～3A；分度：0.01A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测量范围：-300mA～300mA；分度：0.1mA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测量范围：-30mA～30mA；分度：0.01 mA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2、通过按钮切换量程；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9BF08D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238D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F255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9598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3F7E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多量程电压传感器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0C8B3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1、测量范围：-20V～20V；分度：0.01V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测量范围：-2V～2V；分度：0.001V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测量范围：-0.2V～0.2V；分度：0.1mV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2、通过按钮切换量程；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6、支持系统：windows、Android、iOS系统。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▲提供含有产品外观图片的省级及以上产品质 量检测中心出具的检测报告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8218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0BF0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6B8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8DE04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FDA7A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磁感应强度传感器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E6353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1、测量范围：-15mT～15 mT；</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2、分度：0.01 mT；</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7FC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7D61A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49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6D60B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FB5F7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三维磁感应强度传感器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AA590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1、测量范围：-50mT~+50mT；分度：0.01 mT；可同时监测X、Y、Z三个方向上磁感应强度的分量。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2、连接插口采用BT接口，具有方向性和自锁功能，可以防止传感器脱落保证数据传输稳定；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3、支持与采集器的有线通讯、无线通讯和彩屏独立数据显示三种工作方式，支持热插拔；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4、可在windows、iOS、鸿蒙和安卓系统（手机或平板）下进行实验。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28A6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F6A9A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A1E7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A107A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8186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静电计</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7254A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1、测量范围：±100nC，分辨率：1nC。</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2、自带5寸液晶屏可测量带电物体的电荷量和极性，具有硬件调零的功能；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3、输入端可连接金属小球或法拉第冰桶，以无线方式与计算机通讯。可完成静电感应、电荷守恒、等势体研究、静电屏蔽、光电效应等实验；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88DB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F84EA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A484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FF9F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F9570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分体式位移传感器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D350C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1、测量范围：0cm ～200cm；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2、分度：1mm；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3、由发射器和接收器构成。发射器由电池供电，易与现有实验装置（运动小车、弹簧振子等）组合。无测量盲区；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5351F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73E3D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448F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3D8B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2A03A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一体式位移传感器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28C16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1、测量范围：0.15m～6m；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2、分度：1mm；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3、自带可翻转式超声波接收和发射装置；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8D8FC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65F8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258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DAD92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20A5A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旋转运动传感器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0F69D2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1、测量范围：30转/秒；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0CEB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01424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04E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F38B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B1A94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高温传感器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B717B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1、测量范围：0℃~1200℃；分度：1℃；不锈钢探针，可测高温物体或火焰的温度；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2、连接插口采用BT接口，具有方向性和自锁功能，可以防止传感器脱落保证数据传输稳定；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3、支持与采集器的有线通讯、无线通讯和彩屏独立数据显示三种工作方式，支持热插拔；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4、可在windows、iOS、鸿蒙和安卓系统（手机或平板）下进行实验。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F285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9049E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1192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BFEB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CA15B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双量程光照度传感器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CD585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 lx～5000lx～50000lx，分度：1 lx、10 lx；</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2、连接插口采用BT接口，具有方向性和自锁功能，可以防止传感器脱落保证数据传输稳定；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3、支持与采集器的有线通讯、无线通讯和彩屏独立数据显示三种工作方式，支持热插拔；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4、可在windows、iOS、鸿蒙和安卓系统（手机或平板）下分别进行实验。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E5C6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C525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DC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4"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B8D0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6C63A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加速度传感器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CE7BF2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1、测量范围-50m/s2～50m/s2；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2、测量X、Y、Z三个正交方向的加速度值，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4、自带硬件调零按钮；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7、支持系统：windows、Android、iOS系统。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79A9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EDAE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B7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0696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FE6F1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压强传感器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E5C7B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1、测量范围：0 kPa～700 kPa；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2、分度：0.1 kPa；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6、支持系统：windows、Android、iOS系统。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配件：20ml注射器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D0657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590D8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8948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57FEC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B7A62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法拉第电磁感应实验器(动生E=nBLV)</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0AF6E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由底座、多匝数的活动线圈、可移动式磁铁、内置磁感应强度传感器、光电门传感器组成，直接与计算机USB口通讯；可通过控制变量法，分别验证动生电动势与运动速度的关系、磁感强度、导线长度的关系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8617C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96C1D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BB8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ADB1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3C499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法拉第电磁感应实验器(感生E=n△Φ/△t）</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2E530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主线圈、次线圈、电动势测量传输系统组成；直接与计算机USB口连接通讯，与智能电源、磁感应强度传感器配合使用，探究感生电动势与磁感强度的变化率关系底座内置电压传感器，底座能够固定I型支架。主线圈匝数：三线200匝±2匝、副线圈匝数：单线200匝±2匝</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C455B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FD908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F15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4437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8273C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智能电源</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7166B8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分为手动模式和智能模式输出。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手动模式输出：直流输出：1.5V~10V连续可调。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自带彩色显示屏，显示输出电压的变化图像，配套专用导线。</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9B09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EBD6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92F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05B67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B14B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电磁定位系统</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F5F809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支架、电磁定位板、纵横向保护槽、信号源、弹射器、附件组成。定位范围：578mm×330mm；最高采样频率：200Hz/s；定位精度：≤1mm。通过实时定位，检测跟踪信号源在定位板上的位置，研究物体在二维平面内运动规律。标配实验配件为三速弹射器，用于抛射信号源，可完成平抛运动/斜抛运动的相关实验研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可以选配其它实验配件，完成单摆、自由落体运动、机械能守恒定律、阻尼振动、离心运动、运动的合成、圆周运动物体的投影及速度方向等十几个相关实。</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9DF3C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C293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72C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5253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B6BC1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单摆实验器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18C5D">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由立柱、支架、摆杆（含转轴、T型连接杆、碳纤维杆、信号源夹、配重块）、刻度盘、角码及紧固件构成。与电磁定位板、信号源配合使用，可进行单摆实验。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55AA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70F79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6B61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1D9E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D2D8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多用力学轨道系统</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CCAF0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33B4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6787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4FDA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8576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D076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光电计时测距实验器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CE7BDB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该系统配套2辆三轮小车，主轮自带盘式光栅，车载滚轮式光电门传感器，小车可脱离专用轨道使用，通过主轮转动测量自身位移、速度或加速度，并能以无线方式上传至计算机。系统有别于光电扫码系统，轨道表面和侧面不需要添加黑白条码，从而小车能在不借助位移传感器和光电门传感器等设备的情况下完成测定位移和速度、测定加速度、弹性碰撞和非弹性碰撞等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性能参数：量程：0～1.2m；分辨率：0.1mm；采样率：5khz；供电：锂电池；传输方式：蓝牙无线。无线接收器直接与计算机USB口通讯，通过无线通讯的方式，接收光电计时测距装置的信号，并在专用软件上显示出测量数据或图线。</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C1CBD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6C62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B9F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CB176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992A7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智能力盘</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E721C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两只一体式力/倾角传感器（测量范围：-20N～20N/-180°～180°；分度：0.01N/0.1°）、精密力盘、挂臂、固定装置组成，与铁架台、数据采集器配合使用。可同时测量两个方向的分力大小与角度值，完成动态条件下力的分解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4A77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DCBF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45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32A8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1CD18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机械能守恒实验器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63B12">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含主板、副板、圆柱型摆、固定臂、测平器、螺栓等。能够完成动能势能转化实验（定性定量）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▲提供外观、铅、砷、汞、 甲醛检测合格的检测报告</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F1950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95E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70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D690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35967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智能机械能守恒实验器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F0E0F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金属刻度板（含释放与收纳装置、挡光片）、立柱、光电门传感器、传感器电路、摆锤、摆杆、固定螺栓组成；直接与计算机USB口连接通讯；通过摆锤的一次运动，可获得摆锤在六个不同高度位置的速度数据，摆锤速度采集非角速度或转速换算而来，为通过光电门传感器得到瞬时速度，并由基本公式S/T=V得出，重力势能通过设定零势能点，由刻度板度数高度h，并由基本公式Ep=mgh得出，符合高中各年级学生学习和认知规律。设备使用USB通讯线直接接入计算机进行实验；拥有独立的专用软件，方便教师课堂演示实验使用；通过数据计算可以计算出摆球的动能、势能和机械能，并同时描绘出动能、势能和机械能随摆球下落高度的图线，得到随着摆球下落高度的降低，动能增大，势能减小，机械能不变的实验结论，完成对机械能守恒定律的定量探究。</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1069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0889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914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731CD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64D3B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平抛运动实验器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BAA9C">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由座架、支架、平抛轨道、光电门支架、内置式触碰传感器、小球、标尺游标、磁性回收器等组成。与光电门传感器配合，可测量平抛运动小球的初速度、运行时间与水平距离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B1E8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4485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D45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D6BD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5F808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向心力实验器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15D12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主梁架、底座、砝码、旋臂、连接装置、紧固件与电机控制系统等构成。可以选择手动与电机驱动两种旋转模式；电机转动速度（0~30rad/s）及转动方向可调。可通过控制变量法，研究向心力分别与角速度、质量以及旋转半径的关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0CEF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F1A07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60DA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7914A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2CD4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无线向心力实验器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98BC6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1、由三角稳固底座、金属支架、旋臂、配重杆、平衡杆、挡光臂、旋臂座、砝码、连接装置、紧固件、无线接收器、电机控制系统构成。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2、旋臂内置光电门传感器测量系统、力传感器测量系统及无线发射电路，可自由旋转。                                                                                                                  3、无线接收器与计算机USB接口通讯，无需另配数据采集器与传感器测量系统，内置光电门传感器测量系统可以精确记录每次挡光时间，并通过软件计算出旋臂的角速度；力传感器同步测量向心力的大小。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4、可以选择手动与电机驱动两种旋转模式；电机转动速度（0~30挡位）及转动方向可调。                                                                                                                                                     5、可通过控制变量法，可描绘向心力与质量、角速度、运动半径的关系曲线，探究向心力与质量、角速度、角速度、运动半径的关系。</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27A6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8603D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D0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09921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18315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电学实验板</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1DE95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共23块，设有标准接插孔及开关；包含半波整流与滤波，全波整流与滤波，复杂电路分析，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可完成几十例中学电学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EBED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3F86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EAC9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D1BF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C454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电阻定律实验器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5EEAF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由直径不同的铁、铁铬、镍铬三种金属丝组成，配合电流、电压传感器使用，探究导体的电阻与长度、截面积的关系。</w:t>
            </w:r>
          </w:p>
        </w:tc>
        <w:tc>
          <w:tcPr>
            <w:tcW w:w="304" w:type="pct"/>
            <w:tcBorders>
              <w:top w:val="single" w:color="000000" w:sz="4" w:space="0"/>
              <w:left w:val="single" w:color="000000" w:sz="4" w:space="0"/>
              <w:bottom w:val="single" w:color="000000" w:sz="4" w:space="0"/>
              <w:right w:val="single" w:color="000000" w:sz="4" w:space="0"/>
            </w:tcBorders>
            <w:noWrap/>
            <w:vAlign w:val="center"/>
          </w:tcPr>
          <w:p w14:paraId="6E1FA6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6D49DA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5209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56C2D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3754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高灵敏度线圈</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C96AC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高灵敏度、无源、塑壳封装、带屏蔽，与微电流传感器配合，可测得切割地磁场产生的感生电流，也可测得不同电器的电磁辐射强度</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2350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845E8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3FB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1F19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3FA69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摩擦力实验器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0C4445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由轨道、摩擦台底座、多种摩擦块、电机组成，与力传感器配合使用，可实现摩擦物体做匀速直线运动</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FD568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09E04C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C6F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7E966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9735F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安培力实验器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3C757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磁铁组、标有角度的转盘、矩形线框、挂钩、支架组成，配合电流传感器或多量程电流传感器和微力传感器使用，研究安培力与导线长度、供电电流以及电流方向与磁场夹角的关系。矩形线框上线圈为6种匝数，50、100、150、200、250、300匝，可研究不同匝数下的安培力大小。</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F20FD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233D18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6CB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2EF0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3BD2B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音频信号发生器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A46A55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通过内置或接外部扬声器发出声波，声波频率200Hz~2000Hz，声音响度连续可调。可配合声波传感器检测音频信号进行音频分析，自带2.0寸TFT彩色液晶屏显示波形</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0C6D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DCC3E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3CD0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FAA6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33E4F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电磁感应与楞次定律实验器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3E3B6">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该实验器由档位开关、线圈、接线柱和电路板组成。与电流传感器配合使用，用于研究电磁感应现象。档位开关分别与不同匝数相的线圈连接，探究线圈匝数与感应电流的关系。可根据曲线的变化趋势分析感应电流的方向，并由此验证楞次定律</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6772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FC6C7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E666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9F57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6D219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光学实验系统</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930269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由长度1.2米轨道、可调光源座、光缝座、光屏座、相对光照度分布传感器、单缝、双缝、USB数据线构成。可完成高中物理中光的干涉、衍射实验。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E2B64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ign w:val="center"/>
          </w:tcPr>
          <w:p w14:paraId="36A59A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24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03B8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890D6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自动控制执行器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BA5A5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接收模块可接插电压传感器，通过电脑观察接收到的特定电磁波波形。供电电源：两节5号电池</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A3B9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8037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ED4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9D305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64DF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匀强磁场螺线管</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49AB1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可接学生电源，塑壳封装，产生匀强磁场</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533E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31F8D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4E13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402B0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FA899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查理定律实验器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38302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由试管、快速温度探头、压强传感器连接器组成，结合温度与压强传感器，探究气体压强与温度的关系</w:t>
            </w:r>
          </w:p>
        </w:tc>
        <w:tc>
          <w:tcPr>
            <w:tcW w:w="304" w:type="pct"/>
            <w:tcBorders>
              <w:top w:val="single" w:color="000000" w:sz="4" w:space="0"/>
              <w:left w:val="single" w:color="000000" w:sz="4" w:space="0"/>
              <w:bottom w:val="single" w:color="000000" w:sz="4" w:space="0"/>
              <w:right w:val="single" w:color="000000" w:sz="4" w:space="0"/>
            </w:tcBorders>
            <w:noWrap/>
            <w:vAlign w:val="center"/>
          </w:tcPr>
          <w:p w14:paraId="623539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DE721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576A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9C04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D20FC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远红外加热器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DD0FB1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220V交流供电，功率80W；圆筒型远红外辐射加热炉芯，便于对加热体均匀加热。可完成查理定律、晶体熔解和凝固、比热容等高精度热学定量实验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D410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47418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80D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3"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C4A9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0277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数字化实验软件</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380AA2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1、为数字化实验分析软件软件。用于数据收集和结果分析。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2、包含教材通用软件、物理教材专用软件、化学专用软件、生物专用软件、传感器校准软件与数据导入软件六个部分。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2.1、通用软件：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可实现传感器数据的自动识别及控制：传感器接入后自动识别测量种类、测量范围、分度、单位、通道序号等。可改变传感器的显示方式：数字表、模拟表、示波。可根据实验调整传感器的采样频率、开始与暂停、字体颜色、字号大小、调零、示波图线的移动及大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组合图线：拥有2个完全相同的组合图线显示窗口，可并行使用。通过该功能的应用可完成基于传感器的实时数据变化的描绘和计算表格数据描绘及分析、处理等操作。数据的分析及处理包括：拟合、求导、积分、统计、包格线等。可通过回访功能重复观察实验的变化规律。对图像可根据实验进行放大、缩小。可对引用的传感器进行同步的停止和开始，达到很好的同时性；可对引用的传感器进行同步的调零，达到很好的一致性；可对引用的传感器进行同步采样频率调整，达到很好的精确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计算表格：可自动识别接入的传感器，并按照接入的通道自动标号。可通过变量、公式、求平均、绘图等按钮对数据进行处理。根据不同的实验要求可选择自动记录和手动记录。自动记录可调整时间间隔、选择采样条件，手动记录可根据需要进行点击记录，有效减少无效数据对实验结果的干扰。可引用现有实验模板也可DIY实验模板，并保存。支持表格的复制、粘贴、剪切。具备放大缩小功能，还支持打印机直接引用（无需退出实验软件），进行结果打印。实验结果可通过Excel形式进行保存。也可将保存的数据多次调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（4）实验录制：可同时将实验操作过程和软件的实验界面进行同屏录制，实现了实验现象和数据的对应。解决了数字实验无现象的难题（为减少软件操作复杂性，用其他软件录屏视为功能性缺失。）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2.2、物理专用软件：界面简洁、风格独特、一键OK的特点。j涵盖了人教、粤教、鲁科等教材的重点实验。明确了实验题目，使用时直接接入传感器即可。大大的方便了课堂教学。完全符合现行教材，用户可直接根据教材进行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2.3、化学专用软件：涵盖了初高中重点实验，起到温故知新的作用。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2.4、生物专用软件：涵盖了初高中重点实验，起到温故知新的作用。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2.5、传感器校准软件：根据国际计量公用应用规范，针对生物、化学传感器进行校准，以减少误差，提高精度。应用于PH、溶解氧、色度、浊度、氧化还原等传感器。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2.6、数据导入软件：和数据显示模块配合使用，将数据显示模块的数据导入电脑进行长期保存和数据处理。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3、应用平台：支持windows、Android、iOS系统</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4BEC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4A2C5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00FC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3CC2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A1D1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附件</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3615F0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1、含USB通讯线1条、转接器4只、传感器线4条；两端为BT插头，插口具有方向性和自锁功能插接方便、配合严密、方便教学；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2、彩色印刷版高中实验指南书，有详细实验案例介绍（实验器材、实验装置图、实验操作步骤等）。</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B5D2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8C043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6CA7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84A7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53CED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铝合金箱</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7FFC32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尺寸≥510*340*175（mm），由铝合金主架、铝塑板面构成，内设隔断海棉内衬传感器铝合金实验箱</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1FEF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E86A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A3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1300F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D6A55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压缩气体做功实验器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E7FFF9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由专用底座、注射器和快速响应温度探头组成，研究气体压缩或膨胀时，温度的变化</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6B23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225F2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73F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E1D0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0471B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摩擦做功实验器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24B45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由铜管、支架、摩擦绳组成，与温度传感器配合使用，可完成摩擦做功使温度升高实验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D686A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D728F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6A2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DC910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C95CF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玻璃导电实验器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3BAE9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由底座、专用实验板、玻璃组成，与微电流传感器配合使用，研究温度对玻璃导电性的影响实验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1865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BC5C7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05F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6DCD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4EB74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温差电流实验器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793D0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由底座、不同材料金属框组成，与微电流传感器配合使用，研究温差产生电流的现象</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BCBF3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0E67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BC9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4BA6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4782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地磁场发电机</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9509D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由专用底座、矩形线圈、连接轴承组成，线圈可自由旋转，与微电流传感器配合使用，测量线圈旋转时产生的交流电</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C300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6A3EF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642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EA739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6A329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斜面上力的分解实验器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337E7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由座架、L型旋臂和内置式力传感器、弧型角度标尺、环型物块构成。不需另配传感器，完成在斜面上力的分解合成实验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6EA7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EBD32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CBA5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F18B2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1021A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作用力与反作用力实验器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069E2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由底座、滑台、两个固定柱构成，将两个力传感器分别固定在固定柱上，通过移动其中一个固定柱上力传感器来观看两个力传感器值的大小。</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B8BFD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CE5AF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DBE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D7EA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154A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运动的合成实验器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5B548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轨道架（包含左连接块、线桩、水平轨道、刻度盘、右连接块、牵引线固定器、信号源固定座、竖直轨道、滑轮）、塑胶手拧螺栓、T型螺母、手拧螺栓、手拧螺母、绑线扣、拉环、牵引线构成与电磁定位系统、信号源配合使用，可进行运动的合成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7753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4B90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709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569B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3B60B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自由落体实验器</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CF48E">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手动释放器、信号源保护夹、缓冲筐及紧固件构成。与电磁定位板、信号源及软件配合使用，在定位范围578mm×330mm中，满足定位精度≤1mm的要求，在二维坐标系中能够以50Hz或100Hz精准定位物体自由下落过程中的轨迹点，同时以表格形式记录下落过程中轨迹点的坐标，能够绘制“s-t图线”以及“v-t图线”，并自动计算出物体下落的“加速度”值，从而揭示了自由落体运动的规律，支持实验数据的导出、导入、实验结果的保存等。</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5B627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CB45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D9AB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77F4B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E35F3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凹凸桥实验器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6E85A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由桥形支架、滚轮、条形锁紧装置、USB Type-C数据线构成，是魔板系统的拓展实验装置之一，与魔板配合使用，可用于探究物体运动过程中受力与所处位置之间的关系，能够定量展示物体在凹桥、凸桥上的超重、失重状态，可以测量轨道任意位置的受力情况。</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57751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0249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FE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EB43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32C9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马德堡实验器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698A7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由马德堡实验装置（包含透明上下壳、微型压强传感器、吊环、阀门）、数据线、抽气装置构成，用于验证大气压强存在。可通过显示屏实时显示压强数据，也可采用无线的方式将数据传输到移动端。</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2EC94B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6ADA3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6C3C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33B9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BA0D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力传感器附件</w:t>
            </w:r>
          </w:p>
        </w:tc>
        <w:tc>
          <w:tcPr>
            <w:tcW w:w="35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F2665">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由称重组件（含托盘、底座）和压力实验组件（含尖头顶针、平头顶针）构成，与力传感器配合使用。其中，称重组件用于测量物体的质量，压力实验组件用于测量物体的表面压力。</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4F18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C2491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A4B1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5ED66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955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测力板</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5024413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测力板由主机和电源通配器构成，可根据实际测量情况自动切换测量范围 (-200N-+850N /-850N-+3500N)。该器材为一体式设计，上机外壳采用不锈钢材质，可配合数采集器及教学软件进行重力与质量的关系，超重失重等实验</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A3A6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E73DE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5D9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02EC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9B07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机械危害防护手套</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8D760E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性能等级应符合GB24541－2009的3级及以上</w:t>
            </w:r>
          </w:p>
        </w:tc>
        <w:tc>
          <w:tcPr>
            <w:tcW w:w="304" w:type="pct"/>
            <w:tcBorders>
              <w:top w:val="single" w:color="000000" w:sz="4" w:space="0"/>
              <w:left w:val="single" w:color="000000" w:sz="4" w:space="0"/>
              <w:bottom w:val="single" w:color="000000" w:sz="4" w:space="0"/>
              <w:right w:val="nil"/>
            </w:tcBorders>
            <w:noWrap w:val="0"/>
            <w:vAlign w:val="center"/>
          </w:tcPr>
          <w:p w14:paraId="477524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82D27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B4C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E32D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F325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绝缘手套</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D2FEFA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电压不高于380V的低压防护</w:t>
            </w:r>
          </w:p>
        </w:tc>
        <w:tc>
          <w:tcPr>
            <w:tcW w:w="304" w:type="pct"/>
            <w:tcBorders>
              <w:top w:val="single" w:color="000000" w:sz="4" w:space="0"/>
              <w:left w:val="single" w:color="000000" w:sz="4" w:space="0"/>
              <w:bottom w:val="single" w:color="000000" w:sz="4" w:space="0"/>
              <w:right w:val="nil"/>
            </w:tcBorders>
            <w:noWrap w:val="0"/>
            <w:vAlign w:val="center"/>
          </w:tcPr>
          <w:p w14:paraId="2E8DB2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F6741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4E7C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309CC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CA713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绝缘手套</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7EFA8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适用于直流电压高于10kV的高压防护，电气绝缘性能应不低于级别3</w:t>
            </w:r>
          </w:p>
        </w:tc>
        <w:tc>
          <w:tcPr>
            <w:tcW w:w="304" w:type="pct"/>
            <w:tcBorders>
              <w:top w:val="single" w:color="000000" w:sz="4" w:space="0"/>
              <w:left w:val="single" w:color="000000" w:sz="4" w:space="0"/>
              <w:bottom w:val="single" w:color="000000" w:sz="4" w:space="0"/>
              <w:right w:val="nil"/>
            </w:tcBorders>
            <w:noWrap w:val="0"/>
            <w:vAlign w:val="center"/>
          </w:tcPr>
          <w:p w14:paraId="70C8E8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4641A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14BA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8F6A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931D2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激光防护镜</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740A13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激光类实验用，需与激光波长匹配</w:t>
            </w:r>
          </w:p>
        </w:tc>
        <w:tc>
          <w:tcPr>
            <w:tcW w:w="304" w:type="pct"/>
            <w:tcBorders>
              <w:top w:val="single" w:color="000000" w:sz="4" w:space="0"/>
              <w:left w:val="single" w:color="000000" w:sz="4" w:space="0"/>
              <w:bottom w:val="single" w:color="000000" w:sz="4" w:space="0"/>
              <w:right w:val="nil"/>
            </w:tcBorders>
            <w:noWrap w:val="0"/>
            <w:vAlign w:val="center"/>
          </w:tcPr>
          <w:p w14:paraId="2BCDCF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0DFA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1FE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26C1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E069D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护目镜</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5FDEF2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防机械冲击</w:t>
            </w:r>
          </w:p>
        </w:tc>
        <w:tc>
          <w:tcPr>
            <w:tcW w:w="304" w:type="pct"/>
            <w:tcBorders>
              <w:top w:val="single" w:color="000000" w:sz="4" w:space="0"/>
              <w:left w:val="single" w:color="000000" w:sz="4" w:space="0"/>
              <w:bottom w:val="single" w:color="000000" w:sz="4" w:space="0"/>
              <w:right w:val="nil"/>
            </w:tcBorders>
            <w:noWrap w:val="0"/>
            <w:vAlign w:val="center"/>
          </w:tcPr>
          <w:p w14:paraId="6149E5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6D75F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087B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CD3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BEDF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灭火毯</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17E8AC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玻璃纤维材质，1800mm×1200mm</w:t>
            </w:r>
          </w:p>
        </w:tc>
        <w:tc>
          <w:tcPr>
            <w:tcW w:w="304" w:type="pct"/>
            <w:tcBorders>
              <w:top w:val="single" w:color="000000" w:sz="4" w:space="0"/>
              <w:left w:val="single" w:color="000000" w:sz="4" w:space="0"/>
              <w:bottom w:val="single" w:color="000000" w:sz="4" w:space="0"/>
              <w:right w:val="nil"/>
            </w:tcBorders>
            <w:noWrap w:val="0"/>
            <w:vAlign w:val="center"/>
          </w:tcPr>
          <w:p w14:paraId="74117A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DEB5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752C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C9D51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247B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6C4D13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600mm×400mm×1000mm，橡胶包车轮，车轮Φ75mm，厚25mm；2轮带刹车，车轮固定时车架扭动量（上部）≤20mm；钢材制作，载重≥60kg</w:t>
            </w:r>
          </w:p>
        </w:tc>
        <w:tc>
          <w:tcPr>
            <w:tcW w:w="304" w:type="pct"/>
            <w:tcBorders>
              <w:top w:val="single" w:color="000000" w:sz="4" w:space="0"/>
              <w:left w:val="single" w:color="000000" w:sz="4" w:space="0"/>
              <w:bottom w:val="single" w:color="000000" w:sz="4" w:space="0"/>
              <w:right w:val="nil"/>
            </w:tcBorders>
            <w:noWrap w:val="0"/>
            <w:vAlign w:val="center"/>
          </w:tcPr>
          <w:p w14:paraId="13301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辆</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6A59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30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5AA6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02A7B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小托盘</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19088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250mm×350mm×60mm</w:t>
            </w:r>
          </w:p>
        </w:tc>
        <w:tc>
          <w:tcPr>
            <w:tcW w:w="304" w:type="pct"/>
            <w:tcBorders>
              <w:top w:val="single" w:color="000000" w:sz="4" w:space="0"/>
              <w:left w:val="single" w:color="000000" w:sz="4" w:space="0"/>
              <w:bottom w:val="single" w:color="000000" w:sz="4" w:space="0"/>
              <w:right w:val="nil"/>
            </w:tcBorders>
            <w:noWrap w:val="0"/>
            <w:vAlign w:val="center"/>
          </w:tcPr>
          <w:p w14:paraId="0907B2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B2708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8DA7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A448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ECD8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大托盘</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8CC94E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350mm×470mm×80mm</w:t>
            </w:r>
          </w:p>
        </w:tc>
        <w:tc>
          <w:tcPr>
            <w:tcW w:w="304" w:type="pct"/>
            <w:tcBorders>
              <w:top w:val="single" w:color="000000" w:sz="4" w:space="0"/>
              <w:left w:val="single" w:color="000000" w:sz="4" w:space="0"/>
              <w:bottom w:val="single" w:color="000000" w:sz="4" w:space="0"/>
              <w:right w:val="nil"/>
            </w:tcBorders>
            <w:noWrap w:val="0"/>
            <w:vAlign w:val="center"/>
          </w:tcPr>
          <w:p w14:paraId="445A1D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7F4B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E097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C2E50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E7447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提盒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9350BF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承重大于3kg</w:t>
            </w:r>
          </w:p>
        </w:tc>
        <w:tc>
          <w:tcPr>
            <w:tcW w:w="304" w:type="pct"/>
            <w:tcBorders>
              <w:top w:val="single" w:color="000000" w:sz="4" w:space="0"/>
              <w:left w:val="single" w:color="000000" w:sz="4" w:space="0"/>
              <w:bottom w:val="single" w:color="000000" w:sz="4" w:space="0"/>
              <w:right w:val="nil"/>
            </w:tcBorders>
            <w:noWrap w:val="0"/>
            <w:vAlign w:val="center"/>
          </w:tcPr>
          <w:p w14:paraId="73466C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F051D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C1BB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A2D2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85576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三脚架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0E2D2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采用碳钢或φ6mm冷拉钢材造，三脚均布，高度≥156mm，三脚内接圆直径≥120mm。2. 上支承环平整，直径＞80mm。3. 三支撑脚与圆环间焊接牢靠，分布均匀，焊点光滑、平稳，三脚及支承环钢材直径≥6mm，表面经酸洗，磷化后喷塑或喷黑色防锈、耐热强化漆。4. 表面不应有明显的凹痕、裂缝、变形等缺陷；表面涂镀层应均匀，不应起泡、龟裂、脱落和磨损；不应有锈蚀及其他机械损伤。　</w:t>
            </w:r>
          </w:p>
        </w:tc>
        <w:tc>
          <w:tcPr>
            <w:tcW w:w="304" w:type="pct"/>
            <w:tcBorders>
              <w:top w:val="single" w:color="000000" w:sz="4" w:space="0"/>
              <w:left w:val="single" w:color="000000" w:sz="4" w:space="0"/>
              <w:bottom w:val="single" w:color="000000" w:sz="4" w:space="0"/>
              <w:right w:val="nil"/>
            </w:tcBorders>
            <w:noWrap w:val="0"/>
            <w:vAlign w:val="center"/>
          </w:tcPr>
          <w:p w14:paraId="49C6BC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2C3BE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E470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329B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F4099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电磁实验用旋转架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2DA9C1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由底座、转轴和转台等组成。转台应采用静电绝缘材料制成，转台内应有一凹槽；凹槽宽度应≥15mm，凹槽深度应≥8mm，凹槽长度应≥35mm；转台应能作360°旋转</w:t>
            </w:r>
          </w:p>
        </w:tc>
        <w:tc>
          <w:tcPr>
            <w:tcW w:w="304" w:type="pct"/>
            <w:tcBorders>
              <w:top w:val="single" w:color="000000" w:sz="4" w:space="0"/>
              <w:left w:val="single" w:color="000000" w:sz="4" w:space="0"/>
              <w:bottom w:val="single" w:color="000000" w:sz="4" w:space="0"/>
              <w:right w:val="nil"/>
            </w:tcBorders>
            <w:noWrap w:val="0"/>
            <w:vAlign w:val="center"/>
          </w:tcPr>
          <w:p w14:paraId="24E7FF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BC03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34DF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B5B6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A93B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65C91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木制或塑料制，8孔，孔径21mm，立柱粘结牢固</w:t>
            </w:r>
          </w:p>
        </w:tc>
        <w:tc>
          <w:tcPr>
            <w:tcW w:w="304" w:type="pct"/>
            <w:tcBorders>
              <w:top w:val="single" w:color="000000" w:sz="4" w:space="0"/>
              <w:left w:val="single" w:color="000000" w:sz="4" w:space="0"/>
              <w:bottom w:val="single" w:color="000000" w:sz="4" w:space="0"/>
              <w:right w:val="nil"/>
            </w:tcBorders>
            <w:noWrap w:val="0"/>
            <w:vAlign w:val="center"/>
          </w:tcPr>
          <w:p w14:paraId="649C22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5D5C7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4C68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19C98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73D0E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3A5B22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w:t>
            </w:r>
          </w:p>
        </w:tc>
        <w:tc>
          <w:tcPr>
            <w:tcW w:w="304" w:type="pct"/>
            <w:tcBorders>
              <w:top w:val="single" w:color="000000" w:sz="4" w:space="0"/>
              <w:left w:val="single" w:color="000000" w:sz="4" w:space="0"/>
              <w:bottom w:val="single" w:color="000000" w:sz="4" w:space="0"/>
              <w:right w:val="nil"/>
            </w:tcBorders>
            <w:noWrap w:val="0"/>
            <w:vAlign w:val="center"/>
          </w:tcPr>
          <w:p w14:paraId="0BE63D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2B20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AA3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CAC9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703D3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多向转接头</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F4345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双向交叉，孔内径适应于方座支架</w:t>
            </w:r>
          </w:p>
        </w:tc>
        <w:tc>
          <w:tcPr>
            <w:tcW w:w="304" w:type="pct"/>
            <w:tcBorders>
              <w:top w:val="single" w:color="000000" w:sz="4" w:space="0"/>
              <w:left w:val="single" w:color="000000" w:sz="4" w:space="0"/>
              <w:bottom w:val="single" w:color="000000" w:sz="4" w:space="0"/>
              <w:right w:val="nil"/>
            </w:tcBorders>
            <w:noWrap w:val="0"/>
            <w:vAlign w:val="center"/>
          </w:tcPr>
          <w:p w14:paraId="5A2090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3A639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58C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8C04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CFC1C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物理支架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87C360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立杆Φ12mm×500mm、Φ12mm×700mm各1根；A形座2个，质量分别不小于1.5kg和3.0kg；平行夹2个、垂直夹2个、烧瓶夹1个、万向夹1个、台边夹1个、大铁环1个、圆托盘1个、绝缘杆1根、吊杆1个、吊钩4个</w:t>
            </w:r>
          </w:p>
        </w:tc>
        <w:tc>
          <w:tcPr>
            <w:tcW w:w="304" w:type="pct"/>
            <w:tcBorders>
              <w:top w:val="single" w:color="000000" w:sz="4" w:space="0"/>
              <w:left w:val="single" w:color="000000" w:sz="4" w:space="0"/>
              <w:bottom w:val="single" w:color="000000" w:sz="4" w:space="0"/>
              <w:right w:val="nil"/>
            </w:tcBorders>
            <w:noWrap w:val="0"/>
            <w:vAlign w:val="center"/>
          </w:tcPr>
          <w:p w14:paraId="2CE53F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7CD1D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8BDB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7B11E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798CB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方座支架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6E4C0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由方形座、立杆、烧瓶夹、大小铁环、垂直夹（2只）、平行夹、吊杆等组成；立杆长600mm，方形座长210mm，宽135mm，烧瓶夹夹口内壁有耐热不低于120℃的缓压层</w:t>
            </w:r>
          </w:p>
        </w:tc>
        <w:tc>
          <w:tcPr>
            <w:tcW w:w="304" w:type="pct"/>
            <w:tcBorders>
              <w:top w:val="single" w:color="000000" w:sz="4" w:space="0"/>
              <w:left w:val="single" w:color="000000" w:sz="4" w:space="0"/>
              <w:bottom w:val="single" w:color="000000" w:sz="4" w:space="0"/>
              <w:right w:val="nil"/>
            </w:tcBorders>
            <w:noWrap w:val="0"/>
            <w:vAlign w:val="center"/>
          </w:tcPr>
          <w:p w14:paraId="57E36C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0BF9A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85B0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22ECA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568FD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多功能实验支架</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FB246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组合座架1个，最小组合支承面积应不小于560mm×10mm；滑块式垂直夹5个、烧瓶夹1个、万向夹1个、大铁环1个、方托盘1个、绝缘环2个、吊钩4个</w:t>
            </w:r>
          </w:p>
        </w:tc>
        <w:tc>
          <w:tcPr>
            <w:tcW w:w="304" w:type="pct"/>
            <w:tcBorders>
              <w:top w:val="single" w:color="000000" w:sz="4" w:space="0"/>
              <w:left w:val="single" w:color="000000" w:sz="4" w:space="0"/>
              <w:bottom w:val="single" w:color="000000" w:sz="4" w:space="0"/>
              <w:right w:val="nil"/>
            </w:tcBorders>
            <w:noWrap w:val="0"/>
            <w:vAlign w:val="center"/>
          </w:tcPr>
          <w:p w14:paraId="0FB650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47DF6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C11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7ADA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28345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升降台</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19C6A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台面，上台面有效面积不小于140mm×140mm，下台面有效面积不小于160mm×160mm，厚度不低于1mm；升降范围85mm～235mm，连续可调；上下台面的平面度误差应≤2mm，升降过程中任一位置的平行度误差≤3mm；额定载重量≥10kg</w:t>
            </w:r>
          </w:p>
        </w:tc>
        <w:tc>
          <w:tcPr>
            <w:tcW w:w="304" w:type="pct"/>
            <w:tcBorders>
              <w:top w:val="single" w:color="000000" w:sz="4" w:space="0"/>
              <w:left w:val="single" w:color="000000" w:sz="4" w:space="0"/>
              <w:bottom w:val="single" w:color="000000" w:sz="4" w:space="0"/>
              <w:right w:val="nil"/>
            </w:tcBorders>
            <w:noWrap w:val="0"/>
            <w:vAlign w:val="center"/>
          </w:tcPr>
          <w:p w14:paraId="3FFAFE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9C013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A65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6C23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18182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电火花计时器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B19D63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交流电压：220V，多频率：0.01s、0.02 s、0.05s，火花距离≥10mm，平均电流≤0.5mA，附固定夹，有同步释放功能</w:t>
            </w:r>
          </w:p>
        </w:tc>
        <w:tc>
          <w:tcPr>
            <w:tcW w:w="304" w:type="pct"/>
            <w:tcBorders>
              <w:top w:val="single" w:color="000000" w:sz="4" w:space="0"/>
              <w:left w:val="single" w:color="000000" w:sz="4" w:space="0"/>
              <w:bottom w:val="single" w:color="000000" w:sz="4" w:space="0"/>
              <w:right w:val="nil"/>
            </w:tcBorders>
            <w:noWrap w:val="0"/>
            <w:vAlign w:val="center"/>
          </w:tcPr>
          <w:p w14:paraId="0A0915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4D352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710D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A813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BD392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演示斜面小车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CD648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斜面板长≥1200mm，一端应有滑轮、缓冲或捕获小车的装置；斜面板工作面平面度误差应小于2mm；附摩擦材料丁腈橡胶、砂纸、棉布等，有摩擦材料的固定夹</w:t>
            </w:r>
          </w:p>
        </w:tc>
        <w:tc>
          <w:tcPr>
            <w:tcW w:w="304" w:type="pct"/>
            <w:tcBorders>
              <w:top w:val="single" w:color="000000" w:sz="4" w:space="0"/>
              <w:left w:val="single" w:color="000000" w:sz="4" w:space="0"/>
              <w:bottom w:val="single" w:color="000000" w:sz="4" w:space="0"/>
              <w:right w:val="nil"/>
            </w:tcBorders>
            <w:noWrap w:val="0"/>
            <w:vAlign w:val="center"/>
          </w:tcPr>
          <w:p w14:paraId="729E7F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77FB0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876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F3BB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2DA4E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斜面小车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6AED4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斜面、小车、摩擦块、支撑杆、砝码桶和摩擦材料等，与教学支架配套使用；斜面板≥915mm×100mm×20mm，一端应有滑轮、缓冲或捕获小车的装置；斜面板工作面平面度误差应小于2mm；附摩擦材料丁腈橡胶、砂纸、棉布等，有摩擦材料的固定夹</w:t>
            </w:r>
          </w:p>
        </w:tc>
        <w:tc>
          <w:tcPr>
            <w:tcW w:w="304" w:type="pct"/>
            <w:tcBorders>
              <w:top w:val="single" w:color="000000" w:sz="4" w:space="0"/>
              <w:left w:val="single" w:color="000000" w:sz="4" w:space="0"/>
              <w:bottom w:val="single" w:color="000000" w:sz="4" w:space="0"/>
              <w:right w:val="nil"/>
            </w:tcBorders>
            <w:noWrap w:val="0"/>
            <w:vAlign w:val="center"/>
          </w:tcPr>
          <w:p w14:paraId="0AD3A0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4AD5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CF3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969A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A1F2A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轨道小车</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3AD93D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车拖纸带打点式；由轨道、1辆小车及配件组成，应配有打点纸带，应有调节轨道倾斜度的装置，轨道始端应有固定及释放小车的装置、固定计时器的平台，终端有捕捉小车的装置；轨道的有效运动长度≥600mm，轨道轨面的直线度误差不大于有效长度的0.03%；安装计时器后，记录纸带应能平行轨道运动；在倾斜度1:50的轨道上小车应能从静止开始运动</w:t>
            </w:r>
          </w:p>
        </w:tc>
        <w:tc>
          <w:tcPr>
            <w:tcW w:w="304" w:type="pct"/>
            <w:tcBorders>
              <w:top w:val="single" w:color="000000" w:sz="4" w:space="0"/>
              <w:left w:val="single" w:color="000000" w:sz="4" w:space="0"/>
              <w:bottom w:val="single" w:color="000000" w:sz="4" w:space="0"/>
              <w:right w:val="nil"/>
            </w:tcBorders>
            <w:noWrap w:val="0"/>
            <w:vAlign w:val="center"/>
          </w:tcPr>
          <w:p w14:paraId="2D82DD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09400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C81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AC31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C766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坐标纸</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68991F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1cm大格，1mm小格</w:t>
            </w:r>
          </w:p>
        </w:tc>
        <w:tc>
          <w:tcPr>
            <w:tcW w:w="304" w:type="pct"/>
            <w:tcBorders>
              <w:top w:val="single" w:color="000000" w:sz="4" w:space="0"/>
              <w:left w:val="single" w:color="000000" w:sz="4" w:space="0"/>
              <w:bottom w:val="single" w:color="000000" w:sz="4" w:space="0"/>
              <w:right w:val="nil"/>
            </w:tcBorders>
            <w:noWrap w:val="0"/>
            <w:vAlign w:val="center"/>
          </w:tcPr>
          <w:p w14:paraId="1A8D12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F258C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39B6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58E6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96D2F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金属直尺（钢直尺）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34E27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1000mm，分度值为1mm；刻度面平面度误差应≤0.25mm，允许误差应±0.20mm材；料为1Cr18Ni9、1Cr13或其他类似性能材料，硬度应不低于342HV</w:t>
            </w:r>
          </w:p>
        </w:tc>
        <w:tc>
          <w:tcPr>
            <w:tcW w:w="304" w:type="pct"/>
            <w:tcBorders>
              <w:top w:val="single" w:color="000000" w:sz="4" w:space="0"/>
              <w:left w:val="single" w:color="000000" w:sz="4" w:space="0"/>
              <w:bottom w:val="single" w:color="000000" w:sz="4" w:space="0"/>
              <w:right w:val="nil"/>
            </w:tcBorders>
            <w:noWrap w:val="0"/>
            <w:vAlign w:val="center"/>
          </w:tcPr>
          <w:p w14:paraId="2D9AEB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0030C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633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CE6D7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901B4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金属直尺（钢直尺）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895823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150mm，分度值为1mm；刻度面平面度误差应≤0.25mm，允许误差应±0.20mm材；料为1Cr18Ni9、1Cr13或其他类似性能材料，硬度应不低于342HV</w:t>
            </w:r>
          </w:p>
        </w:tc>
        <w:tc>
          <w:tcPr>
            <w:tcW w:w="304" w:type="pct"/>
            <w:tcBorders>
              <w:top w:val="single" w:color="000000" w:sz="4" w:space="0"/>
              <w:left w:val="single" w:color="000000" w:sz="4" w:space="0"/>
              <w:bottom w:val="single" w:color="000000" w:sz="4" w:space="0"/>
              <w:right w:val="nil"/>
            </w:tcBorders>
            <w:noWrap w:val="0"/>
            <w:vAlign w:val="center"/>
          </w:tcPr>
          <w:p w14:paraId="1E070B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C4749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7D1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3A42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1165C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钢卷尺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09EF16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0mm～5000mm，分度值1mm。B型（自卷制动式），尺带宽不小于12mm，厚不低于0.15mm。尺带拉伸、收卷轻便灵活，无卡阻现象</w:t>
            </w:r>
          </w:p>
        </w:tc>
        <w:tc>
          <w:tcPr>
            <w:tcW w:w="304" w:type="pct"/>
            <w:tcBorders>
              <w:top w:val="single" w:color="000000" w:sz="4" w:space="0"/>
              <w:left w:val="single" w:color="000000" w:sz="4" w:space="0"/>
              <w:bottom w:val="single" w:color="000000" w:sz="4" w:space="0"/>
              <w:right w:val="nil"/>
            </w:tcBorders>
            <w:noWrap w:val="0"/>
            <w:vAlign w:val="center"/>
          </w:tcPr>
          <w:p w14:paraId="143EFA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93591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2E1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D695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8388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游标卡尺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65D24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测量范围0mm～150mm，分度值0.02mm，尺框微动装置沿尺身移动平稳、无卡滞和松动现象，用制动螺钉能准确、可靠的固定在尺身上，带深度尺</w:t>
            </w:r>
          </w:p>
        </w:tc>
        <w:tc>
          <w:tcPr>
            <w:tcW w:w="304" w:type="pct"/>
            <w:tcBorders>
              <w:top w:val="single" w:color="000000" w:sz="4" w:space="0"/>
              <w:left w:val="single" w:color="000000" w:sz="4" w:space="0"/>
              <w:bottom w:val="single" w:color="000000" w:sz="4" w:space="0"/>
              <w:right w:val="nil"/>
            </w:tcBorders>
            <w:noWrap w:val="0"/>
            <w:vAlign w:val="center"/>
          </w:tcPr>
          <w:p w14:paraId="276A52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3B8B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97F6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30CCB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482F6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演示外径千分尺（演示螺旋测微器）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9E35D6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木质或铝合金材质，刻度清晰，刻度放大比例1:20，锁紧装置能有效锁紧测微装置</w:t>
            </w:r>
          </w:p>
        </w:tc>
        <w:tc>
          <w:tcPr>
            <w:tcW w:w="304" w:type="pct"/>
            <w:tcBorders>
              <w:top w:val="single" w:color="000000" w:sz="4" w:space="0"/>
              <w:left w:val="single" w:color="000000" w:sz="4" w:space="0"/>
              <w:bottom w:val="single" w:color="000000" w:sz="4" w:space="0"/>
              <w:right w:val="nil"/>
            </w:tcBorders>
            <w:noWrap w:val="0"/>
            <w:vAlign w:val="center"/>
          </w:tcPr>
          <w:p w14:paraId="574EFF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FD417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66BC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940E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C4195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外径千分尺（螺旋测微器）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9A574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测量范围0mm～25mm，分度值0.01mm。螺杆和螺母全量程范围内充分啮合，配合良好，无明显卡滞和轴向窜动，螺杆与轴套配合良好无明显径向摆动，锁紧装置能有效锁紧测微装置</w:t>
            </w:r>
          </w:p>
        </w:tc>
        <w:tc>
          <w:tcPr>
            <w:tcW w:w="304" w:type="pct"/>
            <w:tcBorders>
              <w:top w:val="single" w:color="000000" w:sz="4" w:space="0"/>
              <w:left w:val="single" w:color="000000" w:sz="4" w:space="0"/>
              <w:bottom w:val="single" w:color="000000" w:sz="4" w:space="0"/>
              <w:right w:val="nil"/>
            </w:tcBorders>
            <w:noWrap w:val="0"/>
            <w:vAlign w:val="center"/>
          </w:tcPr>
          <w:p w14:paraId="64670F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2D64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C1D8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0EFF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74C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金属钩码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3883F8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50g±0.5g，每盒10个，可叠放；材料采用纯度99.6%、粒度不小于80#的铁基粉或其它钢材，钩码表面应有防腐镀层；硬度不小于HB70；上下勾的连线应通过钩码主体的轴线</w:t>
            </w:r>
          </w:p>
        </w:tc>
        <w:tc>
          <w:tcPr>
            <w:tcW w:w="304" w:type="pct"/>
            <w:tcBorders>
              <w:top w:val="single" w:color="000000" w:sz="4" w:space="0"/>
              <w:left w:val="single" w:color="000000" w:sz="4" w:space="0"/>
              <w:bottom w:val="single" w:color="000000" w:sz="4" w:space="0"/>
              <w:right w:val="nil"/>
            </w:tcBorders>
            <w:noWrap w:val="0"/>
            <w:vAlign w:val="center"/>
          </w:tcPr>
          <w:p w14:paraId="08C983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E2398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903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853D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55D48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金属槽码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3CCA6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2g×4，5g×4，10g×4，20g×4，50g×4，100g×2，200g×1；5g×1金属槽码盘和10g×1金属槽码盘</w:t>
            </w:r>
          </w:p>
        </w:tc>
        <w:tc>
          <w:tcPr>
            <w:tcW w:w="304" w:type="pct"/>
            <w:tcBorders>
              <w:top w:val="single" w:color="000000" w:sz="4" w:space="0"/>
              <w:left w:val="single" w:color="000000" w:sz="4" w:space="0"/>
              <w:bottom w:val="single" w:color="000000" w:sz="4" w:space="0"/>
              <w:right w:val="nil"/>
            </w:tcBorders>
            <w:noWrap w:val="0"/>
            <w:vAlign w:val="center"/>
          </w:tcPr>
          <w:p w14:paraId="3D5E36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8B61D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BE5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DE44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918A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频闪光源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C73D7D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闪烁频率0.5Hz～200Hz可调，数字读数显示，光触发</w:t>
            </w:r>
          </w:p>
        </w:tc>
        <w:tc>
          <w:tcPr>
            <w:tcW w:w="304" w:type="pct"/>
            <w:tcBorders>
              <w:top w:val="single" w:color="000000" w:sz="4" w:space="0"/>
              <w:left w:val="single" w:color="000000" w:sz="4" w:space="0"/>
              <w:bottom w:val="single" w:color="000000" w:sz="4" w:space="0"/>
              <w:right w:val="nil"/>
            </w:tcBorders>
            <w:noWrap w:val="0"/>
            <w:vAlign w:val="center"/>
          </w:tcPr>
          <w:p w14:paraId="455860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B3CED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C9A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D55B8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E6809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运动频闪观测仪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D522B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频闪光源25Hz、50Hz，可实时观测运动物体图像</w:t>
            </w:r>
          </w:p>
        </w:tc>
        <w:tc>
          <w:tcPr>
            <w:tcW w:w="304" w:type="pct"/>
            <w:tcBorders>
              <w:top w:val="single" w:color="000000" w:sz="4" w:space="0"/>
              <w:left w:val="single" w:color="000000" w:sz="4" w:space="0"/>
              <w:bottom w:val="single" w:color="000000" w:sz="4" w:space="0"/>
              <w:right w:val="nil"/>
            </w:tcBorders>
            <w:noWrap w:val="0"/>
            <w:vAlign w:val="center"/>
          </w:tcPr>
          <w:p w14:paraId="56531A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3ADE4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CF07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B9E9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39A3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直角坐标书写板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833005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做背景板用，印有方格。尺寸800mm×600mm，分格50mm×50mm</w:t>
            </w:r>
          </w:p>
        </w:tc>
        <w:tc>
          <w:tcPr>
            <w:tcW w:w="304" w:type="pct"/>
            <w:tcBorders>
              <w:top w:val="single" w:color="000000" w:sz="4" w:space="0"/>
              <w:left w:val="single" w:color="000000" w:sz="4" w:space="0"/>
              <w:bottom w:val="single" w:color="000000" w:sz="4" w:space="0"/>
              <w:right w:val="nil"/>
            </w:tcBorders>
            <w:noWrap w:val="0"/>
            <w:vAlign w:val="center"/>
          </w:tcPr>
          <w:p w14:paraId="715E71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FE4AC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743A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3377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F6F33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直联泵（真空泵）</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3275C2D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2XZ型，单相，抽气速率为1L/s，有防回油功能；配套抽气管，长度不小于1.5m</w:t>
            </w:r>
          </w:p>
        </w:tc>
        <w:tc>
          <w:tcPr>
            <w:tcW w:w="304" w:type="pct"/>
            <w:tcBorders>
              <w:top w:val="single" w:color="000000" w:sz="4" w:space="0"/>
              <w:left w:val="single" w:color="000000" w:sz="4" w:space="0"/>
              <w:bottom w:val="single" w:color="000000" w:sz="4" w:space="0"/>
              <w:right w:val="nil"/>
            </w:tcBorders>
            <w:noWrap w:val="0"/>
            <w:vAlign w:val="center"/>
          </w:tcPr>
          <w:p w14:paraId="2B6F21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A33C5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616C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989D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3F7CD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两用气筒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57AFB6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活塞胶垫，气嘴外径8mm±0.1mm，长度15mm，台阶口；抽气压强达到6.7kPa时，放置30s，漏气引起的压强变化应不大于2.6kPa；充气压强达到290kPa时，放置30s，漏气引起的压强变化应不大于9.8kPa</w:t>
            </w:r>
          </w:p>
        </w:tc>
        <w:tc>
          <w:tcPr>
            <w:tcW w:w="304" w:type="pct"/>
            <w:tcBorders>
              <w:top w:val="single" w:color="000000" w:sz="4" w:space="0"/>
              <w:left w:val="single" w:color="000000" w:sz="4" w:space="0"/>
              <w:bottom w:val="single" w:color="000000" w:sz="4" w:space="0"/>
              <w:right w:val="nil"/>
            </w:tcBorders>
            <w:noWrap w:val="0"/>
            <w:vAlign w:val="center"/>
          </w:tcPr>
          <w:p w14:paraId="511CE4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2E8E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B2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36F3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ABCA0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打气筒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5DE71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气嘴外径8mm±0.1mm，长度15mm，台阶口，工作气压不小于0.295MPa</w:t>
            </w:r>
          </w:p>
        </w:tc>
        <w:tc>
          <w:tcPr>
            <w:tcW w:w="304" w:type="pct"/>
            <w:tcBorders>
              <w:top w:val="single" w:color="000000" w:sz="4" w:space="0"/>
              <w:left w:val="single" w:color="000000" w:sz="4" w:space="0"/>
              <w:bottom w:val="single" w:color="000000" w:sz="4" w:space="0"/>
              <w:right w:val="nil"/>
            </w:tcBorders>
            <w:noWrap w:val="0"/>
            <w:vAlign w:val="center"/>
          </w:tcPr>
          <w:p w14:paraId="496259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B79D7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CF89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2531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14A6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毛钱管(牛顿管)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EB62B3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配真空泵；金属片和羽毛片有明显的颜色区分；抽气使管内压强降至-0.095MPa，停止抽气，静置1min，管内压强应保持－0.095MPa不变；金属片和羽毛片同时到达时间相差不超过0.02s</w:t>
            </w:r>
          </w:p>
        </w:tc>
        <w:tc>
          <w:tcPr>
            <w:tcW w:w="304" w:type="pct"/>
            <w:tcBorders>
              <w:top w:val="single" w:color="000000" w:sz="4" w:space="0"/>
              <w:left w:val="single" w:color="000000" w:sz="4" w:space="0"/>
              <w:bottom w:val="single" w:color="000000" w:sz="4" w:space="0"/>
              <w:right w:val="nil"/>
            </w:tcBorders>
            <w:noWrap w:val="0"/>
            <w:vAlign w:val="center"/>
          </w:tcPr>
          <w:p w14:paraId="507DC0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1385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D8D1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BAAE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17E47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自由落体实验仪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A92B6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包括主杆、支架座、电磁铁、光电门、钢球、钢球俘获装置、标尺及方向调节座等</w:t>
            </w:r>
          </w:p>
        </w:tc>
        <w:tc>
          <w:tcPr>
            <w:tcW w:w="304" w:type="pct"/>
            <w:tcBorders>
              <w:top w:val="single" w:color="000000" w:sz="4" w:space="0"/>
              <w:left w:val="single" w:color="000000" w:sz="4" w:space="0"/>
              <w:bottom w:val="single" w:color="000000" w:sz="4" w:space="0"/>
              <w:right w:val="nil"/>
            </w:tcBorders>
            <w:noWrap w:val="0"/>
            <w:vAlign w:val="center"/>
          </w:tcPr>
          <w:p w14:paraId="3F7379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AFA0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9AA4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D85D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E3801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螺旋弹簧组</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A78BAF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由拉力极限分别为4.9N、2.94N、1.96N、0.98N和0.49N的5种弹簧构成；各弹簧带长50mm挂钩（有指针），两端应为圆拉环，附标度板</w:t>
            </w:r>
          </w:p>
        </w:tc>
        <w:tc>
          <w:tcPr>
            <w:tcW w:w="304" w:type="pct"/>
            <w:tcBorders>
              <w:top w:val="single" w:color="000000" w:sz="4" w:space="0"/>
              <w:left w:val="single" w:color="000000" w:sz="4" w:space="0"/>
              <w:bottom w:val="single" w:color="000000" w:sz="4" w:space="0"/>
              <w:right w:val="nil"/>
            </w:tcBorders>
            <w:noWrap w:val="0"/>
            <w:vAlign w:val="center"/>
          </w:tcPr>
          <w:p w14:paraId="4AAA8C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5F3D8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06FC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25734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5F3EB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摩擦力演示器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A8EC1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由铝合金底板、摩擦板（带滚轮）、摩擦块（有牵引线、可更换其它摩擦面）、摩擦面（5块、有背胶）、摩擦材料（木、硅橡胶、聚四氟乙烯）、匀速电机（带绕线盘、带刻度调速旋钮、开关）、力显示模块（含显示模块、力传感器、挂钩、可调整定滑轮、支架、电源座等、测力数显0.000N，量程5N）等组成。</w:t>
            </w:r>
          </w:p>
        </w:tc>
        <w:tc>
          <w:tcPr>
            <w:tcW w:w="304" w:type="pct"/>
            <w:tcBorders>
              <w:top w:val="single" w:color="000000" w:sz="4" w:space="0"/>
              <w:left w:val="single" w:color="000000" w:sz="4" w:space="0"/>
              <w:bottom w:val="single" w:color="000000" w:sz="4" w:space="0"/>
              <w:right w:val="nil"/>
            </w:tcBorders>
            <w:noWrap w:val="0"/>
            <w:vAlign w:val="center"/>
          </w:tcPr>
          <w:p w14:paraId="6C57FA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D1B48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688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2E7C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4D304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力的合成与分解演示器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04AFF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二种实验方法，全滑轮和测力计。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1.圆盘厚8mm，刻度线有效直径≥285mm，刻线均匀清晰，各活动支臂，轨道转动，旋转灵活，锁紧方便。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2.滑轮镶嵌轴承，转动灵活，起动力距极小。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3.测力计定位夹锁紧移动方便。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4.二种挂物线，应悬挂勾码方便。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5.定滑轮与可移动滑轮旋转夹角&lt;10度。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6.采用墨绿理化板底座，稳固耐用。</w:t>
            </w:r>
          </w:p>
        </w:tc>
        <w:tc>
          <w:tcPr>
            <w:tcW w:w="304" w:type="pct"/>
            <w:tcBorders>
              <w:top w:val="single" w:color="000000" w:sz="4" w:space="0"/>
              <w:left w:val="single" w:color="000000" w:sz="4" w:space="0"/>
              <w:bottom w:val="single" w:color="000000" w:sz="4" w:space="0"/>
              <w:right w:val="nil"/>
            </w:tcBorders>
            <w:noWrap w:val="0"/>
            <w:vAlign w:val="center"/>
          </w:tcPr>
          <w:p w14:paraId="7765C2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E8FBF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11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8E739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9BBAB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演示定滑轮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63EF8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有磁性，配合磁吸钢制黑板使用，滑轮转盘尺寸不小于50mm</w:t>
            </w:r>
          </w:p>
        </w:tc>
        <w:tc>
          <w:tcPr>
            <w:tcW w:w="304" w:type="pct"/>
            <w:tcBorders>
              <w:top w:val="single" w:color="000000" w:sz="4" w:space="0"/>
              <w:left w:val="single" w:color="000000" w:sz="4" w:space="0"/>
              <w:bottom w:val="single" w:color="000000" w:sz="4" w:space="0"/>
              <w:right w:val="nil"/>
            </w:tcBorders>
            <w:noWrap w:val="0"/>
            <w:vAlign w:val="center"/>
          </w:tcPr>
          <w:p w14:paraId="3C71EC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A8AB4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31363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58F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684E5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902C6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测量范围0N～1N，分度值0.01N；示值误差≤1/2分度，升降示差≤1/2分度，重复性偏差≤1/4分度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329B5D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46F4E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A65A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39578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9E081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99336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测量范围0N～2.5N，分度值0.05N；示值误差≤1/4分度，升降示差≤1/2分度，重复性偏差≤1/4分度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1E07BD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521F0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53652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D3459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6AF9C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A0A52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测量范围0N～5N，分度值0.1N；示值误差≤1/4分度，升降示差≤1/2分度，重复性偏差≤1/4分度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0FC0C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49F64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C439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8442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65034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条形盒测力计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D52CF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测量范围0N～10N，分度值0.2N；示值误差≤1/4分度，升降示差≤1/2分度，重复性偏差≤1/4分度</w:t>
            </w:r>
          </w:p>
        </w:tc>
        <w:tc>
          <w:tcPr>
            <w:tcW w:w="304" w:type="pct"/>
            <w:tcBorders>
              <w:top w:val="single" w:color="000000" w:sz="4" w:space="0"/>
              <w:left w:val="single" w:color="000000" w:sz="4" w:space="0"/>
              <w:bottom w:val="single" w:color="000000" w:sz="4" w:space="0"/>
              <w:right w:val="nil"/>
            </w:tcBorders>
            <w:noWrap w:val="0"/>
            <w:vAlign w:val="center"/>
          </w:tcPr>
          <w:p w14:paraId="337C08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5CF0E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EAF3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4F5D1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94E9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量角器(圆等分器)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68D1B1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最小分度值应为1°,分度线应为0º~180º和180º~0º双向标度，双向角度标度中间有划线槽。半圆直径应为150mm～200mm，尺面厚不小于6mm</w:t>
            </w:r>
          </w:p>
        </w:tc>
        <w:tc>
          <w:tcPr>
            <w:tcW w:w="304" w:type="pct"/>
            <w:tcBorders>
              <w:top w:val="single" w:color="000000" w:sz="4" w:space="0"/>
              <w:left w:val="single" w:color="000000" w:sz="4" w:space="0"/>
              <w:bottom w:val="single" w:color="000000" w:sz="4" w:space="0"/>
              <w:right w:val="nil"/>
            </w:tcBorders>
            <w:noWrap w:val="0"/>
            <w:vAlign w:val="center"/>
          </w:tcPr>
          <w:p w14:paraId="530A4F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793A5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917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E3FD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4C77C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三角板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29CE1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等腰直角，中间带量角器，斜边不小于300mm</w:t>
            </w:r>
          </w:p>
        </w:tc>
        <w:tc>
          <w:tcPr>
            <w:tcW w:w="304" w:type="pct"/>
            <w:tcBorders>
              <w:top w:val="single" w:color="000000" w:sz="4" w:space="0"/>
              <w:left w:val="single" w:color="000000" w:sz="4" w:space="0"/>
              <w:bottom w:val="single" w:color="000000" w:sz="4" w:space="0"/>
              <w:right w:val="nil"/>
            </w:tcBorders>
            <w:noWrap w:val="0"/>
            <w:vAlign w:val="center"/>
          </w:tcPr>
          <w:p w14:paraId="11D070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7D73C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7148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BAF08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A0A8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圆规</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616FC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两用圆规（绘铅线、分距），铜质或不锈钢，齿轮型结构，同步型，一般调节，宜用摩擦固定</w:t>
            </w:r>
          </w:p>
        </w:tc>
        <w:tc>
          <w:tcPr>
            <w:tcW w:w="304" w:type="pct"/>
            <w:tcBorders>
              <w:top w:val="single" w:color="000000" w:sz="4" w:space="0"/>
              <w:left w:val="single" w:color="000000" w:sz="4" w:space="0"/>
              <w:bottom w:val="single" w:color="000000" w:sz="4" w:space="0"/>
              <w:right w:val="nil"/>
            </w:tcBorders>
            <w:noWrap w:val="0"/>
            <w:vAlign w:val="center"/>
          </w:tcPr>
          <w:p w14:paraId="51D76F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975DB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8D82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C5B51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9B2D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伽利略理想斜面演示器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B583C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长度≥1200mm，一端高度可连续升降，连接曲面光滑</w:t>
            </w:r>
          </w:p>
        </w:tc>
        <w:tc>
          <w:tcPr>
            <w:tcW w:w="304" w:type="pct"/>
            <w:tcBorders>
              <w:top w:val="single" w:color="000000" w:sz="4" w:space="0"/>
              <w:left w:val="single" w:color="000000" w:sz="4" w:space="0"/>
              <w:bottom w:val="single" w:color="000000" w:sz="4" w:space="0"/>
              <w:right w:val="nil"/>
            </w:tcBorders>
            <w:noWrap w:val="0"/>
            <w:vAlign w:val="center"/>
          </w:tcPr>
          <w:p w14:paraId="4559E5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2703E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BCE6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83F98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D30FF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牛顿第二定律演示仪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ECF86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双轨道、刹车装置、滑轮、2辆小车、拉力挂钩等组成。轨道有效运动长度不小于600mm，轨面直线度误差不大于有效运动长度的0.03%，两轨面平行度误差不大于有效运动长度的0.1%；小车质量应为200g+n50g(n=0、1、2……)，误差不大于小车标称质量的2%；小车放在斜度1：50的轨道上应能从静止开始运动；刹车装置应能调节，使两辆小车同时静止或者同时开始运动；滑轮倾斜角度应可调节且固定可靠。当两小车质量相同，拉力相同，同时释放，行程误差不大于5％；当两小车质量相同，拉力为1:2，同时释放，行程误差不大于10%</w:t>
            </w:r>
          </w:p>
        </w:tc>
        <w:tc>
          <w:tcPr>
            <w:tcW w:w="304" w:type="pct"/>
            <w:tcBorders>
              <w:top w:val="single" w:color="000000" w:sz="4" w:space="0"/>
              <w:left w:val="single" w:color="000000" w:sz="4" w:space="0"/>
              <w:bottom w:val="single" w:color="000000" w:sz="4" w:space="0"/>
              <w:right w:val="nil"/>
            </w:tcBorders>
            <w:noWrap w:val="0"/>
            <w:vAlign w:val="center"/>
          </w:tcPr>
          <w:p w14:paraId="6D2222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68BBB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08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E4308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D0AAD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架盘天平（托盘天平）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F89454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测量范围0g～100g，分度值0.1g</w:t>
            </w:r>
          </w:p>
        </w:tc>
        <w:tc>
          <w:tcPr>
            <w:tcW w:w="304" w:type="pct"/>
            <w:tcBorders>
              <w:top w:val="single" w:color="000000" w:sz="4" w:space="0"/>
              <w:left w:val="single" w:color="000000" w:sz="4" w:space="0"/>
              <w:bottom w:val="single" w:color="000000" w:sz="4" w:space="0"/>
              <w:right w:val="nil"/>
            </w:tcBorders>
            <w:noWrap w:val="0"/>
            <w:vAlign w:val="center"/>
          </w:tcPr>
          <w:p w14:paraId="2733A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F06B3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0DBEA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02E7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4786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ECA0F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测量范围0g～1000g，分度值0.1g</w:t>
            </w:r>
          </w:p>
        </w:tc>
        <w:tc>
          <w:tcPr>
            <w:tcW w:w="304" w:type="pct"/>
            <w:tcBorders>
              <w:top w:val="single" w:color="000000" w:sz="4" w:space="0"/>
              <w:left w:val="single" w:color="000000" w:sz="4" w:space="0"/>
              <w:bottom w:val="single" w:color="000000" w:sz="4" w:space="0"/>
              <w:right w:val="nil"/>
            </w:tcBorders>
            <w:noWrap w:val="0"/>
            <w:vAlign w:val="center"/>
          </w:tcPr>
          <w:p w14:paraId="02EF90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7FF35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8D2D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7CA5E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7D44E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电子台秤</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17A9D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测量范围20g～5kg，分度值1g</w:t>
            </w:r>
          </w:p>
        </w:tc>
        <w:tc>
          <w:tcPr>
            <w:tcW w:w="304" w:type="pct"/>
            <w:tcBorders>
              <w:top w:val="single" w:color="000000" w:sz="4" w:space="0"/>
              <w:left w:val="single" w:color="000000" w:sz="4" w:space="0"/>
              <w:bottom w:val="single" w:color="000000" w:sz="4" w:space="0"/>
              <w:right w:val="nil"/>
            </w:tcBorders>
            <w:noWrap w:val="0"/>
            <w:vAlign w:val="center"/>
          </w:tcPr>
          <w:p w14:paraId="3D2627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43B4D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204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A29B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E5A0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超重失重演示器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6FB7C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记忆测力计式</w:t>
            </w:r>
          </w:p>
        </w:tc>
        <w:tc>
          <w:tcPr>
            <w:tcW w:w="304" w:type="pct"/>
            <w:tcBorders>
              <w:top w:val="single" w:color="000000" w:sz="4" w:space="0"/>
              <w:left w:val="single" w:color="000000" w:sz="4" w:space="0"/>
              <w:bottom w:val="single" w:color="000000" w:sz="4" w:space="0"/>
              <w:right w:val="nil"/>
            </w:tcBorders>
            <w:noWrap w:val="0"/>
            <w:vAlign w:val="center"/>
          </w:tcPr>
          <w:p w14:paraId="521908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3D726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BC6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BAC9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6224B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滚摆</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5EC08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滚摆摆体（摆轮和摆轴）、悬线、支柱、横梁和底座组成。2、摆轮Φ115mm。摆轴Φ8mm，长160mm，轴上两个穿线孔距离140mm，穿线孔径Φ1.5mm。支柱高350mm，横梁长240mm。3、摆轴对摆轮的垂直度公差约0.5mm。4、摆轴应粗细均匀。轴上二穿线孔对于摆轮的对称公差约1mm。5、摆轴镀铬。底座应稳固，表面涂漆，支柱表面应作防锈处理。</w:t>
            </w:r>
          </w:p>
        </w:tc>
        <w:tc>
          <w:tcPr>
            <w:tcW w:w="304" w:type="pct"/>
            <w:tcBorders>
              <w:top w:val="single" w:color="000000" w:sz="4" w:space="0"/>
              <w:left w:val="single" w:color="000000" w:sz="4" w:space="0"/>
              <w:bottom w:val="single" w:color="000000" w:sz="4" w:space="0"/>
              <w:right w:val="nil"/>
            </w:tcBorders>
            <w:noWrap w:val="0"/>
            <w:vAlign w:val="center"/>
          </w:tcPr>
          <w:p w14:paraId="0CEE59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0C64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B5DD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8CD3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0457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机械能守恒演示器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E04388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由底座、刻度板（含释放与收纳装置）挡片、立柱、摆锤等组成，通过摆锤的运动获得不同高度的实验数据</w:t>
            </w:r>
          </w:p>
        </w:tc>
        <w:tc>
          <w:tcPr>
            <w:tcW w:w="304" w:type="pct"/>
            <w:tcBorders>
              <w:top w:val="single" w:color="000000" w:sz="4" w:space="0"/>
              <w:left w:val="single" w:color="000000" w:sz="4" w:space="0"/>
              <w:bottom w:val="single" w:color="000000" w:sz="4" w:space="0"/>
              <w:right w:val="nil"/>
            </w:tcBorders>
            <w:noWrap w:val="0"/>
            <w:vAlign w:val="center"/>
          </w:tcPr>
          <w:p w14:paraId="6C8F19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1A54E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7D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B1D7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51E7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曲线运动速度方向实验器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ED3E9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可拼接的“S”形铝合金轨道、钢球、钢球释放装置等组成。小钢球能够在轨道内自由滚动。小钢球表面粘上印泥后，能够以一定的初速度从同一入口滚入轨道，滚出轨道时的速度方向（沿轨道该点切线）即为此时瞬时速度的方向，在加、减轨道时，小球滚出的速度方向不同。钢球在滚出轨道时会在白纸上留下一条运动的痕迹，记录钢球在离开轨道时的速度方向</w:t>
            </w:r>
          </w:p>
        </w:tc>
        <w:tc>
          <w:tcPr>
            <w:tcW w:w="304" w:type="pct"/>
            <w:tcBorders>
              <w:top w:val="single" w:color="000000" w:sz="4" w:space="0"/>
              <w:left w:val="single" w:color="000000" w:sz="4" w:space="0"/>
              <w:bottom w:val="single" w:color="000000" w:sz="4" w:space="0"/>
              <w:right w:val="nil"/>
            </w:tcBorders>
            <w:noWrap w:val="0"/>
            <w:vAlign w:val="center"/>
          </w:tcPr>
          <w:p w14:paraId="6338E9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AC81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6D1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3742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3B02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运动合成分解演示器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67B7D4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运动分解与合成；可做匀速-匀速、匀速-匀加速运动合成</w:t>
            </w:r>
          </w:p>
        </w:tc>
        <w:tc>
          <w:tcPr>
            <w:tcW w:w="304" w:type="pct"/>
            <w:tcBorders>
              <w:top w:val="single" w:color="000000" w:sz="4" w:space="0"/>
              <w:left w:val="single" w:color="000000" w:sz="4" w:space="0"/>
              <w:bottom w:val="single" w:color="000000" w:sz="4" w:space="0"/>
              <w:right w:val="nil"/>
            </w:tcBorders>
            <w:noWrap w:val="0"/>
            <w:vAlign w:val="center"/>
          </w:tcPr>
          <w:p w14:paraId="19C2DF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DA501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853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2675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56315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二维空间—时间描迹仪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43033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可用于平抛、斜抛、验证向心力、单摆运动图像等实验。高压脉冲频率：20Hz、50Hz、100Hz。电源输入与外壳：I类1500V，II类3000V；高压部分与外壳：15kV</w:t>
            </w:r>
          </w:p>
        </w:tc>
        <w:tc>
          <w:tcPr>
            <w:tcW w:w="304" w:type="pct"/>
            <w:tcBorders>
              <w:top w:val="single" w:color="000000" w:sz="4" w:space="0"/>
              <w:left w:val="single" w:color="000000" w:sz="4" w:space="0"/>
              <w:bottom w:val="single" w:color="000000" w:sz="4" w:space="0"/>
              <w:right w:val="nil"/>
            </w:tcBorders>
            <w:noWrap w:val="0"/>
            <w:vAlign w:val="center"/>
          </w:tcPr>
          <w:p w14:paraId="7D492A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2C6AB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7B29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42EF0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74789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平抛竖落仪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2EE06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重锤击打式，两球应同时落地</w:t>
            </w:r>
          </w:p>
        </w:tc>
        <w:tc>
          <w:tcPr>
            <w:tcW w:w="304" w:type="pct"/>
            <w:tcBorders>
              <w:top w:val="single" w:color="000000" w:sz="4" w:space="0"/>
              <w:left w:val="single" w:color="000000" w:sz="4" w:space="0"/>
              <w:bottom w:val="single" w:color="000000" w:sz="4" w:space="0"/>
              <w:right w:val="nil"/>
            </w:tcBorders>
            <w:noWrap w:val="0"/>
            <w:vAlign w:val="center"/>
          </w:tcPr>
          <w:p w14:paraId="7F6FC9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4196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78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A554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5DDC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平抛和碰撞实验器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8EAD0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包含钢制演示板、钢球释放机构、钢球、铝合金钢球轨道、水平挡板、支球柱、重锤等。入射小球或被碰小球从斜轨轨道末端飞出后做平抛运动，落到挡板上，挤压复写纸，留下痕迹，挡板上下位置可调</w:t>
            </w:r>
          </w:p>
        </w:tc>
        <w:tc>
          <w:tcPr>
            <w:tcW w:w="304" w:type="pct"/>
            <w:tcBorders>
              <w:top w:val="single" w:color="000000" w:sz="4" w:space="0"/>
              <w:left w:val="single" w:color="000000" w:sz="4" w:space="0"/>
              <w:bottom w:val="single" w:color="000000" w:sz="4" w:space="0"/>
              <w:right w:val="nil"/>
            </w:tcBorders>
            <w:noWrap w:val="0"/>
            <w:vAlign w:val="center"/>
          </w:tcPr>
          <w:p w14:paraId="29F11D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A0D66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5224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1B164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EE3E8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向心力实验器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2AA54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质量、半径和角速度均可调</w:t>
            </w:r>
          </w:p>
        </w:tc>
        <w:tc>
          <w:tcPr>
            <w:tcW w:w="304" w:type="pct"/>
            <w:tcBorders>
              <w:top w:val="single" w:color="000000" w:sz="4" w:space="0"/>
              <w:left w:val="single" w:color="000000" w:sz="4" w:space="0"/>
              <w:bottom w:val="single" w:color="000000" w:sz="4" w:space="0"/>
              <w:right w:val="nil"/>
            </w:tcBorders>
            <w:noWrap w:val="0"/>
            <w:vAlign w:val="center"/>
          </w:tcPr>
          <w:p w14:paraId="4A20F6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FCA8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011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AC3D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1925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碰撞实验器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4154B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供高中物理教学验证动量守恒定律等学生分组实验用。产品由轨道、小平轴、水平固定螺丝、C形夹、档球板、支球柱、玻璃靶球、钢球、重锤等组成。1.轨道应采用铝形材加工制成，表面烤漆处理；2.C形夹夹持范围不小于40mm；3.钢球和玻璃球直径为16mm。</w:t>
            </w:r>
          </w:p>
        </w:tc>
        <w:tc>
          <w:tcPr>
            <w:tcW w:w="304" w:type="pct"/>
            <w:tcBorders>
              <w:top w:val="single" w:color="000000" w:sz="4" w:space="0"/>
              <w:left w:val="single" w:color="000000" w:sz="4" w:space="0"/>
              <w:bottom w:val="single" w:color="000000" w:sz="4" w:space="0"/>
              <w:right w:val="nil"/>
            </w:tcBorders>
            <w:noWrap w:val="0"/>
            <w:vAlign w:val="center"/>
          </w:tcPr>
          <w:p w14:paraId="277418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2603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5C66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BBB9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B23B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动量守恒小车</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B3EC0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包含轴承、实心摆球、小车等。小车底部有4个可动轮，摆球的直径≥5cm</w:t>
            </w:r>
          </w:p>
        </w:tc>
        <w:tc>
          <w:tcPr>
            <w:tcW w:w="304" w:type="pct"/>
            <w:tcBorders>
              <w:top w:val="single" w:color="000000" w:sz="4" w:space="0"/>
              <w:left w:val="single" w:color="000000" w:sz="4" w:space="0"/>
              <w:bottom w:val="single" w:color="000000" w:sz="4" w:space="0"/>
              <w:right w:val="nil"/>
            </w:tcBorders>
            <w:noWrap w:val="0"/>
            <w:vAlign w:val="center"/>
          </w:tcPr>
          <w:p w14:paraId="1C1ED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429EA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5F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66B3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91EE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动量传递演示器(碰撞球)</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6EE6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包括底板、立柱、横杆、横梁、钢球等。支架上悬挂5个等质量、等直径且相互接触的钢球，并设有微调装置，用来调节钢球高低。钢球直径不小于16mm</w:t>
            </w:r>
          </w:p>
        </w:tc>
        <w:tc>
          <w:tcPr>
            <w:tcW w:w="304" w:type="pct"/>
            <w:tcBorders>
              <w:top w:val="single" w:color="000000" w:sz="4" w:space="0"/>
              <w:left w:val="single" w:color="000000" w:sz="4" w:space="0"/>
              <w:bottom w:val="single" w:color="000000" w:sz="4" w:space="0"/>
              <w:right w:val="nil"/>
            </w:tcBorders>
            <w:noWrap w:val="0"/>
            <w:vAlign w:val="center"/>
          </w:tcPr>
          <w:p w14:paraId="048B45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B4F34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918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0D6F5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88CE2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反冲运动演示器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FCF67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包含调节钉、上下支承、盛水器、支撑座、喷管、底座、横梁、立柱、密封座等。反冲运动时间不小于60s，盛水器盛水量1000mL±100mL</w:t>
            </w:r>
          </w:p>
        </w:tc>
        <w:tc>
          <w:tcPr>
            <w:tcW w:w="304" w:type="pct"/>
            <w:tcBorders>
              <w:top w:val="single" w:color="000000" w:sz="4" w:space="0"/>
              <w:left w:val="single" w:color="000000" w:sz="4" w:space="0"/>
              <w:bottom w:val="single" w:color="000000" w:sz="4" w:space="0"/>
              <w:right w:val="nil"/>
            </w:tcBorders>
            <w:noWrap w:val="0"/>
            <w:vAlign w:val="center"/>
          </w:tcPr>
          <w:p w14:paraId="39862D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0C0F6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5E4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A339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0BBF2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弹簧振子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A309A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气垫式，含气源接口</w:t>
            </w:r>
          </w:p>
        </w:tc>
        <w:tc>
          <w:tcPr>
            <w:tcW w:w="304" w:type="pct"/>
            <w:tcBorders>
              <w:top w:val="single" w:color="000000" w:sz="4" w:space="0"/>
              <w:left w:val="single" w:color="000000" w:sz="4" w:space="0"/>
              <w:bottom w:val="single" w:color="000000" w:sz="4" w:space="0"/>
              <w:right w:val="nil"/>
            </w:tcBorders>
            <w:noWrap w:val="0"/>
            <w:vAlign w:val="center"/>
          </w:tcPr>
          <w:p w14:paraId="5E7339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EFFD9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D981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8C5C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45EDB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单摆运动规律演示器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341F4A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由铝合金底座、支撑杆、摆球等组成；可改变摆长、回复力等；宜配置光电门或计时器、无线传输模块等，与演示用显示屏配套使用显示频率、周期等；实验误差不大于5%</w:t>
            </w:r>
          </w:p>
        </w:tc>
        <w:tc>
          <w:tcPr>
            <w:tcW w:w="304" w:type="pct"/>
            <w:tcBorders>
              <w:top w:val="single" w:color="000000" w:sz="4" w:space="0"/>
              <w:left w:val="single" w:color="000000" w:sz="4" w:space="0"/>
              <w:bottom w:val="single" w:color="000000" w:sz="4" w:space="0"/>
              <w:right w:val="nil"/>
            </w:tcBorders>
            <w:noWrap w:val="0"/>
            <w:vAlign w:val="center"/>
          </w:tcPr>
          <w:p w14:paraId="4B9A3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9830C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A57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D510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1507B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单摆</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15596A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5个摆球，含3个直径不同的钢球，1个木球，1个塑料球。单摆夹应由金属材料制成，夹口应为V形，单摆在摆动过程中摆线上的固定点应不变</w:t>
            </w:r>
          </w:p>
        </w:tc>
        <w:tc>
          <w:tcPr>
            <w:tcW w:w="304" w:type="pct"/>
            <w:tcBorders>
              <w:top w:val="single" w:color="000000" w:sz="4" w:space="0"/>
              <w:left w:val="single" w:color="000000" w:sz="4" w:space="0"/>
              <w:bottom w:val="single" w:color="000000" w:sz="4" w:space="0"/>
              <w:right w:val="nil"/>
            </w:tcBorders>
            <w:noWrap w:val="0"/>
            <w:vAlign w:val="center"/>
          </w:tcPr>
          <w:p w14:paraId="443A0C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606E0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963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319ED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C936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电子秒表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FEC07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专用型，全时段分辨力0.01s；有防震、防水功能，电池更换周期不小于1.5年</w:t>
            </w:r>
          </w:p>
        </w:tc>
        <w:tc>
          <w:tcPr>
            <w:tcW w:w="304" w:type="pct"/>
            <w:tcBorders>
              <w:top w:val="single" w:color="000000" w:sz="4" w:space="0"/>
              <w:left w:val="single" w:color="000000" w:sz="4" w:space="0"/>
              <w:bottom w:val="single" w:color="000000" w:sz="4" w:space="0"/>
              <w:right w:val="nil"/>
            </w:tcBorders>
            <w:noWrap w:val="0"/>
            <w:vAlign w:val="center"/>
          </w:tcPr>
          <w:p w14:paraId="649427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68BF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F0C3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797C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29AFF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受迫振动和共振演示器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4C775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改变策动摆摆长，可分别使5个摆长不同的单摆发生共振，用来演示驱动力周期和单摆固有周期相同时发生共振</w:t>
            </w:r>
          </w:p>
        </w:tc>
        <w:tc>
          <w:tcPr>
            <w:tcW w:w="304" w:type="pct"/>
            <w:tcBorders>
              <w:top w:val="single" w:color="000000" w:sz="4" w:space="0"/>
              <w:left w:val="single" w:color="000000" w:sz="4" w:space="0"/>
              <w:bottom w:val="single" w:color="000000" w:sz="4" w:space="0"/>
              <w:right w:val="nil"/>
            </w:tcBorders>
            <w:noWrap w:val="0"/>
            <w:vAlign w:val="center"/>
          </w:tcPr>
          <w:p w14:paraId="2D09C9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29D96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1F7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F105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5BAEB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波动弹簧</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8D980E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扁钢丝弹簧密绕；弹簧钢丝宽2.5mm~2.8mm，厚0.6mm～0.8mm；弹簧刚度2.0×10－3N/mm～5.0×10－3N/mm；圈数不小于130，弹簧旋绕比为25倍～35倍</w:t>
            </w:r>
          </w:p>
        </w:tc>
        <w:tc>
          <w:tcPr>
            <w:tcW w:w="304" w:type="pct"/>
            <w:tcBorders>
              <w:top w:val="single" w:color="000000" w:sz="4" w:space="0"/>
              <w:left w:val="single" w:color="000000" w:sz="4" w:space="0"/>
              <w:bottom w:val="single" w:color="000000" w:sz="4" w:space="0"/>
              <w:right w:val="nil"/>
            </w:tcBorders>
            <w:noWrap w:val="0"/>
            <w:vAlign w:val="center"/>
          </w:tcPr>
          <w:p w14:paraId="7B2F76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C9BE1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449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F30F6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05182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纵波演示器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C6B42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用于演示纵波实验，由振动器及纵向波弹簧组成，纵向波弹簧≥155mm。外形尺寸：Φ100mm×120mm；波的密部和疏部现象明显</w:t>
            </w:r>
          </w:p>
        </w:tc>
        <w:tc>
          <w:tcPr>
            <w:tcW w:w="304" w:type="pct"/>
            <w:tcBorders>
              <w:top w:val="single" w:color="000000" w:sz="4" w:space="0"/>
              <w:left w:val="single" w:color="000000" w:sz="4" w:space="0"/>
              <w:bottom w:val="single" w:color="000000" w:sz="4" w:space="0"/>
              <w:right w:val="nil"/>
            </w:tcBorders>
            <w:noWrap w:val="0"/>
            <w:vAlign w:val="center"/>
          </w:tcPr>
          <w:p w14:paraId="6284EB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92D36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C29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9F489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2F27D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绳波演示器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87731F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横波、行波、驻波、模拟偏振</w:t>
            </w:r>
          </w:p>
        </w:tc>
        <w:tc>
          <w:tcPr>
            <w:tcW w:w="304" w:type="pct"/>
            <w:tcBorders>
              <w:top w:val="single" w:color="000000" w:sz="4" w:space="0"/>
              <w:left w:val="single" w:color="000000" w:sz="4" w:space="0"/>
              <w:bottom w:val="single" w:color="000000" w:sz="4" w:space="0"/>
              <w:right w:val="nil"/>
            </w:tcBorders>
            <w:noWrap w:val="0"/>
            <w:vAlign w:val="center"/>
          </w:tcPr>
          <w:p w14:paraId="0BC0F3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781F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EAD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46F6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0A0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发波水槽</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E6735A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水波槽、振动器、频闪光源和投影设备等组成，振动器的振幅应能调节，水槽尺寸不小于30cm×30cm×35cm,屏幕尺寸不小于26cm×24cm。性能要求：能消除边缘产生的反射波；能够演示小孔的口径不变，调整频率，衍射由不明显到明显；能够演示频率不变，改变小孔的口径，衍射由不明显到明显；投影清晰，可见度好</w:t>
            </w:r>
          </w:p>
        </w:tc>
        <w:tc>
          <w:tcPr>
            <w:tcW w:w="304" w:type="pct"/>
            <w:tcBorders>
              <w:top w:val="single" w:color="000000" w:sz="4" w:space="0"/>
              <w:left w:val="single" w:color="000000" w:sz="4" w:space="0"/>
              <w:bottom w:val="single" w:color="000000" w:sz="4" w:space="0"/>
              <w:right w:val="nil"/>
            </w:tcBorders>
            <w:noWrap w:val="0"/>
            <w:vAlign w:val="center"/>
          </w:tcPr>
          <w:p w14:paraId="10AA48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36DD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F98B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79D4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7AC91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油膜实验器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E9B776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盛水盘、计数板、滴液器、油酸稀释液（或油酸）、粉、粉盒等组成。盛水盘深度不小于20mm，中心点到边沿的最小距离不小于100mm，中心点应有明显标记。计数板需透明并印有正方形格子，格子边长5mm，计数板应能覆盖整个盘面。粉盒内滤粉网不小于300目，粉不溶于水。滴液器灵活好用，不漏液</w:t>
            </w:r>
          </w:p>
        </w:tc>
        <w:tc>
          <w:tcPr>
            <w:tcW w:w="304" w:type="pct"/>
            <w:tcBorders>
              <w:top w:val="single" w:color="000000" w:sz="4" w:space="0"/>
              <w:left w:val="single" w:color="000000" w:sz="4" w:space="0"/>
              <w:bottom w:val="single" w:color="000000" w:sz="4" w:space="0"/>
              <w:right w:val="nil"/>
            </w:tcBorders>
            <w:noWrap w:val="0"/>
            <w:vAlign w:val="center"/>
          </w:tcPr>
          <w:p w14:paraId="317A41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39DBB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F628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F3D9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2E2B4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光学显微镜</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DD4E0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640×,带光源</w:t>
            </w:r>
          </w:p>
        </w:tc>
        <w:tc>
          <w:tcPr>
            <w:tcW w:w="304" w:type="pct"/>
            <w:tcBorders>
              <w:top w:val="single" w:color="000000" w:sz="4" w:space="0"/>
              <w:left w:val="single" w:color="000000" w:sz="4" w:space="0"/>
              <w:bottom w:val="single" w:color="000000" w:sz="4" w:space="0"/>
              <w:right w:val="nil"/>
            </w:tcBorders>
            <w:noWrap w:val="0"/>
            <w:vAlign w:val="center"/>
          </w:tcPr>
          <w:p w14:paraId="4B3A8D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EC299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30DD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FE06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FAF5E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液体表面张力演示器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DDDB48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可观察不同形状、不同状态的薄膜，薄膜产生的收缩效果等，宜能支持表面张力测量实验</w:t>
            </w:r>
          </w:p>
        </w:tc>
        <w:tc>
          <w:tcPr>
            <w:tcW w:w="304" w:type="pct"/>
            <w:tcBorders>
              <w:top w:val="single" w:color="000000" w:sz="4" w:space="0"/>
              <w:left w:val="single" w:color="000000" w:sz="4" w:space="0"/>
              <w:bottom w:val="single" w:color="000000" w:sz="4" w:space="0"/>
              <w:right w:val="nil"/>
            </w:tcBorders>
            <w:noWrap w:val="0"/>
            <w:vAlign w:val="center"/>
          </w:tcPr>
          <w:p w14:paraId="52DE55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5E5AA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C89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8063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C8D1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气体定律演示器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3BB9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立式结构，设计新颖，用热敏电阻做传感器，密封在测量气室内，用数显模快显示温度的变化，用压强传感器采集压强的变化信息，用压强显示模快显示压强的变化。外壳用外径100mm透明亚克力圆管制作，观察无死角。定量气体的气室用PC透明100mL注射器，刻度均匀清晰，活塞限位装置易操作，气体体积易定量，易控制，容积易计算，结构原理正确。产品加入100℃洁净水做实验，安全耐用。用硅胶管连接各部件，使用寿命长，又耐高低温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产品可做定量气体的等温变化，定量气体的等压变化，定量气体的等容变化，实验误差多次平均值&lt;3%。</w:t>
            </w:r>
          </w:p>
        </w:tc>
        <w:tc>
          <w:tcPr>
            <w:tcW w:w="304" w:type="pct"/>
            <w:tcBorders>
              <w:top w:val="single" w:color="000000" w:sz="4" w:space="0"/>
              <w:left w:val="single" w:color="000000" w:sz="4" w:space="0"/>
              <w:bottom w:val="single" w:color="000000" w:sz="4" w:space="0"/>
              <w:right w:val="nil"/>
            </w:tcBorders>
            <w:noWrap w:val="0"/>
            <w:vAlign w:val="center"/>
          </w:tcPr>
          <w:p w14:paraId="63EC7B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89F86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36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D106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02A8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气体定律实验器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B839B5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立式结构，设计新颖，用热敏电阻做传感器，密封在测量气室内，用数显模快显示温度的变化，用压强传感器采集压强的变化信息，用压强显示模快显示压强的变化。外壳用外径100mm透明亚克力圆管制作，观察无死角。定量气体的气室用PC透明100mL注射器，刻度均匀清晰，活塞限位装置易操作，气体体积易定量，易控制，容积易计算，结构原理正确。产品加入100℃洁净水做实验，安全耐用。用硅胶管连接各部件，使用寿命长，又耐高低温实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产品可做定量气体的等温变化，定量气体的等压变化，定量气体的等容变化，实验误差多次平均值&lt;3%。</w:t>
            </w:r>
          </w:p>
        </w:tc>
        <w:tc>
          <w:tcPr>
            <w:tcW w:w="304" w:type="pct"/>
            <w:tcBorders>
              <w:top w:val="single" w:color="000000" w:sz="4" w:space="0"/>
              <w:left w:val="single" w:color="000000" w:sz="4" w:space="0"/>
              <w:bottom w:val="single" w:color="000000" w:sz="4" w:space="0"/>
              <w:right w:val="nil"/>
            </w:tcBorders>
            <w:noWrap w:val="0"/>
            <w:vAlign w:val="center"/>
          </w:tcPr>
          <w:p w14:paraId="6C1056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AF67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05AA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0C15D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BEE80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空气压缩引火仪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8AF2A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气缸、底座、端盖、活塞等部分组成。气缸用透明有机玻璃制作，内径Φ10mm，外径Φ25mm，长130mm，底座Φ65mm，手柄Φ40mm，活塞杆Φ8mm。活塞体应使用弹性材料制成，活塞与气缸气密性应良好，连续压缩引火100次后密封圈性能不变。应能引燃脱脂棉，不应使用硝化棉</w:t>
            </w:r>
          </w:p>
        </w:tc>
        <w:tc>
          <w:tcPr>
            <w:tcW w:w="304" w:type="pct"/>
            <w:tcBorders>
              <w:top w:val="single" w:color="000000" w:sz="4" w:space="0"/>
              <w:left w:val="single" w:color="000000" w:sz="4" w:space="0"/>
              <w:bottom w:val="single" w:color="000000" w:sz="4" w:space="0"/>
              <w:right w:val="nil"/>
            </w:tcBorders>
            <w:noWrap w:val="0"/>
            <w:vAlign w:val="center"/>
          </w:tcPr>
          <w:p w14:paraId="605A38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00908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E94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45DF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6BEF5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光具座</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82E84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导轨长1000mm，导轨和滑块均为金属件，滑块在导轨上应滑行自如，无阻滞现象。金属标尺刻度900mm，分度值lmm。光源出口处照度应≥5001x，500mm处照度≥3001x。附件包括双凸透镜2件，平凸透镜1件，双凹透镜1件，“1”字屏1件，白屏1件，插杆5根，带支架毛玻璃屏1件，烛台1件，宜配F光源。各器件易于装配、固定及拆卸</w:t>
            </w:r>
          </w:p>
        </w:tc>
        <w:tc>
          <w:tcPr>
            <w:tcW w:w="304" w:type="pct"/>
            <w:tcBorders>
              <w:top w:val="single" w:color="000000" w:sz="4" w:space="0"/>
              <w:left w:val="single" w:color="000000" w:sz="4" w:space="0"/>
              <w:bottom w:val="single" w:color="000000" w:sz="4" w:space="0"/>
              <w:right w:val="nil"/>
            </w:tcBorders>
            <w:noWrap w:val="0"/>
            <w:vAlign w:val="center"/>
          </w:tcPr>
          <w:p w14:paraId="7F3F51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37C4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06B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898DC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703D2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光具盘C</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C532F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离型、磁吸附式。矩形光盘长≥650mm，宽≥240mm；圆形光盘直径≥250mm。盘面分四个象限，以一条直径为始边，分别刻有0°~90°刻度。半导体激光光源，可显示5条平行光。光学零件：梯形玻砖1件，等腰直角棱镜1件，半圆柱透镜1件，小双凹柱透镜1件，小双凸柱透镜1件，双凸透镜1件，大双凸柱透镜1件，平面镜1件，凹凸柱面镜1件，正三棱镜2件</w:t>
            </w:r>
          </w:p>
        </w:tc>
        <w:tc>
          <w:tcPr>
            <w:tcW w:w="304" w:type="pct"/>
            <w:tcBorders>
              <w:top w:val="single" w:color="000000" w:sz="4" w:space="0"/>
              <w:left w:val="single" w:color="000000" w:sz="4" w:space="0"/>
              <w:bottom w:val="single" w:color="000000" w:sz="4" w:space="0"/>
              <w:right w:val="nil"/>
            </w:tcBorders>
            <w:noWrap w:val="0"/>
            <w:vAlign w:val="center"/>
          </w:tcPr>
          <w:p w14:paraId="479CD2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D3B15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BCC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AC91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E6AF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激光光学演示仪C</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40CF57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演示屏、圆形光盘、光源、分束器、光学零部件（扩束透镜、双凸柱面透镜、半圆柱面透镜、平凸柱面透镜、平凹柱面透镜、凹凸柱面反光镜、平面镜、漫反射镜、等边棱镜、等腰直角棱镜、光纤、光具架、移动尺）等。演示屏长度≥350mm，宽度≥280mm；圆形光盘直径≥160mm。光盘面分为四个象限，分别刻有0°~90°刻度。激光束经分束器在演示屏上呈现的三条光束基本相同</w:t>
            </w:r>
          </w:p>
        </w:tc>
        <w:tc>
          <w:tcPr>
            <w:tcW w:w="304" w:type="pct"/>
            <w:tcBorders>
              <w:top w:val="single" w:color="000000" w:sz="4" w:space="0"/>
              <w:left w:val="single" w:color="000000" w:sz="4" w:space="0"/>
              <w:bottom w:val="single" w:color="000000" w:sz="4" w:space="0"/>
              <w:right w:val="nil"/>
            </w:tcBorders>
            <w:noWrap w:val="0"/>
            <w:vAlign w:val="center"/>
          </w:tcPr>
          <w:p w14:paraId="0C4339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F7E5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3B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F469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7AC59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光的折射全反射实验器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78ECD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包括演示屏、折射镜、光源、光源座、反射镜、底座、漫反射镜等。可折叠，演示屏半径≥130mm，半圆玻璃折射镜半径≥35mm</w:t>
            </w:r>
          </w:p>
        </w:tc>
        <w:tc>
          <w:tcPr>
            <w:tcW w:w="304" w:type="pct"/>
            <w:tcBorders>
              <w:top w:val="single" w:color="000000" w:sz="4" w:space="0"/>
              <w:left w:val="single" w:color="000000" w:sz="4" w:space="0"/>
              <w:bottom w:val="single" w:color="000000" w:sz="4" w:space="0"/>
              <w:right w:val="nil"/>
            </w:tcBorders>
            <w:noWrap w:val="0"/>
            <w:vAlign w:val="center"/>
          </w:tcPr>
          <w:p w14:paraId="5E27BF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9A28A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40C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0E0D8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71403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光的传播、反射、折射实验器C</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96B3D7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由能显示光路的透明材料制成的半圆玻砖、角度板、2个条形玻砖、2个半导体激光光源（不加扩束镜，1个为入射光源，1个提供法线）等组成，表盘直径≥300mm</w:t>
            </w:r>
          </w:p>
        </w:tc>
        <w:tc>
          <w:tcPr>
            <w:tcW w:w="304" w:type="pct"/>
            <w:tcBorders>
              <w:top w:val="single" w:color="000000" w:sz="4" w:space="0"/>
              <w:left w:val="single" w:color="000000" w:sz="4" w:space="0"/>
              <w:bottom w:val="single" w:color="000000" w:sz="4" w:space="0"/>
              <w:right w:val="nil"/>
            </w:tcBorders>
            <w:noWrap w:val="0"/>
            <w:vAlign w:val="center"/>
          </w:tcPr>
          <w:p w14:paraId="6274EC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EBD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73F9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6E3E5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4B1A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玻璃砖</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BC582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形尺寸：上底长为35mm，两底角为60°±0.5°和45°±0.5°,高度为35mm±1mm，厚度为15mm±1mm；上下两面底面平行度为0.10mm；以抛光的梯形面为基标准面，上、下两底面、两斜面与基准面垂直度为0.1mm；玻璃砖中的一梯形面为粗加工面，光洁度为V5，上下里底面、两斜面及另一梯形面为精加工面，应进行抛光处理</w:t>
            </w:r>
          </w:p>
        </w:tc>
        <w:tc>
          <w:tcPr>
            <w:tcW w:w="304" w:type="pct"/>
            <w:tcBorders>
              <w:top w:val="single" w:color="000000" w:sz="4" w:space="0"/>
              <w:left w:val="single" w:color="000000" w:sz="4" w:space="0"/>
              <w:bottom w:val="single" w:color="000000" w:sz="4" w:space="0"/>
              <w:right w:val="nil"/>
            </w:tcBorders>
            <w:noWrap w:val="0"/>
            <w:vAlign w:val="center"/>
          </w:tcPr>
          <w:p w14:paraId="58C181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876AF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36A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85A4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80F6E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折射率实验配材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85F803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八开白纸（26cm×36.8cm）、图钉（每组至少4个）、大头针（每组至少4个）、方木板（尺寸不小于400mm×600mm）</w:t>
            </w:r>
          </w:p>
        </w:tc>
        <w:tc>
          <w:tcPr>
            <w:tcW w:w="304" w:type="pct"/>
            <w:tcBorders>
              <w:top w:val="single" w:color="000000" w:sz="4" w:space="0"/>
              <w:left w:val="single" w:color="000000" w:sz="4" w:space="0"/>
              <w:bottom w:val="single" w:color="000000" w:sz="4" w:space="0"/>
              <w:right w:val="nil"/>
            </w:tcBorders>
            <w:noWrap w:val="0"/>
            <w:vAlign w:val="center"/>
          </w:tcPr>
          <w:p w14:paraId="01637F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E3DC2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538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CBD38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CF388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光导纤维应用演示器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55257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传光束、传像束、有机玻璃棒、通讯演示器（发射机和接收机）、字母板、放大屏等。视听距离≥6m，传光束长度≥400mm，横截面≥2.55mm2，白光透过率≥50%，传像束长度≥350mm，传像工作面积≥100mm2。光线丝排列对应整齐，无错位，像元数不低于900个</w:t>
            </w:r>
          </w:p>
        </w:tc>
        <w:tc>
          <w:tcPr>
            <w:tcW w:w="304" w:type="pct"/>
            <w:tcBorders>
              <w:top w:val="single" w:color="000000" w:sz="4" w:space="0"/>
              <w:left w:val="single" w:color="000000" w:sz="4" w:space="0"/>
              <w:bottom w:val="single" w:color="000000" w:sz="4" w:space="0"/>
              <w:right w:val="nil"/>
            </w:tcBorders>
            <w:noWrap w:val="0"/>
            <w:vAlign w:val="center"/>
          </w:tcPr>
          <w:p w14:paraId="5C7AB3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5B1CF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B0F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36EC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E3160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玻棒(附丝绸)</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B93568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或有机玻棒(附丝绸)，丝绸面积≥350mm×350mm。在规定工作条件下，用丝绸裹住玻棒（或有机玻棒），做一次快速拉出，棒上所带的电荷用D－YDQ－Z-100型指针验电器检验张角≥30°(≥50°)</w:t>
            </w:r>
          </w:p>
        </w:tc>
        <w:tc>
          <w:tcPr>
            <w:tcW w:w="304" w:type="pct"/>
            <w:tcBorders>
              <w:top w:val="single" w:color="000000" w:sz="4" w:space="0"/>
              <w:left w:val="single" w:color="000000" w:sz="4" w:space="0"/>
              <w:bottom w:val="single" w:color="000000" w:sz="4" w:space="0"/>
              <w:right w:val="nil"/>
            </w:tcBorders>
            <w:noWrap w:val="0"/>
            <w:vAlign w:val="center"/>
          </w:tcPr>
          <w:p w14:paraId="6658E0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DBC6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B6DF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40014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A0E13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胶棒(附毛皮)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71902C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或聚碳酸酯棒(附毛皮)，毛皮面积≥150mm×150mm。在规定工作条件下，用毛皮裹胶棒（或聚碳酸脂棒），做一次快速拉出，棒上所带的电荷用D－YDQ－Z-100型指针验电器检验张角≥30°(≥45°)</w:t>
            </w:r>
          </w:p>
        </w:tc>
        <w:tc>
          <w:tcPr>
            <w:tcW w:w="304" w:type="pct"/>
            <w:tcBorders>
              <w:top w:val="single" w:color="000000" w:sz="4" w:space="0"/>
              <w:left w:val="single" w:color="000000" w:sz="4" w:space="0"/>
              <w:bottom w:val="single" w:color="000000" w:sz="4" w:space="0"/>
              <w:right w:val="nil"/>
            </w:tcBorders>
            <w:noWrap w:val="0"/>
            <w:vAlign w:val="center"/>
          </w:tcPr>
          <w:p w14:paraId="0864A4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7E07A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D9B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D9DA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9D266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箔片验电器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F0C19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外壳、圆盘、导电杆、绝缘子、箔片、中位卡、接线柱和底座等组成。外壳应由不能带静电的材料制成，观察面应采用透明材料，透明材料透光率≥90%，箔片长度≥25mm。性能要求：相对湿度≤65%的环境，圆盘上加8kV直流高压，箔片张开与中位片角度≥45°。移去高压后，箔片张开角度保持30°以上的时间≥10min</w:t>
            </w:r>
          </w:p>
        </w:tc>
        <w:tc>
          <w:tcPr>
            <w:tcW w:w="304" w:type="pct"/>
            <w:tcBorders>
              <w:top w:val="single" w:color="000000" w:sz="4" w:space="0"/>
              <w:left w:val="single" w:color="000000" w:sz="4" w:space="0"/>
              <w:bottom w:val="single" w:color="000000" w:sz="4" w:space="0"/>
              <w:right w:val="nil"/>
            </w:tcBorders>
            <w:noWrap w:val="0"/>
            <w:vAlign w:val="center"/>
          </w:tcPr>
          <w:p w14:paraId="78F229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F00E3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97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77CC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0DE8F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指针验电器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C422AD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YDQ－Z－100型指针验电器，由外壳、圆球、法拉第圆筒、导电杆、绝缘子、指针、指针架、接地线柱构成。外壳应由不能带静电的材料制成，外壳上观察面应采用透明材料（透光率≥90%），指针用非磁性材料，长度≥100mm，带法拉第圆筒，指针刻度应为收敛式。性能要求：相对湿度≤65%的环境，圆球加9kV直流高压，指针张开角度在45º~50º,移去高压后，指针保持30°以上的时间≥20min</w:t>
            </w:r>
          </w:p>
        </w:tc>
        <w:tc>
          <w:tcPr>
            <w:tcW w:w="304" w:type="pct"/>
            <w:tcBorders>
              <w:top w:val="single" w:color="000000" w:sz="4" w:space="0"/>
              <w:left w:val="single" w:color="000000" w:sz="4" w:space="0"/>
              <w:bottom w:val="single" w:color="000000" w:sz="4" w:space="0"/>
              <w:right w:val="nil"/>
            </w:tcBorders>
            <w:noWrap w:val="0"/>
            <w:vAlign w:val="center"/>
          </w:tcPr>
          <w:p w14:paraId="5738D5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4819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7CF7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57F02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F31FD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移电球（验电球）</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5A772B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带有绝缘棒的金属小球</w:t>
            </w:r>
          </w:p>
        </w:tc>
        <w:tc>
          <w:tcPr>
            <w:tcW w:w="304" w:type="pct"/>
            <w:tcBorders>
              <w:top w:val="single" w:color="000000" w:sz="4" w:space="0"/>
              <w:left w:val="single" w:color="000000" w:sz="4" w:space="0"/>
              <w:bottom w:val="single" w:color="000000" w:sz="4" w:space="0"/>
              <w:right w:val="nil"/>
            </w:tcBorders>
            <w:noWrap w:val="0"/>
            <w:vAlign w:val="center"/>
          </w:tcPr>
          <w:p w14:paraId="2366E9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EB745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C80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20B37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394E4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验电器连接杆</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B6DB36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含导电杆、绝缘手柄等，导电杆直径不小于2mm，长度不小于250mm，绝缘柄直径不小于10mm，长度不小于150mm</w:t>
            </w:r>
          </w:p>
        </w:tc>
        <w:tc>
          <w:tcPr>
            <w:tcW w:w="304" w:type="pct"/>
            <w:tcBorders>
              <w:top w:val="single" w:color="000000" w:sz="4" w:space="0"/>
              <w:left w:val="single" w:color="000000" w:sz="4" w:space="0"/>
              <w:bottom w:val="single" w:color="000000" w:sz="4" w:space="0"/>
              <w:right w:val="nil"/>
            </w:tcBorders>
            <w:noWrap w:val="0"/>
            <w:vAlign w:val="center"/>
          </w:tcPr>
          <w:p w14:paraId="639F24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28F81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F4E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0AC6B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DD90B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电子起电机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210845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放电距离应为5mm～35mm，输出高压电流应≤500μA，有短路保护和开路保护，连续工作时间不少于30min，输出电压对地正负对称。安全要求：变压器的一次绕阻和二次绕阻抗电强度应达到交流3000V，电源与高压部分的电气间隙和爬电距离符合高压电气要求，宜采用外接的电源变换器（II类电器）。宜用干电池作电源</w:t>
            </w:r>
          </w:p>
        </w:tc>
        <w:tc>
          <w:tcPr>
            <w:tcW w:w="304" w:type="pct"/>
            <w:tcBorders>
              <w:top w:val="single" w:color="000000" w:sz="4" w:space="0"/>
              <w:left w:val="single" w:color="000000" w:sz="4" w:space="0"/>
              <w:bottom w:val="single" w:color="000000" w:sz="4" w:space="0"/>
              <w:right w:val="nil"/>
            </w:tcBorders>
            <w:noWrap w:val="0"/>
            <w:vAlign w:val="center"/>
          </w:tcPr>
          <w:p w14:paraId="382982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A5432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5A59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8B1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CFFF7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枕形导体</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11545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一对相同的半枕形导体、绝缘支杆和底座等组成。半枕形导体下方应有一个导电挂钩，导电挂钩不应有尖端。圆筒导体的直径应不小于55mm，长度应不小于100mm。半枕形导体应宜用304号以上不锈钢制成，封闭端应为半球面。性能要求：使各静电导体与D－YDQ－Z-100型指针验电器连接，用9kV高压使导体带电，10min内指针验电器的指针张角应≥30º</w:t>
            </w:r>
          </w:p>
        </w:tc>
        <w:tc>
          <w:tcPr>
            <w:tcW w:w="304" w:type="pct"/>
            <w:tcBorders>
              <w:top w:val="single" w:color="000000" w:sz="4" w:space="0"/>
              <w:left w:val="single" w:color="000000" w:sz="4" w:space="0"/>
              <w:bottom w:val="single" w:color="000000" w:sz="4" w:space="0"/>
              <w:right w:val="nil"/>
            </w:tcBorders>
            <w:noWrap w:val="0"/>
            <w:vAlign w:val="center"/>
          </w:tcPr>
          <w:p w14:paraId="6AC518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E8FC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AE1B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4DA9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D184B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球形导体</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C177B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圆球形导体或开口的圆球形导体、绝缘支杆和底座构成。导体宜用不锈钢（304号以上）制成，球体直径应不小于90mm。性能要求：使静电导体与D－YDQ-Z－100型指针验电器连接，用9kV高压使导体带电，10min内指针验电器的指针张角应≥30º</w:t>
            </w:r>
          </w:p>
        </w:tc>
        <w:tc>
          <w:tcPr>
            <w:tcW w:w="304" w:type="pct"/>
            <w:tcBorders>
              <w:top w:val="single" w:color="000000" w:sz="4" w:space="0"/>
              <w:left w:val="single" w:color="000000" w:sz="4" w:space="0"/>
              <w:bottom w:val="single" w:color="000000" w:sz="4" w:space="0"/>
              <w:right w:val="nil"/>
            </w:tcBorders>
            <w:noWrap w:val="0"/>
            <w:vAlign w:val="center"/>
          </w:tcPr>
          <w:p w14:paraId="0D12A7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B8B02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64EA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0444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6EFE4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验电幡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6C944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由长方形铜丝网、绝缘支柱、底座等部分组成。绝缘部分宜用有机玻璃制成</w:t>
            </w:r>
          </w:p>
        </w:tc>
        <w:tc>
          <w:tcPr>
            <w:tcW w:w="304" w:type="pct"/>
            <w:tcBorders>
              <w:top w:val="single" w:color="000000" w:sz="4" w:space="0"/>
              <w:left w:val="single" w:color="000000" w:sz="4" w:space="0"/>
              <w:bottom w:val="single" w:color="000000" w:sz="4" w:space="0"/>
              <w:right w:val="nil"/>
            </w:tcBorders>
            <w:noWrap w:val="0"/>
            <w:vAlign w:val="center"/>
          </w:tcPr>
          <w:p w14:paraId="19E0F1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7D14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F3A9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832D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8D09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库仑定律演示器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474727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精确到千分位的电子天平，三个带有绝缘底座的相同的金属小球，带刻度（最小刻度1mm）的支架，一个金属小球通过绝缘杆连接在支架上，并可自由升降和固定。将以上仪器封装于矩形有机玻璃罩内，有开口可进行相应调节，另附红外干燥器</w:t>
            </w:r>
          </w:p>
        </w:tc>
        <w:tc>
          <w:tcPr>
            <w:tcW w:w="304" w:type="pct"/>
            <w:tcBorders>
              <w:top w:val="single" w:color="000000" w:sz="4" w:space="0"/>
              <w:left w:val="single" w:color="000000" w:sz="4" w:space="0"/>
              <w:bottom w:val="single" w:color="000000" w:sz="4" w:space="0"/>
              <w:right w:val="nil"/>
            </w:tcBorders>
            <w:noWrap w:val="0"/>
            <w:vAlign w:val="center"/>
          </w:tcPr>
          <w:p w14:paraId="5CBC07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A0292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E63E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064D0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89213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验电羽</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18507D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由绝缘支架、金属片、细尼龙绳、螺钉等组成。绝缘支架上装有两片金属片，两金属片间夹有若干长条形细尼龙绳</w:t>
            </w:r>
          </w:p>
        </w:tc>
        <w:tc>
          <w:tcPr>
            <w:tcW w:w="304" w:type="pct"/>
            <w:tcBorders>
              <w:top w:val="single" w:color="000000" w:sz="4" w:space="0"/>
              <w:left w:val="single" w:color="000000" w:sz="4" w:space="0"/>
              <w:bottom w:val="single" w:color="000000" w:sz="4" w:space="0"/>
              <w:right w:val="nil"/>
            </w:tcBorders>
            <w:noWrap w:val="0"/>
            <w:vAlign w:val="center"/>
          </w:tcPr>
          <w:p w14:paraId="06C943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272E1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CDD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998E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01EF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电场线演示器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C210B4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由单点电极演示板、双点电极演示板（同种电极和异种电极）、平行板电极演示板、环形电极演示板、尖形导体演示板组成</w:t>
            </w:r>
          </w:p>
        </w:tc>
        <w:tc>
          <w:tcPr>
            <w:tcW w:w="304" w:type="pct"/>
            <w:tcBorders>
              <w:top w:val="single" w:color="000000" w:sz="4" w:space="0"/>
              <w:left w:val="single" w:color="000000" w:sz="4" w:space="0"/>
              <w:bottom w:val="single" w:color="000000" w:sz="4" w:space="0"/>
              <w:right w:val="nil"/>
            </w:tcBorders>
            <w:noWrap w:val="0"/>
            <w:vAlign w:val="center"/>
          </w:tcPr>
          <w:p w14:paraId="7AEBA0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46758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2931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8A4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3189D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平行板电容器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71E4EE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极板、介质板等构成，两平行板间距离可调，最大应不小于100mm，最小距离应不大于3mm。介质板插入两极板中间后，极板与介质板间应能接触。极板装配后，两块板面之间的相对面积应能任意调节，相对面积变化应能从100％变化到零。宜采用转动或平移错开极板改变相对面积的方式</w:t>
            </w:r>
          </w:p>
        </w:tc>
        <w:tc>
          <w:tcPr>
            <w:tcW w:w="304" w:type="pct"/>
            <w:tcBorders>
              <w:top w:val="single" w:color="000000" w:sz="4" w:space="0"/>
              <w:left w:val="single" w:color="000000" w:sz="4" w:space="0"/>
              <w:bottom w:val="single" w:color="000000" w:sz="4" w:space="0"/>
              <w:right w:val="nil"/>
            </w:tcBorders>
            <w:noWrap w:val="0"/>
            <w:vAlign w:val="center"/>
          </w:tcPr>
          <w:p w14:paraId="6F5F8E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3CF87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5B8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C7C4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CBB9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常用电容器示教板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D2E28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电解电容器、云母电容器、陶瓷电容器、独石电容器、薄膜电容器、贴片电容器、微调电容器、可变电容器等。性能要求：电容器要标明相应参数</w:t>
            </w:r>
          </w:p>
        </w:tc>
        <w:tc>
          <w:tcPr>
            <w:tcW w:w="304" w:type="pct"/>
            <w:tcBorders>
              <w:top w:val="single" w:color="000000" w:sz="4" w:space="0"/>
              <w:left w:val="single" w:color="000000" w:sz="4" w:space="0"/>
              <w:bottom w:val="single" w:color="000000" w:sz="4" w:space="0"/>
              <w:right w:val="nil"/>
            </w:tcBorders>
            <w:noWrap w:val="0"/>
            <w:vAlign w:val="center"/>
          </w:tcPr>
          <w:p w14:paraId="3C9D11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AC80F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A11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1A8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1E256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电容器实验板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14255E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包含不少于5种规格不同电解电容器，排列均匀，焊接在实验板上，能有效实现电容器充放电等实验</w:t>
            </w:r>
          </w:p>
        </w:tc>
        <w:tc>
          <w:tcPr>
            <w:tcW w:w="304" w:type="pct"/>
            <w:tcBorders>
              <w:top w:val="single" w:color="000000" w:sz="4" w:space="0"/>
              <w:left w:val="single" w:color="000000" w:sz="4" w:space="0"/>
              <w:bottom w:val="single" w:color="000000" w:sz="4" w:space="0"/>
              <w:right w:val="nil"/>
            </w:tcBorders>
            <w:noWrap w:val="0"/>
            <w:vAlign w:val="center"/>
          </w:tcPr>
          <w:p w14:paraId="5279C2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7ED2C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r>
      <w:tr w14:paraId="12D80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5565A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0CC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常用电阻器示教板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95790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定值电阻(碳膜电阻、金属膜电阻、绕线电阻、水泥电阻、贴片式电阻等)、可变电阻(电位器、小型滑动变阻器)、特殊电阻(热敏电阻、光敏电阻、压敏电阻）等</w:t>
            </w:r>
          </w:p>
        </w:tc>
        <w:tc>
          <w:tcPr>
            <w:tcW w:w="304" w:type="pct"/>
            <w:tcBorders>
              <w:top w:val="single" w:color="000000" w:sz="4" w:space="0"/>
              <w:left w:val="single" w:color="000000" w:sz="4" w:space="0"/>
              <w:bottom w:val="single" w:color="000000" w:sz="4" w:space="0"/>
              <w:right w:val="nil"/>
            </w:tcBorders>
            <w:noWrap w:val="0"/>
            <w:vAlign w:val="center"/>
          </w:tcPr>
          <w:p w14:paraId="299198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717A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3AB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EB7E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1B9A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电阻实验板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AF024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由不少于6种不同规格的定值电阻（1Ω~100kΩ)组成，排列均匀，焊接在实验板上，应注明标称值及系列</w:t>
            </w:r>
          </w:p>
        </w:tc>
        <w:tc>
          <w:tcPr>
            <w:tcW w:w="304" w:type="pct"/>
            <w:tcBorders>
              <w:top w:val="single" w:color="000000" w:sz="4" w:space="0"/>
              <w:left w:val="single" w:color="000000" w:sz="4" w:space="0"/>
              <w:bottom w:val="single" w:color="000000" w:sz="4" w:space="0"/>
              <w:right w:val="nil"/>
            </w:tcBorders>
            <w:noWrap w:val="0"/>
            <w:vAlign w:val="center"/>
          </w:tcPr>
          <w:p w14:paraId="7F1424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878F0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2F6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F1E9E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2C90E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单刀双掷开关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556B2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最高工作电压 36 V，额定工作电流 6 A。 开关闸刀、接线柱、垫片均为铜质。闸  刀宽度≥7 mm，闸刀厚度≥0.7 mm。接  线柱直径为 4 mm，有效行程≥4 mm。通  额定电流，导电部分允许温升≤35 ℃,  操作手柄允许温升≤25 ℃。开关的绝缘 强度应能承受 1200 V 在额定直流电流工 作条件下，接线两端直流电压降≤100 mV</w:t>
            </w:r>
          </w:p>
        </w:tc>
        <w:tc>
          <w:tcPr>
            <w:tcW w:w="304" w:type="pct"/>
            <w:tcBorders>
              <w:top w:val="single" w:color="000000" w:sz="4" w:space="0"/>
              <w:left w:val="single" w:color="000000" w:sz="4" w:space="0"/>
              <w:bottom w:val="single" w:color="000000" w:sz="4" w:space="0"/>
              <w:right w:val="nil"/>
            </w:tcBorders>
            <w:noWrap w:val="0"/>
            <w:vAlign w:val="center"/>
          </w:tcPr>
          <w:p w14:paraId="23554C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E257B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r>
      <w:tr w14:paraId="1DD26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1D464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1F81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双刀双掷开关</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D7161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最高工作电压 36 V，额定工作电流 6 A。 开关闸刀、接线柱、垫片均为铜质。闸  刀宽度≥7 mm，闸刀厚度≥0.7 mm。接  线柱直径为 4 mm，有效行程≥4 mm。通  额定电流，导电部分允许温升≤35 ℃,  操作手柄允许温升≤25 ℃。开关的绝缘 强度应能承受 1200 V 在额定直流电流工 作条件下，接线两端直流电压降≤100 mV</w:t>
            </w:r>
          </w:p>
        </w:tc>
        <w:tc>
          <w:tcPr>
            <w:tcW w:w="304" w:type="pct"/>
            <w:tcBorders>
              <w:top w:val="single" w:color="000000" w:sz="4" w:space="0"/>
              <w:left w:val="single" w:color="000000" w:sz="4" w:space="0"/>
              <w:bottom w:val="single" w:color="000000" w:sz="4" w:space="0"/>
              <w:right w:val="nil"/>
            </w:tcBorders>
            <w:noWrap w:val="0"/>
            <w:vAlign w:val="center"/>
          </w:tcPr>
          <w:p w14:paraId="4B8865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C2187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ECF4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9F3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BE4C5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电池盒</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B1501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R20（1＃）电池用，有接线柱，负极可用弹簧或弹性磷铜片，有串联接插口，电池装反时不能接通</w:t>
            </w:r>
          </w:p>
        </w:tc>
        <w:tc>
          <w:tcPr>
            <w:tcW w:w="304" w:type="pct"/>
            <w:tcBorders>
              <w:top w:val="single" w:color="000000" w:sz="4" w:space="0"/>
              <w:left w:val="single" w:color="000000" w:sz="4" w:space="0"/>
              <w:bottom w:val="single" w:color="000000" w:sz="4" w:space="0"/>
              <w:right w:val="nil"/>
            </w:tcBorders>
            <w:noWrap w:val="0"/>
            <w:vAlign w:val="center"/>
          </w:tcPr>
          <w:p w14:paraId="0BB610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AE4B8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0F434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6276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157F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干电池</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815F5C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R20，无汞</w:t>
            </w:r>
          </w:p>
        </w:tc>
        <w:tc>
          <w:tcPr>
            <w:tcW w:w="304" w:type="pct"/>
            <w:tcBorders>
              <w:top w:val="single" w:color="000000" w:sz="4" w:space="0"/>
              <w:left w:val="single" w:color="000000" w:sz="4" w:space="0"/>
              <w:bottom w:val="single" w:color="000000" w:sz="4" w:space="0"/>
              <w:right w:val="nil"/>
            </w:tcBorders>
            <w:noWrap w:val="0"/>
            <w:vAlign w:val="center"/>
          </w:tcPr>
          <w:p w14:paraId="219547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0F7D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39F73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EDB97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C99E5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高中学生电源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77358B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交流输出：2V～16V/3A，每2V一档。直流稳压输出：2V～16V/2A，每2V一档。有过载保护。安全要求：电源端与外壳抗电强度1500V（有保护接地线）或3000V（无保护接地线），电源端与低压输出抗电强度3000V</w:t>
            </w:r>
          </w:p>
        </w:tc>
        <w:tc>
          <w:tcPr>
            <w:tcW w:w="304" w:type="pct"/>
            <w:tcBorders>
              <w:top w:val="single" w:color="000000" w:sz="4" w:space="0"/>
              <w:left w:val="single" w:color="000000" w:sz="4" w:space="0"/>
              <w:bottom w:val="single" w:color="000000" w:sz="4" w:space="0"/>
              <w:right w:val="nil"/>
            </w:tcBorders>
            <w:noWrap w:val="0"/>
            <w:vAlign w:val="center"/>
          </w:tcPr>
          <w:p w14:paraId="308FE6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275A9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F709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4FBC3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EFAFA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高中教学电源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56964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2V～24V，每2V一档，2V～6V/12A，8V～12V/6A，14V～24V/3A；直流稳压：1V～25V分档连续可调，2V～6V/6A，8V～12V/4A，14V~24V/2A；40A、8s自动关断。安全要求：电源端与外壳抗电强度1500V（有保护接地线）或3000V（无保护接地线），电源端与低压输出抗电强度3000V</w:t>
            </w:r>
          </w:p>
        </w:tc>
        <w:tc>
          <w:tcPr>
            <w:tcW w:w="304" w:type="pct"/>
            <w:tcBorders>
              <w:top w:val="single" w:color="000000" w:sz="4" w:space="0"/>
              <w:left w:val="single" w:color="000000" w:sz="4" w:space="0"/>
              <w:bottom w:val="single" w:color="000000" w:sz="4" w:space="0"/>
              <w:right w:val="nil"/>
            </w:tcBorders>
            <w:noWrap w:val="0"/>
            <w:vAlign w:val="center"/>
          </w:tcPr>
          <w:p w14:paraId="4E9052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27B08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E55F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867D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A8DF2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演示电表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A5A2BB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磁电系高阻演示直流；电流、电压2.5级，电阻5.0级</w:t>
            </w:r>
          </w:p>
        </w:tc>
        <w:tc>
          <w:tcPr>
            <w:tcW w:w="304" w:type="pct"/>
            <w:tcBorders>
              <w:top w:val="single" w:color="000000" w:sz="4" w:space="0"/>
              <w:left w:val="single" w:color="000000" w:sz="4" w:space="0"/>
              <w:bottom w:val="single" w:color="000000" w:sz="4" w:space="0"/>
              <w:right w:val="nil"/>
            </w:tcBorders>
            <w:noWrap w:val="0"/>
            <w:vAlign w:val="center"/>
          </w:tcPr>
          <w:p w14:paraId="16C086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3ACD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77964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7304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70630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直流电压表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A7782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3V、15V双量程，2.5级</w:t>
            </w:r>
          </w:p>
        </w:tc>
        <w:tc>
          <w:tcPr>
            <w:tcW w:w="304" w:type="pct"/>
            <w:tcBorders>
              <w:top w:val="single" w:color="000000" w:sz="4" w:space="0"/>
              <w:left w:val="single" w:color="000000" w:sz="4" w:space="0"/>
              <w:bottom w:val="single" w:color="000000" w:sz="4" w:space="0"/>
              <w:right w:val="nil"/>
            </w:tcBorders>
            <w:noWrap w:val="0"/>
            <w:vAlign w:val="center"/>
          </w:tcPr>
          <w:p w14:paraId="3DCB71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096AB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9EE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6848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B078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直流电压表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E9B7ED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0.6A、3A双量程，2.5级</w:t>
            </w:r>
          </w:p>
        </w:tc>
        <w:tc>
          <w:tcPr>
            <w:tcW w:w="304" w:type="pct"/>
            <w:tcBorders>
              <w:top w:val="single" w:color="000000" w:sz="4" w:space="0"/>
              <w:left w:val="single" w:color="000000" w:sz="4" w:space="0"/>
              <w:bottom w:val="single" w:color="000000" w:sz="4" w:space="0"/>
              <w:right w:val="nil"/>
            </w:tcBorders>
            <w:noWrap w:val="0"/>
            <w:vAlign w:val="center"/>
          </w:tcPr>
          <w:p w14:paraId="352411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55DD5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BE50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7CD0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5CD7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直流电压表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2057D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200μA，2.5级</w:t>
            </w:r>
          </w:p>
        </w:tc>
        <w:tc>
          <w:tcPr>
            <w:tcW w:w="304" w:type="pct"/>
            <w:tcBorders>
              <w:top w:val="single" w:color="000000" w:sz="4" w:space="0"/>
              <w:left w:val="single" w:color="000000" w:sz="4" w:space="0"/>
              <w:bottom w:val="single" w:color="000000" w:sz="4" w:space="0"/>
              <w:right w:val="nil"/>
            </w:tcBorders>
            <w:noWrap w:val="0"/>
            <w:vAlign w:val="center"/>
          </w:tcPr>
          <w:p w14:paraId="0DC889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C9FD7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05CEA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97532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164E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多用电表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375CE7E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指针式，不低于2.5级，学生用电表功能不低于MF47型电表，教师用电表功能不低于MF10型电表</w:t>
            </w:r>
          </w:p>
        </w:tc>
        <w:tc>
          <w:tcPr>
            <w:tcW w:w="304" w:type="pct"/>
            <w:tcBorders>
              <w:top w:val="single" w:color="000000" w:sz="4" w:space="0"/>
              <w:left w:val="single" w:color="000000" w:sz="4" w:space="0"/>
              <w:bottom w:val="single" w:color="000000" w:sz="4" w:space="0"/>
              <w:right w:val="nil"/>
            </w:tcBorders>
            <w:noWrap w:val="0"/>
            <w:vAlign w:val="center"/>
          </w:tcPr>
          <w:p w14:paraId="0376A4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2AECA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3AF93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6B14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8B7EA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电阻定律实验器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83E00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 底座由金属拉伸成型，磷化喷塑，尺寸为560mm×170mm×20mm。2.电阻丝规格、阻值等基本参数见下表：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材质 导线直径(mm) 有效长度(mm) 参考阻值(Ω) 数量(根)  铜 0.5±0.04 1000±2 0.09 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铁 0.5±0.04 1000±2 0.5 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镍铬 0.5±0.04 1000±2 5 2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3.电阻丝在两接线柱之间的有效长度保证为1000±2mm。4.各电阻丝的材质、直径在底板上有明显的标志。金属丝精细均匀，在有效长度内不能有弯折、锈蚀现象。5.接线柱为铜质，直径≥8mm，与底板绝缘良好。</w:t>
            </w:r>
          </w:p>
        </w:tc>
        <w:tc>
          <w:tcPr>
            <w:tcW w:w="304" w:type="pct"/>
            <w:tcBorders>
              <w:top w:val="single" w:color="000000" w:sz="4" w:space="0"/>
              <w:left w:val="single" w:color="000000" w:sz="4" w:space="0"/>
              <w:bottom w:val="single" w:color="000000" w:sz="4" w:space="0"/>
              <w:right w:val="nil"/>
            </w:tcBorders>
            <w:noWrap w:val="0"/>
            <w:vAlign w:val="center"/>
          </w:tcPr>
          <w:p w14:paraId="7277B6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1C3B4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0649D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734C1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1660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电路实验板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169CAC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演示用，接插式或磁贴式</w:t>
            </w:r>
          </w:p>
        </w:tc>
        <w:tc>
          <w:tcPr>
            <w:tcW w:w="304" w:type="pct"/>
            <w:tcBorders>
              <w:top w:val="single" w:color="000000" w:sz="4" w:space="0"/>
              <w:left w:val="single" w:color="000000" w:sz="4" w:space="0"/>
              <w:bottom w:val="single" w:color="000000" w:sz="4" w:space="0"/>
              <w:right w:val="nil"/>
            </w:tcBorders>
            <w:noWrap w:val="0"/>
            <w:vAlign w:val="center"/>
          </w:tcPr>
          <w:p w14:paraId="49E52D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1EB78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81E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B881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68FC8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接线夹导线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62A20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纯铜接线夹；纯铜导线，长度分别为200mm、300mm、400mm，芯线截面积不小于0.5mm2；宜用不同线色</w:t>
            </w:r>
          </w:p>
        </w:tc>
        <w:tc>
          <w:tcPr>
            <w:tcW w:w="304" w:type="pct"/>
            <w:tcBorders>
              <w:top w:val="single" w:color="000000" w:sz="4" w:space="0"/>
              <w:left w:val="single" w:color="000000" w:sz="4" w:space="0"/>
              <w:bottom w:val="single" w:color="000000" w:sz="4" w:space="0"/>
              <w:right w:val="nil"/>
            </w:tcBorders>
            <w:noWrap w:val="0"/>
            <w:vAlign w:val="center"/>
          </w:tcPr>
          <w:p w14:paraId="3806C1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62B80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04C9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2C9D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C8AEA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接线叉导线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3247C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纯铜接线叉，接线叉开口5.9mm；纯铜导线，长度分别为200mm、300mm、400mm，芯线截面积不小于0.5mm2；宜用不同线色</w:t>
            </w:r>
          </w:p>
        </w:tc>
        <w:tc>
          <w:tcPr>
            <w:tcW w:w="304" w:type="pct"/>
            <w:tcBorders>
              <w:top w:val="single" w:color="000000" w:sz="4" w:space="0"/>
              <w:left w:val="single" w:color="000000" w:sz="4" w:space="0"/>
              <w:bottom w:val="single" w:color="000000" w:sz="4" w:space="0"/>
              <w:right w:val="nil"/>
            </w:tcBorders>
            <w:noWrap w:val="0"/>
            <w:vAlign w:val="center"/>
          </w:tcPr>
          <w:p w14:paraId="10BD64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53EC5D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D55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30603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A18CA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组合接头导线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93081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一头为纯铜接线叉，一头为接线夹，接线叉开口5.9mm；纯铜导线，长度分别为200mm、300mm、400mm，芯线截面积不小于0.5mm2；宜用不同线色</w:t>
            </w:r>
          </w:p>
        </w:tc>
        <w:tc>
          <w:tcPr>
            <w:tcW w:w="304" w:type="pct"/>
            <w:tcBorders>
              <w:top w:val="single" w:color="000000" w:sz="4" w:space="0"/>
              <w:left w:val="single" w:color="000000" w:sz="4" w:space="0"/>
              <w:bottom w:val="single" w:color="000000" w:sz="4" w:space="0"/>
              <w:right w:val="nil"/>
            </w:tcBorders>
            <w:noWrap w:val="0"/>
            <w:vAlign w:val="center"/>
          </w:tcPr>
          <w:p w14:paraId="64DED9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B85CA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213C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E904B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40F8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电阻箱</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1C7F70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六位，99999.9Ω,1级</w:t>
            </w:r>
          </w:p>
        </w:tc>
        <w:tc>
          <w:tcPr>
            <w:tcW w:w="304" w:type="pct"/>
            <w:tcBorders>
              <w:top w:val="single" w:color="000000" w:sz="4" w:space="0"/>
              <w:left w:val="single" w:color="000000" w:sz="4" w:space="0"/>
              <w:bottom w:val="single" w:color="000000" w:sz="4" w:space="0"/>
              <w:right w:val="nil"/>
            </w:tcBorders>
            <w:noWrap w:val="0"/>
            <w:vAlign w:val="center"/>
          </w:tcPr>
          <w:p w14:paraId="32E249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C9E42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4E9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D64B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6E039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滑动变阻器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FC8DD5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10Ω,2A，滑杆宜采用正多边形截面（正六边形、正四边形、正三角形）；滑片不应滑出端夹以外；全部电阻线以额定电流连续工作30min，温升不应超过300K</w:t>
            </w:r>
          </w:p>
        </w:tc>
        <w:tc>
          <w:tcPr>
            <w:tcW w:w="304" w:type="pct"/>
            <w:tcBorders>
              <w:top w:val="single" w:color="000000" w:sz="4" w:space="0"/>
              <w:left w:val="single" w:color="000000" w:sz="4" w:space="0"/>
              <w:bottom w:val="single" w:color="000000" w:sz="4" w:space="0"/>
              <w:right w:val="nil"/>
            </w:tcBorders>
            <w:noWrap w:val="0"/>
            <w:vAlign w:val="center"/>
          </w:tcPr>
          <w:p w14:paraId="5A114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D6B45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D80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ED5A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1F967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滑动变阻器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5C82B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20Ω,2A，滑杆宜采用正多边形截面（正六边形、正四边形、正三角形）；滑片不应滑出端夹以外；全部电阻线以额定电流连续工作30min，温升不应超过300K</w:t>
            </w:r>
          </w:p>
        </w:tc>
        <w:tc>
          <w:tcPr>
            <w:tcW w:w="304" w:type="pct"/>
            <w:tcBorders>
              <w:top w:val="single" w:color="000000" w:sz="4" w:space="0"/>
              <w:left w:val="single" w:color="000000" w:sz="4" w:space="0"/>
              <w:bottom w:val="single" w:color="000000" w:sz="4" w:space="0"/>
              <w:right w:val="nil"/>
            </w:tcBorders>
            <w:noWrap w:val="0"/>
            <w:vAlign w:val="center"/>
          </w:tcPr>
          <w:p w14:paraId="7987FD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7FAE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5C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08F6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2B925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滑动变阻器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7E1D19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50Ω,1.5A，滑杆宜采用正多边形截面（正六边形、正四边形、正三角形）；滑片不应滑出端夹以外；全部电阻线以额定电流连续工作30min，温升不应超过300K</w:t>
            </w:r>
          </w:p>
        </w:tc>
        <w:tc>
          <w:tcPr>
            <w:tcW w:w="304" w:type="pct"/>
            <w:tcBorders>
              <w:top w:val="single" w:color="000000" w:sz="4" w:space="0"/>
              <w:left w:val="single" w:color="000000" w:sz="4" w:space="0"/>
              <w:bottom w:val="single" w:color="000000" w:sz="4" w:space="0"/>
              <w:right w:val="nil"/>
            </w:tcBorders>
            <w:noWrap w:val="0"/>
            <w:vAlign w:val="center"/>
          </w:tcPr>
          <w:p w14:paraId="12D061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7C4A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205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7069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F4E96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菱形小磁针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91B7CA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16支，磁针28mm×8mm，座Φ25mm×25mm，磁针体中间铆接铜轴承套，内嵌玻璃轴承，平均磁感应强度≥5mT</w:t>
            </w:r>
          </w:p>
        </w:tc>
        <w:tc>
          <w:tcPr>
            <w:tcW w:w="304" w:type="pct"/>
            <w:tcBorders>
              <w:top w:val="single" w:color="000000" w:sz="4" w:space="0"/>
              <w:left w:val="single" w:color="000000" w:sz="4" w:space="0"/>
              <w:bottom w:val="single" w:color="000000" w:sz="4" w:space="0"/>
              <w:right w:val="nil"/>
            </w:tcBorders>
            <w:noWrap w:val="0"/>
            <w:vAlign w:val="center"/>
          </w:tcPr>
          <w:p w14:paraId="1B8AFB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9A8FB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57D3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C27FA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1B86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翼形磁针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E4205A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2支，针体140mm×8mm，座Φ71mm×112mm。磁针体中间铆接铜轴承套，内嵌玻璃轴承，平均磁感应强度≥9mT</w:t>
            </w:r>
          </w:p>
        </w:tc>
        <w:tc>
          <w:tcPr>
            <w:tcW w:w="304" w:type="pct"/>
            <w:tcBorders>
              <w:top w:val="single" w:color="000000" w:sz="4" w:space="0"/>
              <w:left w:val="single" w:color="000000" w:sz="4" w:space="0"/>
              <w:bottom w:val="single" w:color="000000" w:sz="4" w:space="0"/>
              <w:right w:val="nil"/>
            </w:tcBorders>
            <w:noWrap w:val="0"/>
            <w:vAlign w:val="center"/>
          </w:tcPr>
          <w:p w14:paraId="60A51B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E3004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167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203DC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51C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条形磁铁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CEA0D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D-CG-LT-180，表面磁感应强度≥0.07T</w:t>
            </w:r>
          </w:p>
        </w:tc>
        <w:tc>
          <w:tcPr>
            <w:tcW w:w="304" w:type="pct"/>
            <w:tcBorders>
              <w:top w:val="single" w:color="000000" w:sz="4" w:space="0"/>
              <w:left w:val="single" w:color="000000" w:sz="4" w:space="0"/>
              <w:bottom w:val="single" w:color="000000" w:sz="4" w:space="0"/>
              <w:right w:val="nil"/>
            </w:tcBorders>
            <w:noWrap w:val="0"/>
            <w:vAlign w:val="center"/>
          </w:tcPr>
          <w:p w14:paraId="176185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0EDDD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CE7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A7B22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7E6C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蹄形磁铁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7BB48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一体成型，D-CG-LU-100，表面磁感应强度≥0.07T</w:t>
            </w:r>
          </w:p>
        </w:tc>
        <w:tc>
          <w:tcPr>
            <w:tcW w:w="304" w:type="pct"/>
            <w:tcBorders>
              <w:top w:val="single" w:color="000000" w:sz="4" w:space="0"/>
              <w:left w:val="single" w:color="000000" w:sz="4" w:space="0"/>
              <w:bottom w:val="single" w:color="000000" w:sz="4" w:space="0"/>
              <w:right w:val="nil"/>
            </w:tcBorders>
            <w:noWrap w:val="0"/>
            <w:vAlign w:val="center"/>
          </w:tcPr>
          <w:p w14:paraId="59AFA2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2B029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4D155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3E52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0A041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充磁器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1642CA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充磁时间自动控制功能，外壳为非铁磁性材料，线圈轴向长度不小于80mm，能充两极间距大于28mm、磁极截面积小于42mm×24mm的U形磁铁以及截面积小于42mm×24mm的条形磁铁，电源与线圈骨架以及外壳金属件之间抗电强度3000V</w:t>
            </w:r>
          </w:p>
        </w:tc>
        <w:tc>
          <w:tcPr>
            <w:tcW w:w="304" w:type="pct"/>
            <w:tcBorders>
              <w:top w:val="single" w:color="000000" w:sz="4" w:space="0"/>
              <w:left w:val="single" w:color="000000" w:sz="4" w:space="0"/>
              <w:bottom w:val="single" w:color="000000" w:sz="4" w:space="0"/>
              <w:right w:val="nil"/>
            </w:tcBorders>
            <w:noWrap w:val="0"/>
            <w:vAlign w:val="center"/>
          </w:tcPr>
          <w:p w14:paraId="3E20F6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35ECA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8375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47FA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C3842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电磁感应演示器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B37235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匀强磁场的磁感应强度应足够大，闭合矩形线框面积应小于匀强磁场区域的面积。部分切割或旋转时能够产生较大电流：单根导线切割磁感线，经过微电流放大器，可用演示电表指示；电动机线圈及支架在电磁铁磁场的匀强区内旋转，感生电动势（峰值）应为0.5V～1.6V；软线圈移出电磁铁匀强区时感生电动势应为0.4V～1.5V（峰值）；长方形线圈的长边在匀强磁场中约0.5m/s～1m/s的速度作切割磁感线运动，感生电动势应为0.3V至大于1.0V（峰值）</w:t>
            </w:r>
          </w:p>
        </w:tc>
        <w:tc>
          <w:tcPr>
            <w:tcW w:w="304" w:type="pct"/>
            <w:tcBorders>
              <w:top w:val="single" w:color="000000" w:sz="4" w:space="0"/>
              <w:left w:val="single" w:color="000000" w:sz="4" w:space="0"/>
              <w:bottom w:val="single" w:color="000000" w:sz="4" w:space="0"/>
              <w:right w:val="nil"/>
            </w:tcBorders>
            <w:noWrap w:val="0"/>
            <w:vAlign w:val="center"/>
          </w:tcPr>
          <w:p w14:paraId="73112F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D6AAE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3C5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10A81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7F0E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磁电式电流表模型</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DFDCC0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由永久磁铁、铁芯、线圈、螺旋弹簧、指针、刻度盘等组成。外壳透明，从电表的前后应能观察到电表的内部测量结构和主要结构件以及动作原理。通过电流时线圈能旋转</w:t>
            </w:r>
          </w:p>
        </w:tc>
        <w:tc>
          <w:tcPr>
            <w:tcW w:w="304" w:type="pct"/>
            <w:tcBorders>
              <w:top w:val="single" w:color="000000" w:sz="4" w:space="0"/>
              <w:left w:val="single" w:color="000000" w:sz="4" w:space="0"/>
              <w:bottom w:val="single" w:color="000000" w:sz="4" w:space="0"/>
              <w:right w:val="nil"/>
            </w:tcBorders>
            <w:noWrap w:val="0"/>
            <w:vAlign w:val="center"/>
          </w:tcPr>
          <w:p w14:paraId="0AFBD6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09647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2B65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04DC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65D4B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电场中带电粒子运动模拟演示器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2EE250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用实验球模拟带电粒子，有加速电极、偏转电极</w:t>
            </w:r>
          </w:p>
        </w:tc>
        <w:tc>
          <w:tcPr>
            <w:tcW w:w="304" w:type="pct"/>
            <w:tcBorders>
              <w:top w:val="single" w:color="000000" w:sz="4" w:space="0"/>
              <w:left w:val="single" w:color="000000" w:sz="4" w:space="0"/>
              <w:bottom w:val="single" w:color="000000" w:sz="4" w:space="0"/>
              <w:right w:val="nil"/>
            </w:tcBorders>
            <w:noWrap w:val="0"/>
            <w:vAlign w:val="center"/>
          </w:tcPr>
          <w:p w14:paraId="14E35C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196C5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F791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CAC6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E70C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阴极射线管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4CC7C23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磁偏转管，使用高压为60kV，负载电流为200μA的直流高压电源，阴极射线管应能工作，电子束轨迹的亮度应≥100cd/m2</w:t>
            </w:r>
          </w:p>
        </w:tc>
        <w:tc>
          <w:tcPr>
            <w:tcW w:w="304" w:type="pct"/>
            <w:tcBorders>
              <w:top w:val="single" w:color="000000" w:sz="4" w:space="0"/>
              <w:left w:val="single" w:color="000000" w:sz="4" w:space="0"/>
              <w:bottom w:val="single" w:color="000000" w:sz="4" w:space="0"/>
              <w:right w:val="nil"/>
            </w:tcBorders>
            <w:noWrap w:val="0"/>
            <w:vAlign w:val="center"/>
          </w:tcPr>
          <w:p w14:paraId="3325AC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6498A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BEFF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C328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39739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灵敏电流计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CC6B9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测量精度：2.5级，测量范围：-300μA~0μA～300μA，表头内阻：G0档80Ω~125Ω,G1档2400Ω~3000Ω</w:t>
            </w:r>
          </w:p>
        </w:tc>
        <w:tc>
          <w:tcPr>
            <w:tcW w:w="304" w:type="pct"/>
            <w:tcBorders>
              <w:top w:val="single" w:color="000000" w:sz="4" w:space="0"/>
              <w:left w:val="single" w:color="000000" w:sz="4" w:space="0"/>
              <w:bottom w:val="single" w:color="000000" w:sz="4" w:space="0"/>
              <w:right w:val="nil"/>
            </w:tcBorders>
            <w:noWrap w:val="0"/>
            <w:vAlign w:val="center"/>
          </w:tcPr>
          <w:p w14:paraId="486ABE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EF371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53897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E50A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2C364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环形磁铁</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FF1CF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一体成型，D-CG-YT-36，表面磁感应强度≥0.05T</w:t>
            </w:r>
          </w:p>
        </w:tc>
        <w:tc>
          <w:tcPr>
            <w:tcW w:w="304" w:type="pct"/>
            <w:tcBorders>
              <w:top w:val="single" w:color="000000" w:sz="4" w:space="0"/>
              <w:left w:val="single" w:color="000000" w:sz="4" w:space="0"/>
              <w:bottom w:val="single" w:color="000000" w:sz="4" w:space="0"/>
              <w:right w:val="nil"/>
            </w:tcBorders>
            <w:noWrap w:val="0"/>
            <w:vAlign w:val="center"/>
          </w:tcPr>
          <w:p w14:paraId="4EB196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29DFA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4ED9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4A3D1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961F5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原副线圈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EE7EEC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原线圈：0.56mmQZ型漆包线310匝~330匝，线圈架内径11mm，绕线宽度57mm。副线圈0.25mmQZ型漆包线670匝～680匝，线圈架内径24mm，绕线宽度52mm。性能要求：各线圈都应带绕向标识</w:t>
            </w:r>
          </w:p>
        </w:tc>
        <w:tc>
          <w:tcPr>
            <w:tcW w:w="304" w:type="pct"/>
            <w:tcBorders>
              <w:top w:val="single" w:color="000000" w:sz="4" w:space="0"/>
              <w:left w:val="single" w:color="000000" w:sz="4" w:space="0"/>
              <w:bottom w:val="single" w:color="000000" w:sz="4" w:space="0"/>
              <w:right w:val="nil"/>
            </w:tcBorders>
            <w:noWrap w:val="0"/>
            <w:vAlign w:val="center"/>
          </w:tcPr>
          <w:p w14:paraId="2CAB5D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027A9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r>
      <w:tr w14:paraId="2E281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1DF9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1EED7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楞次定律演示器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203BE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面型开口环和闭口环；环的外径应不小于90mm，内径应不小于50mm，总厚度应不小于1.6mm；用教学用条形磁钢迅速抽出(或插入)闭合环时，梁的偏转角应不小于30°,用强磁条形磁钢迅速抽出(或插入)开囗环时，环带动梁的偏转角应为0°</w:t>
            </w:r>
          </w:p>
        </w:tc>
        <w:tc>
          <w:tcPr>
            <w:tcW w:w="304" w:type="pct"/>
            <w:tcBorders>
              <w:top w:val="single" w:color="000000" w:sz="4" w:space="0"/>
              <w:left w:val="single" w:color="000000" w:sz="4" w:space="0"/>
              <w:bottom w:val="single" w:color="000000" w:sz="4" w:space="0"/>
              <w:right w:val="nil"/>
            </w:tcBorders>
            <w:noWrap w:val="0"/>
            <w:vAlign w:val="center"/>
          </w:tcPr>
          <w:p w14:paraId="3980E7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7A94B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4CE6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E56A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19971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法拉第电磁感应定律 演示仪</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77A7BA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由底座、活动线圈、可移动式磁铁、内置微电流或电压传感器、磁感应强度传感器、光电门传感器等组成。可通过控制变量法，分别验证动生电动势与运动速度、磁感强度、导线长度的关系</w:t>
            </w:r>
          </w:p>
        </w:tc>
        <w:tc>
          <w:tcPr>
            <w:tcW w:w="304" w:type="pct"/>
            <w:tcBorders>
              <w:top w:val="single" w:color="000000" w:sz="4" w:space="0"/>
              <w:left w:val="single" w:color="000000" w:sz="4" w:space="0"/>
              <w:bottom w:val="single" w:color="000000" w:sz="4" w:space="0"/>
              <w:right w:val="nil"/>
            </w:tcBorders>
            <w:noWrap w:val="0"/>
            <w:vAlign w:val="center"/>
          </w:tcPr>
          <w:p w14:paraId="701407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8CC42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2D9B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ADAB0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ED483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学生示波器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1D2B53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DC～2MHz，扫描范围：10Hz～100kHz，I类电器，电源端与信号输出端抗电强度3000V</w:t>
            </w:r>
          </w:p>
        </w:tc>
        <w:tc>
          <w:tcPr>
            <w:tcW w:w="304" w:type="pct"/>
            <w:tcBorders>
              <w:top w:val="single" w:color="000000" w:sz="4" w:space="0"/>
              <w:left w:val="single" w:color="000000" w:sz="4" w:space="0"/>
              <w:bottom w:val="single" w:color="000000" w:sz="4" w:space="0"/>
              <w:right w:val="nil"/>
            </w:tcBorders>
            <w:noWrap w:val="0"/>
            <w:vAlign w:val="center"/>
          </w:tcPr>
          <w:p w14:paraId="06C51E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78ED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E38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39C7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C9A9C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示波器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664D8CC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数字式，不低于10MHz，不小于18cm屏，有贮存功能，I类电器，电源端与信号输出端抗电强度3000V</w:t>
            </w:r>
          </w:p>
        </w:tc>
        <w:tc>
          <w:tcPr>
            <w:tcW w:w="304" w:type="pct"/>
            <w:tcBorders>
              <w:top w:val="single" w:color="000000" w:sz="4" w:space="0"/>
              <w:left w:val="single" w:color="000000" w:sz="4" w:space="0"/>
              <w:bottom w:val="single" w:color="000000" w:sz="4" w:space="0"/>
              <w:right w:val="nil"/>
            </w:tcBorders>
            <w:noWrap w:val="0"/>
            <w:vAlign w:val="center"/>
          </w:tcPr>
          <w:p w14:paraId="5B06C5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36971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DB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88DE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0432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函数信号发生器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004A50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频率范围：0.2MHz～2MHz连续可调；波形：正弦波、三角波、方波、正向或负向脉冲波、正向或负向锯齿波，波形失真≤1%；输入、输出：压控输入、TTL输出或功率输出、50Ω输出、50Hz输出、10MHz标频输出，含输出衰减，另有直流偏置调节、幅度调节等</w:t>
            </w:r>
          </w:p>
        </w:tc>
        <w:tc>
          <w:tcPr>
            <w:tcW w:w="304" w:type="pct"/>
            <w:tcBorders>
              <w:top w:val="single" w:color="000000" w:sz="4" w:space="0"/>
              <w:left w:val="single" w:color="000000" w:sz="4" w:space="0"/>
              <w:bottom w:val="single" w:color="000000" w:sz="4" w:space="0"/>
              <w:right w:val="nil"/>
            </w:tcBorders>
            <w:noWrap w:val="0"/>
            <w:vAlign w:val="center"/>
          </w:tcPr>
          <w:p w14:paraId="2D803B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4AD2A6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7B2E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F7801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85376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高频信号发生器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94126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0.4MHz～130MHz分段连续可调，误差±5%</w:t>
            </w:r>
          </w:p>
        </w:tc>
        <w:tc>
          <w:tcPr>
            <w:tcW w:w="304" w:type="pct"/>
            <w:tcBorders>
              <w:top w:val="single" w:color="000000" w:sz="4" w:space="0"/>
              <w:left w:val="single" w:color="000000" w:sz="4" w:space="0"/>
              <w:bottom w:val="single" w:color="000000" w:sz="4" w:space="0"/>
              <w:right w:val="nil"/>
            </w:tcBorders>
            <w:noWrap w:val="0"/>
            <w:vAlign w:val="center"/>
          </w:tcPr>
          <w:p w14:paraId="060DAC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006E8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44F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406F5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F17E1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交流电路特性演示器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F08C6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大电感、小电感，大电容、小电容，电阻；频率可变的正弦电源，观察感抗、容抗和纯电阻</w:t>
            </w:r>
          </w:p>
        </w:tc>
        <w:tc>
          <w:tcPr>
            <w:tcW w:w="304" w:type="pct"/>
            <w:tcBorders>
              <w:top w:val="single" w:color="000000" w:sz="4" w:space="0"/>
              <w:left w:val="single" w:color="000000" w:sz="4" w:space="0"/>
              <w:bottom w:val="single" w:color="000000" w:sz="4" w:space="0"/>
              <w:right w:val="nil"/>
            </w:tcBorders>
            <w:noWrap w:val="0"/>
            <w:vAlign w:val="center"/>
          </w:tcPr>
          <w:p w14:paraId="1A456F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611C0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6D1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A3703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CEDBA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变压器原理说明器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F9587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线圈、U形铁芯、条形铁轭、极掌、压板螺钉、强阻尼摆、弱阻尼摆、摆架、示教板、感应线圈、铝环、低压小灯泡（6V、1.5V等规格）、可调电阻、接线铝片、感应灯等组成；1600匝线圈接220V时空载电流应不大于60mA</w:t>
            </w:r>
          </w:p>
        </w:tc>
        <w:tc>
          <w:tcPr>
            <w:tcW w:w="304" w:type="pct"/>
            <w:tcBorders>
              <w:top w:val="single" w:color="000000" w:sz="4" w:space="0"/>
              <w:left w:val="single" w:color="000000" w:sz="4" w:space="0"/>
              <w:bottom w:val="single" w:color="000000" w:sz="4" w:space="0"/>
              <w:right w:val="nil"/>
            </w:tcBorders>
            <w:noWrap w:val="0"/>
            <w:vAlign w:val="center"/>
          </w:tcPr>
          <w:p w14:paraId="798D96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626A25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B92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A34E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EB7A0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可拆变压器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542CD6A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单相芯式结构,铁芯以优质钢矽片冲制并经绝缘处理,U型铁芯及条形铁轭为可拆式。2、线圈骨架用塑料压制。3、可演示远距离输电、变压器效率，还可进行变压器初、次级线圈间电压和电流与匝数关系的定量演示。</w:t>
            </w:r>
          </w:p>
        </w:tc>
        <w:tc>
          <w:tcPr>
            <w:tcW w:w="304" w:type="pct"/>
            <w:tcBorders>
              <w:top w:val="single" w:color="000000" w:sz="4" w:space="0"/>
              <w:left w:val="single" w:color="000000" w:sz="4" w:space="0"/>
              <w:bottom w:val="single" w:color="000000" w:sz="4" w:space="0"/>
              <w:right w:val="nil"/>
            </w:tcBorders>
            <w:noWrap w:val="0"/>
            <w:vAlign w:val="center"/>
          </w:tcPr>
          <w:p w14:paraId="39DE22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77D02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E34D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DD25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27471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手摇交直流发电机</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68154F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定子、转子、整流器、集流环、电刷、灯座（带灯泡）、手摇驱动机构和底板等部分。定子应由永磁体和极靴组成，转子应由转轴、两极电枢铁芯、电枢线圈以及整流器和集流环等组成。整流器在任何位置不应将两电刷短路，电刷与整流器和集流环应使用弹性接触，转动灵活。转子转速为1600r/min空载时，输出端交流和直流电压均应不小于8V。接16Ω电阻负载时，输出端交流和直流电压均应不小于5V。不带皮带轮用作电动机使用时启动电压应不大于4V，电流应不大于0.4A</w:t>
            </w:r>
          </w:p>
        </w:tc>
        <w:tc>
          <w:tcPr>
            <w:tcW w:w="304" w:type="pct"/>
            <w:tcBorders>
              <w:top w:val="single" w:color="000000" w:sz="4" w:space="0"/>
              <w:left w:val="single" w:color="000000" w:sz="4" w:space="0"/>
              <w:bottom w:val="single" w:color="000000" w:sz="4" w:space="0"/>
              <w:right w:val="nil"/>
            </w:tcBorders>
            <w:noWrap w:val="0"/>
            <w:vAlign w:val="center"/>
          </w:tcPr>
          <w:p w14:paraId="32D15F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C9702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9FF6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C642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3E8A4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电磁振荡演示仪</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1DFDC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由具有铁芯的电感线圈、电容器、集成电路等组成，包括等幅振荡演示电路和阻尼振荡演示电路，仪器面板上印有原理图</w:t>
            </w:r>
          </w:p>
        </w:tc>
        <w:tc>
          <w:tcPr>
            <w:tcW w:w="304" w:type="pct"/>
            <w:tcBorders>
              <w:top w:val="single" w:color="000000" w:sz="4" w:space="0"/>
              <w:left w:val="single" w:color="000000" w:sz="4" w:space="0"/>
              <w:bottom w:val="single" w:color="000000" w:sz="4" w:space="0"/>
              <w:right w:val="nil"/>
            </w:tcBorders>
            <w:noWrap w:val="0"/>
            <w:vAlign w:val="center"/>
          </w:tcPr>
          <w:p w14:paraId="097A38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3A0EC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BF4E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B5D2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88E72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赫兹实验演示器</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5CFD74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带电球、发射天线杆、接收天线杆、接收金属杆、感应圈连接金属杆、固定螺丝、氖泡架、底座等组成。接收端天线与发射端天线平行相距400mm，在环境照度为240lx±50lx的室内接通高压电源，接收端氖灯发光；接收端与发射端相距减小到200mm时氖灯亮度应不低于6cd/m2；接收端天线与发射端天线垂直，距离在200mm以内（不接触），接收端氖灯应不亮</w:t>
            </w:r>
          </w:p>
        </w:tc>
        <w:tc>
          <w:tcPr>
            <w:tcW w:w="304" w:type="pct"/>
            <w:tcBorders>
              <w:top w:val="single" w:color="000000" w:sz="4" w:space="0"/>
              <w:left w:val="single" w:color="000000" w:sz="4" w:space="0"/>
              <w:bottom w:val="single" w:color="000000" w:sz="4" w:space="0"/>
              <w:right w:val="nil"/>
            </w:tcBorders>
            <w:noWrap w:val="0"/>
            <w:vAlign w:val="center"/>
          </w:tcPr>
          <w:p w14:paraId="715A7D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D0FD1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F8E0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AE72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CD90F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感应圈</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1B1E6A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应带有高压输出插座和高压连接导线，可有放电电极。输出电压调节范围应为9kV～300kV（单边脉冲峰值），正反向（或反正向）电压峰值之比应不小于1.5。输出电流最大应达到4mA（平均值）。不设放电电极，外部没有火花放电时感应圈不应损坏。设放电电极时，放电电极应定位，在可能调节到的最大放电距离时感应圈应不损坏。在最高输出电压，放电间隙5mm时感应圈连续放电15min，温升应不超过15℃。在最高输出电压，放电间隙5mm时感应圈连续放电15min，温升应不超过15℃。感应圈高压绕组与电源输入端的抗电强度应不低于3000V，高压绕组与保护接地线之间的抗电强度应不低于3000V。应设防护罩，面板显著位置应有“当心触电”的安全警示标志</w:t>
            </w:r>
          </w:p>
        </w:tc>
        <w:tc>
          <w:tcPr>
            <w:tcW w:w="304" w:type="pct"/>
            <w:tcBorders>
              <w:top w:val="single" w:color="000000" w:sz="4" w:space="0"/>
              <w:left w:val="single" w:color="000000" w:sz="4" w:space="0"/>
              <w:bottom w:val="single" w:color="000000" w:sz="4" w:space="0"/>
              <w:right w:val="nil"/>
            </w:tcBorders>
            <w:noWrap w:val="0"/>
            <w:vAlign w:val="center"/>
          </w:tcPr>
          <w:p w14:paraId="22C85A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B912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E25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37E6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71A8D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面包板</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61383B6B">
            <w:pPr>
              <w:jc w:val="left"/>
              <w:rPr>
                <w:rFonts w:hint="eastAsia" w:ascii="仿宋" w:hAnsi="仿宋" w:eastAsia="仿宋" w:cs="仿宋"/>
                <w:i w:val="0"/>
                <w:iCs w:val="0"/>
                <w:color w:val="000000"/>
                <w:sz w:val="21"/>
                <w:szCs w:val="21"/>
                <w:highlight w:val="none"/>
                <w:u w:val="none"/>
              </w:rPr>
            </w:pPr>
          </w:p>
        </w:tc>
        <w:tc>
          <w:tcPr>
            <w:tcW w:w="304" w:type="pct"/>
            <w:tcBorders>
              <w:top w:val="single" w:color="000000" w:sz="4" w:space="0"/>
              <w:left w:val="single" w:color="000000" w:sz="4" w:space="0"/>
              <w:bottom w:val="single" w:color="000000" w:sz="4" w:space="0"/>
              <w:right w:val="nil"/>
            </w:tcBorders>
            <w:noWrap w:val="0"/>
            <w:vAlign w:val="center"/>
          </w:tcPr>
          <w:p w14:paraId="2734B9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C5631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D4A1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475F6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27F20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阴极射线管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750C5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机械效应管，卧式、立式。滚轮叶片上应涂有不同颜色的荧光粉。工作时亮度应不低于50cd/m2</w:t>
            </w:r>
          </w:p>
        </w:tc>
        <w:tc>
          <w:tcPr>
            <w:tcW w:w="304" w:type="pct"/>
            <w:tcBorders>
              <w:top w:val="single" w:color="000000" w:sz="4" w:space="0"/>
              <w:left w:val="single" w:color="000000" w:sz="4" w:space="0"/>
              <w:bottom w:val="single" w:color="000000" w:sz="4" w:space="0"/>
              <w:right w:val="nil"/>
            </w:tcBorders>
            <w:noWrap w:val="0"/>
            <w:vAlign w:val="center"/>
          </w:tcPr>
          <w:p w14:paraId="7F7BE4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40B0E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FF5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F906D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AC2F6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阴极射线管</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205CCF7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静电偏转管，在偏转板上加250V直流电压时，电子束轨迹末端偏转应不小于12mm</w:t>
            </w:r>
          </w:p>
        </w:tc>
        <w:tc>
          <w:tcPr>
            <w:tcW w:w="304" w:type="pct"/>
            <w:tcBorders>
              <w:top w:val="single" w:color="000000" w:sz="4" w:space="0"/>
              <w:left w:val="single" w:color="000000" w:sz="4" w:space="0"/>
              <w:bottom w:val="single" w:color="000000" w:sz="4" w:space="0"/>
              <w:right w:val="nil"/>
            </w:tcBorders>
            <w:noWrap w:val="0"/>
            <w:vAlign w:val="center"/>
          </w:tcPr>
          <w:p w14:paraId="6984C1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121D60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E35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173AF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E681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光谱管组</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043FE90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可选光谱管：Ne光谱管、Hg光谱管、H2光谱管、He光谱管、Ar光谱管、O2光谱管、Kr光谱管、N2光谱管、CO2光谱管、Xe光谱管等</w:t>
            </w:r>
          </w:p>
        </w:tc>
        <w:tc>
          <w:tcPr>
            <w:tcW w:w="304" w:type="pct"/>
            <w:tcBorders>
              <w:top w:val="single" w:color="000000" w:sz="4" w:space="0"/>
              <w:left w:val="single" w:color="000000" w:sz="4" w:space="0"/>
              <w:bottom w:val="single" w:color="000000" w:sz="4" w:space="0"/>
              <w:right w:val="nil"/>
            </w:tcBorders>
            <w:noWrap w:val="0"/>
            <w:vAlign w:val="center"/>
          </w:tcPr>
          <w:p w14:paraId="1B3219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089C27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AE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2113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05F4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光源</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14:paraId="74072A8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距光源500mm处照度8001x～9001x；发光亮度可调，可装在光具座上</w:t>
            </w:r>
          </w:p>
        </w:tc>
        <w:tc>
          <w:tcPr>
            <w:tcW w:w="304" w:type="pct"/>
            <w:tcBorders>
              <w:top w:val="single" w:color="000000" w:sz="4" w:space="0"/>
              <w:left w:val="single" w:color="000000" w:sz="4" w:space="0"/>
              <w:bottom w:val="single" w:color="000000" w:sz="4" w:space="0"/>
              <w:right w:val="nil"/>
            </w:tcBorders>
            <w:noWrap w:val="0"/>
            <w:vAlign w:val="center"/>
          </w:tcPr>
          <w:p w14:paraId="1EF07E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735433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725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83751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06697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普朗克常量测定器</w:t>
            </w:r>
          </w:p>
        </w:tc>
        <w:tc>
          <w:tcPr>
            <w:tcW w:w="3541" w:type="pct"/>
            <w:tcBorders>
              <w:top w:val="single" w:color="000000" w:sz="4" w:space="0"/>
              <w:left w:val="single" w:color="000000" w:sz="4" w:space="0"/>
              <w:bottom w:val="single" w:color="000000" w:sz="4" w:space="0"/>
              <w:right w:val="single" w:color="000000" w:sz="4" w:space="0"/>
            </w:tcBorders>
            <w:noWrap w:val="0"/>
            <w:vAlign w:val="center"/>
          </w:tcPr>
          <w:p w14:paraId="20B9A2B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光电管，能演示光电效应四个基本规律</w:t>
            </w:r>
          </w:p>
        </w:tc>
        <w:tc>
          <w:tcPr>
            <w:tcW w:w="304" w:type="pct"/>
            <w:tcBorders>
              <w:top w:val="single" w:color="000000" w:sz="4" w:space="0"/>
              <w:left w:val="single" w:color="000000" w:sz="4" w:space="0"/>
              <w:bottom w:val="single" w:color="000000" w:sz="4" w:space="0"/>
              <w:right w:val="nil"/>
            </w:tcBorders>
            <w:noWrap w:val="0"/>
            <w:vAlign w:val="center"/>
          </w:tcPr>
          <w:p w14:paraId="30B6DE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14:paraId="2529E6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bl>
    <w:p w14:paraId="68C63A32">
      <w:pPr>
        <w:pStyle w:val="2"/>
        <w:rPr>
          <w:rFonts w:hint="eastAsia" w:ascii="仿宋" w:hAnsi="仿宋" w:eastAsia="仿宋" w:cs="仿宋"/>
          <w:b/>
          <w:bCs/>
          <w:sz w:val="24"/>
          <w:szCs w:val="24"/>
          <w:highlight w:val="none"/>
          <w:lang w:val="en-US" w:eastAsia="zh-CN"/>
        </w:rPr>
      </w:pPr>
    </w:p>
    <w:p w14:paraId="73BFBFC1">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8、高中化学教学仪器</w:t>
      </w:r>
    </w:p>
    <w:tbl>
      <w:tblPr>
        <w:tblStyle w:val="6"/>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1231"/>
        <w:gridCol w:w="6359"/>
        <w:gridCol w:w="596"/>
        <w:gridCol w:w="683"/>
      </w:tblGrid>
      <w:tr w14:paraId="6E943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nil"/>
              <w:right w:val="single" w:color="000000" w:sz="4" w:space="0"/>
            </w:tcBorders>
            <w:noWrap/>
            <w:vAlign w:val="center"/>
          </w:tcPr>
          <w:p w14:paraId="2D3F7E0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651" w:type="pct"/>
            <w:tcBorders>
              <w:top w:val="single" w:color="000000" w:sz="4" w:space="0"/>
              <w:left w:val="nil"/>
              <w:bottom w:val="nil"/>
              <w:right w:val="single" w:color="000000" w:sz="4" w:space="0"/>
            </w:tcBorders>
            <w:noWrap/>
            <w:vAlign w:val="center"/>
          </w:tcPr>
          <w:p w14:paraId="3BB694D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363" w:type="pct"/>
            <w:tcBorders>
              <w:top w:val="single" w:color="000000" w:sz="4" w:space="0"/>
              <w:left w:val="single" w:color="000000" w:sz="4" w:space="0"/>
              <w:bottom w:val="nil"/>
              <w:right w:val="single" w:color="000000" w:sz="4" w:space="0"/>
            </w:tcBorders>
            <w:noWrap w:val="0"/>
            <w:vAlign w:val="center"/>
          </w:tcPr>
          <w:p w14:paraId="46CC1139">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规格参数</w:t>
            </w:r>
          </w:p>
        </w:tc>
        <w:tc>
          <w:tcPr>
            <w:tcW w:w="315" w:type="pct"/>
            <w:tcBorders>
              <w:top w:val="single" w:color="000000" w:sz="4" w:space="0"/>
              <w:left w:val="single" w:color="000000" w:sz="4" w:space="0"/>
              <w:bottom w:val="nil"/>
              <w:right w:val="single" w:color="000000" w:sz="4" w:space="0"/>
            </w:tcBorders>
            <w:noWrap/>
            <w:vAlign w:val="center"/>
          </w:tcPr>
          <w:p w14:paraId="22CC3FDF">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361" w:type="pct"/>
            <w:tcBorders>
              <w:top w:val="single" w:color="000000" w:sz="4" w:space="0"/>
              <w:left w:val="single" w:color="000000" w:sz="4" w:space="0"/>
              <w:bottom w:val="nil"/>
              <w:right w:val="single" w:color="000000" w:sz="4" w:space="0"/>
            </w:tcBorders>
            <w:noWrap/>
            <w:vAlign w:val="center"/>
          </w:tcPr>
          <w:p w14:paraId="39DF09B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r>
      <w:tr w14:paraId="26CA8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3D1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C91B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300BC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玻璃纤维材质，1200mm×1800mm</w:t>
            </w:r>
          </w:p>
        </w:tc>
        <w:tc>
          <w:tcPr>
            <w:tcW w:w="315" w:type="pct"/>
            <w:tcBorders>
              <w:top w:val="single" w:color="000000" w:sz="4" w:space="0"/>
              <w:left w:val="single" w:color="000000" w:sz="4" w:space="0"/>
              <w:bottom w:val="single" w:color="000000" w:sz="4" w:space="0"/>
              <w:right w:val="nil"/>
            </w:tcBorders>
            <w:noWrap w:val="0"/>
            <w:vAlign w:val="center"/>
          </w:tcPr>
          <w:p w14:paraId="0A4758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8CEA6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33EF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D8E6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4F550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实验服</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FAA7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可分为大、中、小号，耐酸碱</w:t>
            </w:r>
          </w:p>
        </w:tc>
        <w:tc>
          <w:tcPr>
            <w:tcW w:w="315" w:type="pct"/>
            <w:tcBorders>
              <w:top w:val="single" w:color="000000" w:sz="4" w:space="0"/>
              <w:left w:val="single" w:color="000000" w:sz="4" w:space="0"/>
              <w:bottom w:val="single" w:color="000000" w:sz="4" w:space="0"/>
              <w:right w:val="nil"/>
            </w:tcBorders>
            <w:noWrap w:val="0"/>
            <w:vAlign w:val="center"/>
          </w:tcPr>
          <w:p w14:paraId="3501DE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C999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r>
      <w:tr w14:paraId="0E094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EAB6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19D02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护目镜</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E68C0D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封闭型，耐酸碱，抗冲击，耐磨，便于清洗</w:t>
            </w:r>
          </w:p>
        </w:tc>
        <w:tc>
          <w:tcPr>
            <w:tcW w:w="315" w:type="pct"/>
            <w:tcBorders>
              <w:top w:val="single" w:color="000000" w:sz="4" w:space="0"/>
              <w:left w:val="single" w:color="000000" w:sz="4" w:space="0"/>
              <w:bottom w:val="single" w:color="000000" w:sz="4" w:space="0"/>
              <w:right w:val="nil"/>
            </w:tcBorders>
            <w:noWrap w:val="0"/>
            <w:vAlign w:val="center"/>
          </w:tcPr>
          <w:p w14:paraId="1A8AA2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B2E52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r>
      <w:tr w14:paraId="6EB43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B992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28054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防护面罩</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5943E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防冲击面屏，聚碳酸酯材质，光洁，透明度高，耐高速粒子冲击，通过弹簧箍与安全帽相连，面屏可更换，起到头部与面部双重保护作用</w:t>
            </w:r>
          </w:p>
        </w:tc>
        <w:tc>
          <w:tcPr>
            <w:tcW w:w="315" w:type="pct"/>
            <w:tcBorders>
              <w:top w:val="single" w:color="000000" w:sz="4" w:space="0"/>
              <w:left w:val="single" w:color="000000" w:sz="4" w:space="0"/>
              <w:bottom w:val="single" w:color="000000" w:sz="4" w:space="0"/>
              <w:right w:val="nil"/>
            </w:tcBorders>
            <w:noWrap w:val="0"/>
            <w:vAlign w:val="center"/>
          </w:tcPr>
          <w:p w14:paraId="270578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BDF46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DB7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84644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6F8E4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防毒口罩</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3CA58C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E型（标色：黄），防止吸入酸性气体或蒸气</w:t>
            </w:r>
          </w:p>
        </w:tc>
        <w:tc>
          <w:tcPr>
            <w:tcW w:w="315" w:type="pct"/>
            <w:tcBorders>
              <w:top w:val="single" w:color="000000" w:sz="4" w:space="0"/>
              <w:left w:val="single" w:color="000000" w:sz="4" w:space="0"/>
              <w:bottom w:val="single" w:color="000000" w:sz="4" w:space="0"/>
              <w:right w:val="nil"/>
            </w:tcBorders>
            <w:noWrap w:val="0"/>
            <w:vAlign w:val="center"/>
          </w:tcPr>
          <w:p w14:paraId="28052A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AA9A5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1EA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02D2F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2FCDE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防毒口罩</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FF39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CO型（标色：白），防止吸入一氧化碳</w:t>
            </w:r>
          </w:p>
        </w:tc>
        <w:tc>
          <w:tcPr>
            <w:tcW w:w="315" w:type="pct"/>
            <w:tcBorders>
              <w:top w:val="single" w:color="000000" w:sz="4" w:space="0"/>
              <w:left w:val="single" w:color="000000" w:sz="4" w:space="0"/>
              <w:bottom w:val="single" w:color="000000" w:sz="4" w:space="0"/>
              <w:right w:val="nil"/>
            </w:tcBorders>
            <w:noWrap w:val="0"/>
            <w:vAlign w:val="center"/>
          </w:tcPr>
          <w:p w14:paraId="0D2AB4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C6E7E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8CD6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7D625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6BA5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耐酸手套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806001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机械性能不低于3级，无破损，手套应有长度≥15cm的套袖</w:t>
            </w:r>
          </w:p>
        </w:tc>
        <w:tc>
          <w:tcPr>
            <w:tcW w:w="315" w:type="pct"/>
            <w:tcBorders>
              <w:top w:val="single" w:color="000000" w:sz="4" w:space="0"/>
              <w:left w:val="single" w:color="000000" w:sz="4" w:space="0"/>
              <w:bottom w:val="single" w:color="000000" w:sz="4" w:space="0"/>
              <w:right w:val="nil"/>
            </w:tcBorders>
            <w:noWrap w:val="0"/>
            <w:vAlign w:val="center"/>
          </w:tcPr>
          <w:p w14:paraId="176258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CCA2E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DD05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FD251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B23BE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一次性乳胶手套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E7AF32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一般性防护，不漏水</w:t>
            </w:r>
          </w:p>
        </w:tc>
        <w:tc>
          <w:tcPr>
            <w:tcW w:w="315" w:type="pct"/>
            <w:tcBorders>
              <w:top w:val="single" w:color="000000" w:sz="4" w:space="0"/>
              <w:left w:val="single" w:color="000000" w:sz="4" w:space="0"/>
              <w:bottom w:val="single" w:color="000000" w:sz="4" w:space="0"/>
              <w:right w:val="nil"/>
            </w:tcBorders>
            <w:noWrap w:val="0"/>
            <w:vAlign w:val="center"/>
          </w:tcPr>
          <w:p w14:paraId="7F6316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5764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2C6B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DCFF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9A10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化学实验废水处理装置</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5B653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主体透明，兼作教学使用，能进行pH测试、酸碱废液中和、重金属离子凝聚和过滤，能处理中学常见无机化学废液，同时可以通过仪器内的活性炭吸附少量混入的有机物。应配备适量的凝聚剂和助凝剂，至少应配备更换用活性炭包2个。处理量≥6L/次</w:t>
            </w:r>
          </w:p>
        </w:tc>
        <w:tc>
          <w:tcPr>
            <w:tcW w:w="315" w:type="pct"/>
            <w:tcBorders>
              <w:top w:val="single" w:color="000000" w:sz="4" w:space="0"/>
              <w:left w:val="single" w:color="000000" w:sz="4" w:space="0"/>
              <w:bottom w:val="single" w:color="000000" w:sz="4" w:space="0"/>
              <w:right w:val="nil"/>
            </w:tcBorders>
            <w:noWrap w:val="0"/>
            <w:vAlign w:val="center"/>
          </w:tcPr>
          <w:p w14:paraId="2BC4B0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2895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1403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5361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7DE26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废液分类回收桶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9A5E14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塑料制，25L，带底座</w:t>
            </w:r>
          </w:p>
        </w:tc>
        <w:tc>
          <w:tcPr>
            <w:tcW w:w="315" w:type="pct"/>
            <w:tcBorders>
              <w:top w:val="single" w:color="000000" w:sz="4" w:space="0"/>
              <w:left w:val="single" w:color="000000" w:sz="4" w:space="0"/>
              <w:bottom w:val="single" w:color="000000" w:sz="4" w:space="0"/>
              <w:right w:val="nil"/>
            </w:tcBorders>
            <w:noWrap w:val="0"/>
            <w:vAlign w:val="center"/>
          </w:tcPr>
          <w:p w14:paraId="41543A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5E6C9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0D35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BBC9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495EF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电加热器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2AF3A0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密封式</w:t>
            </w:r>
          </w:p>
        </w:tc>
        <w:tc>
          <w:tcPr>
            <w:tcW w:w="315" w:type="pct"/>
            <w:tcBorders>
              <w:top w:val="single" w:color="000000" w:sz="4" w:space="0"/>
              <w:left w:val="single" w:color="000000" w:sz="4" w:space="0"/>
              <w:bottom w:val="single" w:color="000000" w:sz="4" w:space="0"/>
              <w:right w:val="nil"/>
            </w:tcBorders>
            <w:noWrap w:val="0"/>
            <w:vAlign w:val="center"/>
          </w:tcPr>
          <w:p w14:paraId="46F1C1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8E27D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F67C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6FB3A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C1F57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列管式烘干器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6151B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由外壳、不少于13支通风管、电源线、发热器、风扇等组成。通风管用外径12mm的金属管制作，管壁厚≥2mm，长度185mm，每支通风管上均布10个直径5mm的通气孔。功率≥250W，绝缘电阻大于100MΩ</w:t>
            </w:r>
          </w:p>
        </w:tc>
        <w:tc>
          <w:tcPr>
            <w:tcW w:w="315" w:type="pct"/>
            <w:tcBorders>
              <w:top w:val="single" w:color="000000" w:sz="4" w:space="0"/>
              <w:left w:val="single" w:color="000000" w:sz="4" w:space="0"/>
              <w:bottom w:val="single" w:color="000000" w:sz="4" w:space="0"/>
              <w:right w:val="nil"/>
            </w:tcBorders>
            <w:noWrap w:val="0"/>
            <w:vAlign w:val="center"/>
          </w:tcPr>
          <w:p w14:paraId="568C6F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7FE8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6F8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AA4F3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37355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烘干箱</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A96BC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电热鼓风型，最高工作温度为250℃,温度波动度限值为±1.5℃,箱体内有隔板，内部容积≥350mm×350mm×350mm</w:t>
            </w:r>
          </w:p>
        </w:tc>
        <w:tc>
          <w:tcPr>
            <w:tcW w:w="315" w:type="pct"/>
            <w:tcBorders>
              <w:top w:val="single" w:color="000000" w:sz="4" w:space="0"/>
              <w:left w:val="single" w:color="000000" w:sz="4" w:space="0"/>
              <w:bottom w:val="single" w:color="000000" w:sz="4" w:space="0"/>
              <w:right w:val="nil"/>
            </w:tcBorders>
            <w:noWrap w:val="0"/>
            <w:vAlign w:val="center"/>
          </w:tcPr>
          <w:p w14:paraId="4BD149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0912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F81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4EBC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FD5D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教学电源</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CCCE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交流2V～12V，5A，每2V一档；直流1.5V～12V，2A，分为1.5V、3V、4.5V、6V、9V、12V，共6档</w:t>
            </w:r>
          </w:p>
        </w:tc>
        <w:tc>
          <w:tcPr>
            <w:tcW w:w="315" w:type="pct"/>
            <w:tcBorders>
              <w:top w:val="single" w:color="000000" w:sz="4" w:space="0"/>
              <w:left w:val="single" w:color="000000" w:sz="4" w:space="0"/>
              <w:bottom w:val="single" w:color="000000" w:sz="4" w:space="0"/>
              <w:right w:val="nil"/>
            </w:tcBorders>
            <w:noWrap w:val="0"/>
            <w:vAlign w:val="center"/>
          </w:tcPr>
          <w:p w14:paraId="43F46D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EBD24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3F73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F86A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64B9C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仪器车</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541A0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600mm×400mm×800mm，不锈钢材质，至少两层，各层带可拆卸护栏，总载重≥60kg</w:t>
            </w:r>
          </w:p>
        </w:tc>
        <w:tc>
          <w:tcPr>
            <w:tcW w:w="315" w:type="pct"/>
            <w:tcBorders>
              <w:top w:val="single" w:color="000000" w:sz="4" w:space="0"/>
              <w:left w:val="single" w:color="000000" w:sz="4" w:space="0"/>
              <w:bottom w:val="single" w:color="000000" w:sz="4" w:space="0"/>
              <w:right w:val="nil"/>
            </w:tcBorders>
            <w:noWrap w:val="0"/>
            <w:vAlign w:val="center"/>
          </w:tcPr>
          <w:p w14:paraId="5F0418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辆</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F4919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2CD15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86CA5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6D21A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试剂瓶托盘</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47BED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耐腐蚀材质，内沿≥400mm×290mm×50mm</w:t>
            </w:r>
          </w:p>
        </w:tc>
        <w:tc>
          <w:tcPr>
            <w:tcW w:w="315" w:type="pct"/>
            <w:tcBorders>
              <w:top w:val="single" w:color="000000" w:sz="4" w:space="0"/>
              <w:left w:val="single" w:color="000000" w:sz="4" w:space="0"/>
              <w:bottom w:val="single" w:color="000000" w:sz="4" w:space="0"/>
              <w:right w:val="nil"/>
            </w:tcBorders>
            <w:noWrap w:val="0"/>
            <w:vAlign w:val="center"/>
          </w:tcPr>
          <w:p w14:paraId="1B6190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504E4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1980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EDA9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CC793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实验用品提篮</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B50C1C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采用工程聚丙烯塑料注塑成形。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1.外形尺寸：≥490mm×350mm×160mm，壁厚≥2mm。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2.提手采用壁厚≥1mm，长≥20mm，宽≥10mm的钢管加工成矩形，两角内圆弧直径≥50mm，表面磷化喷塑。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3.四周及底面有加强筋。产品应美观、耐用。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4.产品自800mm高度处自由下落于水泥地面后无破损。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5.产品整体质量应符合JY0001《教学仪器一般质量要求》的有关规定及招标文件的相关规定。</w:t>
            </w:r>
          </w:p>
        </w:tc>
        <w:tc>
          <w:tcPr>
            <w:tcW w:w="315" w:type="pct"/>
            <w:tcBorders>
              <w:top w:val="single" w:color="000000" w:sz="4" w:space="0"/>
              <w:left w:val="single" w:color="000000" w:sz="4" w:space="0"/>
              <w:bottom w:val="single" w:color="000000" w:sz="4" w:space="0"/>
              <w:right w:val="nil"/>
            </w:tcBorders>
            <w:noWrap w:val="0"/>
            <w:vAlign w:val="center"/>
          </w:tcPr>
          <w:p w14:paraId="525B37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BFCE2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3548D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724F6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6E0E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3C0D23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齿口式，材质为不锈钢管、钢管或黄铜管，每组不少于4支，外径分别为5.0mm、6.5mm、8.0mm、9.5mm，并配一支带柄金属通扦</w:t>
            </w:r>
          </w:p>
        </w:tc>
        <w:tc>
          <w:tcPr>
            <w:tcW w:w="315" w:type="pct"/>
            <w:tcBorders>
              <w:top w:val="single" w:color="000000" w:sz="4" w:space="0"/>
              <w:left w:val="single" w:color="000000" w:sz="4" w:space="0"/>
              <w:bottom w:val="single" w:color="000000" w:sz="4" w:space="0"/>
              <w:right w:val="nil"/>
            </w:tcBorders>
            <w:noWrap w:val="0"/>
            <w:vAlign w:val="center"/>
          </w:tcPr>
          <w:p w14:paraId="56DF37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F7136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F415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8253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57FAC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打孔夹板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4E394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硬木或硬塑料制，有大小不同的锥形孔</w:t>
            </w:r>
          </w:p>
        </w:tc>
        <w:tc>
          <w:tcPr>
            <w:tcW w:w="315" w:type="pct"/>
            <w:tcBorders>
              <w:top w:val="single" w:color="000000" w:sz="4" w:space="0"/>
              <w:left w:val="single" w:color="000000" w:sz="4" w:space="0"/>
              <w:bottom w:val="single" w:color="000000" w:sz="4" w:space="0"/>
              <w:right w:val="nil"/>
            </w:tcBorders>
            <w:noWrap w:val="0"/>
            <w:vAlign w:val="center"/>
          </w:tcPr>
          <w:p w14:paraId="324837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9151C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CE34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1828D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7C0C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电动钻孔器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FA036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钻头可拆卸，应配有3个以上不同孔径的钻头，外径分别为7mm、6mm、5mm</w:t>
            </w:r>
          </w:p>
        </w:tc>
        <w:tc>
          <w:tcPr>
            <w:tcW w:w="315" w:type="pct"/>
            <w:tcBorders>
              <w:top w:val="single" w:color="000000" w:sz="4" w:space="0"/>
              <w:left w:val="single" w:color="000000" w:sz="4" w:space="0"/>
              <w:bottom w:val="single" w:color="000000" w:sz="4" w:space="0"/>
              <w:right w:val="nil"/>
            </w:tcBorders>
            <w:noWrap w:val="0"/>
            <w:vAlign w:val="center"/>
          </w:tcPr>
          <w:p w14:paraId="3C0D8D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2AE38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169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CE8B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156CA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托盘天平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49DF7A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100g，0.1g</w:t>
            </w:r>
          </w:p>
        </w:tc>
        <w:tc>
          <w:tcPr>
            <w:tcW w:w="315" w:type="pct"/>
            <w:tcBorders>
              <w:top w:val="single" w:color="000000" w:sz="4" w:space="0"/>
              <w:left w:val="single" w:color="000000" w:sz="4" w:space="0"/>
              <w:bottom w:val="single" w:color="000000" w:sz="4" w:space="0"/>
              <w:right w:val="nil"/>
            </w:tcBorders>
            <w:noWrap w:val="0"/>
            <w:vAlign w:val="center"/>
          </w:tcPr>
          <w:p w14:paraId="069676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384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C179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17FE7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EABD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托盘天平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4D6C01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500g，0.5g</w:t>
            </w:r>
          </w:p>
        </w:tc>
        <w:tc>
          <w:tcPr>
            <w:tcW w:w="315" w:type="pct"/>
            <w:tcBorders>
              <w:top w:val="single" w:color="000000" w:sz="4" w:space="0"/>
              <w:left w:val="single" w:color="000000" w:sz="4" w:space="0"/>
              <w:bottom w:val="single" w:color="000000" w:sz="4" w:space="0"/>
              <w:right w:val="nil"/>
            </w:tcBorders>
            <w:noWrap w:val="0"/>
            <w:vAlign w:val="center"/>
          </w:tcPr>
          <w:p w14:paraId="3909DA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EF4B4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5563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8F9D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064E5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6D2ABF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1000g，0.1g</w:t>
            </w:r>
          </w:p>
        </w:tc>
        <w:tc>
          <w:tcPr>
            <w:tcW w:w="315" w:type="pct"/>
            <w:tcBorders>
              <w:top w:val="single" w:color="000000" w:sz="4" w:space="0"/>
              <w:left w:val="single" w:color="000000" w:sz="4" w:space="0"/>
              <w:bottom w:val="single" w:color="000000" w:sz="4" w:space="0"/>
              <w:right w:val="nil"/>
            </w:tcBorders>
            <w:noWrap w:val="0"/>
            <w:vAlign w:val="center"/>
          </w:tcPr>
          <w:p w14:paraId="3029B7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783B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B24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83AA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CE5E7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红液温度计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A4C8C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0℃~100℃,分度值1℃,示值误差&lt;1.5℃</w:t>
            </w:r>
          </w:p>
        </w:tc>
        <w:tc>
          <w:tcPr>
            <w:tcW w:w="315" w:type="pct"/>
            <w:tcBorders>
              <w:top w:val="single" w:color="000000" w:sz="4" w:space="0"/>
              <w:left w:val="single" w:color="000000" w:sz="4" w:space="0"/>
              <w:bottom w:val="single" w:color="000000" w:sz="4" w:space="0"/>
              <w:right w:val="nil"/>
            </w:tcBorders>
            <w:noWrap w:val="0"/>
            <w:vAlign w:val="center"/>
          </w:tcPr>
          <w:p w14:paraId="28B58D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0613C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9FF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2E195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94119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水银温度计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CF2B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-30℃~100℃,分度值1℃,示值误差＜1.5℃</w:t>
            </w:r>
          </w:p>
        </w:tc>
        <w:tc>
          <w:tcPr>
            <w:tcW w:w="315" w:type="pct"/>
            <w:tcBorders>
              <w:top w:val="single" w:color="000000" w:sz="4" w:space="0"/>
              <w:left w:val="single" w:color="000000" w:sz="4" w:space="0"/>
              <w:bottom w:val="single" w:color="000000" w:sz="4" w:space="0"/>
              <w:right w:val="nil"/>
            </w:tcBorders>
            <w:noWrap w:val="0"/>
            <w:vAlign w:val="center"/>
          </w:tcPr>
          <w:p w14:paraId="03CC1D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B8A64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DE3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8D1EB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57CA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电子秒表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9D4B63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0.1s</w:t>
            </w:r>
          </w:p>
        </w:tc>
        <w:tc>
          <w:tcPr>
            <w:tcW w:w="315" w:type="pct"/>
            <w:tcBorders>
              <w:top w:val="single" w:color="000000" w:sz="4" w:space="0"/>
              <w:left w:val="single" w:color="000000" w:sz="4" w:space="0"/>
              <w:bottom w:val="single" w:color="000000" w:sz="4" w:space="0"/>
              <w:right w:val="nil"/>
            </w:tcBorders>
            <w:noWrap w:val="0"/>
            <w:vAlign w:val="center"/>
          </w:tcPr>
          <w:p w14:paraId="35332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D8474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9B35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FC10D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F121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多用电表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FCE57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直流电流、电压、电阻2.5级，交流电压5级</w:t>
            </w:r>
          </w:p>
        </w:tc>
        <w:tc>
          <w:tcPr>
            <w:tcW w:w="315" w:type="pct"/>
            <w:tcBorders>
              <w:top w:val="single" w:color="000000" w:sz="4" w:space="0"/>
              <w:left w:val="single" w:color="000000" w:sz="4" w:space="0"/>
              <w:bottom w:val="single" w:color="000000" w:sz="4" w:space="0"/>
              <w:right w:val="nil"/>
            </w:tcBorders>
            <w:noWrap w:val="0"/>
            <w:vAlign w:val="center"/>
          </w:tcPr>
          <w:p w14:paraId="06FE6F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E51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002B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D7D15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8385C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直流电流表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2944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2.5级，0.6A，3A</w:t>
            </w:r>
          </w:p>
        </w:tc>
        <w:tc>
          <w:tcPr>
            <w:tcW w:w="315" w:type="pct"/>
            <w:tcBorders>
              <w:top w:val="single" w:color="000000" w:sz="4" w:space="0"/>
              <w:left w:val="single" w:color="000000" w:sz="4" w:space="0"/>
              <w:bottom w:val="single" w:color="000000" w:sz="4" w:space="0"/>
              <w:right w:val="nil"/>
            </w:tcBorders>
            <w:noWrap w:val="0"/>
            <w:vAlign w:val="center"/>
          </w:tcPr>
          <w:p w14:paraId="056E54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02976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2A1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11100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10AC0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灵敏电流计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082E6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±300μA</w:t>
            </w:r>
          </w:p>
        </w:tc>
        <w:tc>
          <w:tcPr>
            <w:tcW w:w="315" w:type="pct"/>
            <w:tcBorders>
              <w:top w:val="single" w:color="000000" w:sz="4" w:space="0"/>
              <w:left w:val="single" w:color="000000" w:sz="4" w:space="0"/>
              <w:bottom w:val="single" w:color="000000" w:sz="4" w:space="0"/>
              <w:right w:val="nil"/>
            </w:tcBorders>
            <w:noWrap w:val="0"/>
            <w:vAlign w:val="center"/>
          </w:tcPr>
          <w:p w14:paraId="693ADF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EA807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BBE1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7A6C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C048E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演示电流电压表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0FA2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2.5级</w:t>
            </w:r>
          </w:p>
        </w:tc>
        <w:tc>
          <w:tcPr>
            <w:tcW w:w="315" w:type="pct"/>
            <w:tcBorders>
              <w:top w:val="single" w:color="000000" w:sz="4" w:space="0"/>
              <w:left w:val="single" w:color="000000" w:sz="4" w:space="0"/>
              <w:bottom w:val="single" w:color="000000" w:sz="4" w:space="0"/>
              <w:right w:val="nil"/>
            </w:tcBorders>
            <w:noWrap w:val="0"/>
            <w:vAlign w:val="center"/>
          </w:tcPr>
          <w:p w14:paraId="7FE66E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CB34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D3C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2F19B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B84B4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酸度计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80933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笔式，pH测量范围0～14，分辨力0.1，读数清晰，有自动关机节电模式，配校准试剂</w:t>
            </w:r>
          </w:p>
        </w:tc>
        <w:tc>
          <w:tcPr>
            <w:tcW w:w="315" w:type="pct"/>
            <w:tcBorders>
              <w:top w:val="single" w:color="000000" w:sz="4" w:space="0"/>
              <w:left w:val="single" w:color="000000" w:sz="4" w:space="0"/>
              <w:bottom w:val="single" w:color="000000" w:sz="4" w:space="0"/>
              <w:right w:val="nil"/>
            </w:tcBorders>
            <w:noWrap w:val="0"/>
            <w:vAlign w:val="center"/>
          </w:tcPr>
          <w:p w14:paraId="066D3C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0733C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386E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6A46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36F5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教学支架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E6359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包括方形座，立杆，平行夹，垂直夹两个，烧瓶夹，大铁环，小铁环，吊杆。重心稳定不晃动，烧瓶夹内侧应有缓压层</w:t>
            </w:r>
          </w:p>
        </w:tc>
        <w:tc>
          <w:tcPr>
            <w:tcW w:w="315" w:type="pct"/>
            <w:tcBorders>
              <w:top w:val="single" w:color="000000" w:sz="4" w:space="0"/>
              <w:left w:val="single" w:color="000000" w:sz="4" w:space="0"/>
              <w:bottom w:val="single" w:color="000000" w:sz="4" w:space="0"/>
              <w:right w:val="nil"/>
            </w:tcBorders>
            <w:noWrap w:val="0"/>
            <w:vAlign w:val="center"/>
          </w:tcPr>
          <w:p w14:paraId="37449A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067AB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E9D7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68B3E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D6EE5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三脚架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BA4A8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采用碳钢或φ6mm冷拉钢材造，三脚均布，高度≥156mm，三脚内接圆直径≥120mm。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 上支承环平整，直径＞80mm。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三支撑脚与圆环间焊接牢靠，分布均匀，焊点光滑、平稳，三脚及支承环钢材直径≥6mm，表面经酸洗，磷化后喷塑或喷黑色防锈、耐热强化漆。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表面不应有明显的凹痕、裂缝、变形等缺陷；表面涂镀层应均匀，不应起泡、龟裂、脱落和磨损；不应有锈蚀及其他机械损伤。　</w:t>
            </w:r>
          </w:p>
        </w:tc>
        <w:tc>
          <w:tcPr>
            <w:tcW w:w="315" w:type="pct"/>
            <w:tcBorders>
              <w:top w:val="single" w:color="000000" w:sz="4" w:space="0"/>
              <w:left w:val="single" w:color="000000" w:sz="4" w:space="0"/>
              <w:bottom w:val="single" w:color="000000" w:sz="4" w:space="0"/>
              <w:right w:val="nil"/>
            </w:tcBorders>
            <w:noWrap w:val="0"/>
            <w:vAlign w:val="center"/>
          </w:tcPr>
          <w:p w14:paraId="4BCF0A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94DF0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14C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B9FE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BAA4D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2CBB1C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木制或塑料制，8孔，孔径21mm，立柱粘结牢固</w:t>
            </w:r>
          </w:p>
        </w:tc>
        <w:tc>
          <w:tcPr>
            <w:tcW w:w="315" w:type="pct"/>
            <w:tcBorders>
              <w:top w:val="single" w:color="000000" w:sz="4" w:space="0"/>
              <w:left w:val="single" w:color="000000" w:sz="4" w:space="0"/>
              <w:bottom w:val="single" w:color="000000" w:sz="4" w:space="0"/>
              <w:right w:val="nil"/>
            </w:tcBorders>
            <w:noWrap w:val="0"/>
            <w:vAlign w:val="center"/>
          </w:tcPr>
          <w:p w14:paraId="4FA1D4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F249A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D7FB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0B19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C83AB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A9332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木制或塑料制，8孔，孔径25mm</w:t>
            </w:r>
          </w:p>
        </w:tc>
        <w:tc>
          <w:tcPr>
            <w:tcW w:w="315" w:type="pct"/>
            <w:tcBorders>
              <w:top w:val="single" w:color="000000" w:sz="4" w:space="0"/>
              <w:left w:val="single" w:color="000000" w:sz="4" w:space="0"/>
              <w:bottom w:val="single" w:color="000000" w:sz="4" w:space="0"/>
              <w:right w:val="nil"/>
            </w:tcBorders>
            <w:noWrap w:val="0"/>
            <w:vAlign w:val="center"/>
          </w:tcPr>
          <w:p w14:paraId="31A7CD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63A19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E419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9F5A8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0F879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6EA56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木制或塑料制，8孔，孔径35mm</w:t>
            </w:r>
          </w:p>
        </w:tc>
        <w:tc>
          <w:tcPr>
            <w:tcW w:w="315" w:type="pct"/>
            <w:tcBorders>
              <w:top w:val="single" w:color="000000" w:sz="4" w:space="0"/>
              <w:left w:val="single" w:color="000000" w:sz="4" w:space="0"/>
              <w:bottom w:val="single" w:color="000000" w:sz="4" w:space="0"/>
              <w:right w:val="nil"/>
            </w:tcBorders>
            <w:noWrap w:val="0"/>
            <w:vAlign w:val="center"/>
          </w:tcPr>
          <w:p w14:paraId="689EF6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50B16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5C6C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8336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C6E6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231C6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木制或塑料制</w:t>
            </w:r>
          </w:p>
        </w:tc>
        <w:tc>
          <w:tcPr>
            <w:tcW w:w="315" w:type="pct"/>
            <w:tcBorders>
              <w:top w:val="single" w:color="000000" w:sz="4" w:space="0"/>
              <w:left w:val="single" w:color="000000" w:sz="4" w:space="0"/>
              <w:bottom w:val="single" w:color="000000" w:sz="4" w:space="0"/>
              <w:right w:val="nil"/>
            </w:tcBorders>
            <w:noWrap w:val="0"/>
            <w:vAlign w:val="center"/>
          </w:tcPr>
          <w:p w14:paraId="3BBF33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D1EC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DF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04EB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085A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滴定台</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BB9E8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底座采用实芯理化板制造，尺寸300mm×150mm×12.7mm，上平面抛光，底面四角嵌装橡胶脚垫，放置平稳；金属件表面应做镀铬处理。无明显扭曲、变形现象，无锈蚀、无刺。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1.立杆直径≥11mm，长度≥600mm，表面镀铬；立杆与底座垂直度误差不大于3mm，产品在工作台面上放置稳定可靠。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2.产品整体质量应符合JY0001《教学仪器一般质量要求》的有关规定及招标文件的相关规定。</w:t>
            </w:r>
          </w:p>
        </w:tc>
        <w:tc>
          <w:tcPr>
            <w:tcW w:w="315" w:type="pct"/>
            <w:tcBorders>
              <w:top w:val="single" w:color="000000" w:sz="4" w:space="0"/>
              <w:left w:val="single" w:color="000000" w:sz="4" w:space="0"/>
              <w:bottom w:val="single" w:color="000000" w:sz="4" w:space="0"/>
              <w:right w:val="nil"/>
            </w:tcBorders>
            <w:noWrap w:val="0"/>
            <w:vAlign w:val="center"/>
          </w:tcPr>
          <w:p w14:paraId="3497DE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1F7FA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01A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88A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5DCA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CA1EE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铝制，加持部位有防滑脱凹槽</w:t>
            </w:r>
          </w:p>
        </w:tc>
        <w:tc>
          <w:tcPr>
            <w:tcW w:w="315" w:type="pct"/>
            <w:tcBorders>
              <w:top w:val="single" w:color="000000" w:sz="4" w:space="0"/>
              <w:left w:val="single" w:color="000000" w:sz="4" w:space="0"/>
              <w:bottom w:val="single" w:color="000000" w:sz="4" w:space="0"/>
              <w:right w:val="nil"/>
            </w:tcBorders>
            <w:noWrap w:val="0"/>
            <w:vAlign w:val="center"/>
          </w:tcPr>
          <w:p w14:paraId="02EB2C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BFF40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9E70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BC036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2868E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多用滴管架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53522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塑料制，底部有圆形凹槽</w:t>
            </w:r>
          </w:p>
        </w:tc>
        <w:tc>
          <w:tcPr>
            <w:tcW w:w="315" w:type="pct"/>
            <w:tcBorders>
              <w:top w:val="single" w:color="000000" w:sz="4" w:space="0"/>
              <w:left w:val="single" w:color="000000" w:sz="4" w:space="0"/>
              <w:bottom w:val="single" w:color="000000" w:sz="4" w:space="0"/>
              <w:right w:val="nil"/>
            </w:tcBorders>
            <w:noWrap w:val="0"/>
            <w:vAlign w:val="center"/>
          </w:tcPr>
          <w:p w14:paraId="10FEAE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5B4C4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CCE4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3549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B238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4930B1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w:t>
            </w:r>
          </w:p>
        </w:tc>
        <w:tc>
          <w:tcPr>
            <w:tcW w:w="315" w:type="pct"/>
            <w:tcBorders>
              <w:top w:val="single" w:color="000000" w:sz="4" w:space="0"/>
              <w:left w:val="single" w:color="000000" w:sz="4" w:space="0"/>
              <w:bottom w:val="single" w:color="000000" w:sz="4" w:space="0"/>
              <w:right w:val="nil"/>
            </w:tcBorders>
            <w:noWrap w:val="0"/>
            <w:vAlign w:val="center"/>
          </w:tcPr>
          <w:p w14:paraId="17736F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B2D2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CDF0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F057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990A5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比色管架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BAA65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塑料制，6孔</w:t>
            </w:r>
          </w:p>
        </w:tc>
        <w:tc>
          <w:tcPr>
            <w:tcW w:w="315" w:type="pct"/>
            <w:tcBorders>
              <w:top w:val="single" w:color="000000" w:sz="4" w:space="0"/>
              <w:left w:val="single" w:color="000000" w:sz="4" w:space="0"/>
              <w:bottom w:val="single" w:color="000000" w:sz="4" w:space="0"/>
              <w:right w:val="nil"/>
            </w:tcBorders>
            <w:noWrap w:val="0"/>
            <w:vAlign w:val="center"/>
          </w:tcPr>
          <w:p w14:paraId="0CE0B5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B5824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068D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8959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3875A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升降台</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10C0C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上下台面为不锈钢材质，100mm×100mm，台面升降范围50mm～150mm</w:t>
            </w:r>
          </w:p>
        </w:tc>
        <w:tc>
          <w:tcPr>
            <w:tcW w:w="315" w:type="pct"/>
            <w:tcBorders>
              <w:top w:val="single" w:color="000000" w:sz="4" w:space="0"/>
              <w:left w:val="single" w:color="000000" w:sz="4" w:space="0"/>
              <w:bottom w:val="single" w:color="000000" w:sz="4" w:space="0"/>
              <w:right w:val="nil"/>
            </w:tcBorders>
            <w:noWrap w:val="0"/>
            <w:vAlign w:val="center"/>
          </w:tcPr>
          <w:p w14:paraId="329835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65459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E530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14F90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6349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767D0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7E2971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50A0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D23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9155C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0517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A22C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630CE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41B9C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230B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315F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79A8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FDEBD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5B1327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A9F46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E491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0CC7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29114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1E822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02E45B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862B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D533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3CA4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3AC5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DA85CA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6999F2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1642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1796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C6CEB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3B70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282D8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1000mL，透明钠钙玻璃制，分度线、数字和标志应完整、清晰和耐久，容积为20℃时充满量筒刻度线所容纳体积</w:t>
            </w:r>
          </w:p>
        </w:tc>
        <w:tc>
          <w:tcPr>
            <w:tcW w:w="315" w:type="pct"/>
            <w:tcBorders>
              <w:top w:val="single" w:color="000000" w:sz="4" w:space="0"/>
              <w:left w:val="single" w:color="000000" w:sz="4" w:space="0"/>
              <w:bottom w:val="single" w:color="000000" w:sz="4" w:space="0"/>
              <w:right w:val="nil"/>
            </w:tcBorders>
            <w:noWrap w:val="0"/>
            <w:vAlign w:val="center"/>
          </w:tcPr>
          <w:p w14:paraId="7B104A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DF13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4AAB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C9283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CDB0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954000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15BC13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30407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17F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A804D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A8F4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638606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1DB05B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F43D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536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C0161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DC30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7031F6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666276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ED70E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05EB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3744D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47574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082D7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18E0C5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1701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85D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E3E3E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10D90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E2EB9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1000mL，透明硼硅酸盐玻璃制，刻度线应清晰耐久，粗细均匀，位于和瓶底平行的平面，围绕整个瓶颈</w:t>
            </w:r>
          </w:p>
        </w:tc>
        <w:tc>
          <w:tcPr>
            <w:tcW w:w="315" w:type="pct"/>
            <w:tcBorders>
              <w:top w:val="single" w:color="000000" w:sz="4" w:space="0"/>
              <w:left w:val="single" w:color="000000" w:sz="4" w:space="0"/>
              <w:bottom w:val="single" w:color="000000" w:sz="4" w:space="0"/>
              <w:right w:val="nil"/>
            </w:tcBorders>
            <w:noWrap w:val="0"/>
            <w:vAlign w:val="center"/>
          </w:tcPr>
          <w:p w14:paraId="6606CC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2974F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F17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BC58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FF3AF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6248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酸式，50mL，透明钠钙玻璃制，应采用刻蚀刻度，刻度清晰不易腐蚀，整数分度应为</w:t>
            </w:r>
          </w:p>
        </w:tc>
        <w:tc>
          <w:tcPr>
            <w:tcW w:w="315" w:type="pct"/>
            <w:tcBorders>
              <w:top w:val="single" w:color="000000" w:sz="4" w:space="0"/>
              <w:left w:val="single" w:color="000000" w:sz="4" w:space="0"/>
              <w:bottom w:val="single" w:color="000000" w:sz="4" w:space="0"/>
              <w:right w:val="nil"/>
            </w:tcBorders>
            <w:noWrap w:val="0"/>
            <w:vAlign w:val="center"/>
          </w:tcPr>
          <w:p w14:paraId="41A90D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82024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BBBD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A8243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FA68D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D8D3D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碱式，50mL，环形刻度</w:t>
            </w:r>
          </w:p>
        </w:tc>
        <w:tc>
          <w:tcPr>
            <w:tcW w:w="315" w:type="pct"/>
            <w:tcBorders>
              <w:top w:val="single" w:color="000000" w:sz="4" w:space="0"/>
              <w:left w:val="single" w:color="000000" w:sz="4" w:space="0"/>
              <w:bottom w:val="single" w:color="000000" w:sz="4" w:space="0"/>
              <w:right w:val="nil"/>
            </w:tcBorders>
            <w:noWrap w:val="0"/>
            <w:vAlign w:val="center"/>
          </w:tcPr>
          <w:p w14:paraId="374463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ABC81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B59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20F87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D136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C9699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0641A2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5FE4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2F13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65399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F61A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84A9DE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242BFC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0692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574C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B5316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3D3B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E86CEA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AFB1A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58D64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1C08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E8F19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3289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0DD7D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581799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83BF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E269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707E2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0BB58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38BC5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Φ12mm×75mm，透明硼硅酸盐玻璃制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53F8A1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94A3F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r>
      <w:tr w14:paraId="5751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5ACEE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0FCE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33331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Φ15mm×150mm，透明硼硅酸盐玻璃制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163BF0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4075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r>
      <w:tr w14:paraId="088B0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39DB0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0B2A6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EFD53A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Φ18mm×180mm，透明硼硅酸盐玻璃制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7925AE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A9AE1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700D1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5A24A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B3AB8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70DFA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Φ20mm×200mm，透明硼硅酸盐玻璃制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36C0F4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CC8C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657B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3C9B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BB731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FD6C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Φ32mm×200mm，透明硼硅酸盐玻璃制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27BE02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CEA8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6BC93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0D554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1E208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D3900B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Φ40mm×200mm，透明硼硅酸盐玻璃制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F4D8F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51DA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4081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16E2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87CD7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口部具支试管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DDA388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Φ18mm×180mm，透明硼硅酸盐玻璃制，管底厚薄应均匀，支管连接应平滑牢固，不应有偏歪</w:t>
            </w:r>
          </w:p>
        </w:tc>
        <w:tc>
          <w:tcPr>
            <w:tcW w:w="315" w:type="pct"/>
            <w:tcBorders>
              <w:top w:val="single" w:color="000000" w:sz="4" w:space="0"/>
              <w:left w:val="single" w:color="000000" w:sz="4" w:space="0"/>
              <w:bottom w:val="single" w:color="000000" w:sz="4" w:space="0"/>
              <w:right w:val="nil"/>
            </w:tcBorders>
            <w:noWrap w:val="0"/>
            <w:vAlign w:val="center"/>
          </w:tcPr>
          <w:p w14:paraId="293D6E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16957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6D6A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8988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65DC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口部具支试管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E4BC7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Φ25mm×200mm，透明硼硅酸盐玻璃制，管底厚薄应均匀，支管连接应平滑牢固，不应有偏歪</w:t>
            </w:r>
          </w:p>
        </w:tc>
        <w:tc>
          <w:tcPr>
            <w:tcW w:w="315" w:type="pct"/>
            <w:tcBorders>
              <w:top w:val="single" w:color="000000" w:sz="4" w:space="0"/>
              <w:left w:val="single" w:color="000000" w:sz="4" w:space="0"/>
              <w:bottom w:val="single" w:color="000000" w:sz="4" w:space="0"/>
              <w:right w:val="nil"/>
            </w:tcBorders>
            <w:noWrap w:val="0"/>
            <w:vAlign w:val="center"/>
          </w:tcPr>
          <w:p w14:paraId="519B0A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2A0D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6848E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E2AC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B2348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硬质玻璃管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4E9752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Φ15mm×150mm，透明硼硅酸盐玻璃制，耐热温度≥800℃,试管两端口部应卷口</w:t>
            </w:r>
          </w:p>
        </w:tc>
        <w:tc>
          <w:tcPr>
            <w:tcW w:w="315" w:type="pct"/>
            <w:tcBorders>
              <w:top w:val="single" w:color="000000" w:sz="4" w:space="0"/>
              <w:left w:val="single" w:color="000000" w:sz="4" w:space="0"/>
              <w:bottom w:val="single" w:color="000000" w:sz="4" w:space="0"/>
              <w:right w:val="nil"/>
            </w:tcBorders>
            <w:noWrap w:val="0"/>
            <w:vAlign w:val="center"/>
          </w:tcPr>
          <w:p w14:paraId="02B40F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09E3B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3EC8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9584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E4A1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硬质玻璃管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8464B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Φ20mm×250mm，透明硼硅酸盐玻璃制，耐热温度≥800℃,试管两端口部应卷口</w:t>
            </w:r>
          </w:p>
        </w:tc>
        <w:tc>
          <w:tcPr>
            <w:tcW w:w="315" w:type="pct"/>
            <w:tcBorders>
              <w:top w:val="single" w:color="000000" w:sz="4" w:space="0"/>
              <w:left w:val="single" w:color="000000" w:sz="4" w:space="0"/>
              <w:bottom w:val="single" w:color="000000" w:sz="4" w:space="0"/>
              <w:right w:val="nil"/>
            </w:tcBorders>
            <w:noWrap w:val="0"/>
            <w:vAlign w:val="center"/>
          </w:tcPr>
          <w:p w14:paraId="60ABEA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6B81B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694C7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AB16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7146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00E0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718427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CDCE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44A4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B4470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FB602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244F0B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26F079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3105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53EA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6252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00E4C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67F0B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351594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F1115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4AC33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BF4A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F69A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8271B8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0E98E5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81EB9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31C5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1B92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4713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B8247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08B952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057F3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1D8A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27938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45A88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543AB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57249B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528CD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42CD2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E2F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7D4D7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6E93A8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108020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62B4B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6B548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F60B0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767B2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4351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1000mL，透明硼硅酸盐玻璃制，烧杯的满口容量应超过标称容量的10%或烧杯的满口容量和标称容量的两液面间距不应少于10mm，并应采用容量差值较大的一种</w:t>
            </w:r>
          </w:p>
        </w:tc>
        <w:tc>
          <w:tcPr>
            <w:tcW w:w="315" w:type="pct"/>
            <w:tcBorders>
              <w:top w:val="single" w:color="000000" w:sz="4" w:space="0"/>
              <w:left w:val="single" w:color="000000" w:sz="4" w:space="0"/>
              <w:bottom w:val="single" w:color="000000" w:sz="4" w:space="0"/>
              <w:right w:val="nil"/>
            </w:tcBorders>
            <w:noWrap w:val="0"/>
            <w:vAlign w:val="center"/>
          </w:tcPr>
          <w:p w14:paraId="7C455F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A53A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55B7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C53CE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2BF2B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355C42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圆底、长颈，250mL，透明硼硅酸盐玻璃制，玻璃薄厚均匀，底部应规整</w:t>
            </w:r>
          </w:p>
        </w:tc>
        <w:tc>
          <w:tcPr>
            <w:tcW w:w="315" w:type="pct"/>
            <w:tcBorders>
              <w:top w:val="single" w:color="000000" w:sz="4" w:space="0"/>
              <w:left w:val="single" w:color="000000" w:sz="4" w:space="0"/>
              <w:bottom w:val="single" w:color="000000" w:sz="4" w:space="0"/>
              <w:right w:val="nil"/>
            </w:tcBorders>
            <w:noWrap w:val="0"/>
            <w:vAlign w:val="center"/>
          </w:tcPr>
          <w:p w14:paraId="276CF4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6DC0E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CE40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4656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B6CAF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4ACC60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圆底，短颈，厚口250mL，透明硼硅酸盐玻璃制，玻璃薄厚均匀，底部应规整</w:t>
            </w:r>
          </w:p>
        </w:tc>
        <w:tc>
          <w:tcPr>
            <w:tcW w:w="315" w:type="pct"/>
            <w:tcBorders>
              <w:top w:val="single" w:color="000000" w:sz="4" w:space="0"/>
              <w:left w:val="single" w:color="000000" w:sz="4" w:space="0"/>
              <w:bottom w:val="single" w:color="000000" w:sz="4" w:space="0"/>
              <w:right w:val="nil"/>
            </w:tcBorders>
            <w:noWrap w:val="0"/>
            <w:vAlign w:val="center"/>
          </w:tcPr>
          <w:p w14:paraId="4B831B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1AA13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0A72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D1D86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FE171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06FCD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圆底，长颈，500mL，透明硼硅酸盐玻璃制，玻璃薄厚均匀，底部应规整</w:t>
            </w:r>
          </w:p>
        </w:tc>
        <w:tc>
          <w:tcPr>
            <w:tcW w:w="315" w:type="pct"/>
            <w:tcBorders>
              <w:top w:val="single" w:color="000000" w:sz="4" w:space="0"/>
              <w:left w:val="single" w:color="000000" w:sz="4" w:space="0"/>
              <w:bottom w:val="single" w:color="000000" w:sz="4" w:space="0"/>
              <w:right w:val="nil"/>
            </w:tcBorders>
            <w:noWrap w:val="0"/>
            <w:vAlign w:val="center"/>
          </w:tcPr>
          <w:p w14:paraId="691105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AD946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191A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6927C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EC10F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754431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平底、长颈，250mL，透明硼硅酸盐玻璃制，平底烧瓶底部应平整，放在平台上应直立不摇晃</w:t>
            </w:r>
          </w:p>
        </w:tc>
        <w:tc>
          <w:tcPr>
            <w:tcW w:w="315" w:type="pct"/>
            <w:tcBorders>
              <w:top w:val="single" w:color="000000" w:sz="4" w:space="0"/>
              <w:left w:val="single" w:color="000000" w:sz="4" w:space="0"/>
              <w:bottom w:val="single" w:color="000000" w:sz="4" w:space="0"/>
              <w:right w:val="nil"/>
            </w:tcBorders>
            <w:noWrap w:val="0"/>
            <w:vAlign w:val="center"/>
          </w:tcPr>
          <w:p w14:paraId="05809D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C5BF0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47E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7747A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A987E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93F2D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100mL，透明硼硅酸盐玻璃制，放在平台上应直立不摇晃</w:t>
            </w:r>
          </w:p>
        </w:tc>
        <w:tc>
          <w:tcPr>
            <w:tcW w:w="315" w:type="pct"/>
            <w:tcBorders>
              <w:top w:val="single" w:color="000000" w:sz="4" w:space="0"/>
              <w:left w:val="single" w:color="000000" w:sz="4" w:space="0"/>
              <w:bottom w:val="single" w:color="000000" w:sz="4" w:space="0"/>
              <w:right w:val="nil"/>
            </w:tcBorders>
            <w:noWrap w:val="0"/>
            <w:vAlign w:val="center"/>
          </w:tcPr>
          <w:p w14:paraId="189F34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3370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8D3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6D2B0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23EFA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E6D1E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250mL，透明硼硅酸盐玻璃制，放在平台上应直立不摇晃</w:t>
            </w:r>
          </w:p>
        </w:tc>
        <w:tc>
          <w:tcPr>
            <w:tcW w:w="315" w:type="pct"/>
            <w:tcBorders>
              <w:top w:val="single" w:color="000000" w:sz="4" w:space="0"/>
              <w:left w:val="single" w:color="000000" w:sz="4" w:space="0"/>
              <w:bottom w:val="single" w:color="000000" w:sz="4" w:space="0"/>
              <w:right w:val="nil"/>
            </w:tcBorders>
            <w:noWrap w:val="0"/>
            <w:vAlign w:val="center"/>
          </w:tcPr>
          <w:p w14:paraId="3E55C6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46D3F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42274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FD1CE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057F2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蒸馏烧瓶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D2A5B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250mL，透明硼硅酸盐玻璃制，烧瓶的颈部同一截面应该呈圆形，颈的口部不应呈锥形，并适当提高强度</w:t>
            </w:r>
          </w:p>
        </w:tc>
        <w:tc>
          <w:tcPr>
            <w:tcW w:w="315" w:type="pct"/>
            <w:tcBorders>
              <w:top w:val="single" w:color="000000" w:sz="4" w:space="0"/>
              <w:left w:val="single" w:color="000000" w:sz="4" w:space="0"/>
              <w:bottom w:val="single" w:color="000000" w:sz="4" w:space="0"/>
              <w:right w:val="nil"/>
            </w:tcBorders>
            <w:noWrap w:val="0"/>
            <w:vAlign w:val="center"/>
          </w:tcPr>
          <w:p w14:paraId="5BFE81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66FF8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628F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5F1A3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E132C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三口烧瓶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CD74F5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40957F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477C2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78CB8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93E24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F0B7B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165006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125mL，透明钠钙玻璃制，磨砂面应均匀地覆盖瓶口端面与盖板，磨砂面不应有光斑；盖板四角应倒角，四边应磨光盖板与瓶口密合性应符合：盖板与瓶口充分湿润盖合后，倒提瓶体盖板在瓶口上保持30s不脱落</w:t>
            </w:r>
          </w:p>
        </w:tc>
        <w:tc>
          <w:tcPr>
            <w:tcW w:w="315" w:type="pct"/>
            <w:tcBorders>
              <w:top w:val="single" w:color="000000" w:sz="4" w:space="0"/>
              <w:left w:val="single" w:color="000000" w:sz="4" w:space="0"/>
              <w:bottom w:val="single" w:color="000000" w:sz="4" w:space="0"/>
              <w:right w:val="nil"/>
            </w:tcBorders>
            <w:noWrap w:val="0"/>
            <w:vAlign w:val="center"/>
          </w:tcPr>
          <w:p w14:paraId="40AECC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EA45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5717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06B35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8219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581EEB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250mL，透明钠钙玻璃制，磨砂面应均匀地覆盖瓶口端面与盖板，磨砂面不应有光斑；盖板四角应倒角，四边应磨光盖板与瓶口密合性应符合：盖板与瓶口充分湿润盖合后，倒提瓶体盖板在瓶口上保持30s不脱落</w:t>
            </w:r>
          </w:p>
        </w:tc>
        <w:tc>
          <w:tcPr>
            <w:tcW w:w="315" w:type="pct"/>
            <w:tcBorders>
              <w:top w:val="single" w:color="000000" w:sz="4" w:space="0"/>
              <w:left w:val="single" w:color="000000" w:sz="4" w:space="0"/>
              <w:bottom w:val="single" w:color="000000" w:sz="4" w:space="0"/>
              <w:right w:val="nil"/>
            </w:tcBorders>
            <w:noWrap w:val="0"/>
            <w:vAlign w:val="center"/>
          </w:tcPr>
          <w:p w14:paraId="6811EA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8AE0A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r>
      <w:tr w14:paraId="185BF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D8EBE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8E1B2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D64C6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500mL，透明钠钙玻璃制，磨砂面应均匀地覆盖瓶口端面与盖板，磨砂面不应有光斑；盖板四角应倒角，四边应磨光盖板与瓶口密合性应符合：盖板与瓶口充分湿润盖合后，倒提瓶体盖板在瓶口上保持30s不脱落</w:t>
            </w:r>
          </w:p>
        </w:tc>
        <w:tc>
          <w:tcPr>
            <w:tcW w:w="315" w:type="pct"/>
            <w:tcBorders>
              <w:top w:val="single" w:color="000000" w:sz="4" w:space="0"/>
              <w:left w:val="single" w:color="000000" w:sz="4" w:space="0"/>
              <w:bottom w:val="single" w:color="000000" w:sz="4" w:space="0"/>
              <w:right w:val="nil"/>
            </w:tcBorders>
            <w:noWrap w:val="0"/>
            <w:vAlign w:val="center"/>
          </w:tcPr>
          <w:p w14:paraId="7B91D6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71D52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1AABE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84B83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3C8D9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液封除毒气集气瓶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6FFC85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250mL，瓶口光滑，液封口深度≥1cm</w:t>
            </w:r>
          </w:p>
        </w:tc>
        <w:tc>
          <w:tcPr>
            <w:tcW w:w="315" w:type="pct"/>
            <w:tcBorders>
              <w:top w:val="single" w:color="000000" w:sz="4" w:space="0"/>
              <w:left w:val="single" w:color="000000" w:sz="4" w:space="0"/>
              <w:bottom w:val="single" w:color="000000" w:sz="4" w:space="0"/>
              <w:right w:val="nil"/>
            </w:tcBorders>
            <w:noWrap w:val="0"/>
            <w:vAlign w:val="center"/>
          </w:tcPr>
          <w:p w14:paraId="0E1005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FED7E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36355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416F5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55EA9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12EEFA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BAD90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AD340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350</w:t>
            </w:r>
          </w:p>
        </w:tc>
      </w:tr>
      <w:tr w14:paraId="116D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4A80F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1D070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83296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1C865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92F9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4069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2768D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625B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56390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95390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B2FB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r>
      <w:tr w14:paraId="1C8C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389BA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7FE8D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61BC7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D6DCD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1C65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19F7B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94378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FDA5D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C923F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24933E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DEF5A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6BE94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7F19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1B7D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098B3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1FF75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5211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5C9D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5E749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A2694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茶色广口瓶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00E4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CF6A5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4B41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1B9DE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14A4F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3255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2390F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150BDF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579ED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034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80B8C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28C2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3C812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F84C2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D81D7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350</w:t>
            </w:r>
          </w:p>
        </w:tc>
      </w:tr>
      <w:tr w14:paraId="22E08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E7C4A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A2D3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FA574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5E1915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5AAB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6F1C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7B7C8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30B5E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82F7B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447720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2E78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5FA0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E9AE7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6D25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F74C0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319751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214F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5BB7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560F7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C8B5A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3F56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2500mL，透明钠钙玻璃制，瓶塞与瓶口紧实，不晃动；口部应圆整光滑，底部应平整，放置平台上不应摇晃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77E83E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854D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61F2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FC58F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F23C9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010416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4D4BA6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21136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7656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6B63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99E6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636BF2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506D25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BE885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99EC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9D57A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2128A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CAA2B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6DAB97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D7E2F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5A2FE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67FD4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A33A9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7CC33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30AC3FC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6E7C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7098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EAEF0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8180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5127BC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2A8FE2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61C6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E120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D4C6F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A1866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茶色细口瓶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0D683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2500mL，黄棕色钠钙玻璃制，瓶塞与瓶口紧实，不晃动；口部应圆整光滑，底部应平整，放置平台上不应摇晃</w:t>
            </w:r>
          </w:p>
        </w:tc>
        <w:tc>
          <w:tcPr>
            <w:tcW w:w="315" w:type="pct"/>
            <w:tcBorders>
              <w:top w:val="single" w:color="000000" w:sz="4" w:space="0"/>
              <w:left w:val="single" w:color="000000" w:sz="4" w:space="0"/>
              <w:bottom w:val="single" w:color="000000" w:sz="4" w:space="0"/>
              <w:right w:val="nil"/>
            </w:tcBorders>
            <w:noWrap w:val="0"/>
            <w:vAlign w:val="center"/>
          </w:tcPr>
          <w:p w14:paraId="320A4F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C79C0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6648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5EAAC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2E90F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下口瓶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DD560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5000mL，透明钠钙玻璃制</w:t>
            </w:r>
          </w:p>
        </w:tc>
        <w:tc>
          <w:tcPr>
            <w:tcW w:w="315" w:type="pct"/>
            <w:tcBorders>
              <w:top w:val="single" w:color="000000" w:sz="4" w:space="0"/>
              <w:left w:val="single" w:color="000000" w:sz="4" w:space="0"/>
              <w:bottom w:val="single" w:color="000000" w:sz="4" w:space="0"/>
              <w:right w:val="nil"/>
            </w:tcBorders>
            <w:noWrap w:val="0"/>
            <w:vAlign w:val="center"/>
          </w:tcPr>
          <w:p w14:paraId="17D2EB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8BC06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9749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86A07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3AA5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A60101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30mL，透明钠钙玻璃制，瓶口细磨，磨砂面应均匀细腻，滴管应附橡胶帽，吸放弹性好，开口直径6mm，与滴管口套合牢固稳定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68B02C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EA04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0CFB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9EFF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BA0CD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875B85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0DF837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CFC47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w:t>
            </w:r>
          </w:p>
        </w:tc>
      </w:tr>
      <w:tr w14:paraId="1AAC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C35F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9C18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C68976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30mL，黄棕色钠钙玻璃制，瓶口细磨，磨砂面应均匀细腻，滴管应附橡胶帽，吸放弹性好，开口直径6mm，与滴管口套合牢固稳定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12C5B9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C6D8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AA42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CF0F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AC781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822F1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60mL，黄棕色钠钙玻璃制，瓶口细磨，磨砂面应均匀细腻，滴管应附橡胶帽，吸放弹性好，开口直径6mm，与滴管口套合牢固稳定</w:t>
            </w:r>
          </w:p>
        </w:tc>
        <w:tc>
          <w:tcPr>
            <w:tcW w:w="315" w:type="pct"/>
            <w:tcBorders>
              <w:top w:val="single" w:color="000000" w:sz="4" w:space="0"/>
              <w:left w:val="single" w:color="000000" w:sz="4" w:space="0"/>
              <w:bottom w:val="single" w:color="000000" w:sz="4" w:space="0"/>
              <w:right w:val="nil"/>
            </w:tcBorders>
            <w:noWrap w:val="0"/>
            <w:vAlign w:val="center"/>
          </w:tcPr>
          <w:p w14:paraId="7DB60F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29B1D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0C4D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98F1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A33C3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称量瓶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78E067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Φ25mm×40mm</w:t>
            </w:r>
          </w:p>
        </w:tc>
        <w:tc>
          <w:tcPr>
            <w:tcW w:w="315" w:type="pct"/>
            <w:tcBorders>
              <w:top w:val="single" w:color="000000" w:sz="4" w:space="0"/>
              <w:left w:val="single" w:color="000000" w:sz="4" w:space="0"/>
              <w:bottom w:val="single" w:color="000000" w:sz="4" w:space="0"/>
              <w:right w:val="nil"/>
            </w:tcBorders>
            <w:noWrap w:val="0"/>
            <w:vAlign w:val="center"/>
          </w:tcPr>
          <w:p w14:paraId="00E4DF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A67BF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4BFD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7DD4F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9C0A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AD48E6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150mL，单头，透明钠钙玻璃制，无明显黄绿色。灯口应平整，瓷灯头与灯口平面间隙不应超过1.5mm。玻璃灯罩应磨口。瓷灯头应为白色，完全覆盖灯口，表面无缺陷。配置与灯口孔径相适应的整齐完整的棉线灯芯</w:t>
            </w:r>
          </w:p>
        </w:tc>
        <w:tc>
          <w:tcPr>
            <w:tcW w:w="315" w:type="pct"/>
            <w:tcBorders>
              <w:top w:val="single" w:color="000000" w:sz="4" w:space="0"/>
              <w:left w:val="single" w:color="000000" w:sz="4" w:space="0"/>
              <w:bottom w:val="single" w:color="000000" w:sz="4" w:space="0"/>
              <w:right w:val="nil"/>
            </w:tcBorders>
            <w:noWrap w:val="0"/>
            <w:vAlign w:val="center"/>
          </w:tcPr>
          <w:p w14:paraId="64D2F6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43067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370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C5C5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3EC6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C5E77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250mL，单头，透明钠钙玻璃制，无明显黄绿色。灯口应平整，瓷灯头与灯口平面间隙不应超过1.5mm。玻璃灯罩应磨口。瓷灯头应为白色，完全覆盖灯口，表面无缺陷。配置与灯口孔径相适应的整齐完整的棉线灯芯</w:t>
            </w:r>
          </w:p>
        </w:tc>
        <w:tc>
          <w:tcPr>
            <w:tcW w:w="315" w:type="pct"/>
            <w:tcBorders>
              <w:top w:val="single" w:color="000000" w:sz="4" w:space="0"/>
              <w:left w:val="single" w:color="000000" w:sz="4" w:space="0"/>
              <w:bottom w:val="single" w:color="000000" w:sz="4" w:space="0"/>
              <w:right w:val="nil"/>
            </w:tcBorders>
            <w:noWrap w:val="0"/>
            <w:vAlign w:val="center"/>
          </w:tcPr>
          <w:p w14:paraId="1898CF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48D69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7EB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2CC8C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3219F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56342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250mL，双头，透明钠钙玻璃制，无明显黄绿色。灯口应平整，瓷灯头与灯口平面间隙不应超过1.5mm。玻璃灯罩应磨口。瓷灯头应为白色，完全覆盖灯口，表面无缺陷。配置与灯口孔径相适应的整齐完整的棉线灯芯</w:t>
            </w:r>
          </w:p>
        </w:tc>
        <w:tc>
          <w:tcPr>
            <w:tcW w:w="315" w:type="pct"/>
            <w:tcBorders>
              <w:top w:val="single" w:color="000000" w:sz="4" w:space="0"/>
              <w:left w:val="single" w:color="000000" w:sz="4" w:space="0"/>
              <w:bottom w:val="single" w:color="000000" w:sz="4" w:space="0"/>
              <w:right w:val="nil"/>
            </w:tcBorders>
            <w:noWrap w:val="0"/>
            <w:vAlign w:val="center"/>
          </w:tcPr>
          <w:p w14:paraId="312BE3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BC3EC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BCA8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6AA8A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9EFE8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2C260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150mm，磨口平整，密封严实，隔板大小合适，不少于5个圆孔</w:t>
            </w:r>
          </w:p>
        </w:tc>
        <w:tc>
          <w:tcPr>
            <w:tcW w:w="315" w:type="pct"/>
            <w:tcBorders>
              <w:top w:val="single" w:color="000000" w:sz="4" w:space="0"/>
              <w:left w:val="single" w:color="000000" w:sz="4" w:space="0"/>
              <w:bottom w:val="single" w:color="000000" w:sz="4" w:space="0"/>
              <w:right w:val="nil"/>
            </w:tcBorders>
            <w:noWrap w:val="0"/>
            <w:vAlign w:val="center"/>
          </w:tcPr>
          <w:p w14:paraId="72B6BA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908C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467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1CB2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8FF77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气体发生器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DE722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250mL，漏斗柄与瓶身连接口内壁间隔≤2mm（单边）</w:t>
            </w:r>
          </w:p>
        </w:tc>
        <w:tc>
          <w:tcPr>
            <w:tcW w:w="315" w:type="pct"/>
            <w:tcBorders>
              <w:top w:val="single" w:color="000000" w:sz="4" w:space="0"/>
              <w:left w:val="single" w:color="000000" w:sz="4" w:space="0"/>
              <w:bottom w:val="single" w:color="000000" w:sz="4" w:space="0"/>
              <w:right w:val="nil"/>
            </w:tcBorders>
            <w:noWrap w:val="0"/>
            <w:vAlign w:val="center"/>
          </w:tcPr>
          <w:p w14:paraId="589763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14AB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70EC7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A97E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F1A5B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冷凝管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B4F62C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300mm±10mm，漏斗柄与瓶身连接口内壁间隔≤2mm（单边）</w:t>
            </w:r>
          </w:p>
        </w:tc>
        <w:tc>
          <w:tcPr>
            <w:tcW w:w="315" w:type="pct"/>
            <w:tcBorders>
              <w:top w:val="single" w:color="000000" w:sz="4" w:space="0"/>
              <w:left w:val="single" w:color="000000" w:sz="4" w:space="0"/>
              <w:bottom w:val="single" w:color="000000" w:sz="4" w:space="0"/>
              <w:right w:val="nil"/>
            </w:tcBorders>
            <w:noWrap w:val="0"/>
            <w:vAlign w:val="center"/>
          </w:tcPr>
          <w:p w14:paraId="7EC753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34FCD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6E47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153E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D1D83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冷凝管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7B6F0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300mm±10mm，透明硼硅酸盐玻璃制，球形</w:t>
            </w:r>
          </w:p>
        </w:tc>
        <w:tc>
          <w:tcPr>
            <w:tcW w:w="315" w:type="pct"/>
            <w:tcBorders>
              <w:top w:val="single" w:color="000000" w:sz="4" w:space="0"/>
              <w:left w:val="single" w:color="000000" w:sz="4" w:space="0"/>
              <w:bottom w:val="single" w:color="000000" w:sz="4" w:space="0"/>
              <w:right w:val="nil"/>
            </w:tcBorders>
            <w:noWrap w:val="0"/>
            <w:vAlign w:val="center"/>
          </w:tcPr>
          <w:p w14:paraId="69C8C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4524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16FE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2992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6CD1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牛角管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870117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Φ18mm×150mm，弯形，1mm≤尖嘴处壁厚≤2mm</w:t>
            </w:r>
          </w:p>
        </w:tc>
        <w:tc>
          <w:tcPr>
            <w:tcW w:w="315" w:type="pct"/>
            <w:tcBorders>
              <w:top w:val="single" w:color="000000" w:sz="4" w:space="0"/>
              <w:left w:val="single" w:color="000000" w:sz="4" w:space="0"/>
              <w:bottom w:val="single" w:color="000000" w:sz="4" w:space="0"/>
              <w:right w:val="nil"/>
            </w:tcBorders>
            <w:noWrap w:val="0"/>
            <w:vAlign w:val="center"/>
          </w:tcPr>
          <w:p w14:paraId="00F8C9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DDFF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474FD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B3C2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7CDF8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2AD7E7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60mm，滤碗为夹角60°的圆锥形，管的尾端磨成约45°角</w:t>
            </w:r>
          </w:p>
        </w:tc>
        <w:tc>
          <w:tcPr>
            <w:tcW w:w="315" w:type="pct"/>
            <w:tcBorders>
              <w:top w:val="single" w:color="000000" w:sz="4" w:space="0"/>
              <w:left w:val="single" w:color="000000" w:sz="4" w:space="0"/>
              <w:bottom w:val="single" w:color="000000" w:sz="4" w:space="0"/>
              <w:right w:val="nil"/>
            </w:tcBorders>
            <w:noWrap w:val="0"/>
            <w:vAlign w:val="center"/>
          </w:tcPr>
          <w:p w14:paraId="060B1F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A930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D7D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82352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0795F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11A4D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90mm，滤碗为夹角60°的圆锥形，管的尾端磨成约45°角</w:t>
            </w:r>
          </w:p>
        </w:tc>
        <w:tc>
          <w:tcPr>
            <w:tcW w:w="315" w:type="pct"/>
            <w:tcBorders>
              <w:top w:val="single" w:color="000000" w:sz="4" w:space="0"/>
              <w:left w:val="single" w:color="000000" w:sz="4" w:space="0"/>
              <w:bottom w:val="single" w:color="000000" w:sz="4" w:space="0"/>
              <w:right w:val="nil"/>
            </w:tcBorders>
            <w:noWrap w:val="0"/>
            <w:vAlign w:val="center"/>
          </w:tcPr>
          <w:p w14:paraId="6E2537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13A9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r>
      <w:tr w14:paraId="15509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5819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DD355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安全漏斗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0DF240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直形，径长300mm，上口直径40mm±3mm，玻璃壁厚度适中</w:t>
            </w:r>
          </w:p>
        </w:tc>
        <w:tc>
          <w:tcPr>
            <w:tcW w:w="315" w:type="pct"/>
            <w:tcBorders>
              <w:top w:val="single" w:color="000000" w:sz="4" w:space="0"/>
              <w:left w:val="single" w:color="000000" w:sz="4" w:space="0"/>
              <w:bottom w:val="single" w:color="000000" w:sz="4" w:space="0"/>
              <w:right w:val="nil"/>
            </w:tcBorders>
            <w:noWrap w:val="0"/>
            <w:vAlign w:val="center"/>
          </w:tcPr>
          <w:p w14:paraId="0632E9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9CF53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0B34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A890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E13EE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安全漏斗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0D6003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双球，球径高度、直径一致，双球应位于环管中部，应无明显偏斜</w:t>
            </w:r>
          </w:p>
        </w:tc>
        <w:tc>
          <w:tcPr>
            <w:tcW w:w="315" w:type="pct"/>
            <w:tcBorders>
              <w:top w:val="single" w:color="000000" w:sz="4" w:space="0"/>
              <w:left w:val="single" w:color="000000" w:sz="4" w:space="0"/>
              <w:bottom w:val="single" w:color="000000" w:sz="4" w:space="0"/>
              <w:right w:val="nil"/>
            </w:tcBorders>
            <w:noWrap w:val="0"/>
            <w:vAlign w:val="center"/>
          </w:tcPr>
          <w:p w14:paraId="287D91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36386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AE7D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5CF3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43E2F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分液漏斗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F8228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锥型，100mL，瓶塞应有凹槽，瓶口有气孔</w:t>
            </w:r>
          </w:p>
        </w:tc>
        <w:tc>
          <w:tcPr>
            <w:tcW w:w="315" w:type="pct"/>
            <w:tcBorders>
              <w:top w:val="single" w:color="000000" w:sz="4" w:space="0"/>
              <w:left w:val="single" w:color="000000" w:sz="4" w:space="0"/>
              <w:bottom w:val="single" w:color="000000" w:sz="4" w:space="0"/>
              <w:right w:val="nil"/>
            </w:tcBorders>
            <w:noWrap w:val="0"/>
            <w:vAlign w:val="center"/>
          </w:tcPr>
          <w:p w14:paraId="22AB25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9B8F2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8F3F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98A33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5697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分液漏斗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EF245A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球型，50mL，瓶塞应有凹槽，瓶口有气孔</w:t>
            </w:r>
          </w:p>
        </w:tc>
        <w:tc>
          <w:tcPr>
            <w:tcW w:w="315" w:type="pct"/>
            <w:tcBorders>
              <w:top w:val="single" w:color="000000" w:sz="4" w:space="0"/>
              <w:left w:val="single" w:color="000000" w:sz="4" w:space="0"/>
              <w:bottom w:val="single" w:color="000000" w:sz="4" w:space="0"/>
              <w:right w:val="nil"/>
            </w:tcBorders>
            <w:noWrap w:val="0"/>
            <w:vAlign w:val="center"/>
          </w:tcPr>
          <w:p w14:paraId="331283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E5845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890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C1D10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067C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三通连接管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7A2EF6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T形，Φ7mm~Φ8mm，连接完好，管口应作打磨或烧结处理</w:t>
            </w:r>
          </w:p>
        </w:tc>
        <w:tc>
          <w:tcPr>
            <w:tcW w:w="315" w:type="pct"/>
            <w:tcBorders>
              <w:top w:val="single" w:color="000000" w:sz="4" w:space="0"/>
              <w:left w:val="single" w:color="000000" w:sz="4" w:space="0"/>
              <w:bottom w:val="single" w:color="000000" w:sz="4" w:space="0"/>
              <w:right w:val="nil"/>
            </w:tcBorders>
            <w:noWrap w:val="0"/>
            <w:vAlign w:val="center"/>
          </w:tcPr>
          <w:p w14:paraId="0E01E3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EC71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9F30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7D9D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300A7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三通连接管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662D0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Y形，Φ7mm~Φ8mm，连接完好，管口应作打磨或烧结处理</w:t>
            </w:r>
          </w:p>
        </w:tc>
        <w:tc>
          <w:tcPr>
            <w:tcW w:w="315" w:type="pct"/>
            <w:tcBorders>
              <w:top w:val="single" w:color="000000" w:sz="4" w:space="0"/>
              <w:left w:val="single" w:color="000000" w:sz="4" w:space="0"/>
              <w:bottom w:val="single" w:color="000000" w:sz="4" w:space="0"/>
              <w:right w:val="nil"/>
            </w:tcBorders>
            <w:noWrap w:val="0"/>
            <w:vAlign w:val="center"/>
          </w:tcPr>
          <w:p w14:paraId="5A7C6A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AFA17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CBA6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B4F9D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3401D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005315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100mm，直形，滴管尖嘴口径1mm，上端有防滑脱翻口，翻口处直径比滴管直径略多1mm～2mm</w:t>
            </w:r>
          </w:p>
        </w:tc>
        <w:tc>
          <w:tcPr>
            <w:tcW w:w="315" w:type="pct"/>
            <w:tcBorders>
              <w:top w:val="single" w:color="000000" w:sz="4" w:space="0"/>
              <w:left w:val="single" w:color="000000" w:sz="4" w:space="0"/>
              <w:bottom w:val="single" w:color="000000" w:sz="4" w:space="0"/>
              <w:right w:val="nil"/>
            </w:tcBorders>
            <w:noWrap w:val="0"/>
            <w:vAlign w:val="center"/>
          </w:tcPr>
          <w:p w14:paraId="036856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1DBF9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0AC40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E212C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C38C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36A9E0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150mm，直形，滴管尖嘴口径1mm，上端有防滑脱翻口，翻口处直径比滴管直径略多1mm～2mm</w:t>
            </w:r>
          </w:p>
        </w:tc>
        <w:tc>
          <w:tcPr>
            <w:tcW w:w="315" w:type="pct"/>
            <w:tcBorders>
              <w:top w:val="single" w:color="000000" w:sz="4" w:space="0"/>
              <w:left w:val="single" w:color="000000" w:sz="4" w:space="0"/>
              <w:bottom w:val="single" w:color="000000" w:sz="4" w:space="0"/>
              <w:right w:val="nil"/>
            </w:tcBorders>
            <w:noWrap w:val="0"/>
            <w:vAlign w:val="center"/>
          </w:tcPr>
          <w:p w14:paraId="54D457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84E38A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5751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4687B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205E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78D29E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3990B8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63B1B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0A8B5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9899B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A508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B6B2F4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145mm，直形单球，硼硅酸盐玻璃制，球应厚薄均匀</w:t>
            </w:r>
          </w:p>
        </w:tc>
        <w:tc>
          <w:tcPr>
            <w:tcW w:w="315" w:type="pct"/>
            <w:tcBorders>
              <w:top w:val="single" w:color="000000" w:sz="4" w:space="0"/>
              <w:left w:val="single" w:color="000000" w:sz="4" w:space="0"/>
              <w:bottom w:val="single" w:color="000000" w:sz="4" w:space="0"/>
              <w:right w:val="nil"/>
            </w:tcBorders>
            <w:noWrap w:val="0"/>
            <w:vAlign w:val="center"/>
          </w:tcPr>
          <w:p w14:paraId="168D3E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5E19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744F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9A849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D2CA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3C62C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U型，Φ15mm×150mm，硼硅酸盐玻璃制，两管应平行，管口高度误差不大于5mm</w:t>
            </w:r>
          </w:p>
        </w:tc>
        <w:tc>
          <w:tcPr>
            <w:tcW w:w="315" w:type="pct"/>
            <w:tcBorders>
              <w:top w:val="single" w:color="000000" w:sz="4" w:space="0"/>
              <w:left w:val="single" w:color="000000" w:sz="4" w:space="0"/>
              <w:bottom w:val="single" w:color="000000" w:sz="4" w:space="0"/>
              <w:right w:val="nil"/>
            </w:tcBorders>
            <w:noWrap w:val="0"/>
            <w:vAlign w:val="center"/>
          </w:tcPr>
          <w:p w14:paraId="448896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DF04E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BE9B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F33CF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57759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58863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U型，具支，Φ15mm×150mm，硼硅酸盐玻璃制，两管应平行，管口高度误差不大于5mm</w:t>
            </w:r>
          </w:p>
        </w:tc>
        <w:tc>
          <w:tcPr>
            <w:tcW w:w="315" w:type="pct"/>
            <w:tcBorders>
              <w:top w:val="single" w:color="000000" w:sz="4" w:space="0"/>
              <w:left w:val="single" w:color="000000" w:sz="4" w:space="0"/>
              <w:bottom w:val="single" w:color="000000" w:sz="4" w:space="0"/>
              <w:right w:val="nil"/>
            </w:tcBorders>
            <w:noWrap w:val="0"/>
            <w:vAlign w:val="center"/>
          </w:tcPr>
          <w:p w14:paraId="394A21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A4235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D3E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7EE21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E240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FA6C68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U型，Φ20mm×200mm，硼硅酸盐玻璃制，两管应平行，管口高度误差不大于5mm</w:t>
            </w:r>
          </w:p>
        </w:tc>
        <w:tc>
          <w:tcPr>
            <w:tcW w:w="315" w:type="pct"/>
            <w:tcBorders>
              <w:top w:val="single" w:color="000000" w:sz="4" w:space="0"/>
              <w:left w:val="single" w:color="000000" w:sz="4" w:space="0"/>
              <w:bottom w:val="single" w:color="000000" w:sz="4" w:space="0"/>
              <w:right w:val="nil"/>
            </w:tcBorders>
            <w:noWrap w:val="0"/>
            <w:vAlign w:val="center"/>
          </w:tcPr>
          <w:p w14:paraId="166A9B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F0598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75A3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E6387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4C11C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干燥塔</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0A6047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3B6D3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8B18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E08E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A2BBF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0BC1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比色管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56AFF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2DBD1D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C49B0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r>
      <w:tr w14:paraId="202EC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97F2B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EBF9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玻璃活塞</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8AE7DA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直形，吻合良好，不漏气，不漏液</w:t>
            </w:r>
          </w:p>
        </w:tc>
        <w:tc>
          <w:tcPr>
            <w:tcW w:w="315" w:type="pct"/>
            <w:tcBorders>
              <w:top w:val="single" w:color="000000" w:sz="4" w:space="0"/>
              <w:left w:val="single" w:color="000000" w:sz="4" w:space="0"/>
              <w:bottom w:val="single" w:color="000000" w:sz="4" w:space="0"/>
              <w:right w:val="nil"/>
            </w:tcBorders>
            <w:noWrap w:val="0"/>
            <w:vAlign w:val="center"/>
          </w:tcPr>
          <w:p w14:paraId="44DB8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EF5CF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DE5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87E58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12C48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玻璃活塞</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ACA093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T形，吻合良好，不漏气，不漏液</w:t>
            </w:r>
          </w:p>
        </w:tc>
        <w:tc>
          <w:tcPr>
            <w:tcW w:w="315" w:type="pct"/>
            <w:tcBorders>
              <w:top w:val="single" w:color="000000" w:sz="4" w:space="0"/>
              <w:left w:val="single" w:color="000000" w:sz="4" w:space="0"/>
              <w:bottom w:val="single" w:color="000000" w:sz="4" w:space="0"/>
              <w:right w:val="nil"/>
            </w:tcBorders>
            <w:noWrap w:val="0"/>
            <w:vAlign w:val="center"/>
          </w:tcPr>
          <w:p w14:paraId="2292C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0BDA6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DF2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50B8B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E20C1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圆水槽</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16C1C7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Φ210mm×100mm，水槽底部应平整，不应凸底，壁厚和底厚应均匀，口部端面应平整，边和口应圆滑</w:t>
            </w:r>
          </w:p>
        </w:tc>
        <w:tc>
          <w:tcPr>
            <w:tcW w:w="315" w:type="pct"/>
            <w:tcBorders>
              <w:top w:val="single" w:color="000000" w:sz="4" w:space="0"/>
              <w:left w:val="single" w:color="000000" w:sz="4" w:space="0"/>
              <w:bottom w:val="single" w:color="000000" w:sz="4" w:space="0"/>
              <w:right w:val="nil"/>
            </w:tcBorders>
            <w:noWrap w:val="0"/>
            <w:vAlign w:val="center"/>
          </w:tcPr>
          <w:p w14:paraId="25B1CC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088B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25E3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C21A6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97647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圆水槽</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47D631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Φ270mm×140mm，水槽底部应平整，不应凸底，壁厚和底厚应均匀，口部端面应平整，边和口应圆滑</w:t>
            </w:r>
          </w:p>
        </w:tc>
        <w:tc>
          <w:tcPr>
            <w:tcW w:w="315" w:type="pct"/>
            <w:tcBorders>
              <w:top w:val="single" w:color="000000" w:sz="4" w:space="0"/>
              <w:left w:val="single" w:color="000000" w:sz="4" w:space="0"/>
              <w:bottom w:val="single" w:color="000000" w:sz="4" w:space="0"/>
              <w:right w:val="nil"/>
            </w:tcBorders>
            <w:noWrap w:val="0"/>
            <w:vAlign w:val="center"/>
          </w:tcPr>
          <w:p w14:paraId="6F25DA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A4B75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3A23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06B0F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A408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钴玻璃片</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58E7B59">
            <w:pPr>
              <w:jc w:val="left"/>
              <w:rPr>
                <w:rFonts w:hint="eastAsia" w:ascii="仿宋" w:hAnsi="仿宋" w:eastAsia="仿宋" w:cs="仿宋"/>
                <w:i w:val="0"/>
                <w:iCs w:val="0"/>
                <w:color w:val="000000"/>
                <w:sz w:val="21"/>
                <w:szCs w:val="21"/>
                <w:highlight w:val="none"/>
                <w:u w:val="none"/>
              </w:rPr>
            </w:pPr>
          </w:p>
        </w:tc>
        <w:tc>
          <w:tcPr>
            <w:tcW w:w="315" w:type="pct"/>
            <w:tcBorders>
              <w:top w:val="single" w:color="000000" w:sz="4" w:space="0"/>
              <w:left w:val="single" w:color="000000" w:sz="4" w:space="0"/>
              <w:bottom w:val="single" w:color="000000" w:sz="4" w:space="0"/>
              <w:right w:val="nil"/>
            </w:tcBorders>
            <w:noWrap w:val="0"/>
            <w:vAlign w:val="center"/>
          </w:tcPr>
          <w:p w14:paraId="411AFC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0B1F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64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42781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BAB4C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结晶皿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6F1D4E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90mm，平底，透明硼硅酸盐玻璃制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6C101F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F6FD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088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4BF5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64029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表面皿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1E01DA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550C48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27146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AC5E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0EA75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53D8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表面皿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28AD04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100mm，透明硼硅酸盐玻璃制</w:t>
            </w:r>
          </w:p>
        </w:tc>
        <w:tc>
          <w:tcPr>
            <w:tcW w:w="315" w:type="pct"/>
            <w:tcBorders>
              <w:top w:val="single" w:color="000000" w:sz="4" w:space="0"/>
              <w:left w:val="single" w:color="000000" w:sz="4" w:space="0"/>
              <w:bottom w:val="single" w:color="000000" w:sz="4" w:space="0"/>
              <w:right w:val="nil"/>
            </w:tcBorders>
            <w:noWrap w:val="0"/>
            <w:vAlign w:val="center"/>
          </w:tcPr>
          <w:p w14:paraId="4F038C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DAC7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769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7ECFD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586C7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坩埚</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94FDF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瓷制，30mL，耐热≥1200℃,内外壁光滑，外壁涂釉，配有坩埚盖</w:t>
            </w:r>
          </w:p>
        </w:tc>
        <w:tc>
          <w:tcPr>
            <w:tcW w:w="315" w:type="pct"/>
            <w:tcBorders>
              <w:top w:val="single" w:color="000000" w:sz="4" w:space="0"/>
              <w:left w:val="single" w:color="000000" w:sz="4" w:space="0"/>
              <w:bottom w:val="single" w:color="000000" w:sz="4" w:space="0"/>
              <w:right w:val="nil"/>
            </w:tcBorders>
            <w:noWrap w:val="0"/>
            <w:vAlign w:val="center"/>
          </w:tcPr>
          <w:p w14:paraId="684DA9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CC52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87E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2E2BD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18CF7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坩埚钳</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DBBCC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200mm，钢制，中间弯曲部分内径应在2cm～3cm</w:t>
            </w:r>
          </w:p>
        </w:tc>
        <w:tc>
          <w:tcPr>
            <w:tcW w:w="315" w:type="pct"/>
            <w:tcBorders>
              <w:top w:val="single" w:color="000000" w:sz="4" w:space="0"/>
              <w:left w:val="single" w:color="000000" w:sz="4" w:space="0"/>
              <w:bottom w:val="single" w:color="000000" w:sz="4" w:space="0"/>
              <w:right w:val="nil"/>
            </w:tcBorders>
            <w:noWrap w:val="0"/>
            <w:vAlign w:val="center"/>
          </w:tcPr>
          <w:p w14:paraId="3D8B49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893D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808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F2B6D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78E9B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43CBC8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不锈钢制，夹持部位应有橡胶保护套，避免与玻璃烧杯直接接触</w:t>
            </w:r>
          </w:p>
        </w:tc>
        <w:tc>
          <w:tcPr>
            <w:tcW w:w="315" w:type="pct"/>
            <w:tcBorders>
              <w:top w:val="single" w:color="000000" w:sz="4" w:space="0"/>
              <w:left w:val="single" w:color="000000" w:sz="4" w:space="0"/>
              <w:bottom w:val="single" w:color="000000" w:sz="4" w:space="0"/>
              <w:right w:val="nil"/>
            </w:tcBorders>
            <w:noWrap w:val="0"/>
            <w:vAlign w:val="center"/>
          </w:tcPr>
          <w:p w14:paraId="7655ED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928A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E66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51278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97C56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镊子</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6601E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不锈钢制，平头，长125mm，钢板厚1.2mm，前部应有防滑脱锯齿</w:t>
            </w:r>
          </w:p>
        </w:tc>
        <w:tc>
          <w:tcPr>
            <w:tcW w:w="315" w:type="pct"/>
            <w:tcBorders>
              <w:top w:val="single" w:color="000000" w:sz="4" w:space="0"/>
              <w:left w:val="single" w:color="000000" w:sz="4" w:space="0"/>
              <w:bottom w:val="single" w:color="000000" w:sz="4" w:space="0"/>
              <w:right w:val="nil"/>
            </w:tcBorders>
            <w:noWrap w:val="0"/>
            <w:vAlign w:val="center"/>
          </w:tcPr>
          <w:p w14:paraId="59939F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82151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8AB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57376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26174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C1297D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木制或者竹制，长度≥200mm，宽度约20mm，厚度约20mm。试管夹闭口缝≤1mm，开口距离≥25mm。毡块粘接牢固，试管夹弹簧作防锈处理。试管夹持部位圆弧内径≤15mm</w:t>
            </w:r>
          </w:p>
        </w:tc>
        <w:tc>
          <w:tcPr>
            <w:tcW w:w="315" w:type="pct"/>
            <w:tcBorders>
              <w:top w:val="single" w:color="000000" w:sz="4" w:space="0"/>
              <w:left w:val="single" w:color="000000" w:sz="4" w:space="0"/>
              <w:bottom w:val="single" w:color="000000" w:sz="4" w:space="0"/>
              <w:right w:val="nil"/>
            </w:tcBorders>
            <w:noWrap w:val="0"/>
            <w:vAlign w:val="center"/>
          </w:tcPr>
          <w:p w14:paraId="44A9DB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E9D86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30E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5F0A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A6B34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止水皮管夹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896CD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Φ3mm钢丝制成，作防锈处理，夹持角度≥60º,弹性好，不漏液</w:t>
            </w:r>
          </w:p>
        </w:tc>
        <w:tc>
          <w:tcPr>
            <w:tcW w:w="315" w:type="pct"/>
            <w:tcBorders>
              <w:top w:val="single" w:color="000000" w:sz="4" w:space="0"/>
              <w:left w:val="single" w:color="000000" w:sz="4" w:space="0"/>
              <w:bottom w:val="single" w:color="000000" w:sz="4" w:space="0"/>
              <w:right w:val="nil"/>
            </w:tcBorders>
            <w:noWrap w:val="0"/>
            <w:vAlign w:val="center"/>
          </w:tcPr>
          <w:p w14:paraId="292F0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56815B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7B1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DA1AB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D38B9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螺旋皮管夹</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853242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由支架管和带压板的螺杆等组成。外形尺寸约为33mm×20mm×8mm，旋转方便，不易变形，压板厚度≥1mm</w:t>
            </w:r>
          </w:p>
        </w:tc>
        <w:tc>
          <w:tcPr>
            <w:tcW w:w="315" w:type="pct"/>
            <w:tcBorders>
              <w:top w:val="single" w:color="000000" w:sz="4" w:space="0"/>
              <w:left w:val="single" w:color="000000" w:sz="4" w:space="0"/>
              <w:bottom w:val="single" w:color="000000" w:sz="4" w:space="0"/>
              <w:right w:val="nil"/>
            </w:tcBorders>
            <w:noWrap w:val="0"/>
            <w:vAlign w:val="center"/>
          </w:tcPr>
          <w:p w14:paraId="64BF73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EF61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7939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1FA1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4081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陶土网</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2C20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金属网尺寸≥125mm×125mm，耐火材料为陶土，功能等同于石棉网</w:t>
            </w:r>
          </w:p>
        </w:tc>
        <w:tc>
          <w:tcPr>
            <w:tcW w:w="315" w:type="pct"/>
            <w:tcBorders>
              <w:top w:val="single" w:color="000000" w:sz="4" w:space="0"/>
              <w:left w:val="single" w:color="000000" w:sz="4" w:space="0"/>
              <w:bottom w:val="single" w:color="000000" w:sz="4" w:space="0"/>
              <w:right w:val="nil"/>
            </w:tcBorders>
            <w:noWrap w:val="0"/>
            <w:vAlign w:val="center"/>
          </w:tcPr>
          <w:p w14:paraId="587533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90835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E593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2FEA7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D952D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二连球</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9CC9E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橡胶材质，直径90mm，长度250mm</w:t>
            </w:r>
          </w:p>
        </w:tc>
        <w:tc>
          <w:tcPr>
            <w:tcW w:w="315" w:type="pct"/>
            <w:tcBorders>
              <w:top w:val="single" w:color="000000" w:sz="4" w:space="0"/>
              <w:left w:val="single" w:color="000000" w:sz="4" w:space="0"/>
              <w:bottom w:val="single" w:color="000000" w:sz="4" w:space="0"/>
              <w:right w:val="nil"/>
            </w:tcBorders>
            <w:noWrap w:val="0"/>
            <w:vAlign w:val="center"/>
          </w:tcPr>
          <w:p w14:paraId="568960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3DF17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55D2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4F5BE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E3EB1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燃烧匙</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881CD4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铜勺，勺直径18mm，深10mm，铁柄，柄长300mm，长柄和铜勺连接稳定结实</w:t>
            </w:r>
          </w:p>
        </w:tc>
        <w:tc>
          <w:tcPr>
            <w:tcW w:w="315" w:type="pct"/>
            <w:tcBorders>
              <w:top w:val="single" w:color="000000" w:sz="4" w:space="0"/>
              <w:left w:val="single" w:color="000000" w:sz="4" w:space="0"/>
              <w:bottom w:val="single" w:color="000000" w:sz="4" w:space="0"/>
              <w:right w:val="nil"/>
            </w:tcBorders>
            <w:noWrap w:val="0"/>
            <w:vAlign w:val="center"/>
          </w:tcPr>
          <w:p w14:paraId="688F5F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2A115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A407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EAA7A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78EA0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药匙</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468923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中号13.5cm，带小勺，材质可选金属、牛角、塑料</w:t>
            </w:r>
          </w:p>
        </w:tc>
        <w:tc>
          <w:tcPr>
            <w:tcW w:w="315" w:type="pct"/>
            <w:tcBorders>
              <w:top w:val="single" w:color="000000" w:sz="4" w:space="0"/>
              <w:left w:val="single" w:color="000000" w:sz="4" w:space="0"/>
              <w:bottom w:val="single" w:color="000000" w:sz="4" w:space="0"/>
              <w:right w:val="nil"/>
            </w:tcBorders>
            <w:noWrap w:val="0"/>
            <w:vAlign w:val="center"/>
          </w:tcPr>
          <w:p w14:paraId="5E5EFF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32515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71293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B811D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55C77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839737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Φ5mm~Φ6mm，中性料，管口应为熔光</w:t>
            </w:r>
          </w:p>
        </w:tc>
        <w:tc>
          <w:tcPr>
            <w:tcW w:w="315" w:type="pct"/>
            <w:tcBorders>
              <w:top w:val="single" w:color="000000" w:sz="4" w:space="0"/>
              <w:left w:val="single" w:color="000000" w:sz="4" w:space="0"/>
              <w:bottom w:val="single" w:color="000000" w:sz="4" w:space="0"/>
              <w:right w:val="nil"/>
            </w:tcBorders>
            <w:noWrap w:val="0"/>
            <w:vAlign w:val="center"/>
          </w:tcPr>
          <w:p w14:paraId="58EAF8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A5B42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33343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7D8C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F15A1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2EA0AC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Φ7mm~Φ8mm，中性料，管口应为熔光</w:t>
            </w:r>
          </w:p>
        </w:tc>
        <w:tc>
          <w:tcPr>
            <w:tcW w:w="315" w:type="pct"/>
            <w:tcBorders>
              <w:top w:val="single" w:color="000000" w:sz="4" w:space="0"/>
              <w:left w:val="single" w:color="000000" w:sz="4" w:space="0"/>
              <w:bottom w:val="single" w:color="000000" w:sz="4" w:space="0"/>
              <w:right w:val="nil"/>
            </w:tcBorders>
            <w:noWrap w:val="0"/>
            <w:vAlign w:val="center"/>
          </w:tcPr>
          <w:p w14:paraId="446133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BC40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r>
      <w:tr w14:paraId="57095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9041DA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F97D9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玻璃弯管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0637B2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Φ7mm~Φ8mm，一端长度为6cm~7cm，另一端长度约20cm，形状为锐角、直角和钝角，管口应为熔光</w:t>
            </w:r>
          </w:p>
        </w:tc>
        <w:tc>
          <w:tcPr>
            <w:tcW w:w="315" w:type="pct"/>
            <w:tcBorders>
              <w:top w:val="single" w:color="000000" w:sz="4" w:space="0"/>
              <w:left w:val="single" w:color="000000" w:sz="4" w:space="0"/>
              <w:bottom w:val="single" w:color="000000" w:sz="4" w:space="0"/>
              <w:right w:val="nil"/>
            </w:tcBorders>
            <w:noWrap w:val="0"/>
            <w:vAlign w:val="center"/>
          </w:tcPr>
          <w:p w14:paraId="7E2787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D3927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6E278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7DF21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3CE6F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5EE5A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Φ5mm~Φ6mm，两端应平整倒边</w:t>
            </w:r>
          </w:p>
        </w:tc>
        <w:tc>
          <w:tcPr>
            <w:tcW w:w="315" w:type="pct"/>
            <w:tcBorders>
              <w:top w:val="single" w:color="000000" w:sz="4" w:space="0"/>
              <w:left w:val="single" w:color="000000" w:sz="4" w:space="0"/>
              <w:bottom w:val="single" w:color="000000" w:sz="4" w:space="0"/>
              <w:right w:val="nil"/>
            </w:tcBorders>
            <w:noWrap w:val="0"/>
            <w:vAlign w:val="center"/>
          </w:tcPr>
          <w:p w14:paraId="50C27F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9B0A8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54F35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6636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3B005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玻璃棒</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2C417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Φ7mm~Φ8mm，两端应平整倒边</w:t>
            </w:r>
          </w:p>
        </w:tc>
        <w:tc>
          <w:tcPr>
            <w:tcW w:w="315" w:type="pct"/>
            <w:tcBorders>
              <w:top w:val="single" w:color="000000" w:sz="4" w:space="0"/>
              <w:left w:val="single" w:color="000000" w:sz="4" w:space="0"/>
              <w:bottom w:val="single" w:color="000000" w:sz="4" w:space="0"/>
              <w:right w:val="nil"/>
            </w:tcBorders>
            <w:noWrap w:val="0"/>
            <w:vAlign w:val="center"/>
          </w:tcPr>
          <w:p w14:paraId="4373D8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210BF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6C5E9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C55D0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E20AD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橡胶塞</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9BA84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000、00、0～11号，白色，质地均匀</w:t>
            </w:r>
          </w:p>
        </w:tc>
        <w:tc>
          <w:tcPr>
            <w:tcW w:w="315" w:type="pct"/>
            <w:tcBorders>
              <w:top w:val="single" w:color="000000" w:sz="4" w:space="0"/>
              <w:left w:val="single" w:color="000000" w:sz="4" w:space="0"/>
              <w:bottom w:val="single" w:color="000000" w:sz="4" w:space="0"/>
              <w:right w:val="nil"/>
            </w:tcBorders>
            <w:noWrap w:val="0"/>
            <w:vAlign w:val="center"/>
          </w:tcPr>
          <w:p w14:paraId="0C25AC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C18CC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12D7A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E03F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43F13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AC3E2E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外径9mm，内径6mm，乳白色，具有耐油、耐酸碱、耐热、耐压等特性</w:t>
            </w:r>
          </w:p>
        </w:tc>
        <w:tc>
          <w:tcPr>
            <w:tcW w:w="315" w:type="pct"/>
            <w:tcBorders>
              <w:top w:val="single" w:color="000000" w:sz="4" w:space="0"/>
              <w:left w:val="single" w:color="000000" w:sz="4" w:space="0"/>
              <w:bottom w:val="single" w:color="000000" w:sz="4" w:space="0"/>
              <w:right w:val="nil"/>
            </w:tcBorders>
            <w:noWrap w:val="0"/>
            <w:vAlign w:val="center"/>
          </w:tcPr>
          <w:p w14:paraId="47BC7E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C7A43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r>
      <w:tr w14:paraId="53D8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F8EA3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8D1F9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乳胶管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715C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外径6mm，内径4mm，弹力好，拉力范围可在自身的6倍，回弹力100%</w:t>
            </w:r>
          </w:p>
        </w:tc>
        <w:tc>
          <w:tcPr>
            <w:tcW w:w="315" w:type="pct"/>
            <w:tcBorders>
              <w:top w:val="single" w:color="000000" w:sz="4" w:space="0"/>
              <w:left w:val="single" w:color="000000" w:sz="4" w:space="0"/>
              <w:bottom w:val="single" w:color="000000" w:sz="4" w:space="0"/>
              <w:right w:val="nil"/>
            </w:tcBorders>
            <w:noWrap w:val="0"/>
            <w:vAlign w:val="center"/>
          </w:tcPr>
          <w:p w14:paraId="5CD535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62CA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r>
      <w:tr w14:paraId="13972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61484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A383E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乳胶管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E01243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外径9mm，内径6mm，弹力好，拉力范围可在自身的6倍，回弹力100%</w:t>
            </w:r>
          </w:p>
        </w:tc>
        <w:tc>
          <w:tcPr>
            <w:tcW w:w="315" w:type="pct"/>
            <w:tcBorders>
              <w:top w:val="single" w:color="000000" w:sz="4" w:space="0"/>
              <w:left w:val="single" w:color="000000" w:sz="4" w:space="0"/>
              <w:bottom w:val="single" w:color="000000" w:sz="4" w:space="0"/>
              <w:right w:val="nil"/>
            </w:tcBorders>
            <w:noWrap w:val="0"/>
            <w:vAlign w:val="center"/>
          </w:tcPr>
          <w:p w14:paraId="5723BA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952E4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r>
      <w:tr w14:paraId="428F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218A07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37E8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洗耳球</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E74B0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60mL，橡胶材质</w:t>
            </w:r>
          </w:p>
        </w:tc>
        <w:tc>
          <w:tcPr>
            <w:tcW w:w="315" w:type="pct"/>
            <w:tcBorders>
              <w:top w:val="single" w:color="000000" w:sz="4" w:space="0"/>
              <w:left w:val="single" w:color="000000" w:sz="4" w:space="0"/>
              <w:bottom w:val="single" w:color="000000" w:sz="4" w:space="0"/>
              <w:right w:val="nil"/>
            </w:tcBorders>
            <w:noWrap w:val="0"/>
            <w:vAlign w:val="center"/>
          </w:tcPr>
          <w:p w14:paraId="514CF8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B0FE7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2F5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43D3C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237C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174D46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Φ12mm，手持部分顶端应为带环状，顶部要有刷丝，铁丝不可外露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20C9AD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3D8E2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5EC2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8D7A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4CE85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BE395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Φ18mm，手持部分顶端应为带环状，顶部要有刷丝，铁丝不可外露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7A1125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D5B9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9EA7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8EC22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4EDD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356CF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Φ32mm，手持部分顶端应为带环状，顶部要有刷丝，铁丝不可外露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6512BE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57ED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66EF1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69F61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7E59C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8F37C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250mL烧瓶用，手持部分顶端应为环状，顶部要有刷丝，铁丝不可外露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23DE98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F26A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39F86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9A73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2C2C9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烧瓶刷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E70A5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500mL烧瓶用，手持部分顶端应为环状，顶部要有刷丝，铁丝不可外露</w:t>
            </w:r>
          </w:p>
        </w:tc>
        <w:tc>
          <w:tcPr>
            <w:tcW w:w="315" w:type="pct"/>
            <w:tcBorders>
              <w:top w:val="single" w:color="000000" w:sz="4" w:space="0"/>
              <w:left w:val="single" w:color="000000" w:sz="4" w:space="0"/>
              <w:bottom w:val="single" w:color="000000" w:sz="4" w:space="0"/>
              <w:right w:val="nil"/>
            </w:tcBorders>
            <w:noWrap w:val="0"/>
            <w:vAlign w:val="center"/>
          </w:tcPr>
          <w:p w14:paraId="26C1E2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D622F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AF7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DAC63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522B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滴定管刷</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D7B0C7">
            <w:pPr>
              <w:jc w:val="left"/>
              <w:rPr>
                <w:rFonts w:hint="eastAsia" w:ascii="仿宋" w:hAnsi="仿宋" w:eastAsia="仿宋" w:cs="仿宋"/>
                <w:i w:val="0"/>
                <w:iCs w:val="0"/>
                <w:color w:val="000000"/>
                <w:sz w:val="21"/>
                <w:szCs w:val="21"/>
                <w:highlight w:val="none"/>
                <w:u w:val="none"/>
              </w:rPr>
            </w:pPr>
          </w:p>
        </w:tc>
        <w:tc>
          <w:tcPr>
            <w:tcW w:w="315" w:type="pct"/>
            <w:tcBorders>
              <w:top w:val="single" w:color="000000" w:sz="4" w:space="0"/>
              <w:left w:val="single" w:color="000000" w:sz="4" w:space="0"/>
              <w:bottom w:val="single" w:color="000000" w:sz="4" w:space="0"/>
              <w:right w:val="nil"/>
            </w:tcBorders>
            <w:noWrap w:val="0"/>
            <w:vAlign w:val="center"/>
          </w:tcPr>
          <w:p w14:paraId="379445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7F422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6ECA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7838D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DF4D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研钵</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473D74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瓷或玻璃制，60mm，配有研杵，内部粗糙便于研磨，外部光滑</w:t>
            </w:r>
          </w:p>
        </w:tc>
        <w:tc>
          <w:tcPr>
            <w:tcW w:w="315" w:type="pct"/>
            <w:tcBorders>
              <w:top w:val="single" w:color="000000" w:sz="4" w:space="0"/>
              <w:left w:val="single" w:color="000000" w:sz="4" w:space="0"/>
              <w:bottom w:val="single" w:color="000000" w:sz="4" w:space="0"/>
              <w:right w:val="nil"/>
            </w:tcBorders>
            <w:noWrap w:val="0"/>
            <w:vAlign w:val="center"/>
          </w:tcPr>
          <w:p w14:paraId="611E50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D100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7D9B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411D3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C04E4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研钵</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27E8FB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瓷或玻璃制，100mm，配有研杵，内部粗糙便于研磨，外部光滑</w:t>
            </w:r>
          </w:p>
        </w:tc>
        <w:tc>
          <w:tcPr>
            <w:tcW w:w="315" w:type="pct"/>
            <w:tcBorders>
              <w:top w:val="single" w:color="000000" w:sz="4" w:space="0"/>
              <w:left w:val="single" w:color="000000" w:sz="4" w:space="0"/>
              <w:bottom w:val="single" w:color="000000" w:sz="4" w:space="0"/>
              <w:right w:val="nil"/>
            </w:tcBorders>
            <w:noWrap w:val="0"/>
            <w:vAlign w:val="center"/>
          </w:tcPr>
          <w:p w14:paraId="4A4024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90E6A3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D4E8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205A5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9865D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蒸发皿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83DE08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瓷制，60mm，耐受温度≥800℃</w:t>
            </w:r>
          </w:p>
        </w:tc>
        <w:tc>
          <w:tcPr>
            <w:tcW w:w="315" w:type="pct"/>
            <w:tcBorders>
              <w:top w:val="single" w:color="000000" w:sz="4" w:space="0"/>
              <w:left w:val="single" w:color="000000" w:sz="4" w:space="0"/>
              <w:bottom w:val="single" w:color="000000" w:sz="4" w:space="0"/>
              <w:right w:val="nil"/>
            </w:tcBorders>
            <w:noWrap w:val="0"/>
            <w:vAlign w:val="center"/>
          </w:tcPr>
          <w:p w14:paraId="65A7EA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13161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F6AB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6B1E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B08C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蒸发皿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7BE218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瓷制，120mm，耐受温度≥800℃</w:t>
            </w:r>
          </w:p>
        </w:tc>
        <w:tc>
          <w:tcPr>
            <w:tcW w:w="315" w:type="pct"/>
            <w:tcBorders>
              <w:top w:val="single" w:color="000000" w:sz="4" w:space="0"/>
              <w:left w:val="single" w:color="000000" w:sz="4" w:space="0"/>
              <w:bottom w:val="single" w:color="000000" w:sz="4" w:space="0"/>
              <w:right w:val="nil"/>
            </w:tcBorders>
            <w:noWrap w:val="0"/>
            <w:vAlign w:val="center"/>
          </w:tcPr>
          <w:p w14:paraId="34195E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0C6E8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508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2DC20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7D484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反应板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CF1586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白色陶瓷，6孔，表面有釉层，不会发生溶液渗透</w:t>
            </w:r>
          </w:p>
        </w:tc>
        <w:tc>
          <w:tcPr>
            <w:tcW w:w="315" w:type="pct"/>
            <w:tcBorders>
              <w:top w:val="single" w:color="000000" w:sz="4" w:space="0"/>
              <w:left w:val="single" w:color="000000" w:sz="4" w:space="0"/>
              <w:bottom w:val="single" w:color="000000" w:sz="4" w:space="0"/>
              <w:right w:val="nil"/>
            </w:tcBorders>
            <w:noWrap w:val="0"/>
            <w:vAlign w:val="center"/>
          </w:tcPr>
          <w:p w14:paraId="5839C1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5FD40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4901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397E7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5DFC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井穴板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8FDA5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透明塑料，9孔，每孔0.7mL，环保材料，可以重复使用</w:t>
            </w:r>
          </w:p>
        </w:tc>
        <w:tc>
          <w:tcPr>
            <w:tcW w:w="315" w:type="pct"/>
            <w:tcBorders>
              <w:top w:val="single" w:color="000000" w:sz="4" w:space="0"/>
              <w:left w:val="single" w:color="000000" w:sz="4" w:space="0"/>
              <w:bottom w:val="single" w:color="000000" w:sz="4" w:space="0"/>
              <w:right w:val="nil"/>
            </w:tcBorders>
            <w:noWrap w:val="0"/>
            <w:vAlign w:val="center"/>
          </w:tcPr>
          <w:p w14:paraId="0D0114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53309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FCF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EA20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3963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井穴板</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217C77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透明塑料，6孔，每孔5mL，配6个双导气管的井穴塞，可以重复使用</w:t>
            </w:r>
          </w:p>
        </w:tc>
        <w:tc>
          <w:tcPr>
            <w:tcW w:w="315" w:type="pct"/>
            <w:tcBorders>
              <w:top w:val="single" w:color="000000" w:sz="4" w:space="0"/>
              <w:left w:val="single" w:color="000000" w:sz="4" w:space="0"/>
              <w:bottom w:val="single" w:color="000000" w:sz="4" w:space="0"/>
              <w:right w:val="nil"/>
            </w:tcBorders>
            <w:noWrap w:val="0"/>
            <w:vAlign w:val="center"/>
          </w:tcPr>
          <w:p w14:paraId="5DB2C8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D71C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C9C2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6E245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EBC5A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塑料多用滴管</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CB7524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弹性圆筒形吸泡和一根Φ1mm×120mm的径管连接而成，容积4mL，弹性好</w:t>
            </w:r>
          </w:p>
        </w:tc>
        <w:tc>
          <w:tcPr>
            <w:tcW w:w="315" w:type="pct"/>
            <w:tcBorders>
              <w:top w:val="single" w:color="000000" w:sz="4" w:space="0"/>
              <w:left w:val="single" w:color="000000" w:sz="4" w:space="0"/>
              <w:bottom w:val="single" w:color="000000" w:sz="4" w:space="0"/>
              <w:right w:val="nil"/>
            </w:tcBorders>
            <w:noWrap w:val="0"/>
            <w:vAlign w:val="center"/>
          </w:tcPr>
          <w:p w14:paraId="1D06EE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AF1F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300</w:t>
            </w:r>
          </w:p>
        </w:tc>
      </w:tr>
      <w:tr w14:paraId="6E86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B674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B4ECA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塑料洗瓶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13DE9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250mL或500mL，水嘴略向下倾斜,口径1mm～2mm，瓶口紧实不漏气</w:t>
            </w:r>
          </w:p>
        </w:tc>
        <w:tc>
          <w:tcPr>
            <w:tcW w:w="315" w:type="pct"/>
            <w:tcBorders>
              <w:top w:val="single" w:color="000000" w:sz="4" w:space="0"/>
              <w:left w:val="single" w:color="000000" w:sz="4" w:space="0"/>
              <w:bottom w:val="single" w:color="000000" w:sz="4" w:space="0"/>
              <w:right w:val="nil"/>
            </w:tcBorders>
            <w:noWrap w:val="0"/>
            <w:vAlign w:val="center"/>
          </w:tcPr>
          <w:p w14:paraId="18F7B7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15774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509E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92D1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41382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透明塑料水槽</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C1AA46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250mm×180mm×100mm</w:t>
            </w:r>
          </w:p>
        </w:tc>
        <w:tc>
          <w:tcPr>
            <w:tcW w:w="315" w:type="pct"/>
            <w:tcBorders>
              <w:top w:val="single" w:color="000000" w:sz="4" w:space="0"/>
              <w:left w:val="single" w:color="000000" w:sz="4" w:space="0"/>
              <w:bottom w:val="single" w:color="000000" w:sz="4" w:space="0"/>
              <w:right w:val="nil"/>
            </w:tcBorders>
            <w:noWrap w:val="0"/>
            <w:vAlign w:val="center"/>
          </w:tcPr>
          <w:p w14:paraId="08A36E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9880A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BF3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723A3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BCE7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集气瓶挂扣器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19E6C5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适合125mL集气瓶，塑料制</w:t>
            </w:r>
          </w:p>
        </w:tc>
        <w:tc>
          <w:tcPr>
            <w:tcW w:w="315" w:type="pct"/>
            <w:tcBorders>
              <w:top w:val="single" w:color="000000" w:sz="4" w:space="0"/>
              <w:left w:val="single" w:color="000000" w:sz="4" w:space="0"/>
              <w:bottom w:val="single" w:color="000000" w:sz="4" w:space="0"/>
              <w:right w:val="nil"/>
            </w:tcBorders>
            <w:noWrap w:val="0"/>
            <w:vAlign w:val="center"/>
          </w:tcPr>
          <w:p w14:paraId="7A3B2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A3F0B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390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676EC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358A9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集气瓶挂扣器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06DDB1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适合250mL集气瓶，塑料制</w:t>
            </w:r>
          </w:p>
        </w:tc>
        <w:tc>
          <w:tcPr>
            <w:tcW w:w="315" w:type="pct"/>
            <w:tcBorders>
              <w:top w:val="single" w:color="000000" w:sz="4" w:space="0"/>
              <w:left w:val="single" w:color="000000" w:sz="4" w:space="0"/>
              <w:bottom w:val="single" w:color="000000" w:sz="4" w:space="0"/>
              <w:right w:val="nil"/>
            </w:tcBorders>
            <w:noWrap w:val="0"/>
            <w:vAlign w:val="center"/>
          </w:tcPr>
          <w:p w14:paraId="669AF8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B8E97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7E9D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AA27A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2C15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铂丝</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0EC489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Φ0.5mm×50mm；具金属柄，可拆卸</w:t>
            </w:r>
          </w:p>
        </w:tc>
        <w:tc>
          <w:tcPr>
            <w:tcW w:w="315" w:type="pct"/>
            <w:tcBorders>
              <w:top w:val="single" w:color="000000" w:sz="4" w:space="0"/>
              <w:left w:val="single" w:color="000000" w:sz="4" w:space="0"/>
              <w:bottom w:val="single" w:color="000000" w:sz="4" w:space="0"/>
              <w:right w:val="nil"/>
            </w:tcBorders>
            <w:noWrap w:val="0"/>
            <w:vAlign w:val="center"/>
          </w:tcPr>
          <w:p w14:paraId="26E622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D1C6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1CD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05B5E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CB7F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水浴锅</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B32A75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铜制</w:t>
            </w:r>
          </w:p>
        </w:tc>
        <w:tc>
          <w:tcPr>
            <w:tcW w:w="315" w:type="pct"/>
            <w:tcBorders>
              <w:top w:val="single" w:color="000000" w:sz="4" w:space="0"/>
              <w:left w:val="single" w:color="000000" w:sz="4" w:space="0"/>
              <w:bottom w:val="single" w:color="000000" w:sz="4" w:space="0"/>
              <w:right w:val="nil"/>
            </w:tcBorders>
            <w:noWrap w:val="0"/>
            <w:vAlign w:val="center"/>
          </w:tcPr>
          <w:p w14:paraId="1CD818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6DA85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D17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D8C0B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F5682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酒精喷灯</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52CBF4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座式，铜制，壶体容积≥300mL，火焰温度≥1000℃</w:t>
            </w:r>
          </w:p>
        </w:tc>
        <w:tc>
          <w:tcPr>
            <w:tcW w:w="315" w:type="pct"/>
            <w:tcBorders>
              <w:top w:val="single" w:color="000000" w:sz="4" w:space="0"/>
              <w:left w:val="single" w:color="000000" w:sz="4" w:space="0"/>
              <w:bottom w:val="single" w:color="000000" w:sz="4" w:space="0"/>
              <w:right w:val="nil"/>
            </w:tcBorders>
            <w:noWrap w:val="0"/>
            <w:vAlign w:val="center"/>
          </w:tcPr>
          <w:p w14:paraId="068A33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408EC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5A8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B200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DAF8F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储气装置</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55567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容积≥2L</w:t>
            </w:r>
          </w:p>
        </w:tc>
        <w:tc>
          <w:tcPr>
            <w:tcW w:w="315" w:type="pct"/>
            <w:tcBorders>
              <w:top w:val="single" w:color="000000" w:sz="4" w:space="0"/>
              <w:left w:val="single" w:color="000000" w:sz="4" w:space="0"/>
              <w:bottom w:val="single" w:color="000000" w:sz="4" w:space="0"/>
              <w:right w:val="nil"/>
            </w:tcBorders>
            <w:noWrap w:val="0"/>
            <w:vAlign w:val="center"/>
          </w:tcPr>
          <w:p w14:paraId="2F3D03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66AA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770B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CC14A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F8D8C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高中化学实验材料</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39B5AE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小刀、棉花、木炭、火柴、蜡烛、焊锡、炭棒、导线、电灯泡、聚光小手电筒、木板、电池、电珠、砂纸、电极材料（石墨、铜、锌、镁、铁、锡等电极）</w:t>
            </w:r>
          </w:p>
        </w:tc>
        <w:tc>
          <w:tcPr>
            <w:tcW w:w="315" w:type="pct"/>
            <w:tcBorders>
              <w:top w:val="single" w:color="000000" w:sz="4" w:space="0"/>
              <w:left w:val="single" w:color="000000" w:sz="4" w:space="0"/>
              <w:bottom w:val="single" w:color="000000" w:sz="4" w:space="0"/>
              <w:right w:val="nil"/>
            </w:tcBorders>
            <w:noWrap w:val="0"/>
            <w:vAlign w:val="center"/>
          </w:tcPr>
          <w:p w14:paraId="6A795C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2E3F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r>
      <w:tr w14:paraId="14DF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E33AF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6C1927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数据采集器</w:t>
            </w:r>
          </w:p>
        </w:tc>
        <w:tc>
          <w:tcPr>
            <w:tcW w:w="3363" w:type="pct"/>
            <w:tcBorders>
              <w:top w:val="single" w:color="000000" w:sz="4" w:space="0"/>
              <w:left w:val="single" w:color="000000" w:sz="4" w:space="0"/>
              <w:bottom w:val="single" w:color="000000" w:sz="4" w:space="0"/>
              <w:right w:val="single" w:color="000000" w:sz="4" w:space="0"/>
            </w:tcBorders>
            <w:noWrap w:val="0"/>
            <w:vAlign w:val="top"/>
          </w:tcPr>
          <w:p w14:paraId="3E98D3DF">
            <w:pPr>
              <w:keepNext w:val="0"/>
              <w:keepLines w:val="0"/>
              <w:widowControl/>
              <w:suppressLineNumbers w:val="0"/>
              <w:jc w:val="both"/>
              <w:textAlignment w:val="top"/>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1、模块化结构，透明外壳设计，内含状态、电源指示灯；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2、与计算机采用USB2.0通讯协议，四路全数字通道，单通道最大采样率20KByte，采集器最大采样率80KByte，数字通道采样精度达5微妙；</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3、通过USB接口供电，无需外接电源，所有端口具备防静电保护功能；</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4、与传感器采用BT自锁接口，支持热插拔，即插即用，传感器可以任意组合，采集分辨率12bits；</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5、内置双处理器主板，CPU主频48Mhz；支持有线/无线状态下的四通道并行采集；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6、采用插接式结构，可根据实验教学需要，方便有线、无线工作模式切换。</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B31275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354369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FBD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0BC5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D83C7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传感器数据显示模块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1C8F46C">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1、模块化设计既可以与传感器通过BT接口连接，也可以与计算机通过USB直接连接。数据的获取和上传无需通过数据采集器即可实现；</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2、自带1.8寸彩色LED屏，可实时显示传感器数据；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3、自动识别传感器及测量范围和分度。无需按键调控，简洁、美观、实用，减少因按键失灵造成的实验功能缺失；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4、接口采用BT接口连接，自带锁扣，有效防止脱落。同时具有单向连接属性，避免因连接失误导致的数据传输失败。支持热插拔，使用寿命：≥10000次插拔；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5、自带≥8M内存；</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数据上传有线模式：数据显示模块自带miniUSB接口，可与计算机连接。通过软件将数据上传并自动绘制变化图像。导出数据以Excel形式保存，图像可以图片的形式保存。可用于编制实验报告上传至实验评测系统进行数据统计及分析（也可结合学校实际情况上传至云端服务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7、数据上传无线模式：设备自带二维码，可用移动手持终端（手机、平板等）通过移动端实验软件w扫描，导出实验数据，并绘制变化图线；</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8、自带可充电锂电池，最大电池容量不低于1100MAh。全铜触点，双保电芯，自动锁电。3.7V。满电最大待机续航时间≥240h。可通过专用充电器完成充电，也可通过数据上传有线模式完成充电。</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6C4E1E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4F85A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4</w:t>
            </w:r>
          </w:p>
        </w:tc>
      </w:tr>
      <w:tr w14:paraId="2CB0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B2F8E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DFFAEE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传感器转接模块</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A6601E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两端分别是BT接头与BT接口转换器，用于特种传感器与无线发射模块或数据显示模块的转接</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1400E09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F86FCF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69F4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CAF92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7494E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温度传感器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FF8B176">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1、测量范围：-50℃～200℃；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3、不锈钢探针，可测各种物体或溶液的温度；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▲提供外观、铅、砷、汞、 甲醛检测合格的检测报告</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8DC891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1AB63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7BC7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65BC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EA4546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高温传感器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2B174E8">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1、测量范围：0℃～1200℃；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3不锈钢探针，可测高温物体或火焰的温度；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749A44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4F531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F6F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67E93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05EFD3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相对压强传感器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53390AC">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1、测量范围：-20kPa～20kPa；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3、可用于测量气体的相对压强；</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5A73F4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37E42E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2</w:t>
            </w:r>
          </w:p>
        </w:tc>
      </w:tr>
      <w:tr w14:paraId="0C19E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DB32D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FEAD48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相对湿度传感器</w:t>
            </w:r>
          </w:p>
        </w:tc>
        <w:tc>
          <w:tcPr>
            <w:tcW w:w="33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F6732">
            <w:pPr>
              <w:keepNext w:val="0"/>
              <w:keepLines w:val="0"/>
              <w:widowControl/>
              <w:suppressLineNumbers w:val="0"/>
              <w:jc w:val="both"/>
              <w:textAlignment w:val="center"/>
              <w:rPr>
                <w:rFonts w:hint="eastAsia" w:ascii="仿宋" w:hAnsi="仿宋" w:eastAsia="仿宋" w:cs="仿宋"/>
                <w:i w:val="0"/>
                <w:iCs w:val="0"/>
                <w:color w:val="00000A"/>
                <w:kern w:val="2"/>
                <w:sz w:val="21"/>
                <w:szCs w:val="21"/>
                <w:highlight w:val="none"/>
                <w:u w:val="none"/>
                <w:lang w:val="en-US" w:eastAsia="zh-CN" w:bidi="ar-SA"/>
              </w:rPr>
            </w:pPr>
            <w:r>
              <w:rPr>
                <w:rFonts w:hint="eastAsia" w:ascii="仿宋" w:hAnsi="仿宋" w:eastAsia="仿宋" w:cs="仿宋"/>
                <w:i w:val="0"/>
                <w:iCs w:val="0"/>
                <w:color w:val="00000A"/>
                <w:kern w:val="0"/>
                <w:sz w:val="21"/>
                <w:szCs w:val="21"/>
                <w:highlight w:val="none"/>
                <w:u w:val="none"/>
                <w:lang w:val="en-US" w:eastAsia="zh-CN" w:bidi="ar"/>
              </w:rPr>
              <w:t>1、测量范围：0～100%；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3、测量灵感件置于探管中，便于测量罐体的湿度值；</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E69248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A23C1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8AB6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FF43D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40CD3A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多量程电流传感器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C272670">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1、测量范围：测量范围：-3A～3A；分度：0.01A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测量范围：-300mA～300mA；分度：0.1mA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测量范围：-30mA～30mA；分度：0.01 mA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2、通过按钮切换量程；</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3、自带传感器固定卡槽和螺口，便于和配套实验器材固定；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A18E1F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65B32D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030A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93238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9D7E48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pH传感器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4B701F9">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1、测量范围：0-14；</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80FAC4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DBB825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0A9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6003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E78D4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多量程电导率传感器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B6D6F3C">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1、测量范围：0~20000μS/cm；分度：10μS/cm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测量范围：0~2000μS/cm；分度：1μS/cm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测量范围：0~200μS/cm；分度：0.1μS/cm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F6C4F5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6094CF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4FE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2FC90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83A990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氧气传感器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D62FB73">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3、自带硬件校准按钮；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805ED8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209137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4899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525C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01E5A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二氧化碳传感器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3ED1DBC9">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ppm～50000ppm；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3、红外原理，为保证测量数据准确性和时效性，要求该传感器采用泵动循环，方便气体循环；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273F9EF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35D394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B5E6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F2430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EE418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色度传感器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943287F">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1、测量范围：透光率0～100％；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2、分度：0.1％，三波长光源（R、G、B）测量；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1428B0D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EEB4D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5E4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8F9F9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A7C09E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浊度传感器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633F0BBC">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NTU～400NTU；</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 NTU；</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690329E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C7FD7F0">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43BE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5B038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6F481A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一氧化碳传感器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98894F1">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1、测量范围：0～1000ppm；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02497A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534B99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3E2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A8ED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C8A1E3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二氧化硫传感器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B476999">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ppm～20ppm，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FB3B65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2F17BC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89FD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523AE9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E4A8D6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氢气传感器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CB8DF96">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1、测量范围：0～100%LEL；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A92B20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AF4DCC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9FD7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5D13D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1ADD8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氯气传感器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946643F">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1、测量范围：0～20ppm；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1A5235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1451E9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9560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C076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27CAD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甲烷传感器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3AF11AF">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1、测量范围：0～5%；</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D4E6AD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4ACDDF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161C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A7526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B01DA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二氧化氮传感器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5B77B4F9">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测量范围：0~200ppm；分度：1ppm；用于检测气体中二氧化氮含量；支持与采集器的有线通讯、无线通讯和独立数据显示三种工作方式。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3365A0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B2F55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5AF6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015C8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04AB0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氨气传感器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3BD3C10">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测量范围：0~100ppm；分度：1ppm；用于检测气体中氨气含量；支持与采集器的有线通讯、无线通讯和独立数据显示三种工作方式。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67D3DF0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C90A25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8C5D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03D90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DDF8E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钾离子传感器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4576D6E1">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测量范围：0~1mol/L；分度：0.00001mol/L；用于检测溶液中钾离子浓度。支持与采集器的有线通讯、无线和独立数据显示通讯工作方式。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48AF5A3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5C8D19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3349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1543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F52D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氯离子传感器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23DBDB57">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测量范围：0~1mol/L；分度：0.00001mol/L；用于检测溶液中氯离子浓度。支持与采集器的有线通讯、无线和独立数据显示通讯工作方式。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E3D7A3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7DF58B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64C24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A5C92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6C24A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铵根离子传感器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9BAAC11">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测量范围：0~1mol/L；分度：0.00001mol/L；用于检测溶液中铵根浓度。支持与采集器的有线通讯、无线和独立数据显示通讯工作方式。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4ED1BBD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9BE825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6B6C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E514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E4EEF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硝酸根离子传感器</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79FF916">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测量范围：0~1mol/L；分度：0.00001mol/L；用于检测溶液中硝酸根浓度。支持与采集器的有线通讯、无线和独立数据显示通讯工作方式。</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FD389D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3E6D1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8F0A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4CAA7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5917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滴定实验装置</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FBF451A">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由滴定计数器、专用滴定管、支架、转接器和螺栓组成，用于统计液滴数量、测量液滴体积。</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08CA5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CA09F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22B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E8FC6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28E22A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多用途生化传感器支架</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52C0E2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76445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F5361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16B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9968D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D616A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多向转接头</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D9EAC72">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配合各类传感器和辅材可进行多向固定</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EA073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0FDAF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268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D046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A563B9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9ED9511">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磁力搅拌器由搅拌驱动器、搅拌子、电源适配器构成。最大搅拌量：2L，转速范围：200转/分钟~2000转/分钟；适用于生化实验过程中搅拌低粘稠度的液体或固液混合物。</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274F7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BBEB0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4AD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45C425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222</w:t>
            </w:r>
          </w:p>
        </w:tc>
        <w:tc>
          <w:tcPr>
            <w:tcW w:w="651" w:type="pct"/>
            <w:tcBorders>
              <w:top w:val="single" w:color="000000" w:sz="4" w:space="0"/>
              <w:left w:val="single" w:color="000000" w:sz="4" w:space="0"/>
              <w:bottom w:val="nil"/>
              <w:right w:val="single" w:color="000000" w:sz="4" w:space="0"/>
            </w:tcBorders>
            <w:noWrap w:val="0"/>
            <w:vAlign w:val="center"/>
          </w:tcPr>
          <w:p w14:paraId="242A39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中和热实验器</w:t>
            </w:r>
          </w:p>
        </w:tc>
        <w:tc>
          <w:tcPr>
            <w:tcW w:w="6359" w:type="dxa"/>
            <w:tcBorders>
              <w:top w:val="single" w:color="000000" w:sz="4" w:space="0"/>
              <w:left w:val="single" w:color="000000" w:sz="4" w:space="0"/>
              <w:bottom w:val="nil"/>
              <w:right w:val="single" w:color="000000" w:sz="4" w:space="0"/>
            </w:tcBorders>
            <w:noWrap w:val="0"/>
            <w:vAlign w:val="center"/>
          </w:tcPr>
          <w:p w14:paraId="2A0F3247">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由反应容器、硅胶塞及注射器构成。配合温度传感器、数据采集器等硬件及中和热专用软件，用于测定强酸与强碱反应的中和热实验。</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E5F12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4868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BFE6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4769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76BCE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原电池实验器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C2FDE0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配备方槽、铜锌电极，可以产生微弱电动势。</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09440F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4AC8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5CA1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FA0C3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3C22F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溶液稀释池</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42463AAE">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倒置三角烧杯结构，上端开口，底端封闭，配合实验室匀速滴管使用。用于稀释倍数较大，且对初始溶解有一定量要求的化学实验。</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A728C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0B00E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8D75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3583A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43840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铁的吸氧腐蚀实验器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BAD2F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宽径浅口玻璃试管及胶塞总成组成。配合温度传感器、压强传感器、及氧气传感器使用，用于中学化学“铁的吸氧腐蚀实验的探究”及“空气中氧气含量的测定”。该器材的设计增大反应物与氧气反应的接触面积，加快反应速率，缩短反应时间，又易于观察和清洗的功能。</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123D73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D91D1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B11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E6B44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226</w:t>
            </w:r>
          </w:p>
        </w:tc>
        <w:tc>
          <w:tcPr>
            <w:tcW w:w="651" w:type="pct"/>
            <w:tcBorders>
              <w:top w:val="single" w:color="000000" w:sz="4" w:space="0"/>
              <w:left w:val="single" w:color="000000" w:sz="4" w:space="0"/>
              <w:bottom w:val="nil"/>
              <w:right w:val="single" w:color="000000" w:sz="4" w:space="0"/>
            </w:tcBorders>
            <w:noWrap w:val="0"/>
            <w:vAlign w:val="center"/>
          </w:tcPr>
          <w:p w14:paraId="134558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w:t>
            </w:r>
          </w:p>
        </w:tc>
        <w:tc>
          <w:tcPr>
            <w:tcW w:w="6359" w:type="dxa"/>
            <w:tcBorders>
              <w:top w:val="single" w:color="000000" w:sz="4" w:space="0"/>
              <w:left w:val="single" w:color="000000" w:sz="4" w:space="0"/>
              <w:bottom w:val="nil"/>
              <w:right w:val="single" w:color="000000" w:sz="4" w:space="0"/>
            </w:tcBorders>
            <w:noWrap w:val="0"/>
            <w:vAlign w:val="center"/>
          </w:tcPr>
          <w:p w14:paraId="72212FC6">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生物酶活性的影响等相关实验。</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547AD4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C1C958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3E91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A7771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B78EC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DFDBF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22416F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A6194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DAD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5BB8E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416C48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数字化实验软件</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7DBAAB50">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1、为数字化实验分析软件软件。用于数据收集和结果分析。</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2、包含教材通用软件、物理教材专用软件、化学专用软件、生物专用软件、传感器校准软件与数据导入软件六个部分。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2.1、通用软件：</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1）可实现传感器数据的自动识别及控制：传感器接入后自动识别测量种类、测量范围、分度、单位、通道序号等。可改变传感器的显示方式：数字表、模拟表、示波。可根据实验调整传感器的采样频率、开始与暂停、字体颜色、字号大小、调零、示波图线的移动及大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组合图线：拥有2个完全相同的组合图线显示窗口，可并行使用。通过该功能的应用可完成基于传感器的实时数据变化的描绘和计算表格数据描绘及分析、处理等操作。数据的分析及处理包括：拟合、求导、积分、统计、包格线等。可通过回访功能重复观察实验的变化规律。对图像可根据实验进行放大、缩小。可对引用的传感器进行同步的停止和开始，达到很好的同时性；可对引用的传感器进行同步的调零，达到很好的一致性；可对引用的传感器进行同步采样频率调整，达到很好的精确性；</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计算表格：可自动识别接入的传感器，并按照接入的通道自动标号。可通过变量、公式、求平均、绘图等按钮对数据进行处理。根据不同的实验要求可选择自动记录和手动记录。自动记录可调整时间间隔、选择采样条件，手动记录可根据需要进行点击记录，有效减少无效数据对实验结果的干扰。可引用现有实验模板也可DIY实验模板，并保存。支持表格的复制、粘贴、剪切。具备放大缩小功能，还支持打印机直接引用（无需退出实验软件），进行结果打印。实验结果可通过Excel形式进行保存。也可将保存的数据多次调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（4）实验录制：可同时将实验操作过程和软件的实验界面进行同屏录制，实现了实验现象和数据的对应。解决了数字实验无现象的难题（为减少软件操作复杂性，用其他软件录屏视为功能性缺失。）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2.2、物理专用软件：界面简洁、风格独特、一键OK的特点。j涵盖了人教、粤教、鲁科等教材的重点实验。明确了实验题目，使用时直接接入传感器即可。大大的方便了课堂教学。实验完全符合现行教材，用户可直接根据教材进行实验操作</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2.3、化学专用软件：涵盖了初高中重点实验，起到温故知新的作用。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2.4、生物专用软件：涵盖了初高中重点实验，起到温故知新的作用。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2.5、传感器校准软件：根据国际计量公用应用规范，针对生物、化学传感器进行校准，以减少误差，提高精度。应用于PH、溶解氧、色度、浊度、氧化还原等传感器。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2.6、数据导入软件：和数据显示模块配合使用，将数据显示模块的数据导入电脑进行长期保存和数据处理。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3、应用平台：支持windows、Android、iOS系统</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6F7252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F355FC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4EA1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5154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D7EC9FF">
            <w:pPr>
              <w:keepNext w:val="0"/>
              <w:keepLines w:val="0"/>
              <w:widowControl/>
              <w:suppressLineNumbers w:val="0"/>
              <w:jc w:val="center"/>
              <w:textAlignment w:val="center"/>
              <w:rPr>
                <w:rFonts w:hint="eastAsia" w:ascii="仿宋" w:hAnsi="仿宋" w:eastAsia="仿宋" w:cs="仿宋"/>
                <w:i w:val="0"/>
                <w:iCs w:val="0"/>
                <w:color w:val="00000A"/>
                <w:kern w:val="0"/>
                <w:sz w:val="21"/>
                <w:szCs w:val="21"/>
                <w:highlight w:val="none"/>
                <w:u w:val="none"/>
                <w:lang w:val="en-US" w:eastAsia="zh-CN" w:bidi="ar"/>
              </w:rPr>
            </w:pPr>
            <w:r>
              <w:rPr>
                <w:rFonts w:hint="eastAsia" w:ascii="仿宋" w:hAnsi="仿宋" w:eastAsia="仿宋" w:cs="仿宋"/>
                <w:i w:val="0"/>
                <w:iCs w:val="0"/>
                <w:color w:val="00000A"/>
                <w:kern w:val="0"/>
                <w:sz w:val="21"/>
                <w:szCs w:val="21"/>
                <w:highlight w:val="none"/>
                <w:u w:val="none"/>
                <w:lang w:val="en-US" w:eastAsia="zh-CN" w:bidi="ar"/>
              </w:rPr>
              <w:t>附件</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15A2578F">
            <w:pPr>
              <w:keepNext w:val="0"/>
              <w:keepLines w:val="0"/>
              <w:widowControl/>
              <w:suppressLineNumbers w:val="0"/>
              <w:jc w:val="left"/>
              <w:textAlignment w:val="center"/>
              <w:rPr>
                <w:rFonts w:hint="eastAsia" w:ascii="仿宋" w:hAnsi="仿宋" w:eastAsia="仿宋" w:cs="仿宋"/>
                <w:i w:val="0"/>
                <w:iCs w:val="0"/>
                <w:color w:val="00000A"/>
                <w:kern w:val="0"/>
                <w:sz w:val="21"/>
                <w:szCs w:val="21"/>
                <w:highlight w:val="none"/>
                <w:u w:val="none"/>
                <w:lang w:val="en-US" w:eastAsia="zh-CN" w:bidi="ar"/>
              </w:rPr>
            </w:pPr>
            <w:r>
              <w:rPr>
                <w:rFonts w:hint="eastAsia" w:ascii="仿宋" w:hAnsi="仿宋" w:eastAsia="仿宋" w:cs="仿宋"/>
                <w:i w:val="0"/>
                <w:iCs w:val="0"/>
                <w:color w:val="00000A"/>
                <w:kern w:val="0"/>
                <w:sz w:val="21"/>
                <w:szCs w:val="21"/>
                <w:highlight w:val="none"/>
                <w:u w:val="none"/>
                <w:lang w:val="en-US" w:eastAsia="zh-CN" w:bidi="ar"/>
              </w:rPr>
              <w:t>1、含USB通讯线1条、转接器4只、传感器线4条；两端为BT插头，插口具有方向性和自锁功能插接方便、配合严密、方便教学；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2、彩色印刷版高中实验指南书，有详细实验案例介绍（实验器材、实验装置图、实验操作步骤等）。</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F82D44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550ED9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D25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F6FC2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D6A4CB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铝合金箱</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185C8EE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尺寸≥510*340*175（mm），由铝合金主架、铝塑板面构成，内设隔断海棉内衬传感器铝合金实验箱</w:t>
            </w:r>
          </w:p>
        </w:tc>
        <w:tc>
          <w:tcPr>
            <w:tcW w:w="315" w:type="pct"/>
            <w:tcBorders>
              <w:top w:val="single" w:color="000000" w:sz="4" w:space="0"/>
              <w:left w:val="single" w:color="000000" w:sz="4" w:space="0"/>
              <w:bottom w:val="single" w:color="000000" w:sz="4" w:space="0"/>
              <w:right w:val="single" w:color="000000" w:sz="4" w:space="0"/>
            </w:tcBorders>
            <w:noWrap w:val="0"/>
            <w:vAlign w:val="center"/>
          </w:tcPr>
          <w:p w14:paraId="7C4E5C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27D561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408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D2DBB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CF4ADC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放电反应实验仪</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349E2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通电2min之内即有氮气与氧气反应的现象，消耗功率不大于30W</w:t>
            </w:r>
          </w:p>
        </w:tc>
        <w:tc>
          <w:tcPr>
            <w:tcW w:w="315" w:type="pct"/>
            <w:tcBorders>
              <w:top w:val="single" w:color="000000" w:sz="4" w:space="0"/>
              <w:left w:val="single" w:color="000000" w:sz="4" w:space="0"/>
              <w:bottom w:val="single" w:color="000000" w:sz="4" w:space="0"/>
              <w:right w:val="nil"/>
            </w:tcBorders>
            <w:noWrap w:val="0"/>
            <w:vAlign w:val="center"/>
          </w:tcPr>
          <w:p w14:paraId="70F316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06CA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8577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AD4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6577A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中和热测定仪</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41ED73A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又称简易量热计，包括反应容器、温度计、环形玻璃搅拌棒</w:t>
            </w:r>
          </w:p>
        </w:tc>
        <w:tc>
          <w:tcPr>
            <w:tcW w:w="315" w:type="pct"/>
            <w:tcBorders>
              <w:top w:val="single" w:color="000000" w:sz="4" w:space="0"/>
              <w:left w:val="single" w:color="000000" w:sz="4" w:space="0"/>
              <w:bottom w:val="single" w:color="000000" w:sz="4" w:space="0"/>
              <w:right w:val="nil"/>
            </w:tcBorders>
            <w:noWrap w:val="0"/>
            <w:vAlign w:val="center"/>
          </w:tcPr>
          <w:p w14:paraId="0A047D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8692C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60D4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44EBD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4FA7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原电池实验器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B67E2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包括缸体、带固定接线柱和电极夹的缸体盖板、铜电极板、锌电极板、铁电极板、碳棒、发光二极管、导线等</w:t>
            </w:r>
          </w:p>
        </w:tc>
        <w:tc>
          <w:tcPr>
            <w:tcW w:w="315" w:type="pct"/>
            <w:tcBorders>
              <w:top w:val="single" w:color="000000" w:sz="4" w:space="0"/>
              <w:left w:val="single" w:color="000000" w:sz="4" w:space="0"/>
              <w:bottom w:val="single" w:color="000000" w:sz="4" w:space="0"/>
              <w:right w:val="nil"/>
            </w:tcBorders>
            <w:noWrap w:val="0"/>
            <w:vAlign w:val="center"/>
          </w:tcPr>
          <w:p w14:paraId="6D6A59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6D15F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706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1FDD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5E8B6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氢燃料电池实验器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8422F2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含一个质子交换膜电极，膜电极不小于15mm×15mm</w:t>
            </w:r>
          </w:p>
        </w:tc>
        <w:tc>
          <w:tcPr>
            <w:tcW w:w="315" w:type="pct"/>
            <w:tcBorders>
              <w:top w:val="single" w:color="000000" w:sz="4" w:space="0"/>
              <w:left w:val="single" w:color="000000" w:sz="4" w:space="0"/>
              <w:bottom w:val="single" w:color="000000" w:sz="4" w:space="0"/>
              <w:right w:val="nil"/>
            </w:tcBorders>
            <w:noWrap w:val="0"/>
            <w:vAlign w:val="center"/>
          </w:tcPr>
          <w:p w14:paraId="71839A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78481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0F3D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9B237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8A3C9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二氧化氮球</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004523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双球，内封二氧化氮和四氧化二氮混合气体</w:t>
            </w:r>
          </w:p>
        </w:tc>
        <w:tc>
          <w:tcPr>
            <w:tcW w:w="315" w:type="pct"/>
            <w:tcBorders>
              <w:top w:val="single" w:color="000000" w:sz="4" w:space="0"/>
              <w:left w:val="single" w:color="000000" w:sz="4" w:space="0"/>
              <w:bottom w:val="single" w:color="000000" w:sz="4" w:space="0"/>
              <w:right w:val="nil"/>
            </w:tcBorders>
            <w:noWrap w:val="0"/>
            <w:vAlign w:val="center"/>
          </w:tcPr>
          <w:p w14:paraId="709E4A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BAF6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28FC2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01353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C76AE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溶液导电演示器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7F163B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由数显电流表、选择开关、耐酸碱透明带盖容器盒，不锈钢电极、黄铜插头、插头座、背板、底座等配件组成。产品DC6V供电，电极与黄铜插头均安装在容器盖上，与插头座插拔方便，0.8寸三位数显表头满量程显示13.6mA、9.99mA以下显两位小数，旋动选择开关可依次测量五种不同溶液或不同浓度溶液导电性，操作简单，读数精准，极简实验教学。</w:t>
            </w:r>
          </w:p>
        </w:tc>
        <w:tc>
          <w:tcPr>
            <w:tcW w:w="315" w:type="pct"/>
            <w:tcBorders>
              <w:top w:val="single" w:color="000000" w:sz="4" w:space="0"/>
              <w:left w:val="single" w:color="000000" w:sz="4" w:space="0"/>
              <w:bottom w:val="single" w:color="000000" w:sz="4" w:space="0"/>
              <w:right w:val="nil"/>
            </w:tcBorders>
            <w:noWrap w:val="0"/>
            <w:vAlign w:val="center"/>
          </w:tcPr>
          <w:p w14:paraId="21EC2F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E2EB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C47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DF9CC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645D0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教师用分子结构模型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474E9C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球棍式，氢原子球直径不小于30mm，其他原子球直径不小于40mm</w:t>
            </w:r>
          </w:p>
        </w:tc>
        <w:tc>
          <w:tcPr>
            <w:tcW w:w="315" w:type="pct"/>
            <w:tcBorders>
              <w:top w:val="single" w:color="000000" w:sz="4" w:space="0"/>
              <w:left w:val="single" w:color="000000" w:sz="4" w:space="0"/>
              <w:bottom w:val="single" w:color="000000" w:sz="4" w:space="0"/>
              <w:right w:val="nil"/>
            </w:tcBorders>
            <w:noWrap w:val="0"/>
            <w:vAlign w:val="center"/>
          </w:tcPr>
          <w:p w14:paraId="5ABBA9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EB2A4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2DD6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C84B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7FE97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教师用分子结构模型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F72807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空间充填式</w:t>
            </w:r>
          </w:p>
        </w:tc>
        <w:tc>
          <w:tcPr>
            <w:tcW w:w="315" w:type="pct"/>
            <w:tcBorders>
              <w:top w:val="single" w:color="000000" w:sz="4" w:space="0"/>
              <w:left w:val="single" w:color="000000" w:sz="4" w:space="0"/>
              <w:bottom w:val="single" w:color="000000" w:sz="4" w:space="0"/>
              <w:right w:val="nil"/>
            </w:tcBorders>
            <w:noWrap w:val="0"/>
            <w:vAlign w:val="center"/>
          </w:tcPr>
          <w:p w14:paraId="18D16F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697BA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031CB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D3359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F91B3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学生用分子结构模型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728C64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球棍式，氢原子球直径不小于23mm，其他原子球直径不小于30mm</w:t>
            </w:r>
          </w:p>
        </w:tc>
        <w:tc>
          <w:tcPr>
            <w:tcW w:w="315" w:type="pct"/>
            <w:tcBorders>
              <w:top w:val="single" w:color="000000" w:sz="4" w:space="0"/>
              <w:left w:val="single" w:color="000000" w:sz="4" w:space="0"/>
              <w:bottom w:val="single" w:color="000000" w:sz="4" w:space="0"/>
              <w:right w:val="nil"/>
            </w:tcBorders>
            <w:noWrap w:val="0"/>
            <w:vAlign w:val="center"/>
          </w:tcPr>
          <w:p w14:paraId="4E9BBE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EF59A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64AEC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3529B6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505A5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光化学实验演示器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434B8D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能演示甲烷与氯气的反应</w:t>
            </w:r>
          </w:p>
        </w:tc>
        <w:tc>
          <w:tcPr>
            <w:tcW w:w="315" w:type="pct"/>
            <w:tcBorders>
              <w:top w:val="single" w:color="000000" w:sz="4" w:space="0"/>
              <w:left w:val="single" w:color="000000" w:sz="4" w:space="0"/>
              <w:bottom w:val="single" w:color="000000" w:sz="4" w:space="0"/>
              <w:right w:val="nil"/>
            </w:tcBorders>
            <w:noWrap w:val="0"/>
            <w:vAlign w:val="center"/>
          </w:tcPr>
          <w:p w14:paraId="062D8F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E94C2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7E0F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0DC43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46E0F3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有机高分子材料标本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6DCD6E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包括但不局限于聚乙烯、聚氯乙烯、聚苯乙烯、聚四氟乙烯、聚甲基丙烯酸甲酯、酚醛树脂、涤纶、尼龙、芳纶、顺丁橡胶、离子交换膜、可降解材料等</w:t>
            </w:r>
          </w:p>
        </w:tc>
        <w:tc>
          <w:tcPr>
            <w:tcW w:w="315" w:type="pct"/>
            <w:tcBorders>
              <w:top w:val="single" w:color="000000" w:sz="4" w:space="0"/>
              <w:left w:val="single" w:color="000000" w:sz="4" w:space="0"/>
              <w:bottom w:val="single" w:color="000000" w:sz="4" w:space="0"/>
              <w:right w:val="nil"/>
            </w:tcBorders>
            <w:noWrap w:val="0"/>
            <w:vAlign w:val="center"/>
          </w:tcPr>
          <w:p w14:paraId="6872BC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E7331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3B34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20650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F0784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原子轨道模型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31242EF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s、px、py、pz、dx2-y2、dz2、dxy、dyz、dzx</w:t>
            </w:r>
          </w:p>
        </w:tc>
        <w:tc>
          <w:tcPr>
            <w:tcW w:w="315" w:type="pct"/>
            <w:tcBorders>
              <w:top w:val="single" w:color="000000" w:sz="4" w:space="0"/>
              <w:left w:val="single" w:color="000000" w:sz="4" w:space="0"/>
              <w:bottom w:val="single" w:color="000000" w:sz="4" w:space="0"/>
              <w:right w:val="nil"/>
            </w:tcBorders>
            <w:noWrap w:val="0"/>
            <w:vAlign w:val="center"/>
          </w:tcPr>
          <w:p w14:paraId="63D6C3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ACE6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79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F717B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E6F8A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元素周期表</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995D67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有外围电子层排布，≥150cm×110cm，字迹信息清晰，正确，易于观看</w:t>
            </w:r>
          </w:p>
        </w:tc>
        <w:tc>
          <w:tcPr>
            <w:tcW w:w="315" w:type="pct"/>
            <w:tcBorders>
              <w:top w:val="single" w:color="000000" w:sz="4" w:space="0"/>
              <w:left w:val="single" w:color="000000" w:sz="4" w:space="0"/>
              <w:bottom w:val="single" w:color="000000" w:sz="4" w:space="0"/>
              <w:right w:val="nil"/>
            </w:tcBorders>
            <w:noWrap w:val="0"/>
            <w:vAlign w:val="center"/>
          </w:tcPr>
          <w:p w14:paraId="6336AE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E808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07E2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FBEA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C3376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轨道重叠方式模型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6C388E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σ键模型（s-s、s-p、p-p）、π键模型（简单的p-pπ键、N2分子的两个π键）</w:t>
            </w:r>
          </w:p>
        </w:tc>
        <w:tc>
          <w:tcPr>
            <w:tcW w:w="315" w:type="pct"/>
            <w:tcBorders>
              <w:top w:val="single" w:color="000000" w:sz="4" w:space="0"/>
              <w:left w:val="single" w:color="000000" w:sz="4" w:space="0"/>
              <w:bottom w:val="single" w:color="000000" w:sz="4" w:space="0"/>
              <w:right w:val="nil"/>
            </w:tcBorders>
            <w:noWrap w:val="0"/>
            <w:vAlign w:val="center"/>
          </w:tcPr>
          <w:p w14:paraId="195770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6C60F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F577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12860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0D97F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分子空间结构模型</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1FCDB7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包括CO2、H2O、HCHO、NH3、CH4、P4、P4O6、P4O10、C60、船式C6H12、椅式C6H12、S8、SF6</w:t>
            </w:r>
          </w:p>
        </w:tc>
        <w:tc>
          <w:tcPr>
            <w:tcW w:w="315" w:type="pct"/>
            <w:tcBorders>
              <w:top w:val="single" w:color="000000" w:sz="4" w:space="0"/>
              <w:left w:val="single" w:color="000000" w:sz="4" w:space="0"/>
              <w:bottom w:val="single" w:color="000000" w:sz="4" w:space="0"/>
              <w:right w:val="nil"/>
            </w:tcBorders>
            <w:noWrap w:val="0"/>
            <w:vAlign w:val="center"/>
          </w:tcPr>
          <w:p w14:paraId="528343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09ED1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CD9D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41F4A2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2E030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原子杂化轨道模型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5E3578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sp、sp2、sp3</w:t>
            </w:r>
          </w:p>
        </w:tc>
        <w:tc>
          <w:tcPr>
            <w:tcW w:w="315" w:type="pct"/>
            <w:tcBorders>
              <w:top w:val="single" w:color="000000" w:sz="4" w:space="0"/>
              <w:left w:val="single" w:color="000000" w:sz="4" w:space="0"/>
              <w:bottom w:val="single" w:color="000000" w:sz="4" w:space="0"/>
              <w:right w:val="nil"/>
            </w:tcBorders>
            <w:noWrap w:val="0"/>
            <w:vAlign w:val="center"/>
          </w:tcPr>
          <w:p w14:paraId="136B9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06A3F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F9B6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A093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247</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1D9CC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价层电子对互斥模型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43037AF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CO2、SO2、CO32-、H2O、SO3、NH3、CH4</w:t>
            </w:r>
          </w:p>
        </w:tc>
        <w:tc>
          <w:tcPr>
            <w:tcW w:w="315" w:type="pct"/>
            <w:tcBorders>
              <w:top w:val="single" w:color="000000" w:sz="4" w:space="0"/>
              <w:left w:val="single" w:color="000000" w:sz="4" w:space="0"/>
              <w:bottom w:val="single" w:color="000000" w:sz="4" w:space="0"/>
              <w:right w:val="nil"/>
            </w:tcBorders>
            <w:noWrap w:val="0"/>
            <w:vAlign w:val="center"/>
          </w:tcPr>
          <w:p w14:paraId="1BB1DC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3643B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DF6B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26C7D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248</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7F5F0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D11D98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包括但不局限于Cu、Na、Zn等球直径不小于30mm可通过创客方式自制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3B101D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8060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39A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62316A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249</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5C2F2A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离子晶体结构模型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146BEDA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包括但不局限于氯化钠、氯化铯等球直径不小于30mm可通过创客方式自制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4D4783E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0426B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AEED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79E0B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0B61BD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共价晶体结构模型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5306D2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包括但不局限于金刚石、二氧化硅等球直径不小于30mm可通过创客方式自制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4EF979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20293C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B031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07B08E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251</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14699C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分子晶体结构模型</w:t>
            </w:r>
          </w:p>
        </w:tc>
        <w:tc>
          <w:tcPr>
            <w:tcW w:w="3363" w:type="pct"/>
            <w:tcBorders>
              <w:top w:val="single" w:color="000000" w:sz="4" w:space="0"/>
              <w:left w:val="single" w:color="000000" w:sz="4" w:space="0"/>
              <w:bottom w:val="single" w:color="000000" w:sz="4" w:space="0"/>
              <w:right w:val="single" w:color="000000" w:sz="4" w:space="0"/>
            </w:tcBorders>
            <w:noWrap w:val="0"/>
            <w:vAlign w:val="center"/>
          </w:tcPr>
          <w:p w14:paraId="02E23FE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包括但不局限于C60、冰、干冰、碘、天然气水合物等球直径不小于30mm可通过创客方式自制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79D7F1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5A4C9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077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27E91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252</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55C44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混合型晶体结构模型</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2581032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石墨球直径不小于30mm可通过创客方式自制</w:t>
            </w:r>
          </w:p>
        </w:tc>
        <w:tc>
          <w:tcPr>
            <w:tcW w:w="315" w:type="pct"/>
            <w:tcBorders>
              <w:top w:val="single" w:color="000000" w:sz="4" w:space="0"/>
              <w:left w:val="single" w:color="000000" w:sz="4" w:space="0"/>
              <w:bottom w:val="single" w:color="000000" w:sz="4" w:space="0"/>
              <w:right w:val="nil"/>
            </w:tcBorders>
            <w:noWrap w:val="0"/>
            <w:vAlign w:val="center"/>
          </w:tcPr>
          <w:p w14:paraId="0756D1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1928E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AE5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7CBA4A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253</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70CBB4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晶体标本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6A8D540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包括但不局限于氯化钠、硫黄、碘、高锰酸钾、胆矾等</w:t>
            </w:r>
          </w:p>
        </w:tc>
        <w:tc>
          <w:tcPr>
            <w:tcW w:w="315" w:type="pct"/>
            <w:tcBorders>
              <w:top w:val="single" w:color="000000" w:sz="4" w:space="0"/>
              <w:left w:val="single" w:color="000000" w:sz="4" w:space="0"/>
              <w:bottom w:val="single" w:color="000000" w:sz="4" w:space="0"/>
              <w:right w:val="nil"/>
            </w:tcBorders>
            <w:noWrap w:val="0"/>
            <w:vAlign w:val="center"/>
          </w:tcPr>
          <w:p w14:paraId="187E08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F035C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2DBA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2131C0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254</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3A897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非晶体标本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B720C5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包括但不局限于玻璃、炭黑等</w:t>
            </w:r>
          </w:p>
        </w:tc>
        <w:tc>
          <w:tcPr>
            <w:tcW w:w="315" w:type="pct"/>
            <w:tcBorders>
              <w:top w:val="single" w:color="000000" w:sz="4" w:space="0"/>
              <w:left w:val="single" w:color="000000" w:sz="4" w:space="0"/>
              <w:bottom w:val="single" w:color="000000" w:sz="4" w:space="0"/>
              <w:right w:val="nil"/>
            </w:tcBorders>
            <w:noWrap w:val="0"/>
            <w:vAlign w:val="center"/>
          </w:tcPr>
          <w:p w14:paraId="3EE8F5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BF4B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164D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E33D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255</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69B599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金属矿物标本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07B8BA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包括但不局限于萤石、刚玉、黄玉、正长石、磷灰石、方解石、石膏（生、熟）、滑石、孔雀石、云母等</w:t>
            </w:r>
          </w:p>
        </w:tc>
        <w:tc>
          <w:tcPr>
            <w:tcW w:w="315" w:type="pct"/>
            <w:tcBorders>
              <w:top w:val="single" w:color="000000" w:sz="4" w:space="0"/>
              <w:left w:val="single" w:color="000000" w:sz="4" w:space="0"/>
              <w:bottom w:val="single" w:color="000000" w:sz="4" w:space="0"/>
              <w:right w:val="nil"/>
            </w:tcBorders>
            <w:noWrap w:val="0"/>
            <w:vAlign w:val="center"/>
          </w:tcPr>
          <w:p w14:paraId="62B87D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9988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9F8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8" w:type="pct"/>
            <w:tcBorders>
              <w:top w:val="single" w:color="000000" w:sz="4" w:space="0"/>
              <w:left w:val="single" w:color="000000" w:sz="4" w:space="0"/>
              <w:bottom w:val="single" w:color="000000" w:sz="4" w:space="0"/>
              <w:right w:val="single" w:color="000000" w:sz="4" w:space="0"/>
            </w:tcBorders>
            <w:noWrap w:val="0"/>
            <w:vAlign w:val="center"/>
          </w:tcPr>
          <w:p w14:paraId="1A3EC9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256</w:t>
            </w:r>
          </w:p>
        </w:tc>
        <w:tc>
          <w:tcPr>
            <w:tcW w:w="651" w:type="pct"/>
            <w:tcBorders>
              <w:top w:val="single" w:color="000000" w:sz="4" w:space="0"/>
              <w:left w:val="single" w:color="000000" w:sz="4" w:space="0"/>
              <w:bottom w:val="single" w:color="000000" w:sz="4" w:space="0"/>
              <w:right w:val="single" w:color="000000" w:sz="4" w:space="0"/>
            </w:tcBorders>
            <w:noWrap w:val="0"/>
            <w:vAlign w:val="center"/>
          </w:tcPr>
          <w:p w14:paraId="3A319B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非金属矿物标本</w:t>
            </w:r>
          </w:p>
        </w:tc>
        <w:tc>
          <w:tcPr>
            <w:tcW w:w="6359" w:type="dxa"/>
            <w:tcBorders>
              <w:top w:val="single" w:color="000000" w:sz="4" w:space="0"/>
              <w:left w:val="single" w:color="000000" w:sz="4" w:space="0"/>
              <w:bottom w:val="single" w:color="000000" w:sz="4" w:space="0"/>
              <w:right w:val="single" w:color="000000" w:sz="4" w:space="0"/>
            </w:tcBorders>
            <w:noWrap w:val="0"/>
            <w:vAlign w:val="center"/>
          </w:tcPr>
          <w:p w14:paraId="7DC5685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包括但不局限于玛瑙、水晶、金刚砂等</w:t>
            </w:r>
          </w:p>
        </w:tc>
        <w:tc>
          <w:tcPr>
            <w:tcW w:w="315" w:type="pct"/>
            <w:tcBorders>
              <w:top w:val="single" w:color="000000" w:sz="4" w:space="0"/>
              <w:left w:val="single" w:color="000000" w:sz="4" w:space="0"/>
              <w:bottom w:val="single" w:color="000000" w:sz="4" w:space="0"/>
              <w:right w:val="nil"/>
            </w:tcBorders>
            <w:noWrap w:val="0"/>
            <w:vAlign w:val="center"/>
          </w:tcPr>
          <w:p w14:paraId="6254A0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9D41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bl>
    <w:p w14:paraId="1AD2679B">
      <w:pPr>
        <w:pStyle w:val="2"/>
        <w:rPr>
          <w:rFonts w:hint="eastAsia" w:ascii="仿宋" w:hAnsi="仿宋" w:eastAsia="仿宋" w:cs="仿宋"/>
          <w:b/>
          <w:bCs/>
          <w:sz w:val="24"/>
          <w:szCs w:val="24"/>
          <w:highlight w:val="none"/>
          <w:lang w:val="en-US" w:eastAsia="zh-CN"/>
        </w:rPr>
      </w:pPr>
    </w:p>
    <w:p w14:paraId="20C59BE8">
      <w:pPr>
        <w:pStyle w:val="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9、高中生物学教学仪器</w:t>
      </w:r>
    </w:p>
    <w:tbl>
      <w:tblPr>
        <w:tblStyle w:val="6"/>
        <w:tblW w:w="50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41"/>
        <w:gridCol w:w="6711"/>
        <w:gridCol w:w="635"/>
        <w:gridCol w:w="652"/>
      </w:tblGrid>
      <w:tr w14:paraId="3A772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34" w:type="pct"/>
            <w:tcBorders>
              <w:top w:val="single" w:color="000000" w:sz="4" w:space="0"/>
              <w:left w:val="single" w:color="000000" w:sz="4" w:space="0"/>
              <w:bottom w:val="nil"/>
              <w:right w:val="single" w:color="000000" w:sz="4" w:space="0"/>
            </w:tcBorders>
            <w:noWrap/>
            <w:vAlign w:val="center"/>
          </w:tcPr>
          <w:p w14:paraId="55C0C4F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491" w:type="pct"/>
            <w:tcBorders>
              <w:top w:val="single" w:color="000000" w:sz="4" w:space="0"/>
              <w:left w:val="nil"/>
              <w:bottom w:val="nil"/>
              <w:right w:val="single" w:color="000000" w:sz="4" w:space="0"/>
            </w:tcBorders>
            <w:noWrap/>
            <w:vAlign w:val="center"/>
          </w:tcPr>
          <w:p w14:paraId="347E1518">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3502" w:type="pct"/>
            <w:tcBorders>
              <w:top w:val="single" w:color="000000" w:sz="4" w:space="0"/>
              <w:left w:val="single" w:color="000000" w:sz="4" w:space="0"/>
              <w:bottom w:val="nil"/>
              <w:right w:val="single" w:color="000000" w:sz="4" w:space="0"/>
            </w:tcBorders>
            <w:noWrap w:val="0"/>
            <w:vAlign w:val="center"/>
          </w:tcPr>
          <w:p w14:paraId="6C829A95">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规格参数</w:t>
            </w:r>
          </w:p>
        </w:tc>
        <w:tc>
          <w:tcPr>
            <w:tcW w:w="331" w:type="pct"/>
            <w:tcBorders>
              <w:top w:val="single" w:color="000000" w:sz="4" w:space="0"/>
              <w:left w:val="single" w:color="000000" w:sz="4" w:space="0"/>
              <w:bottom w:val="nil"/>
              <w:right w:val="single" w:color="000000" w:sz="4" w:space="0"/>
            </w:tcBorders>
            <w:noWrap/>
            <w:vAlign w:val="center"/>
          </w:tcPr>
          <w:p w14:paraId="4C6CF0CD">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340" w:type="pct"/>
            <w:tcBorders>
              <w:top w:val="single" w:color="000000" w:sz="4" w:space="0"/>
              <w:left w:val="single" w:color="000000" w:sz="4" w:space="0"/>
              <w:bottom w:val="nil"/>
              <w:right w:val="single" w:color="000000" w:sz="4" w:space="0"/>
            </w:tcBorders>
            <w:noWrap/>
            <w:vAlign w:val="center"/>
          </w:tcPr>
          <w:p w14:paraId="3F5E1C37">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r>
      <w:tr w14:paraId="7C39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3CB91C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83A298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数据采集器</w:t>
            </w:r>
          </w:p>
        </w:tc>
        <w:tc>
          <w:tcPr>
            <w:tcW w:w="3502" w:type="pct"/>
            <w:tcBorders>
              <w:top w:val="single" w:color="000000" w:sz="4" w:space="0"/>
              <w:left w:val="single" w:color="000000" w:sz="4" w:space="0"/>
              <w:bottom w:val="single" w:color="000000" w:sz="4" w:space="0"/>
              <w:right w:val="single" w:color="000000" w:sz="4" w:space="0"/>
            </w:tcBorders>
            <w:noWrap w:val="0"/>
            <w:vAlign w:val="top"/>
          </w:tcPr>
          <w:p w14:paraId="62169240">
            <w:pPr>
              <w:keepNext w:val="0"/>
              <w:keepLines w:val="0"/>
              <w:widowControl/>
              <w:suppressLineNumbers w:val="0"/>
              <w:jc w:val="both"/>
              <w:textAlignment w:val="top"/>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1、模块化结构，透明外壳设计，内含状态、电源指示灯；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2、与计算机采用USB2.0通讯协议，四路全数字通道，单通道最大采样率20KByte，采集器最大采样率80KByte，数字通道采样精度达5微妙；</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3、通过USB接口供电，无需外接电源，所有端口具备防静电保护功能；</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4、与传感器采用BT自锁接口，支持热插拔，即插即用，传感器可以任意组合，采集分辨率12bits；</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5、内置双处理器主板，CPU主频48Mhz；支持有线/无线状态下的四通道并行采集；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6、采用插接式结构，可根据实验教学需要，方便有线、无线工作模式切换。</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D46A48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08069B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2352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506A59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2F5CB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传感器数据显示模块</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1DF02BE">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1、模块化设计既可以与传感器通过BT接口连接，也可以与计算机通过USB直接连接。数据的获取和上传无需通过数据采集器即可实现；</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2、自带1.8寸彩色LED屏，可实时显示传感器数据；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3、自动识别传感器及测量范围和分度。无需按键调控，简洁、美观、实用，减少因按键失灵造成的实验功能缺失；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4、接口采用BT接口连接，自带锁扣，有效防止脱落。同时具有单向连接属性，避免因连接失误导致的数据传输失败。支持热插拔，使用寿命：≥10000次插拔；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5、自带≥8M内存；</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数据上传有线模式：数据显示模块自带miniUSB接口，可与计算机连接。通过软件将数据上传并自动绘制变化图像。导出数据以Excel形式保存，图像可以图片的形式保存。可用于编制实验报告上传至实验评测系统进行数据统计及分析（也可结合学校实际情况上传至云端服务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7、数据上传无线模式：设备自带二维码，可用移动手持终端（手机、平板等）通过移动端实验软件y扫描，导出实验数据，并绘制变化图线；</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8、自带可充电锂电池，最大电池容量不低于1100MAh。全铜触点，双保电芯，自动锁电。3.7V。满电最大待机续航时间≥240h。可通过专用充电器完成充电，也可通过数据上传有线模式完成充电。</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114F89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F33875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2</w:t>
            </w:r>
          </w:p>
        </w:tc>
      </w:tr>
      <w:tr w14:paraId="022ED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4B117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D1A533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传感器转接模块</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277638F">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两端分别是BT接头与BT接口转换器，用于特种传感器与无线发射模块或数据显示模块的转接</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FCE6FC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3C9597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7148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54C67C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312620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温度传感器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FB11DC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1、测量范围：-50℃～200℃；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3、不锈钢探针，可测各种物体或溶液的温度；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4F5A31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59FE19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561F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B0189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707E92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相对压强传感器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BCEC4A0">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1、测量范围：-20kPa~+20kPa；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kPa；</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3、可用于测量气体的相对压强；</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5B26357">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9600FD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2</w:t>
            </w:r>
          </w:p>
        </w:tc>
      </w:tr>
      <w:tr w14:paraId="3818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0A4BCF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AF64B2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相对湿度传感器</w:t>
            </w:r>
          </w:p>
        </w:tc>
        <w:tc>
          <w:tcPr>
            <w:tcW w:w="350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6E12F">
            <w:pPr>
              <w:keepNext w:val="0"/>
              <w:keepLines w:val="0"/>
              <w:widowControl/>
              <w:suppressLineNumbers w:val="0"/>
              <w:jc w:val="both"/>
              <w:textAlignment w:val="center"/>
              <w:rPr>
                <w:rFonts w:hint="eastAsia" w:ascii="仿宋" w:hAnsi="仿宋" w:eastAsia="仿宋" w:cs="仿宋"/>
                <w:i w:val="0"/>
                <w:iCs w:val="0"/>
                <w:color w:val="00000A"/>
                <w:kern w:val="2"/>
                <w:sz w:val="21"/>
                <w:szCs w:val="21"/>
                <w:highlight w:val="none"/>
                <w:u w:val="none"/>
                <w:lang w:val="en-US" w:eastAsia="zh-CN" w:bidi="ar-SA"/>
              </w:rPr>
            </w:pPr>
            <w:r>
              <w:rPr>
                <w:rFonts w:hint="eastAsia" w:ascii="仿宋" w:hAnsi="仿宋" w:eastAsia="仿宋" w:cs="仿宋"/>
                <w:i w:val="0"/>
                <w:iCs w:val="0"/>
                <w:color w:val="00000A"/>
                <w:kern w:val="0"/>
                <w:sz w:val="21"/>
                <w:szCs w:val="21"/>
                <w:highlight w:val="none"/>
                <w:u w:val="none"/>
                <w:lang w:val="en-US" w:eastAsia="zh-CN" w:bidi="ar"/>
              </w:rPr>
              <w:t>1、测量范围：0～100%；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3、测量灵感件置于探管中，便于测量罐体的湿度值；</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84CF4B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DE20C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E026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4BA1E2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AA351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pH传感器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E1D2BB4">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1、测量范围：0-14；</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3、具有快速响应的特点，测量数据能在5秒内达到真实值的90%， 10秒内稳定；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092076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ADFD43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105D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47158B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1AA1B4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多量程电导率传感器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678C27D">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1、测量范围：0~20000μS/cm；分度：10μS/cm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测量范围：0~2000μS/cm；分度：1μS/cm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测量范围：0~200μS/cm；分度：0.1μS/cm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C8CF41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168D9D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67642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3E3320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DFC1E8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氧气传感器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B98B9E9">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1、测量范围：1～30%；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3、自带硬件校准按钮；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0B9475C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F51B886">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0039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C3969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0933B7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溶解氧传感器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199A5FCC">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mg/L～20mg/L；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mg/L；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3、带有温补功能；</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07B6FF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B2DA35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89C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1C7BB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C42567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二氧化碳传感器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5D97DCA">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ppm～50000ppm；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2、分度1ppm；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3、红外原理，为保证测量数据准确性和时效性，要求该传感器采用泵动循环，方便气体循环；</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8、支持系统：windows、Android、iOS系统。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3994E2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3423A6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F2D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6F3FC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13C4E0">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色度传感器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EEFDBAD">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1、测量范围：透光率0～100％；</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2、分度：0.1％，三波长光源（R、G、B）测量；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0738CE6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00F9F2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253B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49CA9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3D19CD9">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二氧化硫传感器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D862684">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 ppm～20ppm，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2、分度0.01 ppm；</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13F76E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B9EA6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25AD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E00B6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87440F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气态酒精传感器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258FCBF">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1、测量范围：0mg/L～2mg/L；</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3、自带硬件调零按钮；</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33C75D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CC9D7A3">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9BAD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F1B9A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DF2352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心电图传感器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AC80D44">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1、测量范围：-5mV ～5mV</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2、用于生成EKG曲线，能清晰的显示出人体P波、QRS波、T波与U波，可通过RR间期计算出心率</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3、尺寸：不大于80mm*41mm*25（±5mm,不含电极夹具）</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0DD26B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601D6E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609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587883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8006728">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心率传感器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1D01E4D">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1、测量范围：0次～200次</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2、可通过专用软件实时显示心率大小以及心电心率波形</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3、尺寸：不大于80mm*41mm*25（±5mm,不含电极夹具）</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6、采用BT接口，自带锁扣，有效防止脱落。同时具有单向连接属性，避免因连接失误导致的数据传输失败。支持热插拔，使用寿命：≥10000次插拔。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7、支持系统：windows、Android、iOS系统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1C3460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1979EB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48C22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12F7D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1C1ECAC">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呼吸率传感器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5CD8767">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1、满足人体生理特征；</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2、自带传感器固定口，便于传感器固定；</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3、模块化设计，可与有线接口、无线发射模块、数据显示模块连接，实现有线通讯、无线通讯、独立彩屏数据显示三种工作模式；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4、采用BT接口，自带锁扣，有效防止脱落。同时具有单向连接属性，避免因连接失误导致的数据传输失败，支持热插拔，使用寿命：≥10000次插拔；</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5、支持系统：windows、Android、iOS系统。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7E8BB7FD">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59065D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E50A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488E1A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C4740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多用途生化传感器支架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749A27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D64E7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31F97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5808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7FDC2F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0E8E7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多向转接头</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2E0F4FF">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配合各类传感器和辅材可进行多向固定</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C3347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681B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D7B8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3F8EFC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1CD03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196EED4">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磁力搅拌器由搅拌驱动器、搅拌子、电源适配器构成。最大搅拌量：2L，转速范围：200转/分钟~2000转/分钟；适用于生化实验过程中搅拌低粘稠度的液体或固液混合物。</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B711C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nil"/>
              <w:left w:val="single" w:color="000000" w:sz="4" w:space="0"/>
              <w:bottom w:val="single" w:color="000000" w:sz="4" w:space="0"/>
              <w:right w:val="nil"/>
            </w:tcBorders>
            <w:noWrap w:val="0"/>
            <w:vAlign w:val="center"/>
          </w:tcPr>
          <w:p w14:paraId="3D33E1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9750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42E51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8B447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溶液稀释池</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FF8FEA0">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倒置三角烧杯结构，上端开口，底端封闭，配合实验室匀速滴管使用。用于稀释倍数较大，且对初始溶解有一定量要求的化学实验;提供自主知识产权证明文件、产品图片复印件。</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65FA92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CEECC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490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086DDE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1CA82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气液相密封实验器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6218EEB">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与生物化学传感器密闭连接，可完成陆水生植物光合作用、种子萌发、呼吸作用、酶的特性等实验；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13156F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0E4BBF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EE9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0B8313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4D8E4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袖珍生化密封实验器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77143E1">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与生物化学传感器密闭连接，可完成陆水生植物光合作用、种子萌发、呼吸作用、酶的特性等实验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488249B0">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86250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7C52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1627C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491" w:type="pct"/>
            <w:tcBorders>
              <w:top w:val="single" w:color="000000" w:sz="4" w:space="0"/>
              <w:left w:val="single" w:color="000000" w:sz="4" w:space="0"/>
              <w:bottom w:val="nil"/>
              <w:right w:val="single" w:color="000000" w:sz="4" w:space="0"/>
            </w:tcBorders>
            <w:noWrap w:val="0"/>
            <w:vAlign w:val="center"/>
          </w:tcPr>
          <w:p w14:paraId="3B4FC3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w:t>
            </w:r>
          </w:p>
        </w:tc>
        <w:tc>
          <w:tcPr>
            <w:tcW w:w="3502" w:type="pct"/>
            <w:tcBorders>
              <w:top w:val="single" w:color="000000" w:sz="4" w:space="0"/>
              <w:left w:val="single" w:color="000000" w:sz="4" w:space="0"/>
              <w:bottom w:val="nil"/>
              <w:right w:val="single" w:color="000000" w:sz="4" w:space="0"/>
            </w:tcBorders>
            <w:noWrap w:val="0"/>
            <w:vAlign w:val="center"/>
          </w:tcPr>
          <w:p w14:paraId="58974BA2">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酶的特性实验器由2只Y型试管、1组支架、2只φ4mm单孔5号橡胶塞、2只等径气管快速接头、2条外径φ4mm软管、2只泄压阀组成。与传感器配套使用，可完成探究酶的专一性、比较过氧化氢在不同条件下的分解、探究pH对酶活性的影响、探究温度对生物酶活性的影响等相关实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1DACF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2E1B682">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565B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1CF360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623F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931C84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密封实验套件由5只5号橡胶塞（配5种孔径：单孔φ3、φ4、φ12、φ18；双孔φ4）、4只硅胶塞（配4种孔径：单孔φ4、φ12、φ18；双孔φ4）、1只150mL反应瓶、2只硅胶环、2只等径气管快速接头、2只变径气管快速接头、3条外径φ4mm软管组成。与生化传感器及常用实验室器皿配套使用，完成中学相关实验及探究活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E4303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129E32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D11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5"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6C20A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01750AA">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数字化实验软件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DE6BA17">
            <w:pPr>
              <w:keepNext w:val="0"/>
              <w:keepLines w:val="0"/>
              <w:widowControl/>
              <w:suppressLineNumbers w:val="0"/>
              <w:jc w:val="both"/>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1、为数字化实验分析软件软件。用于数据收集和结果分析。</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2、包含教材通用软件、物理教材专用软件、化学专用软件、生物专用软件、传感器校准软件与数据导入软件六个部分。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2.1、通用软件：</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1）可实现传感器数据的自动识别及控制：传感器接入后自动识别测量种类、测量范围、分度、单位、通道序号等。可改变传感器的显示方式：数字表、模拟表、示波。可根据实验调整传感器的采样频率、开始与暂停、字体颜色、字号大小、调零、示波图线的移动及大小。</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组合图线：拥有2个完全相同的组合图线显示窗口，可并行使用。通过该功能的应用可完成基于传感器的实时数据变化的描绘和计算表格数据描绘及分析、处理等操作。数据的分析及处理包括：拟合、求导、积分、统计、包格线等。可通过回访功能重复观察实验的变化规律。对图像可根据实验进行放大、缩小。可对引用的传感器进行同步的停止和开始，达到很好的同时性；可对引用的传感器进行同步的调零，达到很好的一致性；可对引用的传感器进行同步采样频率调整，达到很好的精确性；</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计算表格：可自动识别接入的传感器，并按照接入的通道自动标号。可通过变量、公式、求平均、绘图等按钮对数据进行处理。根据不同的实验要求可选择自动记录和手动记录。自动记录可调整时间间隔、选择采样条件，手动记录可根据需要进行点击记录，有效减少无效数据对实验结果的干扰。可引用现有实验模板也可DIY实验模板，并保存。支持表格的复制、粘贴、剪切。具备放大缩小功能，还支持打印机直接引用（无需退出实验软件），进行结果打印。实验结果可通过Excel形式进行保存。也可将保存的数据多次调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（4）实验录制：可同时将实验操作过程和软件的实验界面进行同屏录制，实现了实验现象和数据的对应。解决了数字实验无现象的难题（为减少软件操作复杂性，用其他软件录屏视为功能性缺失。）</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2.2、物理专用软件：界面简洁、风格独特、一键OK的特点。n涵盖了人教、粤教、鲁科等教材的重点实验。明确了实验题目，使用时直接接入传感器即可。大大的方便了课堂教学。实验完全符合现行教材，用户可直接根据教材进行实验操作</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2.3、化学专用软件：涵盖了初高中重点实验，起到温故知新的作用。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2.4、生物专用软件：涵盖了初高中重点实验，起到温故知新的作用。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2.5、传感器校准软件：根据国际计量公用应用规范，针对生物、化学传感器进行校准，以减少误差，提高精度。应用于PH、溶解氧、色度、浊度、氧化还原等传感器。</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2.6、数据导入软件：和数据显示模块配合使用，将数据显示模块的数据导入电脑进行长期保存和数据处理。</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3、应用平台：支持windows、Android、iOS系统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E79857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01C7DE">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7A989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6060BB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33F60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附件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9A40728">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1、含USB通讯线1条、转接器4只、传感器线4条；两端为BT插头，插口具有方向性和自锁功能插接方便、配合严密、方便教学；</w:t>
            </w:r>
            <w:r>
              <w:rPr>
                <w:rFonts w:hint="eastAsia" w:ascii="仿宋" w:hAnsi="仿宋" w:eastAsia="仿宋" w:cs="仿宋"/>
                <w:i w:val="0"/>
                <w:iCs w:val="0"/>
                <w:color w:val="00000A"/>
                <w:kern w:val="0"/>
                <w:sz w:val="21"/>
                <w:szCs w:val="21"/>
                <w:highlight w:val="none"/>
                <w:u w:val="none"/>
                <w:lang w:val="en-US" w:eastAsia="zh-CN" w:bidi="ar"/>
              </w:rPr>
              <w:br w:type="textWrapping"/>
            </w:r>
            <w:r>
              <w:rPr>
                <w:rFonts w:hint="eastAsia" w:ascii="仿宋" w:hAnsi="仿宋" w:eastAsia="仿宋" w:cs="仿宋"/>
                <w:i w:val="0"/>
                <w:iCs w:val="0"/>
                <w:color w:val="00000A"/>
                <w:kern w:val="0"/>
                <w:sz w:val="21"/>
                <w:szCs w:val="21"/>
                <w:highlight w:val="none"/>
                <w:u w:val="none"/>
                <w:lang w:val="en-US" w:eastAsia="zh-CN" w:bidi="ar"/>
              </w:rPr>
              <w:t>2、彩色印刷版高中实验指南书，有详细实验案例介绍（实验器材、实验装置图、实验操作步骤等）。</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5ED03BA1">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FBE9765">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B96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34" w:type="pct"/>
            <w:tcBorders>
              <w:top w:val="single" w:color="000000" w:sz="4" w:space="0"/>
              <w:left w:val="single" w:color="000000" w:sz="4" w:space="0"/>
              <w:bottom w:val="single" w:color="000000" w:sz="4" w:space="0"/>
              <w:right w:val="single" w:color="000000" w:sz="4" w:space="0"/>
            </w:tcBorders>
            <w:noWrap w:val="0"/>
            <w:vAlign w:val="center"/>
          </w:tcPr>
          <w:p w14:paraId="2584F1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29139CF">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铝合金箱</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52DE8F6">
            <w:pPr>
              <w:keepNext w:val="0"/>
              <w:keepLines w:val="0"/>
              <w:widowControl/>
              <w:suppressLineNumbers w:val="0"/>
              <w:jc w:val="left"/>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尺寸≥510*340*175（mm），由铝合金主架、铝塑板面构成，内设隔断海棉内衬传感器铝合金实验箱</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325111A4">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FEAD04B">
            <w:pPr>
              <w:keepNext w:val="0"/>
              <w:keepLines w:val="0"/>
              <w:widowControl/>
              <w:suppressLineNumbers w:val="0"/>
              <w:jc w:val="center"/>
              <w:textAlignment w:val="center"/>
              <w:rPr>
                <w:rFonts w:hint="eastAsia" w:ascii="仿宋" w:hAnsi="仿宋" w:eastAsia="仿宋" w:cs="仿宋"/>
                <w:i w:val="0"/>
                <w:iCs w:val="0"/>
                <w:color w:val="00000A"/>
                <w:sz w:val="21"/>
                <w:szCs w:val="21"/>
                <w:highlight w:val="none"/>
                <w:u w:val="none"/>
              </w:rPr>
            </w:pPr>
            <w:r>
              <w:rPr>
                <w:rFonts w:hint="eastAsia" w:ascii="仿宋" w:hAnsi="仿宋" w:eastAsia="仿宋" w:cs="仿宋"/>
                <w:i w:val="0"/>
                <w:iCs w:val="0"/>
                <w:color w:val="00000A"/>
                <w:kern w:val="0"/>
                <w:sz w:val="21"/>
                <w:szCs w:val="21"/>
                <w:highlight w:val="none"/>
                <w:u w:val="none"/>
                <w:lang w:val="en-US" w:eastAsia="zh-CN" w:bidi="ar"/>
              </w:rPr>
              <w:t>1</w:t>
            </w:r>
          </w:p>
        </w:tc>
      </w:tr>
      <w:tr w14:paraId="17604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BAEC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29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5899C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灭火毯</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15621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玻璃纤维材质，1800mm×1200mm</w:t>
            </w:r>
          </w:p>
        </w:tc>
        <w:tc>
          <w:tcPr>
            <w:tcW w:w="331" w:type="pct"/>
            <w:tcBorders>
              <w:top w:val="single" w:color="000000" w:sz="4" w:space="0"/>
              <w:left w:val="single" w:color="000000" w:sz="4" w:space="0"/>
              <w:bottom w:val="single" w:color="000000" w:sz="4" w:space="0"/>
              <w:right w:val="nil"/>
            </w:tcBorders>
            <w:noWrap w:val="0"/>
            <w:vAlign w:val="center"/>
          </w:tcPr>
          <w:p w14:paraId="25C2B5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B0754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2FE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6930A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A0B8E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实验服</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5DEBD9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耐酸碱，可分为大中小号</w:t>
            </w:r>
          </w:p>
        </w:tc>
        <w:tc>
          <w:tcPr>
            <w:tcW w:w="331" w:type="pct"/>
            <w:tcBorders>
              <w:top w:val="single" w:color="000000" w:sz="4" w:space="0"/>
              <w:left w:val="single" w:color="000000" w:sz="4" w:space="0"/>
              <w:bottom w:val="single" w:color="000000" w:sz="4" w:space="0"/>
              <w:right w:val="nil"/>
            </w:tcBorders>
            <w:noWrap w:val="0"/>
            <w:vAlign w:val="center"/>
          </w:tcPr>
          <w:p w14:paraId="38397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C926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27A3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ACC5B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6A7F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护目镜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8B9610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封闭型，耐酸碱，抗冲击，耐磨，便于清洗</w:t>
            </w:r>
          </w:p>
        </w:tc>
        <w:tc>
          <w:tcPr>
            <w:tcW w:w="331" w:type="pct"/>
            <w:tcBorders>
              <w:top w:val="single" w:color="000000" w:sz="4" w:space="0"/>
              <w:left w:val="single" w:color="000000" w:sz="4" w:space="0"/>
              <w:bottom w:val="single" w:color="000000" w:sz="4" w:space="0"/>
              <w:right w:val="nil"/>
            </w:tcBorders>
            <w:noWrap w:val="0"/>
            <w:vAlign w:val="center"/>
          </w:tcPr>
          <w:p w14:paraId="205FDD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ED33D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62BA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4F728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94639C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乳胶手套</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7C494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耐酸碱</w:t>
            </w:r>
          </w:p>
        </w:tc>
        <w:tc>
          <w:tcPr>
            <w:tcW w:w="331" w:type="pct"/>
            <w:tcBorders>
              <w:top w:val="single" w:color="000000" w:sz="4" w:space="0"/>
              <w:left w:val="single" w:color="000000" w:sz="4" w:space="0"/>
              <w:bottom w:val="single" w:color="000000" w:sz="4" w:space="0"/>
              <w:right w:val="nil"/>
            </w:tcBorders>
            <w:noWrap w:val="0"/>
            <w:vAlign w:val="center"/>
          </w:tcPr>
          <w:p w14:paraId="165D8C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45AC8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BC1C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9981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AF371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生物显微镜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2B323F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双目，消色差物镜：4×、10×、40×、100×;广视场目镜：WF10×;带照明光源和聚光镜，亮度连续可调；移动式载物台</w:t>
            </w:r>
          </w:p>
        </w:tc>
        <w:tc>
          <w:tcPr>
            <w:tcW w:w="331" w:type="pct"/>
            <w:tcBorders>
              <w:top w:val="single" w:color="000000" w:sz="4" w:space="0"/>
              <w:left w:val="single" w:color="000000" w:sz="4" w:space="0"/>
              <w:bottom w:val="single" w:color="000000" w:sz="4" w:space="0"/>
              <w:right w:val="nil"/>
            </w:tcBorders>
            <w:noWrap w:val="0"/>
            <w:vAlign w:val="center"/>
          </w:tcPr>
          <w:p w14:paraId="49C601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3F718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r>
      <w:tr w14:paraId="5576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1614B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E877B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望远镜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1B65AA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双筒，7×35</w:t>
            </w:r>
          </w:p>
        </w:tc>
        <w:tc>
          <w:tcPr>
            <w:tcW w:w="331" w:type="pct"/>
            <w:tcBorders>
              <w:top w:val="single" w:color="000000" w:sz="4" w:space="0"/>
              <w:left w:val="single" w:color="000000" w:sz="4" w:space="0"/>
              <w:bottom w:val="single" w:color="000000" w:sz="4" w:space="0"/>
              <w:right w:val="nil"/>
            </w:tcBorders>
            <w:noWrap w:val="0"/>
            <w:vAlign w:val="center"/>
          </w:tcPr>
          <w:p w14:paraId="4B3487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ECEE9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r>
      <w:tr w14:paraId="3A4B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42ACF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88B31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放大镜</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5BBB90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手持式，有效通光孔径50mm，5倍</w:t>
            </w:r>
          </w:p>
        </w:tc>
        <w:tc>
          <w:tcPr>
            <w:tcW w:w="331" w:type="pct"/>
            <w:tcBorders>
              <w:top w:val="single" w:color="000000" w:sz="4" w:space="0"/>
              <w:left w:val="single" w:color="000000" w:sz="4" w:space="0"/>
              <w:bottom w:val="single" w:color="000000" w:sz="4" w:space="0"/>
              <w:right w:val="nil"/>
            </w:tcBorders>
            <w:noWrap w:val="0"/>
            <w:vAlign w:val="center"/>
          </w:tcPr>
          <w:p w14:paraId="3EB278C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3E809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26F2C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756A7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66F32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减数分裂中染色体变化模型组件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ADE0AB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材料环保，便于演示</w:t>
            </w:r>
          </w:p>
        </w:tc>
        <w:tc>
          <w:tcPr>
            <w:tcW w:w="331" w:type="pct"/>
            <w:tcBorders>
              <w:top w:val="single" w:color="000000" w:sz="4" w:space="0"/>
              <w:left w:val="single" w:color="000000" w:sz="4" w:space="0"/>
              <w:bottom w:val="single" w:color="000000" w:sz="4" w:space="0"/>
              <w:right w:val="nil"/>
            </w:tcBorders>
            <w:noWrap w:val="0"/>
            <w:vAlign w:val="center"/>
          </w:tcPr>
          <w:p w14:paraId="0BABFC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C2821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1AD6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A847E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8423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DNA结构模型</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8372C6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一个半螺旋，包括16个碱基对和其他相应元件，材料环保，便于演示</w:t>
            </w:r>
          </w:p>
        </w:tc>
        <w:tc>
          <w:tcPr>
            <w:tcW w:w="331" w:type="pct"/>
            <w:tcBorders>
              <w:top w:val="single" w:color="000000" w:sz="4" w:space="0"/>
              <w:left w:val="single" w:color="000000" w:sz="4" w:space="0"/>
              <w:bottom w:val="single" w:color="000000" w:sz="4" w:space="0"/>
              <w:right w:val="nil"/>
            </w:tcBorders>
            <w:noWrap w:val="0"/>
            <w:vAlign w:val="center"/>
          </w:tcPr>
          <w:p w14:paraId="123DD3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4478CE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BFA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DFF80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FCB9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DNA双螺旋结构模型组件</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43C0C76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四种碱基、脱氧核糖、磷酸彼此分离</w:t>
            </w:r>
          </w:p>
        </w:tc>
        <w:tc>
          <w:tcPr>
            <w:tcW w:w="331" w:type="pct"/>
            <w:tcBorders>
              <w:top w:val="single" w:color="000000" w:sz="4" w:space="0"/>
              <w:left w:val="single" w:color="000000" w:sz="4" w:space="0"/>
              <w:bottom w:val="single" w:color="000000" w:sz="4" w:space="0"/>
              <w:right w:val="nil"/>
            </w:tcBorders>
            <w:noWrap w:val="0"/>
            <w:vAlign w:val="center"/>
          </w:tcPr>
          <w:p w14:paraId="655276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F0485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04419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BD3E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90CC7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转录和翻译磁片模型</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3BC103A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具有单独构件，可以分步演示。大小适合黑板展示</w:t>
            </w:r>
          </w:p>
        </w:tc>
        <w:tc>
          <w:tcPr>
            <w:tcW w:w="331" w:type="pct"/>
            <w:tcBorders>
              <w:top w:val="single" w:color="000000" w:sz="4" w:space="0"/>
              <w:left w:val="single" w:color="000000" w:sz="4" w:space="0"/>
              <w:bottom w:val="single" w:color="000000" w:sz="4" w:space="0"/>
              <w:right w:val="nil"/>
            </w:tcBorders>
            <w:noWrap w:val="0"/>
            <w:vAlign w:val="center"/>
          </w:tcPr>
          <w:p w14:paraId="2BCE40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1550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FFDA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E9442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345C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恒温水浴锅</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25FD9E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水浴控温范围：室温5℃~99.9℃,水温控制±0.5℃,不锈钢内胆，数字显示</w:t>
            </w:r>
          </w:p>
        </w:tc>
        <w:tc>
          <w:tcPr>
            <w:tcW w:w="331" w:type="pct"/>
            <w:tcBorders>
              <w:top w:val="single" w:color="000000" w:sz="4" w:space="0"/>
              <w:left w:val="single" w:color="000000" w:sz="4" w:space="0"/>
              <w:bottom w:val="single" w:color="000000" w:sz="4" w:space="0"/>
              <w:right w:val="nil"/>
            </w:tcBorders>
            <w:noWrap w:val="0"/>
            <w:vAlign w:val="center"/>
          </w:tcPr>
          <w:p w14:paraId="18CA35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08EAB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2AA9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69AA7B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DF7EB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离心机</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0ACEE56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0r/min～4000r/min，10mL、20mL、50mL等，6或8孔等，无刷电机</w:t>
            </w:r>
          </w:p>
        </w:tc>
        <w:tc>
          <w:tcPr>
            <w:tcW w:w="331" w:type="pct"/>
            <w:tcBorders>
              <w:top w:val="single" w:color="000000" w:sz="4" w:space="0"/>
              <w:left w:val="single" w:color="000000" w:sz="4" w:space="0"/>
              <w:bottom w:val="single" w:color="000000" w:sz="4" w:space="0"/>
              <w:right w:val="nil"/>
            </w:tcBorders>
            <w:noWrap w:val="0"/>
            <w:vAlign w:val="center"/>
          </w:tcPr>
          <w:p w14:paraId="7993FA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B94E2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8715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41FDF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CFE5B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恒温培养箱</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1E234D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控温范围：室温5℃~65℃,±1℃</w:t>
            </w:r>
          </w:p>
        </w:tc>
        <w:tc>
          <w:tcPr>
            <w:tcW w:w="331" w:type="pct"/>
            <w:tcBorders>
              <w:top w:val="single" w:color="000000" w:sz="4" w:space="0"/>
              <w:left w:val="single" w:color="000000" w:sz="4" w:space="0"/>
              <w:bottom w:val="single" w:color="000000" w:sz="4" w:space="0"/>
              <w:right w:val="nil"/>
            </w:tcBorders>
            <w:noWrap w:val="0"/>
            <w:vAlign w:val="center"/>
          </w:tcPr>
          <w:p w14:paraId="6ADB29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CC0D5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C2F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A15FD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4EFF0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恒温震荡器</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5322B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室温+5℃~60℃,±1℃;容量：100mL锥形瓶25个或以上</w:t>
            </w:r>
          </w:p>
        </w:tc>
        <w:tc>
          <w:tcPr>
            <w:tcW w:w="331" w:type="pct"/>
            <w:tcBorders>
              <w:top w:val="single" w:color="000000" w:sz="4" w:space="0"/>
              <w:left w:val="single" w:color="000000" w:sz="4" w:space="0"/>
              <w:bottom w:val="single" w:color="000000" w:sz="4" w:space="0"/>
              <w:right w:val="nil"/>
            </w:tcBorders>
            <w:noWrap w:val="0"/>
            <w:vAlign w:val="center"/>
          </w:tcPr>
          <w:p w14:paraId="04F32E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28429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FDE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08B1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5682F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酸度计</w:t>
            </w:r>
          </w:p>
        </w:tc>
        <w:tc>
          <w:tcPr>
            <w:tcW w:w="350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F494">
            <w:pPr>
              <w:keepNext w:val="0"/>
              <w:keepLines w:val="0"/>
              <w:widowControl/>
              <w:suppressLineNumbers w:val="0"/>
              <w:jc w:val="left"/>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笔式，pH测量范围0～14，分辨力0.1，读数清晰，有自动关机节电模式，配校准试剂</w:t>
            </w:r>
          </w:p>
        </w:tc>
        <w:tc>
          <w:tcPr>
            <w:tcW w:w="331" w:type="pct"/>
            <w:tcBorders>
              <w:top w:val="single" w:color="000000" w:sz="4" w:space="0"/>
              <w:left w:val="single" w:color="000000" w:sz="4" w:space="0"/>
              <w:bottom w:val="single" w:color="000000" w:sz="4" w:space="0"/>
              <w:right w:val="nil"/>
            </w:tcBorders>
            <w:noWrap w:val="0"/>
            <w:vAlign w:val="center"/>
          </w:tcPr>
          <w:p w14:paraId="7DB591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EABB7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B0E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CA157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4079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紫外可见分光光度计</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78DE68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波长范围：190nm～1100nm，比色皿配备玻璃和石英两种材质，波长调节为1nm数字或机械调节</w:t>
            </w:r>
          </w:p>
        </w:tc>
        <w:tc>
          <w:tcPr>
            <w:tcW w:w="331" w:type="pct"/>
            <w:tcBorders>
              <w:top w:val="single" w:color="000000" w:sz="4" w:space="0"/>
              <w:left w:val="single" w:color="000000" w:sz="4" w:space="0"/>
              <w:bottom w:val="single" w:color="000000" w:sz="4" w:space="0"/>
              <w:right w:val="nil"/>
            </w:tcBorders>
            <w:noWrap w:val="0"/>
            <w:vAlign w:val="center"/>
          </w:tcPr>
          <w:p w14:paraId="049D88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D24AA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C38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9D010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2471E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电泳仪</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6BB784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四组输出，输出电压：2V～200V、输出电流：2mA～200mA，具有36V电压限制、稳压和稳流功能</w:t>
            </w:r>
          </w:p>
        </w:tc>
        <w:tc>
          <w:tcPr>
            <w:tcW w:w="331" w:type="pct"/>
            <w:tcBorders>
              <w:top w:val="single" w:color="000000" w:sz="4" w:space="0"/>
              <w:left w:val="single" w:color="000000" w:sz="4" w:space="0"/>
              <w:bottom w:val="single" w:color="000000" w:sz="4" w:space="0"/>
              <w:right w:val="nil"/>
            </w:tcBorders>
            <w:noWrap w:val="0"/>
            <w:vAlign w:val="center"/>
          </w:tcPr>
          <w:p w14:paraId="3A1E3CB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28AFE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00FA5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C9796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F728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水平电泳槽</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29D3D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聚碳酸脂注塑成型，凝胶托盘带有荧光标尺，具有开盖断电功能，凝胶板规格：60mm×60mm</w:t>
            </w:r>
          </w:p>
        </w:tc>
        <w:tc>
          <w:tcPr>
            <w:tcW w:w="331" w:type="pct"/>
            <w:tcBorders>
              <w:top w:val="single" w:color="000000" w:sz="4" w:space="0"/>
              <w:left w:val="single" w:color="000000" w:sz="4" w:space="0"/>
              <w:bottom w:val="single" w:color="000000" w:sz="4" w:space="0"/>
              <w:right w:val="nil"/>
            </w:tcBorders>
            <w:noWrap w:val="0"/>
            <w:vAlign w:val="center"/>
          </w:tcPr>
          <w:p w14:paraId="05AB3B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50BDE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8DAF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BAFBC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D288A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DNA电泳图谱观察仪</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209ADF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非紫外光源，观察凝胶面积＞100mm×100mm</w:t>
            </w:r>
          </w:p>
        </w:tc>
        <w:tc>
          <w:tcPr>
            <w:tcW w:w="331" w:type="pct"/>
            <w:tcBorders>
              <w:top w:val="single" w:color="000000" w:sz="4" w:space="0"/>
              <w:left w:val="single" w:color="000000" w:sz="4" w:space="0"/>
              <w:bottom w:val="single" w:color="000000" w:sz="4" w:space="0"/>
              <w:right w:val="nil"/>
            </w:tcBorders>
            <w:noWrap w:val="0"/>
            <w:vAlign w:val="center"/>
          </w:tcPr>
          <w:p w14:paraId="0DDFA2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ADA1A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895E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93B5F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49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96942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解剖盘</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159244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260mm×200mm×30mm，蜡盘</w:t>
            </w:r>
          </w:p>
        </w:tc>
        <w:tc>
          <w:tcPr>
            <w:tcW w:w="331" w:type="pct"/>
            <w:tcBorders>
              <w:top w:val="single" w:color="000000" w:sz="4" w:space="0"/>
              <w:left w:val="single" w:color="000000" w:sz="4" w:space="0"/>
              <w:bottom w:val="single" w:color="000000" w:sz="4" w:space="0"/>
              <w:right w:val="nil"/>
            </w:tcBorders>
            <w:noWrap w:val="0"/>
            <w:vAlign w:val="center"/>
          </w:tcPr>
          <w:p w14:paraId="11AEB0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E4A66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2D155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E380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EECBC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解剖器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90384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不锈钢材料，7件，包括：2把解剖剪（直剪、弯剪各1）、2个镊子（直头、弯头各1）、2个解剖刀（圆头、尖头各1）、1个解剖针</w:t>
            </w:r>
          </w:p>
        </w:tc>
        <w:tc>
          <w:tcPr>
            <w:tcW w:w="331" w:type="pct"/>
            <w:tcBorders>
              <w:top w:val="single" w:color="000000" w:sz="4" w:space="0"/>
              <w:left w:val="single" w:color="000000" w:sz="4" w:space="0"/>
              <w:bottom w:val="single" w:color="000000" w:sz="4" w:space="0"/>
              <w:right w:val="nil"/>
            </w:tcBorders>
            <w:noWrap w:val="0"/>
            <w:vAlign w:val="center"/>
          </w:tcPr>
          <w:p w14:paraId="193BEA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68433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1250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29433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E7910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双面刀片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CCF76B2">
            <w:pPr>
              <w:jc w:val="left"/>
              <w:rPr>
                <w:rFonts w:hint="eastAsia" w:ascii="仿宋" w:hAnsi="仿宋" w:eastAsia="仿宋" w:cs="仿宋"/>
                <w:i w:val="0"/>
                <w:iCs w:val="0"/>
                <w:color w:val="000000"/>
                <w:sz w:val="21"/>
                <w:szCs w:val="21"/>
                <w:highlight w:val="none"/>
                <w:u w:val="none"/>
              </w:rPr>
            </w:pPr>
          </w:p>
        </w:tc>
        <w:tc>
          <w:tcPr>
            <w:tcW w:w="331" w:type="pct"/>
            <w:tcBorders>
              <w:top w:val="single" w:color="000000" w:sz="4" w:space="0"/>
              <w:left w:val="single" w:color="000000" w:sz="4" w:space="0"/>
              <w:bottom w:val="single" w:color="000000" w:sz="4" w:space="0"/>
              <w:right w:val="nil"/>
            </w:tcBorders>
            <w:noWrap w:val="0"/>
            <w:vAlign w:val="center"/>
          </w:tcPr>
          <w:p w14:paraId="47FA32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186F2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63D7B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4342E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1523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镊子</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D6425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尖头，140mm</w:t>
            </w:r>
          </w:p>
        </w:tc>
        <w:tc>
          <w:tcPr>
            <w:tcW w:w="331" w:type="pct"/>
            <w:tcBorders>
              <w:top w:val="single" w:color="000000" w:sz="4" w:space="0"/>
              <w:left w:val="single" w:color="000000" w:sz="4" w:space="0"/>
              <w:bottom w:val="single" w:color="000000" w:sz="4" w:space="0"/>
              <w:right w:val="nil"/>
            </w:tcBorders>
            <w:noWrap w:val="0"/>
            <w:vAlign w:val="center"/>
          </w:tcPr>
          <w:p w14:paraId="3D0857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D476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238BC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57387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E54C1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镊子</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F76803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弯头，140mm</w:t>
            </w:r>
          </w:p>
        </w:tc>
        <w:tc>
          <w:tcPr>
            <w:tcW w:w="331" w:type="pct"/>
            <w:tcBorders>
              <w:top w:val="single" w:color="000000" w:sz="4" w:space="0"/>
              <w:left w:val="single" w:color="000000" w:sz="4" w:space="0"/>
              <w:bottom w:val="single" w:color="000000" w:sz="4" w:space="0"/>
              <w:right w:val="nil"/>
            </w:tcBorders>
            <w:noWrap w:val="0"/>
            <w:vAlign w:val="center"/>
          </w:tcPr>
          <w:p w14:paraId="27A82F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7A842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560C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7749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9910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眼科镊</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14F5A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直，100mm</w:t>
            </w:r>
          </w:p>
        </w:tc>
        <w:tc>
          <w:tcPr>
            <w:tcW w:w="331" w:type="pct"/>
            <w:tcBorders>
              <w:top w:val="single" w:color="000000" w:sz="4" w:space="0"/>
              <w:left w:val="single" w:color="000000" w:sz="4" w:space="0"/>
              <w:bottom w:val="single" w:color="000000" w:sz="4" w:space="0"/>
              <w:right w:val="nil"/>
            </w:tcBorders>
            <w:noWrap w:val="0"/>
            <w:vAlign w:val="center"/>
          </w:tcPr>
          <w:p w14:paraId="09B530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CF609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A3F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CBF6D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F8DB6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解剖针</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8F10E6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六菱医用全钢</w:t>
            </w:r>
          </w:p>
        </w:tc>
        <w:tc>
          <w:tcPr>
            <w:tcW w:w="331" w:type="pct"/>
            <w:tcBorders>
              <w:top w:val="single" w:color="000000" w:sz="4" w:space="0"/>
              <w:left w:val="single" w:color="000000" w:sz="4" w:space="0"/>
              <w:bottom w:val="single" w:color="000000" w:sz="4" w:space="0"/>
              <w:right w:val="nil"/>
            </w:tcBorders>
            <w:noWrap w:val="0"/>
            <w:vAlign w:val="center"/>
          </w:tcPr>
          <w:p w14:paraId="4A7840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1F84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DEE7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9E22E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6A239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研磨过滤器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E40B21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容量20mL</w:t>
            </w:r>
          </w:p>
        </w:tc>
        <w:tc>
          <w:tcPr>
            <w:tcW w:w="331" w:type="pct"/>
            <w:tcBorders>
              <w:top w:val="single" w:color="000000" w:sz="4" w:space="0"/>
              <w:left w:val="single" w:color="000000" w:sz="4" w:space="0"/>
              <w:bottom w:val="single" w:color="000000" w:sz="4" w:space="0"/>
              <w:right w:val="nil"/>
            </w:tcBorders>
            <w:noWrap w:val="0"/>
            <w:vAlign w:val="center"/>
          </w:tcPr>
          <w:p w14:paraId="0D2073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C30EFF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EE3F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AB280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6DDE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83030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0.1µL～2.5µL</w:t>
            </w:r>
          </w:p>
        </w:tc>
        <w:tc>
          <w:tcPr>
            <w:tcW w:w="331" w:type="pct"/>
            <w:tcBorders>
              <w:top w:val="single" w:color="000000" w:sz="4" w:space="0"/>
              <w:left w:val="single" w:color="000000" w:sz="4" w:space="0"/>
              <w:bottom w:val="single" w:color="000000" w:sz="4" w:space="0"/>
              <w:right w:val="nil"/>
            </w:tcBorders>
            <w:noWrap w:val="0"/>
            <w:vAlign w:val="center"/>
          </w:tcPr>
          <w:p w14:paraId="275F0E1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439BC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3C5F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5575E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7558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9710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0.5µL～10µL</w:t>
            </w:r>
          </w:p>
        </w:tc>
        <w:tc>
          <w:tcPr>
            <w:tcW w:w="331" w:type="pct"/>
            <w:tcBorders>
              <w:top w:val="single" w:color="000000" w:sz="4" w:space="0"/>
              <w:left w:val="single" w:color="000000" w:sz="4" w:space="0"/>
              <w:bottom w:val="single" w:color="000000" w:sz="4" w:space="0"/>
              <w:right w:val="nil"/>
            </w:tcBorders>
            <w:noWrap w:val="0"/>
            <w:vAlign w:val="center"/>
          </w:tcPr>
          <w:p w14:paraId="30B53A2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6764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FD6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CF497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59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5FB6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DB512D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10µL～100µL</w:t>
            </w:r>
          </w:p>
        </w:tc>
        <w:tc>
          <w:tcPr>
            <w:tcW w:w="331" w:type="pct"/>
            <w:tcBorders>
              <w:top w:val="single" w:color="000000" w:sz="4" w:space="0"/>
              <w:left w:val="single" w:color="000000" w:sz="4" w:space="0"/>
              <w:bottom w:val="single" w:color="000000" w:sz="4" w:space="0"/>
              <w:right w:val="nil"/>
            </w:tcBorders>
            <w:noWrap w:val="0"/>
            <w:vAlign w:val="center"/>
          </w:tcPr>
          <w:p w14:paraId="7F0C99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7FDDD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7768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ED691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881C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0531A5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100µL～1000µL</w:t>
            </w:r>
          </w:p>
        </w:tc>
        <w:tc>
          <w:tcPr>
            <w:tcW w:w="331" w:type="pct"/>
            <w:tcBorders>
              <w:top w:val="single" w:color="000000" w:sz="4" w:space="0"/>
              <w:left w:val="single" w:color="000000" w:sz="4" w:space="0"/>
              <w:bottom w:val="single" w:color="000000" w:sz="4" w:space="0"/>
              <w:right w:val="nil"/>
            </w:tcBorders>
            <w:noWrap w:val="0"/>
            <w:vAlign w:val="center"/>
          </w:tcPr>
          <w:p w14:paraId="021CD6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5502D1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2276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1FF10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ECF4E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3D2B0C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1mL～5mL</w:t>
            </w:r>
          </w:p>
        </w:tc>
        <w:tc>
          <w:tcPr>
            <w:tcW w:w="331" w:type="pct"/>
            <w:tcBorders>
              <w:top w:val="single" w:color="000000" w:sz="4" w:space="0"/>
              <w:left w:val="single" w:color="000000" w:sz="4" w:space="0"/>
              <w:bottom w:val="single" w:color="000000" w:sz="4" w:space="0"/>
              <w:right w:val="nil"/>
            </w:tcBorders>
            <w:noWrap w:val="0"/>
            <w:vAlign w:val="center"/>
          </w:tcPr>
          <w:p w14:paraId="6AEB41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12F5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A586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F1FC1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C303A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接种环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7D6177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接种棒为铜或不锈钢材质，接种丝为耐热合金，环内径2mm～3mm</w:t>
            </w:r>
          </w:p>
        </w:tc>
        <w:tc>
          <w:tcPr>
            <w:tcW w:w="331" w:type="pct"/>
            <w:tcBorders>
              <w:top w:val="single" w:color="000000" w:sz="4" w:space="0"/>
              <w:left w:val="single" w:color="000000" w:sz="4" w:space="0"/>
              <w:bottom w:val="single" w:color="000000" w:sz="4" w:space="0"/>
              <w:right w:val="nil"/>
            </w:tcBorders>
            <w:noWrap w:val="0"/>
            <w:vAlign w:val="center"/>
          </w:tcPr>
          <w:p w14:paraId="03F968D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309026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5E2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D0040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C013A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铁架台</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A40CCE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方形座，含铁夹、复夹、铁圈，重心稳定不晃动，夹持器内侧应有石棉垫或橡胶垫衬</w:t>
            </w:r>
          </w:p>
        </w:tc>
        <w:tc>
          <w:tcPr>
            <w:tcW w:w="331" w:type="pct"/>
            <w:tcBorders>
              <w:top w:val="single" w:color="000000" w:sz="4" w:space="0"/>
              <w:left w:val="single" w:color="000000" w:sz="4" w:space="0"/>
              <w:bottom w:val="single" w:color="000000" w:sz="4" w:space="0"/>
              <w:right w:val="nil"/>
            </w:tcBorders>
            <w:noWrap w:val="0"/>
            <w:vAlign w:val="center"/>
          </w:tcPr>
          <w:p w14:paraId="2864A3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3AE4D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97F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6212A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8A219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三脚架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B796E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采用碳钢或φ6mm冷拉钢材造，三脚均布，高度≥156mm，三脚内接圆直径≥120mm。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 上支承环平整，直径＞80mm。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三支撑脚与圆环间焊接牢靠，分布均匀，焊点光滑、平稳，三脚及支承环钢材直径≥6mm，表面经酸洗，磷化后喷塑或喷黑色防锈、耐热强化漆。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表面不应有明显的凹痕、裂缝、变形等缺陷；表面涂镀层应均匀，不应起泡、龟裂、脱落和磨损；不应有锈蚀及其他机械损伤。　</w:t>
            </w:r>
          </w:p>
        </w:tc>
        <w:tc>
          <w:tcPr>
            <w:tcW w:w="331" w:type="pct"/>
            <w:tcBorders>
              <w:top w:val="single" w:color="000000" w:sz="4" w:space="0"/>
              <w:left w:val="single" w:color="000000" w:sz="4" w:space="0"/>
              <w:bottom w:val="single" w:color="000000" w:sz="4" w:space="0"/>
              <w:right w:val="nil"/>
            </w:tcBorders>
            <w:noWrap w:val="0"/>
            <w:vAlign w:val="center"/>
          </w:tcPr>
          <w:p w14:paraId="57FA7D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A92C0C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220B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CDEF9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17E5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30C506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木质或塑料质，8孔，孔径21mm，立柱黏结牢固</w:t>
            </w:r>
          </w:p>
        </w:tc>
        <w:tc>
          <w:tcPr>
            <w:tcW w:w="331" w:type="pct"/>
            <w:tcBorders>
              <w:top w:val="single" w:color="000000" w:sz="4" w:space="0"/>
              <w:left w:val="single" w:color="000000" w:sz="4" w:space="0"/>
              <w:bottom w:val="single" w:color="000000" w:sz="4" w:space="0"/>
              <w:right w:val="nil"/>
            </w:tcBorders>
            <w:noWrap w:val="0"/>
            <w:vAlign w:val="center"/>
          </w:tcPr>
          <w:p w14:paraId="37E425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35F85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AE7B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0C89E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3B0DC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注射器架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58849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有机玻璃，高度25cm，孔径35mm</w:t>
            </w:r>
          </w:p>
        </w:tc>
        <w:tc>
          <w:tcPr>
            <w:tcW w:w="331" w:type="pct"/>
            <w:tcBorders>
              <w:top w:val="single" w:color="000000" w:sz="4" w:space="0"/>
              <w:left w:val="single" w:color="000000" w:sz="4" w:space="0"/>
              <w:bottom w:val="single" w:color="000000" w:sz="4" w:space="0"/>
              <w:right w:val="nil"/>
            </w:tcBorders>
            <w:noWrap w:val="0"/>
            <w:vAlign w:val="center"/>
          </w:tcPr>
          <w:p w14:paraId="7E50E4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9741A4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866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4926D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6C650F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6823FB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塑料或亚克力材质，可放置至少5支移液器</w:t>
            </w:r>
          </w:p>
        </w:tc>
        <w:tc>
          <w:tcPr>
            <w:tcW w:w="331" w:type="pct"/>
            <w:tcBorders>
              <w:top w:val="single" w:color="000000" w:sz="4" w:space="0"/>
              <w:left w:val="single" w:color="000000" w:sz="4" w:space="0"/>
              <w:bottom w:val="single" w:color="000000" w:sz="4" w:space="0"/>
              <w:right w:val="nil"/>
            </w:tcBorders>
            <w:noWrap w:val="0"/>
            <w:vAlign w:val="center"/>
          </w:tcPr>
          <w:p w14:paraId="33AC027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C03B4F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C75F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0C995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41050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移液管架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1D183D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塑料或亚克力材质</w:t>
            </w:r>
          </w:p>
        </w:tc>
        <w:tc>
          <w:tcPr>
            <w:tcW w:w="331" w:type="pct"/>
            <w:tcBorders>
              <w:top w:val="single" w:color="000000" w:sz="4" w:space="0"/>
              <w:left w:val="single" w:color="000000" w:sz="4" w:space="0"/>
              <w:bottom w:val="single" w:color="000000" w:sz="4" w:space="0"/>
              <w:right w:val="nil"/>
            </w:tcBorders>
            <w:noWrap w:val="0"/>
            <w:vAlign w:val="center"/>
          </w:tcPr>
          <w:p w14:paraId="2C6D38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FAB69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F45F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FA27E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69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03E7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直尺</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BF94E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500mm</w:t>
            </w:r>
          </w:p>
        </w:tc>
        <w:tc>
          <w:tcPr>
            <w:tcW w:w="331" w:type="pct"/>
            <w:tcBorders>
              <w:top w:val="single" w:color="000000" w:sz="4" w:space="0"/>
              <w:left w:val="single" w:color="000000" w:sz="4" w:space="0"/>
              <w:bottom w:val="single" w:color="000000" w:sz="4" w:space="0"/>
              <w:right w:val="nil"/>
            </w:tcBorders>
            <w:noWrap w:val="0"/>
            <w:vAlign w:val="center"/>
          </w:tcPr>
          <w:p w14:paraId="236355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8F769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FC2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68629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630E7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软尺</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88F8FA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1500mm</w:t>
            </w:r>
          </w:p>
        </w:tc>
        <w:tc>
          <w:tcPr>
            <w:tcW w:w="331" w:type="pct"/>
            <w:tcBorders>
              <w:top w:val="single" w:color="000000" w:sz="4" w:space="0"/>
              <w:left w:val="single" w:color="000000" w:sz="4" w:space="0"/>
              <w:bottom w:val="single" w:color="000000" w:sz="4" w:space="0"/>
              <w:right w:val="nil"/>
            </w:tcBorders>
            <w:noWrap w:val="0"/>
            <w:vAlign w:val="center"/>
          </w:tcPr>
          <w:p w14:paraId="1D68D2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C1193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006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65664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AAF3A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托盘天平</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840935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200g，0.2g</w:t>
            </w:r>
          </w:p>
        </w:tc>
        <w:tc>
          <w:tcPr>
            <w:tcW w:w="331" w:type="pct"/>
            <w:tcBorders>
              <w:top w:val="single" w:color="000000" w:sz="4" w:space="0"/>
              <w:left w:val="single" w:color="000000" w:sz="4" w:space="0"/>
              <w:bottom w:val="single" w:color="000000" w:sz="4" w:space="0"/>
              <w:right w:val="nil"/>
            </w:tcBorders>
            <w:noWrap w:val="0"/>
            <w:vAlign w:val="center"/>
          </w:tcPr>
          <w:p w14:paraId="301EAA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354F8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0FC91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75411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5D178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9FB11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200g，0.1g</w:t>
            </w:r>
          </w:p>
        </w:tc>
        <w:tc>
          <w:tcPr>
            <w:tcW w:w="331" w:type="pct"/>
            <w:tcBorders>
              <w:top w:val="single" w:color="000000" w:sz="4" w:space="0"/>
              <w:left w:val="single" w:color="000000" w:sz="4" w:space="0"/>
              <w:bottom w:val="single" w:color="000000" w:sz="4" w:space="0"/>
              <w:right w:val="nil"/>
            </w:tcBorders>
            <w:noWrap w:val="0"/>
            <w:vAlign w:val="center"/>
          </w:tcPr>
          <w:p w14:paraId="17A504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7E37C6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51FC0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73699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98DC0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电子天平</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FED22E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100g，0.001g</w:t>
            </w:r>
          </w:p>
        </w:tc>
        <w:tc>
          <w:tcPr>
            <w:tcW w:w="331" w:type="pct"/>
            <w:tcBorders>
              <w:top w:val="single" w:color="000000" w:sz="4" w:space="0"/>
              <w:left w:val="single" w:color="000000" w:sz="4" w:space="0"/>
              <w:bottom w:val="single" w:color="000000" w:sz="4" w:space="0"/>
              <w:right w:val="nil"/>
            </w:tcBorders>
            <w:noWrap w:val="0"/>
            <w:vAlign w:val="center"/>
          </w:tcPr>
          <w:p w14:paraId="251FB4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6C4D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C2E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12304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47EA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电子秒表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D2C636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专用型，全时段分辨力0.01s；有防震、防水功能，电池更换周期≥1.5年</w:t>
            </w:r>
          </w:p>
        </w:tc>
        <w:tc>
          <w:tcPr>
            <w:tcW w:w="331" w:type="pct"/>
            <w:tcBorders>
              <w:top w:val="single" w:color="000000" w:sz="4" w:space="0"/>
              <w:left w:val="single" w:color="000000" w:sz="4" w:space="0"/>
              <w:bottom w:val="single" w:color="000000" w:sz="4" w:space="0"/>
              <w:right w:val="nil"/>
            </w:tcBorders>
            <w:noWrap w:val="0"/>
            <w:vAlign w:val="center"/>
          </w:tcPr>
          <w:p w14:paraId="4063DEB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4EF4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1113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067B1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7C3CE9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红液温度计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4039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0℃~100℃,分度值1℃,示值误差&lt;1.5℃</w:t>
            </w:r>
          </w:p>
        </w:tc>
        <w:tc>
          <w:tcPr>
            <w:tcW w:w="331" w:type="pct"/>
            <w:tcBorders>
              <w:top w:val="single" w:color="000000" w:sz="4" w:space="0"/>
              <w:left w:val="single" w:color="000000" w:sz="4" w:space="0"/>
              <w:bottom w:val="single" w:color="000000" w:sz="4" w:space="0"/>
              <w:right w:val="nil"/>
            </w:tcBorders>
            <w:noWrap w:val="0"/>
            <w:vAlign w:val="center"/>
          </w:tcPr>
          <w:p w14:paraId="2DF88A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B4F0A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39D86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9C147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4DF5A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干湿球温度计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584E87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-10℃~50℃,分度值0.5℃;测量湿度0～100%</w:t>
            </w:r>
          </w:p>
        </w:tc>
        <w:tc>
          <w:tcPr>
            <w:tcW w:w="331" w:type="pct"/>
            <w:tcBorders>
              <w:top w:val="single" w:color="000000" w:sz="4" w:space="0"/>
              <w:left w:val="single" w:color="000000" w:sz="4" w:space="0"/>
              <w:bottom w:val="single" w:color="000000" w:sz="4" w:space="0"/>
              <w:right w:val="nil"/>
            </w:tcBorders>
            <w:noWrap w:val="0"/>
            <w:vAlign w:val="center"/>
          </w:tcPr>
          <w:p w14:paraId="37D4F4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290B2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F7D0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E2163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82604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计数器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990928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手持式</w:t>
            </w:r>
          </w:p>
        </w:tc>
        <w:tc>
          <w:tcPr>
            <w:tcW w:w="331" w:type="pct"/>
            <w:tcBorders>
              <w:top w:val="single" w:color="000000" w:sz="4" w:space="0"/>
              <w:left w:val="single" w:color="000000" w:sz="4" w:space="0"/>
              <w:bottom w:val="single" w:color="000000" w:sz="4" w:space="0"/>
              <w:right w:val="nil"/>
            </w:tcBorders>
            <w:noWrap w:val="0"/>
            <w:vAlign w:val="center"/>
          </w:tcPr>
          <w:p w14:paraId="0811D5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2EBE7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75F2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FC18D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012B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血细胞计数板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BF486C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H型凹槽，两个计数池，计数池深度0.1mm</w:t>
            </w:r>
          </w:p>
        </w:tc>
        <w:tc>
          <w:tcPr>
            <w:tcW w:w="331" w:type="pct"/>
            <w:tcBorders>
              <w:top w:val="single" w:color="000000" w:sz="4" w:space="0"/>
              <w:left w:val="single" w:color="000000" w:sz="4" w:space="0"/>
              <w:bottom w:val="single" w:color="000000" w:sz="4" w:space="0"/>
              <w:right w:val="nil"/>
            </w:tcBorders>
            <w:noWrap w:val="0"/>
            <w:vAlign w:val="center"/>
          </w:tcPr>
          <w:p w14:paraId="68DA72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84C75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5B2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6F29D7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79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8CBC53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9F8DA8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0CE516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D10F08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22F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0904C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C1120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98112F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608817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B4D9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691D4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EA533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375BA6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381FC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25AA77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7624D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E21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925A2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497EA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6C6A8B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4C7704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6BCA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0754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9B1F1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B88DF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A8249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58ACA1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2F5AC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2ECA4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85350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A66D4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量筒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17EA0F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1000mL，透明钠钙玻璃制，分度线、数字和标志应完整、清晰和耐久，容积为20℃时充满量筒刻度线所容纳体积</w:t>
            </w:r>
          </w:p>
        </w:tc>
        <w:tc>
          <w:tcPr>
            <w:tcW w:w="331" w:type="pct"/>
            <w:tcBorders>
              <w:top w:val="single" w:color="000000" w:sz="4" w:space="0"/>
              <w:left w:val="single" w:color="000000" w:sz="4" w:space="0"/>
              <w:bottom w:val="single" w:color="000000" w:sz="4" w:space="0"/>
              <w:right w:val="nil"/>
            </w:tcBorders>
            <w:noWrap w:val="0"/>
            <w:vAlign w:val="center"/>
          </w:tcPr>
          <w:p w14:paraId="3806CD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8457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76F7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544A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4F9FA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容量瓶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4F1605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100mL，透明硼硅酸盐玻璃制，刻度线应在瓶颈下部三分之二处，清晰耐久，粗细均匀</w:t>
            </w:r>
          </w:p>
        </w:tc>
        <w:tc>
          <w:tcPr>
            <w:tcW w:w="331" w:type="pct"/>
            <w:tcBorders>
              <w:top w:val="single" w:color="000000" w:sz="4" w:space="0"/>
              <w:left w:val="single" w:color="000000" w:sz="4" w:space="0"/>
              <w:bottom w:val="single" w:color="000000" w:sz="4" w:space="0"/>
              <w:right w:val="nil"/>
            </w:tcBorders>
            <w:noWrap w:val="0"/>
            <w:vAlign w:val="center"/>
          </w:tcPr>
          <w:p w14:paraId="1F1A3B1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0300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75F36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E81AB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CFC12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1D1C71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Φ12mm×70mm，透明硼硅酸盐玻璃制</w:t>
            </w:r>
          </w:p>
        </w:tc>
        <w:tc>
          <w:tcPr>
            <w:tcW w:w="331" w:type="pct"/>
            <w:tcBorders>
              <w:top w:val="single" w:color="000000" w:sz="4" w:space="0"/>
              <w:left w:val="single" w:color="000000" w:sz="4" w:space="0"/>
              <w:bottom w:val="single" w:color="000000" w:sz="4" w:space="0"/>
              <w:right w:val="nil"/>
            </w:tcBorders>
            <w:noWrap w:val="0"/>
            <w:vAlign w:val="center"/>
          </w:tcPr>
          <w:p w14:paraId="190135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11EA9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4F54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A3A2B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83A14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E2FB5F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Φ15mm×150mm，透明硼硅酸盐玻璃制</w:t>
            </w:r>
          </w:p>
        </w:tc>
        <w:tc>
          <w:tcPr>
            <w:tcW w:w="331" w:type="pct"/>
            <w:tcBorders>
              <w:top w:val="single" w:color="000000" w:sz="4" w:space="0"/>
              <w:left w:val="single" w:color="000000" w:sz="4" w:space="0"/>
              <w:bottom w:val="single" w:color="000000" w:sz="4" w:space="0"/>
              <w:right w:val="nil"/>
            </w:tcBorders>
            <w:noWrap w:val="0"/>
            <w:vAlign w:val="center"/>
          </w:tcPr>
          <w:p w14:paraId="575FCD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B4ADB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3CB4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E11113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2BB97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04ECF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749F02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B9B5C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473F5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878C5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89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FB430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65824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27C1C2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59751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r>
      <w:tr w14:paraId="1B73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3E2F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41B2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5D62E4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5DAEA12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9466FA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144D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7D452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E7639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21C0A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60A157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F06788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646CD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EDB18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5763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烧杯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A716E7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1000mL，透明硼硅酸盐玻璃制，烧杯的满口容量应超过标称容量的10%或烧杯的满口容量和标称容量的两液面间距不应少于10mm，并应采用容量差值较大的一种</w:t>
            </w:r>
          </w:p>
        </w:tc>
        <w:tc>
          <w:tcPr>
            <w:tcW w:w="331" w:type="pct"/>
            <w:tcBorders>
              <w:top w:val="single" w:color="000000" w:sz="4" w:space="0"/>
              <w:left w:val="single" w:color="000000" w:sz="4" w:space="0"/>
              <w:bottom w:val="single" w:color="000000" w:sz="4" w:space="0"/>
              <w:right w:val="nil"/>
            </w:tcBorders>
            <w:noWrap w:val="0"/>
            <w:vAlign w:val="center"/>
          </w:tcPr>
          <w:p w14:paraId="5D5B5B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EF54B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4DC0C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B7EC1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2BE66D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31F5B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3B33E7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6C5F9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C6A1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6F23C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6B717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79D27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5801EB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923A6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28B4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A3879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ADE6D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77298E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4290EE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1B85E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2A00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B6A18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EA264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锥形瓶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3140D8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500mL，透明硼硅酸盐玻璃制，放在平台上应直立不摇晃、不转动</w:t>
            </w:r>
          </w:p>
        </w:tc>
        <w:tc>
          <w:tcPr>
            <w:tcW w:w="331" w:type="pct"/>
            <w:tcBorders>
              <w:top w:val="single" w:color="000000" w:sz="4" w:space="0"/>
              <w:left w:val="single" w:color="000000" w:sz="4" w:space="0"/>
              <w:bottom w:val="single" w:color="000000" w:sz="4" w:space="0"/>
              <w:right w:val="nil"/>
            </w:tcBorders>
            <w:noWrap w:val="0"/>
            <w:vAlign w:val="center"/>
          </w:tcPr>
          <w:p w14:paraId="1CED64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CA1DC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5F770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F5C2A0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DB12C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蒸馏烧瓶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62ABB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250mL；透明硼硅酸盐玻璃制，烧瓶的颈部同一截面应该呈圆形，颈的口部不应呈锥形，并适当提高强度</w:t>
            </w:r>
          </w:p>
        </w:tc>
        <w:tc>
          <w:tcPr>
            <w:tcW w:w="331" w:type="pct"/>
            <w:tcBorders>
              <w:top w:val="single" w:color="000000" w:sz="4" w:space="0"/>
              <w:left w:val="single" w:color="000000" w:sz="4" w:space="0"/>
              <w:bottom w:val="single" w:color="000000" w:sz="4" w:space="0"/>
              <w:right w:val="nil"/>
            </w:tcBorders>
            <w:noWrap w:val="0"/>
            <w:vAlign w:val="center"/>
          </w:tcPr>
          <w:p w14:paraId="45AB99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6815F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185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E4AB7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FDF38F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39961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2A98E3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DDA22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08F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998A9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99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63743F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EFA8B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458D3A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46B6B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6BF0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89822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C0C06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广口瓶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5E931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790170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6B6243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79B2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E0AF78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782C4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07CE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01B07B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A007FD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77A41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CB8FE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F29B06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138E43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417D10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74FC3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ACE0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EF14A8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1A48A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06D63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4C4ADF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241678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A88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A97051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3085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细口瓶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DD5D89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1000mL，透明钠钙玻璃制；瓶塞与瓶口紧实，不晃动；口部应圆整光滑，底部应平整，放置平台上不应摇晃或转动</w:t>
            </w:r>
          </w:p>
        </w:tc>
        <w:tc>
          <w:tcPr>
            <w:tcW w:w="331" w:type="pct"/>
            <w:tcBorders>
              <w:top w:val="single" w:color="000000" w:sz="4" w:space="0"/>
              <w:left w:val="single" w:color="000000" w:sz="4" w:space="0"/>
              <w:bottom w:val="single" w:color="000000" w:sz="4" w:space="0"/>
              <w:right w:val="nil"/>
            </w:tcBorders>
            <w:noWrap w:val="0"/>
            <w:vAlign w:val="center"/>
          </w:tcPr>
          <w:p w14:paraId="2B75E0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A6628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D24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D53B1F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0E6648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650F2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3902FA1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8009D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37074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6E4A62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5D8D22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256E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2297B5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BFABB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44C4E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15FFB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391B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51F57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00853A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7723C1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5072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55F52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1CD70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茶色滴瓶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5D55E9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60mL，透明钠钙玻璃制，瓶口细磨，磨砂面应均匀细腻，滴管应附橡胶帽，吸放弹性好，开口直径6mm，与滴管口套合牢固稳定</w:t>
            </w:r>
          </w:p>
        </w:tc>
        <w:tc>
          <w:tcPr>
            <w:tcW w:w="331" w:type="pct"/>
            <w:tcBorders>
              <w:top w:val="single" w:color="000000" w:sz="4" w:space="0"/>
              <w:left w:val="single" w:color="000000" w:sz="4" w:space="0"/>
              <w:bottom w:val="single" w:color="000000" w:sz="4" w:space="0"/>
              <w:right w:val="nil"/>
            </w:tcBorders>
            <w:noWrap w:val="0"/>
            <w:vAlign w:val="center"/>
          </w:tcPr>
          <w:p w14:paraId="3670F1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D1F06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r>
      <w:tr w14:paraId="3BEB2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89B92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3519E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泡菜坛</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035CE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1000mL</w:t>
            </w:r>
          </w:p>
        </w:tc>
        <w:tc>
          <w:tcPr>
            <w:tcW w:w="331" w:type="pct"/>
            <w:tcBorders>
              <w:top w:val="single" w:color="000000" w:sz="4" w:space="0"/>
              <w:left w:val="single" w:color="000000" w:sz="4" w:space="0"/>
              <w:bottom w:val="single" w:color="000000" w:sz="4" w:space="0"/>
              <w:right w:val="nil"/>
            </w:tcBorders>
            <w:noWrap w:val="0"/>
            <w:vAlign w:val="center"/>
          </w:tcPr>
          <w:p w14:paraId="232C7A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7F4819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61E7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BD056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044ECB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培养皿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CDE403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60mm；玻璃薄厚均匀、耐高温高压</w:t>
            </w:r>
          </w:p>
        </w:tc>
        <w:tc>
          <w:tcPr>
            <w:tcW w:w="331" w:type="pct"/>
            <w:tcBorders>
              <w:top w:val="single" w:color="000000" w:sz="4" w:space="0"/>
              <w:left w:val="single" w:color="000000" w:sz="4" w:space="0"/>
              <w:bottom w:val="single" w:color="000000" w:sz="4" w:space="0"/>
              <w:right w:val="nil"/>
            </w:tcBorders>
            <w:noWrap w:val="0"/>
            <w:vAlign w:val="center"/>
          </w:tcPr>
          <w:p w14:paraId="215B00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A96D2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6D6F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50925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04A8D7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培养皿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8A3DF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90mm；玻璃薄厚均匀、耐高温高压</w:t>
            </w:r>
          </w:p>
        </w:tc>
        <w:tc>
          <w:tcPr>
            <w:tcW w:w="331" w:type="pct"/>
            <w:tcBorders>
              <w:top w:val="single" w:color="000000" w:sz="4" w:space="0"/>
              <w:left w:val="single" w:color="000000" w:sz="4" w:space="0"/>
              <w:bottom w:val="single" w:color="000000" w:sz="4" w:space="0"/>
              <w:right w:val="nil"/>
            </w:tcBorders>
            <w:noWrap w:val="0"/>
            <w:vAlign w:val="center"/>
          </w:tcPr>
          <w:p w14:paraId="362ACD9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CFEA4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2F4A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0FC03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B33AC7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47F045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150mm，磨口平整，密封严实，隔板大小合适，不少于5个圆孔</w:t>
            </w:r>
          </w:p>
        </w:tc>
        <w:tc>
          <w:tcPr>
            <w:tcW w:w="331" w:type="pct"/>
            <w:tcBorders>
              <w:top w:val="single" w:color="000000" w:sz="4" w:space="0"/>
              <w:left w:val="single" w:color="000000" w:sz="4" w:space="0"/>
              <w:bottom w:val="single" w:color="000000" w:sz="4" w:space="0"/>
              <w:right w:val="nil"/>
            </w:tcBorders>
            <w:noWrap w:val="0"/>
            <w:vAlign w:val="center"/>
          </w:tcPr>
          <w:p w14:paraId="3B41779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1A4D3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E391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EFAEA4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CD9C51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干燥管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FC9799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U型，Φ15mm×150mm，硼硅酸盐玻璃制，两管应平行，管口高度误差不大于5mm</w:t>
            </w:r>
          </w:p>
        </w:tc>
        <w:tc>
          <w:tcPr>
            <w:tcW w:w="331" w:type="pct"/>
            <w:tcBorders>
              <w:top w:val="single" w:color="000000" w:sz="4" w:space="0"/>
              <w:left w:val="single" w:color="000000" w:sz="4" w:space="0"/>
              <w:bottom w:val="single" w:color="000000" w:sz="4" w:space="0"/>
              <w:right w:val="nil"/>
            </w:tcBorders>
            <w:noWrap w:val="0"/>
            <w:vAlign w:val="center"/>
          </w:tcPr>
          <w:p w14:paraId="78470B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9566B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43079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BF529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3ADA8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比色管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75C95C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25mL</w:t>
            </w:r>
          </w:p>
        </w:tc>
        <w:tc>
          <w:tcPr>
            <w:tcW w:w="331" w:type="pct"/>
            <w:tcBorders>
              <w:top w:val="single" w:color="000000" w:sz="4" w:space="0"/>
              <w:left w:val="single" w:color="000000" w:sz="4" w:space="0"/>
              <w:bottom w:val="single" w:color="000000" w:sz="4" w:space="0"/>
              <w:right w:val="nil"/>
            </w:tcBorders>
            <w:noWrap w:val="0"/>
            <w:vAlign w:val="center"/>
          </w:tcPr>
          <w:p w14:paraId="498AB05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08694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0C267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BA6CA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F28790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长颈漏斗</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C78221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上口直径45mm,球形直径42mm,下管长250mm,下管外径8mm</w:t>
            </w:r>
          </w:p>
        </w:tc>
        <w:tc>
          <w:tcPr>
            <w:tcW w:w="331" w:type="pct"/>
            <w:tcBorders>
              <w:top w:val="single" w:color="000000" w:sz="4" w:space="0"/>
              <w:left w:val="single" w:color="000000" w:sz="4" w:space="0"/>
              <w:bottom w:val="single" w:color="000000" w:sz="4" w:space="0"/>
              <w:right w:val="nil"/>
            </w:tcBorders>
            <w:noWrap w:val="0"/>
            <w:vAlign w:val="center"/>
          </w:tcPr>
          <w:p w14:paraId="7D817F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05BF6B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B5E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1945A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6AC43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2BD081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60mm，滤碗为夹角60°的圆锥形，管的尾端磨成约45°角</w:t>
            </w:r>
          </w:p>
        </w:tc>
        <w:tc>
          <w:tcPr>
            <w:tcW w:w="331" w:type="pct"/>
            <w:tcBorders>
              <w:top w:val="single" w:color="000000" w:sz="4" w:space="0"/>
              <w:left w:val="single" w:color="000000" w:sz="4" w:space="0"/>
              <w:bottom w:val="single" w:color="000000" w:sz="4" w:space="0"/>
              <w:right w:val="nil"/>
            </w:tcBorders>
            <w:noWrap w:val="0"/>
            <w:vAlign w:val="center"/>
          </w:tcPr>
          <w:p w14:paraId="0E8EEB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EF0AF8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3BB8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DCCC3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2076F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漏斗</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415FA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90mm，滤碗为夹角60°的圆锥形，管的尾端磨成约45°角</w:t>
            </w:r>
          </w:p>
        </w:tc>
        <w:tc>
          <w:tcPr>
            <w:tcW w:w="331" w:type="pct"/>
            <w:tcBorders>
              <w:top w:val="single" w:color="000000" w:sz="4" w:space="0"/>
              <w:left w:val="single" w:color="000000" w:sz="4" w:space="0"/>
              <w:bottom w:val="single" w:color="000000" w:sz="4" w:space="0"/>
              <w:right w:val="nil"/>
            </w:tcBorders>
            <w:noWrap w:val="0"/>
            <w:vAlign w:val="center"/>
          </w:tcPr>
          <w:p w14:paraId="4D67C4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2486E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0240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FA1B0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45111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三通连接管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F75B8A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Y形，Φ7mm~Φ8mm，连接完好，管口应作打磨或烧结处理</w:t>
            </w:r>
          </w:p>
        </w:tc>
        <w:tc>
          <w:tcPr>
            <w:tcW w:w="331" w:type="pct"/>
            <w:tcBorders>
              <w:top w:val="single" w:color="000000" w:sz="4" w:space="0"/>
              <w:left w:val="single" w:color="000000" w:sz="4" w:space="0"/>
              <w:bottom w:val="single" w:color="000000" w:sz="4" w:space="0"/>
              <w:right w:val="nil"/>
            </w:tcBorders>
            <w:noWrap w:val="0"/>
            <w:vAlign w:val="center"/>
          </w:tcPr>
          <w:p w14:paraId="2CDF5C4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C3912B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7C73F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71F07C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119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3D4438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滴管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F81BC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100mm，直形，滴管尖嘴口径1mm，上端有防滑脱翻口，翻口处直径比滴管直径略多1mm～2mm</w:t>
            </w:r>
          </w:p>
        </w:tc>
        <w:tc>
          <w:tcPr>
            <w:tcW w:w="331" w:type="pct"/>
            <w:tcBorders>
              <w:top w:val="single" w:color="000000" w:sz="4" w:space="0"/>
              <w:left w:val="single" w:color="000000" w:sz="4" w:space="0"/>
              <w:bottom w:val="single" w:color="000000" w:sz="4" w:space="0"/>
              <w:right w:val="nil"/>
            </w:tcBorders>
            <w:noWrap w:val="0"/>
            <w:vAlign w:val="center"/>
          </w:tcPr>
          <w:p w14:paraId="691B22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66CE92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r>
      <w:tr w14:paraId="593F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CE126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4DD8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载玻片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FFD2B1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无色透明，平整</w:t>
            </w:r>
          </w:p>
        </w:tc>
        <w:tc>
          <w:tcPr>
            <w:tcW w:w="331" w:type="pct"/>
            <w:tcBorders>
              <w:top w:val="single" w:color="000000" w:sz="4" w:space="0"/>
              <w:left w:val="single" w:color="000000" w:sz="4" w:space="0"/>
              <w:bottom w:val="single" w:color="000000" w:sz="4" w:space="0"/>
              <w:right w:val="nil"/>
            </w:tcBorders>
            <w:noWrap w:val="0"/>
            <w:vAlign w:val="center"/>
          </w:tcPr>
          <w:p w14:paraId="2DFB1A8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CBF99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2E832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63A1A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111FB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盖玻片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AA528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无色透明，平整</w:t>
            </w:r>
          </w:p>
        </w:tc>
        <w:tc>
          <w:tcPr>
            <w:tcW w:w="331" w:type="pct"/>
            <w:tcBorders>
              <w:top w:val="single" w:color="000000" w:sz="4" w:space="0"/>
              <w:left w:val="single" w:color="000000" w:sz="4" w:space="0"/>
              <w:bottom w:val="single" w:color="000000" w:sz="4" w:space="0"/>
              <w:right w:val="nil"/>
            </w:tcBorders>
            <w:noWrap w:val="0"/>
            <w:vAlign w:val="center"/>
          </w:tcPr>
          <w:p w14:paraId="79F1E6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065D1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4994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1A8F1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32BEF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酒精灯</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4BC12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150mL，透明钠钙玻璃制，无明显黄绿色；灯口应平整，瓷灯头与灯口平面间隙不应超过1.5mm；玻璃灯罩应磨口；瓷灯头应为白色，完全覆盖灯口，表面无缺陷，配置与灯口孔径相适应的整齐完整的棉线灯芯</w:t>
            </w:r>
          </w:p>
        </w:tc>
        <w:tc>
          <w:tcPr>
            <w:tcW w:w="331" w:type="pct"/>
            <w:tcBorders>
              <w:top w:val="single" w:color="000000" w:sz="4" w:space="0"/>
              <w:left w:val="single" w:color="000000" w:sz="4" w:space="0"/>
              <w:bottom w:val="single" w:color="000000" w:sz="4" w:space="0"/>
              <w:right w:val="nil"/>
            </w:tcBorders>
            <w:noWrap w:val="0"/>
            <w:vAlign w:val="center"/>
          </w:tcPr>
          <w:p w14:paraId="2268B1A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7C5A2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5C55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7E466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E45A9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离心管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6CCEF8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10mL，塑料</w:t>
            </w:r>
          </w:p>
        </w:tc>
        <w:tc>
          <w:tcPr>
            <w:tcW w:w="331" w:type="pct"/>
            <w:tcBorders>
              <w:top w:val="single" w:color="000000" w:sz="4" w:space="0"/>
              <w:left w:val="single" w:color="000000" w:sz="4" w:space="0"/>
              <w:bottom w:val="single" w:color="000000" w:sz="4" w:space="0"/>
              <w:right w:val="nil"/>
            </w:tcBorders>
            <w:noWrap w:val="0"/>
            <w:vAlign w:val="center"/>
          </w:tcPr>
          <w:p w14:paraId="711E328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348F2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0D68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4991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8C8F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0AF2A7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Φ5mm~Φ6mm，中性料，管口应为熔光，避免划伤事故</w:t>
            </w:r>
          </w:p>
        </w:tc>
        <w:tc>
          <w:tcPr>
            <w:tcW w:w="331" w:type="pct"/>
            <w:tcBorders>
              <w:top w:val="single" w:color="000000" w:sz="4" w:space="0"/>
              <w:left w:val="single" w:color="000000" w:sz="4" w:space="0"/>
              <w:bottom w:val="single" w:color="000000" w:sz="4" w:space="0"/>
              <w:right w:val="nil"/>
            </w:tcBorders>
            <w:noWrap w:val="0"/>
            <w:vAlign w:val="center"/>
          </w:tcPr>
          <w:p w14:paraId="777330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516A6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F0F3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FE9AEC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63469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玻璃弯管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F01451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Φ7mm~Φ8mm，一端长度为6cm～7cm，一端长度约20cm，形状为直角和钝角两种，管口应为熔光，避免划伤事故</w:t>
            </w:r>
          </w:p>
        </w:tc>
        <w:tc>
          <w:tcPr>
            <w:tcW w:w="331" w:type="pct"/>
            <w:tcBorders>
              <w:top w:val="single" w:color="000000" w:sz="4" w:space="0"/>
              <w:left w:val="single" w:color="000000" w:sz="4" w:space="0"/>
              <w:bottom w:val="single" w:color="000000" w:sz="4" w:space="0"/>
              <w:right w:val="nil"/>
            </w:tcBorders>
            <w:noWrap w:val="0"/>
            <w:vAlign w:val="center"/>
          </w:tcPr>
          <w:p w14:paraId="06FF3A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C38E4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0.5</w:t>
            </w:r>
          </w:p>
        </w:tc>
      </w:tr>
      <w:tr w14:paraId="50DEF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B2DD1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379959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C8B51E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Φ5mm~Φ6mm，两端应平整倒边</w:t>
            </w:r>
          </w:p>
        </w:tc>
        <w:tc>
          <w:tcPr>
            <w:tcW w:w="331" w:type="pct"/>
            <w:tcBorders>
              <w:top w:val="single" w:color="000000" w:sz="4" w:space="0"/>
              <w:left w:val="single" w:color="000000" w:sz="4" w:space="0"/>
              <w:bottom w:val="single" w:color="000000" w:sz="4" w:space="0"/>
              <w:right w:val="nil"/>
            </w:tcBorders>
            <w:noWrap w:val="0"/>
            <w:vAlign w:val="center"/>
          </w:tcPr>
          <w:p w14:paraId="09A8BA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B9C1F0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453D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B15548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A24C48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试管夹</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0BFEEB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木制或竹制，长度≥200mm，宽度20mm，厚度20mm；试管夹闭口缝≤1mm，开口距≥25mm；毡块黏结牢固，试管夹弹簧作防锈处理，试管夹持部位圆弧内径不大于15mm</w:t>
            </w:r>
          </w:p>
        </w:tc>
        <w:tc>
          <w:tcPr>
            <w:tcW w:w="331" w:type="pct"/>
            <w:tcBorders>
              <w:top w:val="single" w:color="000000" w:sz="4" w:space="0"/>
              <w:left w:val="single" w:color="000000" w:sz="4" w:space="0"/>
              <w:bottom w:val="single" w:color="000000" w:sz="4" w:space="0"/>
              <w:right w:val="nil"/>
            </w:tcBorders>
            <w:noWrap w:val="0"/>
            <w:vAlign w:val="center"/>
          </w:tcPr>
          <w:p w14:paraId="694646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7A23D6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124CC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0E723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4155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水止皮管夹</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26C6F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Φ3mm钢丝制成，作防锈处理，夹持角度不小于60º,弹性好，不漏液</w:t>
            </w:r>
          </w:p>
        </w:tc>
        <w:tc>
          <w:tcPr>
            <w:tcW w:w="331" w:type="pct"/>
            <w:tcBorders>
              <w:top w:val="single" w:color="000000" w:sz="4" w:space="0"/>
              <w:left w:val="single" w:color="000000" w:sz="4" w:space="0"/>
              <w:bottom w:val="single" w:color="000000" w:sz="4" w:space="0"/>
              <w:right w:val="nil"/>
            </w:tcBorders>
            <w:noWrap w:val="0"/>
            <w:vAlign w:val="center"/>
          </w:tcPr>
          <w:p w14:paraId="691F50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BEC83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AA92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3A82F5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129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9DA2D9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陶土网</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D5E7EF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功能等同于石棉网，尺寸不小于125mm×125mm，耐火材料为陶土</w:t>
            </w:r>
          </w:p>
        </w:tc>
        <w:tc>
          <w:tcPr>
            <w:tcW w:w="331" w:type="pct"/>
            <w:tcBorders>
              <w:top w:val="single" w:color="000000" w:sz="4" w:space="0"/>
              <w:left w:val="single" w:color="000000" w:sz="4" w:space="0"/>
              <w:bottom w:val="single" w:color="000000" w:sz="4" w:space="0"/>
              <w:right w:val="nil"/>
            </w:tcBorders>
            <w:noWrap w:val="0"/>
            <w:vAlign w:val="center"/>
          </w:tcPr>
          <w:p w14:paraId="27926BA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F5280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D748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BC15C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026D53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药匙</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0DB155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中号13.5cm，一端带小勺，材质可选金属、牛角、塑料</w:t>
            </w:r>
          </w:p>
        </w:tc>
        <w:tc>
          <w:tcPr>
            <w:tcW w:w="331" w:type="pct"/>
            <w:tcBorders>
              <w:top w:val="single" w:color="000000" w:sz="4" w:space="0"/>
              <w:left w:val="single" w:color="000000" w:sz="4" w:space="0"/>
              <w:bottom w:val="single" w:color="000000" w:sz="4" w:space="0"/>
              <w:right w:val="nil"/>
            </w:tcBorders>
            <w:noWrap w:val="0"/>
            <w:vAlign w:val="center"/>
          </w:tcPr>
          <w:p w14:paraId="65FF7B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28593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5F89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39459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87B1D9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橡胶塞</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3CCF3C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000、00、0～10号，白色，质地均匀</w:t>
            </w:r>
          </w:p>
        </w:tc>
        <w:tc>
          <w:tcPr>
            <w:tcW w:w="331" w:type="pct"/>
            <w:tcBorders>
              <w:top w:val="single" w:color="000000" w:sz="4" w:space="0"/>
              <w:left w:val="single" w:color="000000" w:sz="4" w:space="0"/>
              <w:bottom w:val="single" w:color="000000" w:sz="4" w:space="0"/>
              <w:right w:val="nil"/>
            </w:tcBorders>
            <w:noWrap w:val="0"/>
            <w:vAlign w:val="center"/>
          </w:tcPr>
          <w:p w14:paraId="068FBD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0549D4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A05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D3E09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24C767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BB625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外径9mm，内径6mm，乳白色，具有耐油、耐酸碱、耐压等特性</w:t>
            </w:r>
          </w:p>
        </w:tc>
        <w:tc>
          <w:tcPr>
            <w:tcW w:w="331" w:type="pct"/>
            <w:tcBorders>
              <w:top w:val="single" w:color="000000" w:sz="4" w:space="0"/>
              <w:left w:val="single" w:color="000000" w:sz="4" w:space="0"/>
              <w:bottom w:val="single" w:color="000000" w:sz="4" w:space="0"/>
              <w:right w:val="nil"/>
            </w:tcBorders>
            <w:noWrap w:val="0"/>
            <w:vAlign w:val="center"/>
          </w:tcPr>
          <w:p w14:paraId="1730918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kg</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3321CE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8D17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D352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92F49C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16BE6D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Φ12mm；手持部分顶端应为环状，顶部要有刷丝，铁丝不可外露</w:t>
            </w:r>
          </w:p>
        </w:tc>
        <w:tc>
          <w:tcPr>
            <w:tcW w:w="331" w:type="pct"/>
            <w:tcBorders>
              <w:top w:val="single" w:color="000000" w:sz="4" w:space="0"/>
              <w:left w:val="single" w:color="000000" w:sz="4" w:space="0"/>
              <w:bottom w:val="single" w:color="000000" w:sz="4" w:space="0"/>
              <w:right w:val="nil"/>
            </w:tcBorders>
            <w:noWrap w:val="0"/>
            <w:vAlign w:val="center"/>
          </w:tcPr>
          <w:p w14:paraId="37439C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747B82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74D5E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EF48BD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FE68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试管刷</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DC8CF2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Φ18mm；手持部分顶端应为环状，顶部要有刷丝，铁丝不可外露</w:t>
            </w:r>
          </w:p>
        </w:tc>
        <w:tc>
          <w:tcPr>
            <w:tcW w:w="331" w:type="pct"/>
            <w:tcBorders>
              <w:top w:val="single" w:color="000000" w:sz="4" w:space="0"/>
              <w:left w:val="single" w:color="000000" w:sz="4" w:space="0"/>
              <w:bottom w:val="single" w:color="000000" w:sz="4" w:space="0"/>
              <w:right w:val="nil"/>
            </w:tcBorders>
            <w:noWrap w:val="0"/>
            <w:vAlign w:val="center"/>
          </w:tcPr>
          <w:p w14:paraId="21D41B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202FF7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4EC5F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2A5241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B8B23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点滴板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218F2C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12孔穴</w:t>
            </w:r>
          </w:p>
        </w:tc>
        <w:tc>
          <w:tcPr>
            <w:tcW w:w="331" w:type="pct"/>
            <w:tcBorders>
              <w:top w:val="single" w:color="000000" w:sz="4" w:space="0"/>
              <w:left w:val="single" w:color="000000" w:sz="4" w:space="0"/>
              <w:bottom w:val="single" w:color="000000" w:sz="4" w:space="0"/>
              <w:right w:val="nil"/>
            </w:tcBorders>
            <w:noWrap w:val="0"/>
            <w:vAlign w:val="center"/>
          </w:tcPr>
          <w:p w14:paraId="595628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8D219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66055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F6DE1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46307F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研钵</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D92621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60mm，手持部分顶端应为环状，顶部要有刷丝，铁丝不可外露</w:t>
            </w:r>
          </w:p>
        </w:tc>
        <w:tc>
          <w:tcPr>
            <w:tcW w:w="331" w:type="pct"/>
            <w:tcBorders>
              <w:top w:val="single" w:color="000000" w:sz="4" w:space="0"/>
              <w:left w:val="single" w:color="000000" w:sz="4" w:space="0"/>
              <w:bottom w:val="single" w:color="000000" w:sz="4" w:space="0"/>
              <w:right w:val="nil"/>
            </w:tcBorders>
            <w:noWrap w:val="0"/>
            <w:vAlign w:val="center"/>
          </w:tcPr>
          <w:p w14:paraId="238743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1369C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r>
      <w:tr w14:paraId="4BFCB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832CEE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0DB1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血细胞计数板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06BC54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22mm×26mm，厚0.5mm</w:t>
            </w:r>
          </w:p>
        </w:tc>
        <w:tc>
          <w:tcPr>
            <w:tcW w:w="331" w:type="pct"/>
            <w:tcBorders>
              <w:top w:val="single" w:color="000000" w:sz="4" w:space="0"/>
              <w:left w:val="single" w:color="000000" w:sz="4" w:space="0"/>
              <w:bottom w:val="single" w:color="000000" w:sz="4" w:space="0"/>
              <w:right w:val="nil"/>
            </w:tcBorders>
            <w:noWrap w:val="0"/>
            <w:vAlign w:val="center"/>
          </w:tcPr>
          <w:p w14:paraId="5834E7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42178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288D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1F3A5C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2571F3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记号笔</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E8CB97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双头，油性墨水</w:t>
            </w:r>
          </w:p>
        </w:tc>
        <w:tc>
          <w:tcPr>
            <w:tcW w:w="331" w:type="pct"/>
            <w:tcBorders>
              <w:top w:val="single" w:color="000000" w:sz="4" w:space="0"/>
              <w:left w:val="single" w:color="000000" w:sz="4" w:space="0"/>
              <w:bottom w:val="single" w:color="000000" w:sz="4" w:space="0"/>
              <w:right w:val="nil"/>
            </w:tcBorders>
            <w:noWrap w:val="0"/>
            <w:vAlign w:val="center"/>
          </w:tcPr>
          <w:p w14:paraId="794BEF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EC1F7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r>
      <w:tr w14:paraId="59B5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698B05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139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87228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喷壶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2E5CE3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500mL</w:t>
            </w:r>
          </w:p>
        </w:tc>
        <w:tc>
          <w:tcPr>
            <w:tcW w:w="331" w:type="pct"/>
            <w:tcBorders>
              <w:top w:val="single" w:color="000000" w:sz="4" w:space="0"/>
              <w:left w:val="single" w:color="000000" w:sz="4" w:space="0"/>
              <w:bottom w:val="single" w:color="000000" w:sz="4" w:space="0"/>
              <w:right w:val="nil"/>
            </w:tcBorders>
            <w:noWrap w:val="0"/>
            <w:vAlign w:val="center"/>
          </w:tcPr>
          <w:p w14:paraId="6C4FACA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3493A0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7C397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5BF087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23976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透析袋</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959397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16mm</w:t>
            </w:r>
          </w:p>
        </w:tc>
        <w:tc>
          <w:tcPr>
            <w:tcW w:w="331" w:type="pct"/>
            <w:tcBorders>
              <w:top w:val="single" w:color="000000" w:sz="4" w:space="0"/>
              <w:left w:val="single" w:color="000000" w:sz="4" w:space="0"/>
              <w:bottom w:val="single" w:color="000000" w:sz="4" w:space="0"/>
              <w:right w:val="nil"/>
            </w:tcBorders>
            <w:noWrap w:val="0"/>
            <w:vAlign w:val="center"/>
          </w:tcPr>
          <w:p w14:paraId="27CE3F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卷</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F28C0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80C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49086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E231BB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毛细吸管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EF94F7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玻璃材质，50支/盒</w:t>
            </w:r>
          </w:p>
        </w:tc>
        <w:tc>
          <w:tcPr>
            <w:tcW w:w="331" w:type="pct"/>
            <w:tcBorders>
              <w:top w:val="single" w:color="000000" w:sz="4" w:space="0"/>
              <w:left w:val="single" w:color="000000" w:sz="4" w:space="0"/>
              <w:bottom w:val="single" w:color="000000" w:sz="4" w:space="0"/>
              <w:right w:val="nil"/>
            </w:tcBorders>
            <w:noWrap w:val="0"/>
            <w:vAlign w:val="center"/>
          </w:tcPr>
          <w:p w14:paraId="4CBA4F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2C111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B6D4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B481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5CE1A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5FB653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10µL，96孔</w:t>
            </w:r>
          </w:p>
        </w:tc>
        <w:tc>
          <w:tcPr>
            <w:tcW w:w="331" w:type="pct"/>
            <w:tcBorders>
              <w:top w:val="single" w:color="000000" w:sz="4" w:space="0"/>
              <w:left w:val="single" w:color="000000" w:sz="4" w:space="0"/>
              <w:bottom w:val="single" w:color="000000" w:sz="4" w:space="0"/>
              <w:right w:val="nil"/>
            </w:tcBorders>
            <w:noWrap w:val="0"/>
            <w:vAlign w:val="center"/>
          </w:tcPr>
          <w:p w14:paraId="15EFFC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152D4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7A13E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FB991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6BC1E7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C33ECA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200µL，96孔</w:t>
            </w:r>
          </w:p>
        </w:tc>
        <w:tc>
          <w:tcPr>
            <w:tcW w:w="331" w:type="pct"/>
            <w:tcBorders>
              <w:top w:val="single" w:color="000000" w:sz="4" w:space="0"/>
              <w:left w:val="single" w:color="000000" w:sz="4" w:space="0"/>
              <w:bottom w:val="single" w:color="000000" w:sz="4" w:space="0"/>
              <w:right w:val="nil"/>
            </w:tcBorders>
            <w:noWrap w:val="0"/>
            <w:vAlign w:val="center"/>
          </w:tcPr>
          <w:p w14:paraId="4B28767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C6D5A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7CFB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0156B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6A220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BB357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1000µL，60孔</w:t>
            </w:r>
          </w:p>
        </w:tc>
        <w:tc>
          <w:tcPr>
            <w:tcW w:w="331" w:type="pct"/>
            <w:tcBorders>
              <w:top w:val="single" w:color="000000" w:sz="4" w:space="0"/>
              <w:left w:val="single" w:color="000000" w:sz="4" w:space="0"/>
              <w:bottom w:val="single" w:color="000000" w:sz="4" w:space="0"/>
              <w:right w:val="nil"/>
            </w:tcBorders>
            <w:noWrap w:val="0"/>
            <w:vAlign w:val="center"/>
          </w:tcPr>
          <w:p w14:paraId="0885B5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782A3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66FD4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EB31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A6AAAE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移液器吸头盒</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2C914C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5mL，28孔</w:t>
            </w:r>
          </w:p>
        </w:tc>
        <w:tc>
          <w:tcPr>
            <w:tcW w:w="331" w:type="pct"/>
            <w:tcBorders>
              <w:top w:val="single" w:color="000000" w:sz="4" w:space="0"/>
              <w:left w:val="single" w:color="000000" w:sz="4" w:space="0"/>
              <w:bottom w:val="single" w:color="000000" w:sz="4" w:space="0"/>
              <w:right w:val="nil"/>
            </w:tcBorders>
            <w:noWrap w:val="0"/>
            <w:vAlign w:val="center"/>
          </w:tcPr>
          <w:p w14:paraId="4F85960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91F07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4A4C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F066F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288C5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9DB51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10µL</w:t>
            </w:r>
          </w:p>
        </w:tc>
        <w:tc>
          <w:tcPr>
            <w:tcW w:w="331" w:type="pct"/>
            <w:tcBorders>
              <w:top w:val="single" w:color="000000" w:sz="4" w:space="0"/>
              <w:left w:val="single" w:color="000000" w:sz="4" w:space="0"/>
              <w:bottom w:val="single" w:color="000000" w:sz="4" w:space="0"/>
              <w:right w:val="nil"/>
            </w:tcBorders>
            <w:noWrap w:val="0"/>
            <w:vAlign w:val="center"/>
          </w:tcPr>
          <w:p w14:paraId="3675E0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174C34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53B37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1A8833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05545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723EEA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200µL</w:t>
            </w:r>
          </w:p>
        </w:tc>
        <w:tc>
          <w:tcPr>
            <w:tcW w:w="331" w:type="pct"/>
            <w:tcBorders>
              <w:top w:val="single" w:color="000000" w:sz="4" w:space="0"/>
              <w:left w:val="single" w:color="000000" w:sz="4" w:space="0"/>
              <w:bottom w:val="single" w:color="000000" w:sz="4" w:space="0"/>
              <w:right w:val="nil"/>
            </w:tcBorders>
            <w:noWrap w:val="0"/>
            <w:vAlign w:val="center"/>
          </w:tcPr>
          <w:p w14:paraId="6A9B9D5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A308B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2F4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945C04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FC4761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1E80CE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1000µL</w:t>
            </w:r>
          </w:p>
        </w:tc>
        <w:tc>
          <w:tcPr>
            <w:tcW w:w="331" w:type="pct"/>
            <w:tcBorders>
              <w:top w:val="single" w:color="000000" w:sz="4" w:space="0"/>
              <w:left w:val="single" w:color="000000" w:sz="4" w:space="0"/>
              <w:bottom w:val="single" w:color="000000" w:sz="4" w:space="0"/>
              <w:right w:val="nil"/>
            </w:tcBorders>
            <w:noWrap w:val="0"/>
            <w:vAlign w:val="center"/>
          </w:tcPr>
          <w:p w14:paraId="63EA76B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AFBC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4E7C8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78129C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149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9EBA1B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移液器吸头</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64D4CB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5mL</w:t>
            </w:r>
          </w:p>
        </w:tc>
        <w:tc>
          <w:tcPr>
            <w:tcW w:w="331" w:type="pct"/>
            <w:tcBorders>
              <w:top w:val="single" w:color="000000" w:sz="4" w:space="0"/>
              <w:left w:val="single" w:color="000000" w:sz="4" w:space="0"/>
              <w:bottom w:val="single" w:color="000000" w:sz="4" w:space="0"/>
              <w:right w:val="nil"/>
            </w:tcBorders>
            <w:noWrap w:val="0"/>
            <w:vAlign w:val="center"/>
          </w:tcPr>
          <w:p w14:paraId="191CCE4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包</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A0E94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1341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B0E03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78805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塑料多用滴管</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586B42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4mL</w:t>
            </w:r>
          </w:p>
        </w:tc>
        <w:tc>
          <w:tcPr>
            <w:tcW w:w="331" w:type="pct"/>
            <w:tcBorders>
              <w:top w:val="single" w:color="000000" w:sz="4" w:space="0"/>
              <w:left w:val="single" w:color="000000" w:sz="4" w:space="0"/>
              <w:bottom w:val="single" w:color="000000" w:sz="4" w:space="0"/>
              <w:right w:val="nil"/>
            </w:tcBorders>
            <w:noWrap w:val="0"/>
            <w:vAlign w:val="center"/>
          </w:tcPr>
          <w:p w14:paraId="083A43E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9A77AF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r>
      <w:tr w14:paraId="499CD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C2BBC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60C59E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定性滤纸</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CFACD7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快速，9cm</w:t>
            </w:r>
          </w:p>
        </w:tc>
        <w:tc>
          <w:tcPr>
            <w:tcW w:w="331" w:type="pct"/>
            <w:tcBorders>
              <w:top w:val="single" w:color="000000" w:sz="4" w:space="0"/>
              <w:left w:val="single" w:color="000000" w:sz="4" w:space="0"/>
              <w:bottom w:val="single" w:color="000000" w:sz="4" w:space="0"/>
              <w:right w:val="nil"/>
            </w:tcBorders>
            <w:noWrap w:val="0"/>
            <w:vAlign w:val="center"/>
          </w:tcPr>
          <w:p w14:paraId="61108E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3FD8B3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r>
      <w:tr w14:paraId="690C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73D6A2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272F4B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吸虫器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8B8D9C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小，储虫瓶40mm×100mm，带有吸虫管和吸气管</w:t>
            </w:r>
          </w:p>
        </w:tc>
        <w:tc>
          <w:tcPr>
            <w:tcW w:w="331" w:type="pct"/>
            <w:tcBorders>
              <w:top w:val="single" w:color="000000" w:sz="4" w:space="0"/>
              <w:left w:val="single" w:color="000000" w:sz="4" w:space="0"/>
              <w:bottom w:val="single" w:color="000000" w:sz="4" w:space="0"/>
              <w:right w:val="nil"/>
            </w:tcBorders>
            <w:noWrap w:val="0"/>
            <w:vAlign w:val="center"/>
          </w:tcPr>
          <w:p w14:paraId="48B9ACA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件</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C1231D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9339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9A45B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03CFF3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玻璃三角刮刀</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9A5AD9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涂布器</w:t>
            </w:r>
          </w:p>
        </w:tc>
        <w:tc>
          <w:tcPr>
            <w:tcW w:w="331" w:type="pct"/>
            <w:tcBorders>
              <w:top w:val="single" w:color="000000" w:sz="4" w:space="0"/>
              <w:left w:val="single" w:color="000000" w:sz="4" w:space="0"/>
              <w:bottom w:val="single" w:color="000000" w:sz="4" w:space="0"/>
              <w:right w:val="nil"/>
            </w:tcBorders>
            <w:noWrap w:val="0"/>
            <w:vAlign w:val="center"/>
          </w:tcPr>
          <w:p w14:paraId="3760305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13A46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r>
      <w:tr w14:paraId="3A6B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E2824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E57277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打孔器</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135681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齿口式，材质为不锈钢管、钢管或黄铜管，每组不少于4支，外径分别为5.0mm、6.5mm、8.0mm、9.5mm，并配一支带柄金属通扦</w:t>
            </w:r>
          </w:p>
        </w:tc>
        <w:tc>
          <w:tcPr>
            <w:tcW w:w="331" w:type="pct"/>
            <w:tcBorders>
              <w:top w:val="single" w:color="000000" w:sz="4" w:space="0"/>
              <w:left w:val="single" w:color="000000" w:sz="4" w:space="0"/>
              <w:bottom w:val="single" w:color="000000" w:sz="4" w:space="0"/>
              <w:right w:val="nil"/>
            </w:tcBorders>
            <w:noWrap w:val="0"/>
            <w:vAlign w:val="center"/>
          </w:tcPr>
          <w:p w14:paraId="70240C1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07A296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00738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93D28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35EBA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打孔夹板</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BDCF7B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硬木或硬塑料制，有大小不同的锥形孔</w:t>
            </w:r>
          </w:p>
        </w:tc>
        <w:tc>
          <w:tcPr>
            <w:tcW w:w="331" w:type="pct"/>
            <w:tcBorders>
              <w:top w:val="single" w:color="000000" w:sz="4" w:space="0"/>
              <w:left w:val="single" w:color="000000" w:sz="4" w:space="0"/>
              <w:bottom w:val="single" w:color="000000" w:sz="4" w:space="0"/>
              <w:right w:val="nil"/>
            </w:tcBorders>
            <w:noWrap w:val="0"/>
            <w:vAlign w:val="center"/>
          </w:tcPr>
          <w:p w14:paraId="390B7B4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B4F7C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6A0A0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D8ADF0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F7799D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仪器车</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81F24E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600mm×400mm×800mm，不锈钢材质，至少两层，各层带可拆卸护栏，总载重≥60kg</w:t>
            </w:r>
          </w:p>
        </w:tc>
        <w:tc>
          <w:tcPr>
            <w:tcW w:w="331" w:type="pct"/>
            <w:tcBorders>
              <w:top w:val="single" w:color="000000" w:sz="4" w:space="0"/>
              <w:left w:val="single" w:color="000000" w:sz="4" w:space="0"/>
              <w:bottom w:val="single" w:color="000000" w:sz="4" w:space="0"/>
              <w:right w:val="nil"/>
            </w:tcBorders>
            <w:noWrap w:val="0"/>
            <w:vAlign w:val="center"/>
          </w:tcPr>
          <w:p w14:paraId="10FE1E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辆</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2E0C0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2CADC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3BF3F6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F35C7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整理箱</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D846DD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矮型，储存及分发试剂用</w:t>
            </w:r>
          </w:p>
        </w:tc>
        <w:tc>
          <w:tcPr>
            <w:tcW w:w="331" w:type="pct"/>
            <w:tcBorders>
              <w:top w:val="single" w:color="000000" w:sz="4" w:space="0"/>
              <w:left w:val="single" w:color="000000" w:sz="4" w:space="0"/>
              <w:bottom w:val="single" w:color="000000" w:sz="4" w:space="0"/>
              <w:right w:val="nil"/>
            </w:tcBorders>
            <w:noWrap w:val="0"/>
            <w:vAlign w:val="center"/>
          </w:tcPr>
          <w:p w14:paraId="5B1FBB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42960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r>
      <w:tr w14:paraId="4A22B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EA707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50486A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托盘</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35B1EF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搪瓷材质</w:t>
            </w:r>
          </w:p>
        </w:tc>
        <w:tc>
          <w:tcPr>
            <w:tcW w:w="331" w:type="pct"/>
            <w:tcBorders>
              <w:top w:val="single" w:color="000000" w:sz="4" w:space="0"/>
              <w:left w:val="single" w:color="000000" w:sz="4" w:space="0"/>
              <w:bottom w:val="single" w:color="000000" w:sz="4" w:space="0"/>
              <w:right w:val="nil"/>
            </w:tcBorders>
            <w:noWrap w:val="0"/>
            <w:vAlign w:val="center"/>
          </w:tcPr>
          <w:p w14:paraId="7BFED06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4F0461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19C7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16885D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159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EF7D5B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实验用品提篮</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C514A0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采用工程聚丙烯塑料注塑成形。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1.外形尺寸：≥490mm×350mm×160mm，壁厚≥2mm。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2.提手采用壁厚≥1mm，长≥20mm，宽≥10mm的钢管加工成矩形，两角内圆弧直径≥50mm，表面磷化喷塑。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3.四周及底面有加强筋。产品应美观、耐用。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4.产品自800mm高度处自由下落于水泥地面后无破损。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5.产品整体质量应符合JY0001《教学仪器一般质量要求》的有关规定及招标文件的相关规定。</w:t>
            </w:r>
          </w:p>
        </w:tc>
        <w:tc>
          <w:tcPr>
            <w:tcW w:w="331" w:type="pct"/>
            <w:tcBorders>
              <w:top w:val="single" w:color="000000" w:sz="4" w:space="0"/>
              <w:left w:val="single" w:color="000000" w:sz="4" w:space="0"/>
              <w:bottom w:val="single" w:color="000000" w:sz="4" w:space="0"/>
              <w:right w:val="nil"/>
            </w:tcBorders>
            <w:noWrap w:val="0"/>
            <w:vAlign w:val="center"/>
          </w:tcPr>
          <w:p w14:paraId="4C91C54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E130A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3B04C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D531A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65A34A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2C40DC0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蚕豆叶下表皮装片</w:t>
            </w:r>
          </w:p>
        </w:tc>
        <w:tc>
          <w:tcPr>
            <w:tcW w:w="331" w:type="pct"/>
            <w:tcBorders>
              <w:top w:val="single" w:color="000000" w:sz="4" w:space="0"/>
              <w:left w:val="single" w:color="000000" w:sz="4" w:space="0"/>
              <w:bottom w:val="single" w:color="000000" w:sz="4" w:space="0"/>
              <w:right w:val="nil"/>
            </w:tcBorders>
            <w:noWrap w:val="0"/>
            <w:vAlign w:val="center"/>
          </w:tcPr>
          <w:p w14:paraId="62831EE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28F0AA5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1A57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746E2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D22F6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B96978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胞间连丝切片</w:t>
            </w:r>
          </w:p>
        </w:tc>
        <w:tc>
          <w:tcPr>
            <w:tcW w:w="331" w:type="pct"/>
            <w:tcBorders>
              <w:top w:val="single" w:color="000000" w:sz="4" w:space="0"/>
              <w:left w:val="single" w:color="000000" w:sz="4" w:space="0"/>
              <w:bottom w:val="single" w:color="000000" w:sz="4" w:space="0"/>
              <w:right w:val="nil"/>
            </w:tcBorders>
            <w:noWrap w:val="0"/>
            <w:vAlign w:val="center"/>
          </w:tcPr>
          <w:p w14:paraId="31C3748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F177B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366B7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B5A91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F7F0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228B521">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迎春叶横切</w:t>
            </w:r>
          </w:p>
        </w:tc>
        <w:tc>
          <w:tcPr>
            <w:tcW w:w="331" w:type="pct"/>
            <w:tcBorders>
              <w:top w:val="single" w:color="000000" w:sz="4" w:space="0"/>
              <w:left w:val="single" w:color="000000" w:sz="4" w:space="0"/>
              <w:bottom w:val="single" w:color="000000" w:sz="4" w:space="0"/>
              <w:right w:val="nil"/>
            </w:tcBorders>
            <w:noWrap w:val="0"/>
            <w:vAlign w:val="center"/>
          </w:tcPr>
          <w:p w14:paraId="03B7747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E78F90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54A7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3325B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7E095A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42490C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黑藻叶装片</w:t>
            </w:r>
          </w:p>
        </w:tc>
        <w:tc>
          <w:tcPr>
            <w:tcW w:w="331" w:type="pct"/>
            <w:tcBorders>
              <w:top w:val="single" w:color="000000" w:sz="4" w:space="0"/>
              <w:left w:val="single" w:color="000000" w:sz="4" w:space="0"/>
              <w:bottom w:val="single" w:color="000000" w:sz="4" w:space="0"/>
              <w:right w:val="nil"/>
            </w:tcBorders>
            <w:noWrap w:val="0"/>
            <w:vAlign w:val="center"/>
          </w:tcPr>
          <w:p w14:paraId="4B264EF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9A93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3CD41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FCE29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B5616A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FF2B16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线粒体切片</w:t>
            </w:r>
          </w:p>
        </w:tc>
        <w:tc>
          <w:tcPr>
            <w:tcW w:w="331" w:type="pct"/>
            <w:tcBorders>
              <w:top w:val="single" w:color="000000" w:sz="4" w:space="0"/>
              <w:left w:val="single" w:color="000000" w:sz="4" w:space="0"/>
              <w:bottom w:val="single" w:color="000000" w:sz="4" w:space="0"/>
              <w:right w:val="nil"/>
            </w:tcBorders>
            <w:noWrap w:val="0"/>
            <w:vAlign w:val="center"/>
          </w:tcPr>
          <w:p w14:paraId="48B27B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88AB8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A746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AFBB6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708AB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1B5240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酵母菌装片</w:t>
            </w:r>
          </w:p>
        </w:tc>
        <w:tc>
          <w:tcPr>
            <w:tcW w:w="331" w:type="pct"/>
            <w:tcBorders>
              <w:top w:val="single" w:color="000000" w:sz="4" w:space="0"/>
              <w:left w:val="single" w:color="000000" w:sz="4" w:space="0"/>
              <w:bottom w:val="single" w:color="000000" w:sz="4" w:space="0"/>
              <w:right w:val="nil"/>
            </w:tcBorders>
            <w:noWrap w:val="0"/>
            <w:vAlign w:val="center"/>
          </w:tcPr>
          <w:p w14:paraId="70FCFD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43C489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944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436ED7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59FF05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BE0A7A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水绵装片</w:t>
            </w:r>
          </w:p>
        </w:tc>
        <w:tc>
          <w:tcPr>
            <w:tcW w:w="331" w:type="pct"/>
            <w:tcBorders>
              <w:top w:val="single" w:color="000000" w:sz="4" w:space="0"/>
              <w:left w:val="single" w:color="000000" w:sz="4" w:space="0"/>
              <w:bottom w:val="single" w:color="000000" w:sz="4" w:space="0"/>
              <w:right w:val="nil"/>
            </w:tcBorders>
            <w:noWrap w:val="0"/>
            <w:vAlign w:val="center"/>
          </w:tcPr>
          <w:p w14:paraId="4E4E51C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51DD00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056BA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CBD43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BB01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615978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大肠杆菌涂片</w:t>
            </w:r>
          </w:p>
        </w:tc>
        <w:tc>
          <w:tcPr>
            <w:tcW w:w="331" w:type="pct"/>
            <w:tcBorders>
              <w:top w:val="single" w:color="000000" w:sz="4" w:space="0"/>
              <w:left w:val="single" w:color="000000" w:sz="4" w:space="0"/>
              <w:bottom w:val="single" w:color="000000" w:sz="4" w:space="0"/>
              <w:right w:val="nil"/>
            </w:tcBorders>
            <w:noWrap w:val="0"/>
            <w:vAlign w:val="center"/>
          </w:tcPr>
          <w:p w14:paraId="7DAF676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D3760A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3F110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022104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96860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A9A23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细菌三型涂片</w:t>
            </w:r>
          </w:p>
        </w:tc>
        <w:tc>
          <w:tcPr>
            <w:tcW w:w="331" w:type="pct"/>
            <w:tcBorders>
              <w:top w:val="single" w:color="000000" w:sz="4" w:space="0"/>
              <w:left w:val="single" w:color="000000" w:sz="4" w:space="0"/>
              <w:bottom w:val="single" w:color="000000" w:sz="4" w:space="0"/>
              <w:right w:val="nil"/>
            </w:tcBorders>
            <w:noWrap w:val="0"/>
            <w:vAlign w:val="center"/>
          </w:tcPr>
          <w:p w14:paraId="10A053E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6B8DDE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6490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66EEB9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169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EB7890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54D5F2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草履虫分裂生殖装片</w:t>
            </w:r>
          </w:p>
        </w:tc>
        <w:tc>
          <w:tcPr>
            <w:tcW w:w="331" w:type="pct"/>
            <w:tcBorders>
              <w:top w:val="single" w:color="000000" w:sz="4" w:space="0"/>
              <w:left w:val="single" w:color="000000" w:sz="4" w:space="0"/>
              <w:bottom w:val="single" w:color="000000" w:sz="4" w:space="0"/>
              <w:right w:val="nil"/>
            </w:tcBorders>
            <w:noWrap w:val="0"/>
            <w:vAlign w:val="center"/>
          </w:tcPr>
          <w:p w14:paraId="321E0BB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B0A8E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5955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62EAE46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9606A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1F9113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人血涂片</w:t>
            </w:r>
          </w:p>
        </w:tc>
        <w:tc>
          <w:tcPr>
            <w:tcW w:w="331" w:type="pct"/>
            <w:tcBorders>
              <w:top w:val="single" w:color="000000" w:sz="4" w:space="0"/>
              <w:left w:val="single" w:color="000000" w:sz="4" w:space="0"/>
              <w:bottom w:val="single" w:color="000000" w:sz="4" w:space="0"/>
              <w:right w:val="nil"/>
            </w:tcBorders>
            <w:noWrap w:val="0"/>
            <w:vAlign w:val="center"/>
          </w:tcPr>
          <w:p w14:paraId="4C71AD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FF8F2A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1FA3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0957055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1194F5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037B7E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蛙血涂片</w:t>
            </w:r>
          </w:p>
        </w:tc>
        <w:tc>
          <w:tcPr>
            <w:tcW w:w="331" w:type="pct"/>
            <w:tcBorders>
              <w:top w:val="single" w:color="000000" w:sz="4" w:space="0"/>
              <w:left w:val="single" w:color="000000" w:sz="4" w:space="0"/>
              <w:bottom w:val="single" w:color="000000" w:sz="4" w:space="0"/>
              <w:right w:val="nil"/>
            </w:tcBorders>
            <w:noWrap w:val="0"/>
            <w:vAlign w:val="center"/>
          </w:tcPr>
          <w:p w14:paraId="7E7096E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7A7B83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D067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8FC27A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9C56A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01E01E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动物上皮细胞装片</w:t>
            </w:r>
          </w:p>
        </w:tc>
        <w:tc>
          <w:tcPr>
            <w:tcW w:w="331" w:type="pct"/>
            <w:tcBorders>
              <w:top w:val="single" w:color="000000" w:sz="4" w:space="0"/>
              <w:left w:val="single" w:color="000000" w:sz="4" w:space="0"/>
              <w:bottom w:val="single" w:color="000000" w:sz="4" w:space="0"/>
              <w:right w:val="nil"/>
            </w:tcBorders>
            <w:noWrap w:val="0"/>
            <w:vAlign w:val="center"/>
          </w:tcPr>
          <w:p w14:paraId="7FC2BA0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14C2A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0DD4D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71ECA3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E552D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1FAEA1B2">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骨骼肌纵横切</w:t>
            </w:r>
          </w:p>
        </w:tc>
        <w:tc>
          <w:tcPr>
            <w:tcW w:w="331" w:type="pct"/>
            <w:tcBorders>
              <w:top w:val="single" w:color="000000" w:sz="4" w:space="0"/>
              <w:left w:val="single" w:color="000000" w:sz="4" w:space="0"/>
              <w:bottom w:val="single" w:color="000000" w:sz="4" w:space="0"/>
              <w:right w:val="nil"/>
            </w:tcBorders>
            <w:noWrap w:val="0"/>
            <w:vAlign w:val="center"/>
          </w:tcPr>
          <w:p w14:paraId="56A7E7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1BC8C0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992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642601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F22262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296E68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平滑肌分离装片</w:t>
            </w:r>
          </w:p>
        </w:tc>
        <w:tc>
          <w:tcPr>
            <w:tcW w:w="331" w:type="pct"/>
            <w:tcBorders>
              <w:top w:val="single" w:color="000000" w:sz="4" w:space="0"/>
              <w:left w:val="single" w:color="000000" w:sz="4" w:space="0"/>
              <w:bottom w:val="single" w:color="000000" w:sz="4" w:space="0"/>
              <w:right w:val="nil"/>
            </w:tcBorders>
            <w:noWrap w:val="0"/>
            <w:vAlign w:val="center"/>
          </w:tcPr>
          <w:p w14:paraId="3095F74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647E4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7B53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5A64BF9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CD084D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7794C87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心肌切片</w:t>
            </w:r>
          </w:p>
        </w:tc>
        <w:tc>
          <w:tcPr>
            <w:tcW w:w="331" w:type="pct"/>
            <w:tcBorders>
              <w:top w:val="single" w:color="000000" w:sz="4" w:space="0"/>
              <w:left w:val="single" w:color="000000" w:sz="4" w:space="0"/>
              <w:bottom w:val="single" w:color="000000" w:sz="4" w:space="0"/>
              <w:right w:val="nil"/>
            </w:tcBorders>
            <w:noWrap w:val="0"/>
            <w:vAlign w:val="center"/>
          </w:tcPr>
          <w:p w14:paraId="4EC7605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0A9B14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4725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833C4D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0B0E03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023CDE2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运动神经元装片</w:t>
            </w:r>
          </w:p>
        </w:tc>
        <w:tc>
          <w:tcPr>
            <w:tcW w:w="331" w:type="pct"/>
            <w:tcBorders>
              <w:top w:val="single" w:color="000000" w:sz="4" w:space="0"/>
              <w:left w:val="single" w:color="000000" w:sz="4" w:space="0"/>
              <w:bottom w:val="single" w:color="000000" w:sz="4" w:space="0"/>
              <w:right w:val="nil"/>
            </w:tcBorders>
            <w:noWrap w:val="0"/>
            <w:vAlign w:val="center"/>
          </w:tcPr>
          <w:p w14:paraId="6B3B034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294679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E13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CF7803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2B5EA8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层析瓶</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73DC45C">
            <w:pPr>
              <w:jc w:val="left"/>
              <w:rPr>
                <w:rFonts w:hint="eastAsia" w:ascii="仿宋" w:hAnsi="仿宋" w:eastAsia="仿宋" w:cs="仿宋"/>
                <w:i w:val="0"/>
                <w:iCs w:val="0"/>
                <w:color w:val="000000"/>
                <w:sz w:val="21"/>
                <w:szCs w:val="21"/>
                <w:highlight w:val="none"/>
                <w:u w:val="none"/>
              </w:rPr>
            </w:pPr>
          </w:p>
        </w:tc>
        <w:tc>
          <w:tcPr>
            <w:tcW w:w="331" w:type="pct"/>
            <w:tcBorders>
              <w:top w:val="single" w:color="000000" w:sz="4" w:space="0"/>
              <w:left w:val="single" w:color="000000" w:sz="4" w:space="0"/>
              <w:bottom w:val="single" w:color="000000" w:sz="4" w:space="0"/>
              <w:right w:val="nil"/>
            </w:tcBorders>
            <w:noWrap w:val="0"/>
            <w:vAlign w:val="center"/>
          </w:tcPr>
          <w:p w14:paraId="790AF26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88FBF4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r>
      <w:tr w14:paraId="03B2B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B8BAC2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9A13C2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407400AB">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动物细胞有丝分裂切片（马蛔虫受精卵切片）</w:t>
            </w:r>
          </w:p>
        </w:tc>
        <w:tc>
          <w:tcPr>
            <w:tcW w:w="331" w:type="pct"/>
            <w:tcBorders>
              <w:top w:val="single" w:color="000000" w:sz="4" w:space="0"/>
              <w:left w:val="single" w:color="000000" w:sz="4" w:space="0"/>
              <w:bottom w:val="single" w:color="000000" w:sz="4" w:space="0"/>
              <w:right w:val="nil"/>
            </w:tcBorders>
            <w:noWrap w:val="0"/>
            <w:vAlign w:val="center"/>
          </w:tcPr>
          <w:p w14:paraId="6398426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0A2B96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2991F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2658C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179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693A0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430133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植物细胞有丝分裂切片</w:t>
            </w:r>
          </w:p>
        </w:tc>
        <w:tc>
          <w:tcPr>
            <w:tcW w:w="331" w:type="pct"/>
            <w:tcBorders>
              <w:top w:val="single" w:color="000000" w:sz="4" w:space="0"/>
              <w:left w:val="single" w:color="000000" w:sz="4" w:space="0"/>
              <w:bottom w:val="single" w:color="000000" w:sz="4" w:space="0"/>
              <w:right w:val="nil"/>
            </w:tcBorders>
            <w:noWrap w:val="0"/>
            <w:vAlign w:val="center"/>
          </w:tcPr>
          <w:p w14:paraId="5941D5D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11889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10E4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1619A0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49EF0B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4A03FD8">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蝗虫精巢减数分裂切片</w:t>
            </w:r>
          </w:p>
        </w:tc>
        <w:tc>
          <w:tcPr>
            <w:tcW w:w="331" w:type="pct"/>
            <w:tcBorders>
              <w:top w:val="single" w:color="000000" w:sz="4" w:space="0"/>
              <w:left w:val="single" w:color="000000" w:sz="4" w:space="0"/>
              <w:bottom w:val="single" w:color="000000" w:sz="4" w:space="0"/>
              <w:right w:val="nil"/>
            </w:tcBorders>
            <w:noWrap w:val="0"/>
            <w:vAlign w:val="center"/>
          </w:tcPr>
          <w:p w14:paraId="027277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77A6D15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3A4D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760AD5F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0D38C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31586A1F">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植物花粉减数分裂装片</w:t>
            </w:r>
          </w:p>
        </w:tc>
        <w:tc>
          <w:tcPr>
            <w:tcW w:w="331" w:type="pct"/>
            <w:tcBorders>
              <w:top w:val="single" w:color="000000" w:sz="4" w:space="0"/>
              <w:left w:val="single" w:color="000000" w:sz="4" w:space="0"/>
              <w:bottom w:val="single" w:color="000000" w:sz="4" w:space="0"/>
              <w:right w:val="nil"/>
            </w:tcBorders>
            <w:noWrap w:val="0"/>
            <w:vAlign w:val="center"/>
          </w:tcPr>
          <w:p w14:paraId="30876C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08B72ED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B8B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3F5DF32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8C9466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生物玻片</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FC97F2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正常人染色体装片</w:t>
            </w:r>
          </w:p>
        </w:tc>
        <w:tc>
          <w:tcPr>
            <w:tcW w:w="331" w:type="pct"/>
            <w:tcBorders>
              <w:top w:val="single" w:color="000000" w:sz="4" w:space="0"/>
              <w:left w:val="single" w:color="000000" w:sz="4" w:space="0"/>
              <w:bottom w:val="single" w:color="000000" w:sz="4" w:space="0"/>
              <w:right w:val="nil"/>
            </w:tcBorders>
            <w:noWrap w:val="0"/>
            <w:vAlign w:val="center"/>
          </w:tcPr>
          <w:p w14:paraId="734162E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片</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34C0FE4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r>
      <w:tr w14:paraId="61F65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25BA56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4F67E6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生物分类图鉴资料</w:t>
            </w:r>
          </w:p>
        </w:tc>
        <w:tc>
          <w:tcPr>
            <w:tcW w:w="3502" w:type="pct"/>
            <w:tcBorders>
              <w:top w:val="single" w:color="000000" w:sz="4" w:space="0"/>
              <w:left w:val="single" w:color="000000" w:sz="4" w:space="0"/>
              <w:bottom w:val="single" w:color="000000" w:sz="4" w:space="0"/>
              <w:right w:val="single" w:color="000000" w:sz="4" w:space="0"/>
            </w:tcBorders>
            <w:noWrap w:val="0"/>
            <w:vAlign w:val="center"/>
          </w:tcPr>
          <w:p w14:paraId="7D778A8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植物图鉴、土壤动物图鉴、昆虫图鉴、鸟类图鉴等</w:t>
            </w:r>
          </w:p>
        </w:tc>
        <w:tc>
          <w:tcPr>
            <w:tcW w:w="331" w:type="pct"/>
            <w:tcBorders>
              <w:top w:val="single" w:color="000000" w:sz="4" w:space="0"/>
              <w:left w:val="single" w:color="000000" w:sz="4" w:space="0"/>
              <w:bottom w:val="single" w:color="000000" w:sz="4" w:space="0"/>
              <w:right w:val="nil"/>
            </w:tcBorders>
            <w:noWrap w:val="0"/>
            <w:vAlign w:val="center"/>
          </w:tcPr>
          <w:p w14:paraId="49F0B37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5431E33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42B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41C290C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48F8CFE">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植物分类图谱</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5963144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图片内容包含但不限于：植物分类方法；藻类植物、苔藓植物、蕨类植物、种子植物；植物的一生、植物的根茎和叶、植物的花、果实和种子；植物和人类的关系；保护植物的方法等</w:t>
            </w:r>
          </w:p>
        </w:tc>
        <w:tc>
          <w:tcPr>
            <w:tcW w:w="331" w:type="pct"/>
            <w:tcBorders>
              <w:top w:val="single" w:color="000000" w:sz="4" w:space="0"/>
              <w:left w:val="single" w:color="000000" w:sz="4" w:space="0"/>
              <w:bottom w:val="single" w:color="000000" w:sz="4" w:space="0"/>
              <w:right w:val="nil"/>
            </w:tcBorders>
            <w:noWrap w:val="0"/>
            <w:vAlign w:val="center"/>
          </w:tcPr>
          <w:p w14:paraId="5C907BC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F0915D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r w14:paraId="31B9D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41" w:type="dxa"/>
            <w:tcBorders>
              <w:top w:val="single" w:color="000000" w:sz="4" w:space="0"/>
              <w:left w:val="single" w:color="000000" w:sz="4" w:space="0"/>
              <w:bottom w:val="single" w:color="000000" w:sz="4" w:space="0"/>
              <w:right w:val="single" w:color="000000" w:sz="4" w:space="0"/>
            </w:tcBorders>
            <w:noWrap w:val="0"/>
            <w:vAlign w:val="center"/>
          </w:tcPr>
          <w:p w14:paraId="1D0C5F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lang w:val="en-US" w:eastAsia="zh-CN" w:bidi="ar"/>
              </w:rPr>
              <w:t>185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9D289ED">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动物分类图谱</w:t>
            </w:r>
          </w:p>
        </w:tc>
        <w:tc>
          <w:tcPr>
            <w:tcW w:w="6711" w:type="dxa"/>
            <w:tcBorders>
              <w:top w:val="single" w:color="000000" w:sz="4" w:space="0"/>
              <w:left w:val="single" w:color="000000" w:sz="4" w:space="0"/>
              <w:bottom w:val="single" w:color="000000" w:sz="4" w:space="0"/>
              <w:right w:val="single" w:color="000000" w:sz="4" w:space="0"/>
            </w:tcBorders>
            <w:noWrap w:val="0"/>
            <w:vAlign w:val="center"/>
          </w:tcPr>
          <w:p w14:paraId="671DBAE0">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图片内容包含但不限于：无脊椎动物、脊椎动物、动物的繁殖和成长历程、动物怎样捕食、动物的运动、动物怎样保护自己、动物与人类生活的关系、保护动物等</w:t>
            </w:r>
          </w:p>
        </w:tc>
        <w:tc>
          <w:tcPr>
            <w:tcW w:w="331" w:type="pct"/>
            <w:tcBorders>
              <w:top w:val="single" w:color="000000" w:sz="4" w:space="0"/>
              <w:left w:val="single" w:color="000000" w:sz="4" w:space="0"/>
              <w:bottom w:val="single" w:color="000000" w:sz="4" w:space="0"/>
              <w:right w:val="nil"/>
            </w:tcBorders>
            <w:noWrap w:val="0"/>
            <w:vAlign w:val="center"/>
          </w:tcPr>
          <w:p w14:paraId="420793F3">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w:t>
            </w:r>
          </w:p>
        </w:tc>
        <w:tc>
          <w:tcPr>
            <w:tcW w:w="340" w:type="pct"/>
            <w:tcBorders>
              <w:top w:val="single" w:color="000000" w:sz="4" w:space="0"/>
              <w:left w:val="single" w:color="000000" w:sz="4" w:space="0"/>
              <w:bottom w:val="single" w:color="000000" w:sz="4" w:space="0"/>
              <w:right w:val="single" w:color="000000" w:sz="4" w:space="0"/>
            </w:tcBorders>
            <w:noWrap w:val="0"/>
            <w:vAlign w:val="center"/>
          </w:tcPr>
          <w:p w14:paraId="160DEFD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r>
    </w:tbl>
    <w:p w14:paraId="43E2728E">
      <w:pPr>
        <w:widowControl/>
        <w:spacing w:before="240" w:after="60" w:line="360" w:lineRule="auto"/>
        <w:jc w:val="both"/>
        <w:outlineLvl w:val="9"/>
        <w:rPr>
          <w:rFonts w:hint="default" w:ascii="仿宋" w:hAnsi="仿宋" w:eastAsia="仿宋" w:cs="宋体"/>
          <w:b/>
          <w:bCs/>
          <w:sz w:val="32"/>
          <w:szCs w:val="32"/>
          <w:highlight w:val="none"/>
          <w:lang w:val="en-US" w:eastAsia="zh-CN"/>
        </w:rPr>
      </w:pPr>
      <w:r>
        <w:rPr>
          <w:rFonts w:hint="eastAsia" w:ascii="仿宋" w:hAnsi="仿宋" w:eastAsia="仿宋" w:cs="仿宋"/>
          <w:b/>
          <w:bCs/>
          <w:sz w:val="24"/>
          <w:szCs w:val="24"/>
          <w:highlight w:val="none"/>
          <w:lang w:val="en-US" w:eastAsia="zh-CN"/>
        </w:rPr>
        <w:t>注：采购清单中加“▲”的参数，如果为同一产品的，可无需重复提供检测报告，只提供一次即可。</w:t>
      </w:r>
    </w:p>
    <w:p w14:paraId="0766CF6B">
      <w:pPr>
        <w:pStyle w:val="40"/>
        <w:rPr>
          <w:rFonts w:hint="default" w:ascii="仿宋" w:hAnsi="仿宋" w:eastAsia="仿宋" w:cs="宋体"/>
          <w:b/>
          <w:bCs/>
          <w:sz w:val="32"/>
          <w:szCs w:val="32"/>
          <w:highlight w:val="none"/>
          <w:lang w:val="en-US" w:eastAsia="zh-CN"/>
        </w:rPr>
      </w:pPr>
    </w:p>
    <w:p w14:paraId="4B9A0361">
      <w:pPr>
        <w:rPr>
          <w:rFonts w:hint="default" w:ascii="仿宋" w:hAnsi="仿宋" w:eastAsia="仿宋" w:cs="宋体"/>
          <w:b/>
          <w:bCs/>
          <w:sz w:val="32"/>
          <w:szCs w:val="32"/>
          <w:highlight w:val="none"/>
          <w:lang w:val="en-US" w:eastAsia="zh-CN"/>
        </w:rPr>
      </w:pPr>
    </w:p>
    <w:p w14:paraId="246D37B1">
      <w:pPr>
        <w:pStyle w:val="40"/>
        <w:rPr>
          <w:rFonts w:hint="default" w:ascii="仿宋" w:hAnsi="仿宋" w:eastAsia="仿宋" w:cs="宋体"/>
          <w:b/>
          <w:bCs/>
          <w:sz w:val="32"/>
          <w:szCs w:val="32"/>
          <w:highlight w:val="none"/>
          <w:lang w:val="en-US" w:eastAsia="zh-CN"/>
        </w:rPr>
      </w:pPr>
    </w:p>
    <w:p w14:paraId="31037C11">
      <w:pPr>
        <w:rPr>
          <w:rFonts w:hint="default" w:ascii="仿宋" w:hAnsi="仿宋" w:eastAsia="仿宋" w:cs="宋体"/>
          <w:b/>
          <w:bCs/>
          <w:sz w:val="32"/>
          <w:szCs w:val="32"/>
          <w:highlight w:val="none"/>
          <w:lang w:val="en-US" w:eastAsia="zh-CN"/>
        </w:rPr>
      </w:pPr>
    </w:p>
    <w:p w14:paraId="7A6ACC61">
      <w:pPr>
        <w:pStyle w:val="2"/>
        <w:rPr>
          <w:rFonts w:hint="default" w:ascii="仿宋" w:hAnsi="仿宋" w:eastAsia="仿宋" w:cs="宋体"/>
          <w:b/>
          <w:bCs/>
          <w:sz w:val="32"/>
          <w:szCs w:val="32"/>
          <w:highlight w:val="none"/>
          <w:lang w:val="en-US" w:eastAsia="zh-CN"/>
        </w:rPr>
      </w:pPr>
    </w:p>
    <w:p w14:paraId="4F74B164">
      <w:pPr>
        <w:pStyle w:val="2"/>
        <w:rPr>
          <w:rFonts w:hint="default" w:ascii="仿宋" w:hAnsi="仿宋" w:eastAsia="仿宋" w:cs="宋体"/>
          <w:b/>
          <w:bCs/>
          <w:sz w:val="32"/>
          <w:szCs w:val="32"/>
          <w:highlight w:val="none"/>
          <w:lang w:val="en-US" w:eastAsia="zh-CN"/>
        </w:rPr>
      </w:pPr>
    </w:p>
    <w:p w14:paraId="6D3A61F7">
      <w:pPr>
        <w:rPr>
          <w:rFonts w:hint="default" w:ascii="仿宋" w:hAnsi="仿宋" w:eastAsia="仿宋" w:cs="宋体"/>
          <w:b/>
          <w:bCs/>
          <w:sz w:val="32"/>
          <w:szCs w:val="32"/>
          <w:lang w:val="en-US" w:eastAsia="zh-CN"/>
        </w:rPr>
      </w:pPr>
    </w:p>
    <w:p w14:paraId="4EEBE8C5">
      <w:pPr>
        <w:widowControl/>
        <w:spacing w:before="240" w:after="60" w:line="360" w:lineRule="auto"/>
        <w:ind w:firstLine="0" w:firstLineChars="0"/>
        <w:jc w:val="center"/>
        <w:outlineLvl w:val="0"/>
        <w:rPr>
          <w:rFonts w:hint="eastAsia" w:ascii="仿宋" w:hAnsi="仿宋" w:eastAsia="仿宋" w:cs="宋体"/>
          <w:b/>
          <w:bCs/>
          <w:sz w:val="32"/>
          <w:szCs w:val="32"/>
        </w:rPr>
      </w:pPr>
      <w:bookmarkStart w:id="189" w:name="_Toc24108"/>
      <w:r>
        <w:rPr>
          <w:rFonts w:hint="eastAsia" w:ascii="仿宋" w:hAnsi="仿宋" w:eastAsia="仿宋" w:cs="宋体"/>
          <w:b/>
          <w:bCs/>
          <w:sz w:val="32"/>
          <w:szCs w:val="32"/>
        </w:rPr>
        <w:t>第四章  合 同(样本)</w:t>
      </w:r>
      <w:bookmarkEnd w:id="186"/>
      <w:bookmarkEnd w:id="187"/>
      <w:bookmarkEnd w:id="188"/>
      <w:bookmarkEnd w:id="189"/>
    </w:p>
    <w:p w14:paraId="36F1D745">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双方应根据磋商文件、成交通知书、成交的响应文件（包括澄清说明），以及与本项目采购相关的资料、图纸签订采购合同。所签订的合同不得背离磋商文件的实质性内容要求和响应文件的承诺。使用或参考《洛阳市市级政府服务类采购合同范本》签订合同。</w:t>
      </w:r>
    </w:p>
    <w:p w14:paraId="0F7D809D">
      <w:pPr>
        <w:pStyle w:val="13"/>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0E60E4EB">
      <w:pPr>
        <w:pStyle w:val="13"/>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2246045A">
      <w:pPr>
        <w:ind w:firstLine="625" w:firstLineChars="299"/>
        <w:rPr>
          <w:rFonts w:hint="eastAsia" w:ascii="仿宋" w:hAnsi="仿宋" w:eastAsia="仿宋" w:cs="宋体"/>
          <w:b/>
          <w:sz w:val="24"/>
          <w:szCs w:val="24"/>
        </w:rPr>
      </w:pPr>
      <w:r>
        <w:rPr>
          <w:rFonts w:hint="eastAsia" w:ascii="仿宋" w:hAnsi="仿宋" w:eastAsia="仿宋" w:cs="宋体"/>
          <w:b/>
          <w:sz w:val="24"/>
          <w:szCs w:val="24"/>
        </w:rPr>
        <w:t>《洛阳市市级政府采购支持中小微企业信用融资信用担保合作金融机构名单》</w:t>
      </w:r>
      <w:r>
        <w:rPr>
          <w:rFonts w:hint="eastAsia" w:ascii="仿宋" w:hAnsi="仿宋" w:eastAsia="仿宋" w:cs="宋体"/>
          <w:spacing w:val="14"/>
          <w:sz w:val="24"/>
          <w:szCs w:val="24"/>
        </w:rPr>
        <w:t>下载地址：</w:t>
      </w:r>
    </w:p>
    <w:p w14:paraId="0C09088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洛阳市政府采购网（</w:t>
      </w:r>
      <w:r>
        <w:rPr>
          <w:color w:val="auto"/>
          <w:sz w:val="24"/>
          <w:szCs w:val="24"/>
        </w:rPr>
        <w:fldChar w:fldCharType="begin"/>
      </w:r>
      <w:r>
        <w:rPr>
          <w:color w:val="auto"/>
          <w:sz w:val="24"/>
          <w:szCs w:val="24"/>
        </w:rPr>
        <w:instrText xml:space="preserve"> HYPERLINK "http://luoyang.hngp.gov.cn/" </w:instrText>
      </w:r>
      <w:r>
        <w:rPr>
          <w:color w:val="auto"/>
          <w:sz w:val="24"/>
          <w:szCs w:val="24"/>
        </w:rPr>
        <w:fldChar w:fldCharType="separate"/>
      </w:r>
      <w:r>
        <w:rPr>
          <w:rStyle w:val="83"/>
          <w:rFonts w:hint="eastAsia" w:ascii="仿宋" w:hAnsi="仿宋" w:eastAsia="仿宋"/>
          <w:color w:val="auto"/>
          <w:spacing w:val="14"/>
          <w:sz w:val="24"/>
          <w:szCs w:val="24"/>
        </w:rPr>
        <w:t>http://luoyang.hngp.gov.cn/</w:t>
      </w:r>
      <w:r>
        <w:rPr>
          <w:color w:val="auto"/>
          <w:sz w:val="24"/>
          <w:szCs w:val="24"/>
        </w:rPr>
        <w:fldChar w:fldCharType="end"/>
      </w:r>
      <w:r>
        <w:rPr>
          <w:rFonts w:hint="eastAsia" w:ascii="仿宋" w:hAnsi="仿宋" w:eastAsia="仿宋"/>
          <w:color w:val="auto"/>
          <w:spacing w:val="14"/>
          <w:sz w:val="24"/>
          <w:szCs w:val="24"/>
        </w:rPr>
        <w:t>）首页“文件下载”栏。</w:t>
      </w:r>
    </w:p>
    <w:p w14:paraId="4F9DAE29">
      <w:pPr>
        <w:pStyle w:val="13"/>
        <w:ind w:firstLine="0"/>
        <w:rPr>
          <w:rFonts w:hint="eastAsia" w:ascii="仿宋" w:hAnsi="仿宋" w:eastAsia="仿宋"/>
          <w:color w:val="auto"/>
          <w:spacing w:val="14"/>
        </w:rPr>
      </w:pPr>
      <w:r>
        <w:rPr>
          <w:rFonts w:hint="eastAsia" w:ascii="仿宋" w:hAnsi="仿宋" w:eastAsia="仿宋"/>
          <w:color w:val="auto"/>
          <w:spacing w:val="14"/>
        </w:rPr>
        <w:t xml:space="preserve"> </w:t>
      </w:r>
    </w:p>
    <w:p w14:paraId="27051200">
      <w:pPr>
        <w:pStyle w:val="13"/>
        <w:ind w:firstLine="0"/>
        <w:rPr>
          <w:rFonts w:hint="eastAsia" w:ascii="仿宋" w:hAnsi="仿宋" w:eastAsia="仿宋"/>
          <w:color w:val="auto"/>
          <w:spacing w:val="14"/>
          <w:sz w:val="28"/>
          <w:szCs w:val="28"/>
        </w:rPr>
      </w:pPr>
      <w:r>
        <w:rPr>
          <w:rFonts w:hint="eastAsia" w:ascii="仿宋" w:hAnsi="仿宋" w:eastAsia="仿宋"/>
          <w:color w:val="auto"/>
          <w:spacing w:val="14"/>
        </w:rPr>
        <w:br w:type="page"/>
      </w:r>
      <w:r>
        <w:rPr>
          <w:rFonts w:hint="eastAsia" w:ascii="仿宋" w:hAnsi="仿宋" w:eastAsia="仿宋"/>
          <w:color w:val="auto"/>
          <w:spacing w:val="14"/>
          <w:sz w:val="28"/>
          <w:szCs w:val="28"/>
        </w:rPr>
        <w:t>附 件：</w:t>
      </w:r>
    </w:p>
    <w:p w14:paraId="6DAA4911">
      <w:pPr>
        <w:pStyle w:val="13"/>
        <w:ind w:firstLine="0"/>
        <w:jc w:val="center"/>
        <w:rPr>
          <w:rFonts w:hint="eastAsia" w:ascii="仿宋" w:hAnsi="仿宋" w:eastAsia="仿宋"/>
          <w:b/>
          <w:bCs/>
          <w:color w:val="auto"/>
          <w:spacing w:val="14"/>
          <w:sz w:val="28"/>
          <w:szCs w:val="28"/>
        </w:rPr>
      </w:pPr>
      <w:r>
        <w:rPr>
          <w:rFonts w:hint="eastAsia" w:ascii="仿宋" w:hAnsi="仿宋" w:eastAsia="仿宋"/>
          <w:b/>
          <w:bCs/>
          <w:color w:val="auto"/>
          <w:spacing w:val="14"/>
          <w:sz w:val="28"/>
          <w:szCs w:val="28"/>
        </w:rPr>
        <w:t>洛阳市政府采购合同融资政策告知函</w:t>
      </w:r>
    </w:p>
    <w:p w14:paraId="2B99F5BD">
      <w:pPr>
        <w:pStyle w:val="13"/>
        <w:ind w:firstLine="0"/>
        <w:rPr>
          <w:rFonts w:hint="eastAsia" w:ascii="仿宋" w:hAnsi="仿宋" w:eastAsia="仿宋"/>
          <w:color w:val="auto"/>
          <w:spacing w:val="14"/>
        </w:rPr>
      </w:pPr>
      <w:r>
        <w:rPr>
          <w:rFonts w:hint="eastAsia" w:ascii="仿宋" w:hAnsi="仿宋" w:eastAsia="仿宋"/>
          <w:color w:val="auto"/>
          <w:spacing w:val="14"/>
        </w:rPr>
        <w:t>各供应商：</w:t>
      </w:r>
    </w:p>
    <w:p w14:paraId="188D7C32">
      <w:pPr>
        <w:pStyle w:val="13"/>
        <w:rPr>
          <w:rFonts w:hint="eastAsia" w:ascii="仿宋" w:hAnsi="仿宋" w:eastAsia="仿宋"/>
          <w:color w:val="auto"/>
          <w:spacing w:val="14"/>
        </w:rPr>
      </w:pPr>
      <w:r>
        <w:rPr>
          <w:rFonts w:hint="eastAsia" w:ascii="仿宋" w:hAnsi="仿宋" w:eastAsia="仿宋"/>
          <w:color w:val="auto"/>
          <w:spacing w:val="14"/>
        </w:rPr>
        <w:t>欢迎贵公司参与洛阳市政府采购活动！</w:t>
      </w:r>
    </w:p>
    <w:p w14:paraId="2C7FF7A7">
      <w:pPr>
        <w:pStyle w:val="13"/>
        <w:rPr>
          <w:rFonts w:hint="eastAsia" w:ascii="仿宋" w:hAnsi="仿宋" w:eastAsia="仿宋"/>
          <w:color w:val="auto"/>
          <w:spacing w:val="14"/>
        </w:rPr>
      </w:pPr>
      <w:r>
        <w:rPr>
          <w:rFonts w:hint="eastAsia" w:ascii="仿宋" w:hAnsi="仿宋" w:eastAsia="仿宋"/>
          <w:color w:val="auto"/>
          <w:spacing w:val="14"/>
        </w:rPr>
        <w:t>政府采购合同融资是洛阳市财政局联合人民银行洛阳市中心支行支持中小微企业发展，针对参与政府采购活动的供应商融资难、融资贵问题推出的一项融资政策。贵公司若成为本次政府采购项目的中标（成交）供应商，可持政府采购合同向金融机构申请贷款，无需抵押、担保，融资机构将根据《洛阳市财政局、中国人民银行洛阳市中心支行关于印发深入推荐政府采购合同融资工作实施方案》（洛财购〔2021〕4号），按照双方自愿的原则提供便捷、优惠的贷款服务。</w:t>
      </w:r>
    </w:p>
    <w:p w14:paraId="37FA4F2E">
      <w:pPr>
        <w:pStyle w:val="13"/>
        <w:rPr>
          <w:rFonts w:hint="eastAsia" w:ascii="仿宋" w:hAnsi="仿宋" w:eastAsia="仿宋"/>
          <w:color w:val="auto"/>
          <w:spacing w:val="14"/>
        </w:rPr>
      </w:pPr>
      <w:r>
        <w:rPr>
          <w:rFonts w:hint="eastAsia" w:ascii="仿宋" w:hAnsi="仿宋" w:eastAsia="仿宋"/>
          <w:color w:val="auto"/>
          <w:spacing w:val="14"/>
        </w:rPr>
        <w:t>贷款渠道和提供贷款的金融机构，可在河南省政府采购网“河南省政府采购合同融资平台”或洛阳市政府采购网“政府采购合同融资业务入口”查询联系。</w:t>
      </w:r>
    </w:p>
    <w:p w14:paraId="69CEF6B5">
      <w:pPr>
        <w:pStyle w:val="13"/>
        <w:ind w:firstLine="0"/>
        <w:jc w:val="center"/>
        <w:rPr>
          <w:rFonts w:hint="eastAsia" w:ascii="仿宋" w:hAnsi="仿宋" w:eastAsia="仿宋"/>
          <w:b/>
          <w:bCs/>
          <w:color w:val="auto"/>
          <w:spacing w:val="14"/>
          <w:sz w:val="28"/>
          <w:szCs w:val="28"/>
        </w:rPr>
      </w:pPr>
      <w:r>
        <w:rPr>
          <w:rFonts w:hint="eastAsia" w:ascii="仿宋" w:hAnsi="仿宋" w:eastAsia="仿宋"/>
          <w:b/>
          <w:bCs/>
          <w:color w:val="auto"/>
          <w:spacing w:val="14"/>
          <w:sz w:val="28"/>
          <w:szCs w:val="28"/>
        </w:rPr>
        <w:t>建设银行政府采购融资贷联系方式</w:t>
      </w:r>
    </w:p>
    <w:p w14:paraId="5323ACC0">
      <w:pPr>
        <w:pStyle w:val="13"/>
        <w:ind w:firstLine="0"/>
        <w:jc w:val="center"/>
        <w:rPr>
          <w:rFonts w:hint="eastAsia" w:ascii="仿宋" w:hAnsi="仿宋" w:eastAsia="仿宋"/>
          <w:b/>
          <w:bCs/>
          <w:color w:val="auto"/>
          <w:spacing w:val="14"/>
          <w:sz w:val="28"/>
          <w:szCs w:val="28"/>
        </w:rPr>
      </w:pPr>
      <w:r>
        <w:rPr>
          <w:rFonts w:hint="eastAsia" w:ascii="仿宋" w:hAnsi="仿宋" w:eastAsia="仿宋"/>
          <w:b/>
          <w:bCs/>
          <w:color w:val="auto"/>
          <w:spacing w:val="14"/>
          <w:sz w:val="28"/>
          <w:szCs w:val="28"/>
        </w:rPr>
        <w:t>及融资产品介绍</w:t>
      </w:r>
    </w:p>
    <w:p w14:paraId="3242BDDB">
      <w:pPr>
        <w:pStyle w:val="14"/>
        <w:ind w:firstLine="358" w:firstLineChars="200"/>
        <w:rPr>
          <w:rFonts w:hint="eastAsia" w:ascii="仿宋" w:hAnsi="仿宋" w:eastAsia="仿宋" w:cs="仿宋"/>
        </w:rPr>
      </w:pPr>
      <w:r>
        <w:rPr>
          <w:rFonts w:hint="eastAsia" w:ascii="仿宋" w:hAnsi="仿宋" w:eastAsia="仿宋" w:cs="仿宋"/>
        </w:rPr>
        <w:t>一、联系方式:</w:t>
      </w:r>
    </w:p>
    <w:tbl>
      <w:tblPr>
        <w:tblStyle w:val="6"/>
        <w:tblW w:w="8398"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70"/>
        <w:gridCol w:w="1592"/>
        <w:gridCol w:w="2095"/>
        <w:gridCol w:w="1571"/>
      </w:tblGrid>
      <w:tr w14:paraId="4B8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570" w:type="dxa"/>
            <w:noWrap w:val="0"/>
            <w:vAlign w:val="center"/>
          </w:tcPr>
          <w:p w14:paraId="16D920B5">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联系人</w:t>
            </w:r>
          </w:p>
        </w:tc>
        <w:tc>
          <w:tcPr>
            <w:tcW w:w="1570" w:type="dxa"/>
            <w:noWrap w:val="0"/>
            <w:vAlign w:val="center"/>
          </w:tcPr>
          <w:p w14:paraId="691DD4B7">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职务</w:t>
            </w:r>
          </w:p>
        </w:tc>
        <w:tc>
          <w:tcPr>
            <w:tcW w:w="1592" w:type="dxa"/>
            <w:noWrap w:val="0"/>
            <w:vAlign w:val="center"/>
          </w:tcPr>
          <w:p w14:paraId="422F62E4">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地址</w:t>
            </w:r>
          </w:p>
        </w:tc>
        <w:tc>
          <w:tcPr>
            <w:tcW w:w="2095" w:type="dxa"/>
            <w:noWrap w:val="0"/>
            <w:vAlign w:val="center"/>
          </w:tcPr>
          <w:p w14:paraId="60220498">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电话</w:t>
            </w:r>
          </w:p>
        </w:tc>
        <w:tc>
          <w:tcPr>
            <w:tcW w:w="1571" w:type="dxa"/>
            <w:noWrap w:val="0"/>
            <w:vAlign w:val="center"/>
          </w:tcPr>
          <w:p w14:paraId="20041F07">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备注</w:t>
            </w:r>
          </w:p>
        </w:tc>
      </w:tr>
      <w:tr w14:paraId="2897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0" w:type="dxa"/>
            <w:noWrap w:val="0"/>
            <w:vAlign w:val="center"/>
          </w:tcPr>
          <w:p w14:paraId="0926E93F">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张翠荣</w:t>
            </w:r>
          </w:p>
        </w:tc>
        <w:tc>
          <w:tcPr>
            <w:tcW w:w="1570" w:type="dxa"/>
            <w:noWrap w:val="0"/>
            <w:vAlign w:val="center"/>
          </w:tcPr>
          <w:p w14:paraId="13B57890">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洛阳建行公司客户经理</w:t>
            </w:r>
          </w:p>
        </w:tc>
        <w:tc>
          <w:tcPr>
            <w:tcW w:w="1592" w:type="dxa"/>
            <w:noWrap w:val="0"/>
            <w:vAlign w:val="center"/>
          </w:tcPr>
          <w:p w14:paraId="5964E932">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南昌路132号建设银行</w:t>
            </w:r>
          </w:p>
        </w:tc>
        <w:tc>
          <w:tcPr>
            <w:tcW w:w="2095" w:type="dxa"/>
            <w:noWrap w:val="0"/>
            <w:vAlign w:val="center"/>
          </w:tcPr>
          <w:p w14:paraId="7B99F12E">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0379-63296788</w:t>
            </w:r>
          </w:p>
          <w:p w14:paraId="50462A20">
            <w:pPr>
              <w:pStyle w:val="84"/>
              <w:shd w:val="clear" w:color="auto" w:fill="auto"/>
              <w:spacing w:line="56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13937942294</w:t>
            </w:r>
          </w:p>
        </w:tc>
        <w:tc>
          <w:tcPr>
            <w:tcW w:w="1571" w:type="dxa"/>
            <w:noWrap w:val="0"/>
            <w:vAlign w:val="center"/>
          </w:tcPr>
          <w:p w14:paraId="1FB9BE41">
            <w:pPr>
              <w:pStyle w:val="84"/>
              <w:shd w:val="clear" w:color="auto" w:fill="auto"/>
              <w:spacing w:line="560" w:lineRule="exact"/>
              <w:jc w:val="center"/>
              <w:rPr>
                <w:rFonts w:hint="eastAsia" w:ascii="仿宋" w:hAnsi="仿宋" w:eastAsia="仿宋" w:cs="仿宋"/>
                <w:kern w:val="2"/>
                <w:sz w:val="21"/>
                <w:szCs w:val="21"/>
                <w:lang w:val="en-US" w:eastAsia="zh-CN" w:bidi="ar-SA"/>
              </w:rPr>
            </w:pPr>
          </w:p>
        </w:tc>
      </w:tr>
    </w:tbl>
    <w:p w14:paraId="33919594">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二、融资产品介绍:</w:t>
      </w:r>
    </w:p>
    <w:p w14:paraId="1C387AB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（一）产品介绍</w:t>
      </w:r>
    </w:p>
    <w:p w14:paraId="30309CC0">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1、产品简介</w:t>
      </w:r>
    </w:p>
    <w:p w14:paraId="5C02DC13">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建行“e政通”是中国建设银行以政府采购供应商中的供应商企业作为借款人，依据政府采购交易信息，通过建行集团供应链平台在线申请、审批、签约、支取的贷款产品。有效解决政府采购中标、成交的供应商资金不足、融资难、融资贵的困难。</w:t>
      </w:r>
    </w:p>
    <w:p w14:paraId="7A9BE593">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2、业务流程</w:t>
      </w:r>
    </w:p>
    <w:p w14:paraId="19AD1667">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（1）采购人的采购资金纳入同级或以上政府财政预算。</w:t>
      </w:r>
    </w:p>
    <w:p w14:paraId="1A70519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（2）供应商与政府采购部门签署采购合同。</w:t>
      </w:r>
    </w:p>
    <w:p w14:paraId="01DD4EC2">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（3）采购合同在公开平台进行公示或者备案。</w:t>
      </w:r>
    </w:p>
    <w:p w14:paraId="4982CFBA">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（4）采购供应商依托采购合同，通过建行集团供应链平台申请融资。</w:t>
      </w:r>
    </w:p>
    <w:p w14:paraId="0F0F67F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（5）建行核实贸易背景，按照采购合同金额的一定比例（考虑质押率）发放融资款项。</w:t>
      </w:r>
    </w:p>
    <w:p w14:paraId="465BC47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（6）业务到期前，政府部门支付采购款项到建设银行指定的回款专户中。</w:t>
      </w:r>
    </w:p>
    <w:p w14:paraId="16402BF9">
      <w:pPr>
        <w:pStyle w:val="40"/>
        <w:spacing w:line="560" w:lineRule="exact"/>
        <w:ind w:firstLine="378" w:firstLineChars="200"/>
        <w:rPr>
          <w:rFonts w:hint="eastAsia" w:ascii="仿宋" w:hAnsi="仿宋" w:eastAsia="仿宋" w:cs="仿宋"/>
          <w:kern w:val="2"/>
          <w:sz w:val="22"/>
          <w:szCs w:val="22"/>
        </w:rPr>
      </w:pPr>
      <w:r>
        <w:rPr>
          <w:rFonts w:hint="eastAsia" w:ascii="仿宋" w:hAnsi="仿宋" w:eastAsia="仿宋" w:cs="仿宋"/>
          <w:kern w:val="2"/>
          <w:sz w:val="22"/>
          <w:szCs w:val="22"/>
        </w:rPr>
        <w:t>3、产品优势</w:t>
      </w:r>
    </w:p>
    <w:p w14:paraId="1B63CCED">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无抵押（依据政府采购合同及历史交易、履约信息作为授信依据）；</w:t>
      </w:r>
    </w:p>
    <w:p w14:paraId="3934F15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放款快（在线审批，最快T+0放款）；</w:t>
      </w:r>
    </w:p>
    <w:p w14:paraId="7E0F4985">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额度高（单笔合同贷款金额最高3000万元）；</w:t>
      </w:r>
    </w:p>
    <w:p w14:paraId="14DDBC61">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操作便捷（流程简捷，全线上化操作）；</w:t>
      </w:r>
    </w:p>
    <w:p w14:paraId="516FF21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还款灵活（支持多种还款付息方式，支持提前还款）；</w:t>
      </w:r>
    </w:p>
    <w:p w14:paraId="7C8679BB">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4、借款人基本条件</w:t>
      </w:r>
    </w:p>
    <w:p w14:paraId="210FA00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（1）经工商行政管理机关（或主管机关）核准登记的企业法人及个体工商户；</w:t>
      </w:r>
    </w:p>
    <w:p w14:paraId="0BF5027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 xml:space="preserve">（2）有固定的生产或经营场所，从事符合法律、法规的生产、经营活动,近两年无环保违法记录； </w:t>
      </w:r>
    </w:p>
    <w:p w14:paraId="57A24E9E">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（3）在建设银行开立结算账户；</w:t>
      </w:r>
    </w:p>
    <w:p w14:paraId="627BCAE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（4）企业具有持续经营能力，信用记录良好，近2年在中国人民银行企业征信系统无不良信用记录；</w:t>
      </w:r>
    </w:p>
    <w:p w14:paraId="06A9ADF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（5）企业主及其配偶品行端正，无不良嗜好，无不良信用记录。</w:t>
      </w:r>
    </w:p>
    <w:p w14:paraId="5034ED1F">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（6）不存在我行反洗钱客户身份识别管理制度规定的禁止准入情形或停止业务关系的情形。</w:t>
      </w:r>
    </w:p>
    <w:p w14:paraId="39D5F80A">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（二）申请路径</w:t>
      </w:r>
    </w:p>
    <w:p w14:paraId="0D69917C">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建行集团供应链平台</w:t>
      </w:r>
    </w:p>
    <w:p w14:paraId="2E709A50">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（三）利率</w:t>
      </w:r>
    </w:p>
    <w:p w14:paraId="760CB870">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随着市场价格变化及上级行要求确定，一般不超过5%，优质客户综合成本更优惠。</w:t>
      </w:r>
    </w:p>
    <w:p w14:paraId="3527768D">
      <w:pPr>
        <w:spacing w:line="560" w:lineRule="exact"/>
        <w:ind w:firstLine="498" w:firstLineChars="20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平顶山银行政府采购融资贷联系方式</w:t>
      </w:r>
    </w:p>
    <w:p w14:paraId="00CF5918">
      <w:pPr>
        <w:spacing w:line="560" w:lineRule="exact"/>
        <w:ind w:firstLine="498" w:firstLineChars="20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及融资产品介绍</w:t>
      </w:r>
    </w:p>
    <w:p w14:paraId="08950FB7">
      <w:pPr>
        <w:spacing w:line="560" w:lineRule="exact"/>
        <w:ind w:firstLine="378" w:firstLineChars="200"/>
        <w:outlineLvl w:val="9"/>
        <w:rPr>
          <w:rFonts w:hint="eastAsia" w:ascii="仿宋" w:hAnsi="仿宋" w:eastAsia="仿宋" w:cs="仿宋"/>
          <w:color w:val="000000"/>
          <w:sz w:val="22"/>
          <w:szCs w:val="22"/>
        </w:rPr>
      </w:pPr>
      <w:bookmarkStart w:id="190" w:name="_Toc24858"/>
      <w:r>
        <w:rPr>
          <w:rFonts w:hint="eastAsia" w:ascii="仿宋" w:hAnsi="仿宋" w:eastAsia="仿宋" w:cs="仿宋"/>
          <w:color w:val="000000"/>
          <w:sz w:val="22"/>
          <w:szCs w:val="22"/>
        </w:rPr>
        <w:t>一、联系方式:</w:t>
      </w:r>
      <w:bookmarkEnd w:id="190"/>
    </w:p>
    <w:tbl>
      <w:tblPr>
        <w:tblStyle w:val="6"/>
        <w:tblW w:w="8162"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1658"/>
        <w:gridCol w:w="1925"/>
        <w:gridCol w:w="1527"/>
      </w:tblGrid>
      <w:tr w14:paraId="3575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E39EEF5">
            <w:pPr>
              <w:spacing w:line="560" w:lineRule="exact"/>
              <w:ind w:firstLine="189" w:firstLineChars="100"/>
              <w:rPr>
                <w:rFonts w:hint="eastAsia" w:ascii="仿宋" w:hAnsi="仿宋" w:eastAsia="仿宋" w:cs="仿宋"/>
                <w:color w:val="000000"/>
                <w:sz w:val="22"/>
                <w:szCs w:val="22"/>
              </w:rPr>
            </w:pPr>
            <w:r>
              <w:rPr>
                <w:rFonts w:hint="eastAsia" w:ascii="仿宋" w:hAnsi="仿宋" w:eastAsia="仿宋" w:cs="仿宋"/>
                <w:color w:val="000000"/>
                <w:sz w:val="22"/>
                <w:szCs w:val="22"/>
              </w:rPr>
              <w:t>联系人</w:t>
            </w:r>
          </w:p>
        </w:tc>
        <w:tc>
          <w:tcPr>
            <w:tcW w:w="1526" w:type="dxa"/>
            <w:noWrap w:val="0"/>
            <w:vAlign w:val="center"/>
          </w:tcPr>
          <w:p w14:paraId="12C12F0C">
            <w:pPr>
              <w:spacing w:line="560" w:lineRule="exact"/>
              <w:ind w:firstLine="284" w:firstLineChars="150"/>
              <w:rPr>
                <w:rFonts w:hint="eastAsia" w:ascii="仿宋" w:hAnsi="仿宋" w:eastAsia="仿宋" w:cs="仿宋"/>
                <w:color w:val="000000"/>
                <w:sz w:val="22"/>
                <w:szCs w:val="22"/>
              </w:rPr>
            </w:pPr>
            <w:r>
              <w:rPr>
                <w:rFonts w:hint="eastAsia" w:ascii="仿宋" w:hAnsi="仿宋" w:eastAsia="仿宋" w:cs="仿宋"/>
                <w:color w:val="000000"/>
                <w:sz w:val="22"/>
                <w:szCs w:val="22"/>
              </w:rPr>
              <w:t>职务</w:t>
            </w:r>
          </w:p>
        </w:tc>
        <w:tc>
          <w:tcPr>
            <w:tcW w:w="1658" w:type="dxa"/>
            <w:noWrap w:val="0"/>
            <w:vAlign w:val="center"/>
          </w:tcPr>
          <w:p w14:paraId="3D6E46A7">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地址</w:t>
            </w:r>
          </w:p>
        </w:tc>
        <w:tc>
          <w:tcPr>
            <w:tcW w:w="1925" w:type="dxa"/>
            <w:noWrap w:val="0"/>
            <w:vAlign w:val="center"/>
          </w:tcPr>
          <w:p w14:paraId="6277B226">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电话</w:t>
            </w:r>
          </w:p>
        </w:tc>
        <w:tc>
          <w:tcPr>
            <w:tcW w:w="1527" w:type="dxa"/>
            <w:noWrap w:val="0"/>
            <w:vAlign w:val="center"/>
          </w:tcPr>
          <w:p w14:paraId="6BE03D29">
            <w:pPr>
              <w:spacing w:line="560" w:lineRule="exact"/>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备注</w:t>
            </w:r>
          </w:p>
        </w:tc>
      </w:tr>
      <w:tr w14:paraId="4C32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6EAA0CF">
            <w:pPr>
              <w:spacing w:line="560" w:lineRule="exact"/>
              <w:ind w:firstLine="95" w:firstLineChars="50"/>
              <w:rPr>
                <w:rFonts w:hint="eastAsia" w:ascii="仿宋" w:hAnsi="仿宋" w:eastAsia="仿宋" w:cs="仿宋"/>
                <w:color w:val="000000"/>
                <w:sz w:val="22"/>
                <w:szCs w:val="22"/>
              </w:rPr>
            </w:pPr>
            <w:r>
              <w:rPr>
                <w:rFonts w:hint="eastAsia" w:ascii="仿宋" w:hAnsi="仿宋" w:eastAsia="仿宋" w:cs="仿宋"/>
                <w:color w:val="000000"/>
                <w:sz w:val="22"/>
                <w:szCs w:val="22"/>
              </w:rPr>
              <w:t>刘亚兴</w:t>
            </w:r>
          </w:p>
        </w:tc>
        <w:tc>
          <w:tcPr>
            <w:tcW w:w="1526" w:type="dxa"/>
            <w:noWrap w:val="0"/>
            <w:vAlign w:val="center"/>
          </w:tcPr>
          <w:p w14:paraId="6804CEBB">
            <w:pPr>
              <w:spacing w:line="560" w:lineRule="exact"/>
              <w:rPr>
                <w:rFonts w:hint="eastAsia" w:ascii="仿宋" w:hAnsi="仿宋" w:eastAsia="仿宋" w:cs="仿宋"/>
                <w:color w:val="000000"/>
                <w:sz w:val="22"/>
                <w:szCs w:val="22"/>
              </w:rPr>
            </w:pPr>
            <w:r>
              <w:rPr>
                <w:rFonts w:hint="eastAsia" w:ascii="仿宋" w:hAnsi="仿宋" w:eastAsia="仿宋" w:cs="仿宋"/>
                <w:color w:val="000000"/>
                <w:sz w:val="22"/>
                <w:szCs w:val="22"/>
              </w:rPr>
              <w:t>平顶山银行洛阳分行小微金融部</w:t>
            </w:r>
          </w:p>
        </w:tc>
        <w:tc>
          <w:tcPr>
            <w:tcW w:w="1658" w:type="dxa"/>
            <w:noWrap w:val="0"/>
            <w:vAlign w:val="center"/>
          </w:tcPr>
          <w:p w14:paraId="733BEB04">
            <w:pPr>
              <w:spacing w:line="560" w:lineRule="exact"/>
              <w:rPr>
                <w:rFonts w:hint="eastAsia" w:ascii="仿宋" w:hAnsi="仿宋" w:eastAsia="仿宋" w:cs="仿宋"/>
                <w:color w:val="000000"/>
                <w:sz w:val="22"/>
                <w:szCs w:val="22"/>
              </w:rPr>
            </w:pPr>
            <w:r>
              <w:rPr>
                <w:rFonts w:hint="eastAsia" w:ascii="仿宋" w:hAnsi="仿宋" w:eastAsia="仿宋" w:cs="仿宋"/>
                <w:color w:val="000000"/>
                <w:sz w:val="22"/>
                <w:szCs w:val="22"/>
              </w:rPr>
              <w:t>洛龙区开元大道258号世贸中心一楼</w:t>
            </w:r>
          </w:p>
        </w:tc>
        <w:tc>
          <w:tcPr>
            <w:tcW w:w="1925" w:type="dxa"/>
            <w:noWrap w:val="0"/>
            <w:vAlign w:val="center"/>
          </w:tcPr>
          <w:p w14:paraId="5F3FBF71">
            <w:pPr>
              <w:spacing w:line="560" w:lineRule="exact"/>
              <w:rPr>
                <w:rFonts w:hint="eastAsia" w:ascii="仿宋" w:hAnsi="仿宋" w:eastAsia="仿宋" w:cs="仿宋"/>
                <w:color w:val="000000"/>
                <w:sz w:val="22"/>
                <w:szCs w:val="22"/>
              </w:rPr>
            </w:pPr>
            <w:r>
              <w:rPr>
                <w:rFonts w:hint="eastAsia" w:ascii="仿宋" w:hAnsi="仿宋" w:eastAsia="仿宋" w:cs="仿宋"/>
                <w:color w:val="000000"/>
                <w:sz w:val="22"/>
                <w:szCs w:val="22"/>
              </w:rPr>
              <w:t>13837937717（微信同号）</w:t>
            </w:r>
          </w:p>
        </w:tc>
        <w:tc>
          <w:tcPr>
            <w:tcW w:w="1527" w:type="dxa"/>
            <w:noWrap w:val="0"/>
            <w:vAlign w:val="center"/>
          </w:tcPr>
          <w:p w14:paraId="141BAC90">
            <w:pPr>
              <w:spacing w:line="560" w:lineRule="exact"/>
              <w:ind w:firstLine="378" w:firstLineChars="200"/>
              <w:rPr>
                <w:rFonts w:hint="eastAsia" w:ascii="仿宋" w:hAnsi="仿宋" w:eastAsia="仿宋" w:cs="仿宋"/>
                <w:color w:val="000000"/>
                <w:sz w:val="22"/>
                <w:szCs w:val="22"/>
              </w:rPr>
            </w:pPr>
          </w:p>
        </w:tc>
      </w:tr>
    </w:tbl>
    <w:p w14:paraId="1D4ECDAE">
      <w:pPr>
        <w:ind w:firstLine="378" w:firstLineChars="200"/>
        <w:outlineLvl w:val="9"/>
        <w:rPr>
          <w:rFonts w:hint="eastAsia" w:ascii="仿宋" w:hAnsi="仿宋" w:eastAsia="仿宋" w:cs="仿宋"/>
          <w:color w:val="000000"/>
          <w:sz w:val="22"/>
          <w:szCs w:val="22"/>
        </w:rPr>
      </w:pPr>
      <w:bookmarkStart w:id="191" w:name="_Toc24170"/>
      <w:r>
        <w:rPr>
          <w:rFonts w:hint="eastAsia" w:ascii="仿宋" w:hAnsi="仿宋" w:eastAsia="仿宋" w:cs="仿宋"/>
          <w:color w:val="000000"/>
          <w:sz w:val="22"/>
          <w:szCs w:val="22"/>
        </w:rPr>
        <w:t>二、融资产品介绍</w:t>
      </w:r>
      <w:bookmarkEnd w:id="191"/>
    </w:p>
    <w:p w14:paraId="258E997E">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“银政易贷”是指我行对中标政府采购合同的企业实际控制人发放的，专项用于履行政府采购合同的个人贷款业务。 </w:t>
      </w:r>
    </w:p>
    <w:p w14:paraId="401B1856">
      <w:pPr>
        <w:ind w:firstLine="378" w:firstLineChars="200"/>
        <w:rPr>
          <w:rFonts w:hint="eastAsia" w:ascii="仿宋" w:hAnsi="仿宋" w:eastAsia="仿宋" w:cs="仿宋"/>
          <w:color w:val="000000"/>
          <w:sz w:val="22"/>
          <w:szCs w:val="22"/>
          <w:lang w:eastAsia="zh-CN"/>
        </w:rPr>
      </w:pPr>
      <w:r>
        <w:rPr>
          <w:rFonts w:hint="eastAsia" w:ascii="仿宋" w:hAnsi="仿宋" w:eastAsia="仿宋" w:cs="仿宋"/>
          <w:color w:val="000000"/>
          <w:sz w:val="22"/>
          <w:szCs w:val="22"/>
        </w:rPr>
        <w:t>目标客户：中标政府采购合同的企业实际控制人</w:t>
      </w:r>
    </w:p>
    <w:p w14:paraId="68A48C60">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 xml:space="preserve">贷款额度：最高150万元（含）    </w:t>
      </w:r>
    </w:p>
    <w:p w14:paraId="3EEDE267">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借款期限：最长不超过1年，以中标合同付款期限为参考。</w:t>
      </w:r>
    </w:p>
    <w:p w14:paraId="01D68E6E">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申请路径：电话咨询+书面申请</w:t>
      </w:r>
    </w:p>
    <w:p w14:paraId="3A49E864">
      <w:pPr>
        <w:ind w:firstLine="378" w:firstLineChars="200"/>
        <w:rPr>
          <w:rFonts w:hint="eastAsia" w:ascii="仿宋" w:hAnsi="仿宋" w:eastAsia="仿宋" w:cs="仿宋"/>
          <w:color w:val="000000"/>
          <w:sz w:val="22"/>
          <w:szCs w:val="22"/>
          <w:lang w:eastAsia="zh-CN"/>
        </w:rPr>
      </w:pPr>
      <w:r>
        <w:rPr>
          <w:rFonts w:hint="eastAsia" w:ascii="仿宋" w:hAnsi="仿宋" w:eastAsia="仿宋" w:cs="仿宋"/>
          <w:color w:val="000000"/>
          <w:sz w:val="22"/>
          <w:szCs w:val="22"/>
        </w:rPr>
        <w:t>贷款利率：年利率8%-10%</w:t>
      </w:r>
    </w:p>
    <w:p w14:paraId="1E94650C">
      <w:pPr>
        <w:ind w:firstLine="378" w:firstLineChars="200"/>
        <w:rPr>
          <w:rFonts w:hint="eastAsia" w:ascii="仿宋" w:hAnsi="仿宋" w:eastAsia="仿宋" w:cs="仿宋"/>
          <w:b/>
          <w:bCs/>
          <w:color w:val="000000"/>
          <w:sz w:val="28"/>
          <w:szCs w:val="36"/>
        </w:rPr>
      </w:pPr>
      <w:r>
        <w:rPr>
          <w:rFonts w:hint="eastAsia" w:ascii="仿宋" w:hAnsi="仿宋" w:eastAsia="仿宋" w:cs="仿宋"/>
          <w:color w:val="000000"/>
          <w:sz w:val="22"/>
          <w:szCs w:val="22"/>
        </w:rPr>
        <w:t>还款方式：按月付息，到期一次性还款或根据客户实际经营 情况不规则还款</w:t>
      </w:r>
    </w:p>
    <w:p w14:paraId="625112E7">
      <w:pPr>
        <w:jc w:val="center"/>
        <w:outlineLvl w:val="9"/>
        <w:rPr>
          <w:rFonts w:hint="eastAsia" w:ascii="仿宋" w:hAnsi="仿宋" w:eastAsia="仿宋" w:cs="仿宋"/>
          <w:b/>
          <w:bCs/>
          <w:sz w:val="28"/>
          <w:szCs w:val="28"/>
        </w:rPr>
      </w:pPr>
      <w:bookmarkStart w:id="192" w:name="_Toc30150"/>
      <w:r>
        <w:rPr>
          <w:rFonts w:hint="eastAsia" w:ascii="仿宋" w:hAnsi="仿宋" w:eastAsia="仿宋" w:cs="仿宋"/>
          <w:b/>
          <w:bCs/>
          <w:sz w:val="28"/>
          <w:szCs w:val="28"/>
        </w:rPr>
        <w:t>郑州银行股份有限公司洛阳分行政府采购融资贷</w:t>
      </w:r>
    </w:p>
    <w:p w14:paraId="7CE92CE1">
      <w:pPr>
        <w:jc w:val="center"/>
        <w:outlineLvl w:val="9"/>
        <w:rPr>
          <w:rFonts w:hint="eastAsia" w:ascii="仿宋" w:hAnsi="仿宋" w:eastAsia="仿宋" w:cs="仿宋"/>
          <w:b/>
          <w:bCs/>
          <w:sz w:val="28"/>
          <w:szCs w:val="28"/>
        </w:rPr>
      </w:pPr>
      <w:r>
        <w:rPr>
          <w:rFonts w:hint="eastAsia" w:ascii="仿宋" w:hAnsi="仿宋" w:eastAsia="仿宋" w:cs="仿宋"/>
          <w:b/>
          <w:bCs/>
          <w:sz w:val="28"/>
          <w:szCs w:val="28"/>
        </w:rPr>
        <w:t>联系方式及融资产品介绍</w:t>
      </w:r>
    </w:p>
    <w:p w14:paraId="5C63E04A">
      <w:pPr>
        <w:ind w:firstLine="418" w:firstLineChars="200"/>
        <w:jc w:val="left"/>
        <w:outlineLvl w:val="9"/>
        <w:rPr>
          <w:rFonts w:hint="eastAsia" w:ascii="仿宋" w:hAnsi="仿宋" w:eastAsia="仿宋" w:cs="仿宋"/>
          <w:sz w:val="24"/>
          <w:szCs w:val="24"/>
        </w:rPr>
      </w:pPr>
      <w:r>
        <w:rPr>
          <w:rFonts w:hint="eastAsia" w:ascii="仿宋" w:hAnsi="仿宋" w:eastAsia="仿宋" w:cs="仿宋"/>
          <w:sz w:val="24"/>
          <w:szCs w:val="24"/>
        </w:rPr>
        <w:t>一、联系方式：</w:t>
      </w:r>
      <w:bookmarkEnd w:id="192"/>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4659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F605745">
            <w:pPr>
              <w:jc w:val="left"/>
              <w:rPr>
                <w:rFonts w:hint="eastAsia" w:ascii="仿宋" w:hAnsi="仿宋" w:eastAsia="仿宋" w:cs="仿宋"/>
                <w:sz w:val="24"/>
                <w:szCs w:val="24"/>
              </w:rPr>
            </w:pPr>
            <w:r>
              <w:rPr>
                <w:rFonts w:hint="eastAsia" w:ascii="仿宋" w:hAnsi="仿宋" w:eastAsia="仿宋" w:cs="仿宋"/>
                <w:sz w:val="24"/>
                <w:szCs w:val="24"/>
              </w:rPr>
              <w:t>联系人</w:t>
            </w:r>
          </w:p>
        </w:tc>
        <w:tc>
          <w:tcPr>
            <w:tcW w:w="2130" w:type="dxa"/>
            <w:noWrap w:val="0"/>
            <w:vAlign w:val="top"/>
          </w:tcPr>
          <w:p w14:paraId="157D7379">
            <w:pPr>
              <w:jc w:val="left"/>
              <w:rPr>
                <w:rFonts w:hint="eastAsia" w:ascii="仿宋" w:hAnsi="仿宋" w:eastAsia="仿宋" w:cs="仿宋"/>
                <w:sz w:val="24"/>
                <w:szCs w:val="24"/>
              </w:rPr>
            </w:pPr>
            <w:r>
              <w:rPr>
                <w:rFonts w:hint="eastAsia" w:ascii="仿宋" w:hAnsi="仿宋" w:eastAsia="仿宋" w:cs="仿宋"/>
                <w:sz w:val="24"/>
                <w:szCs w:val="24"/>
              </w:rPr>
              <w:t>职务</w:t>
            </w:r>
          </w:p>
        </w:tc>
        <w:tc>
          <w:tcPr>
            <w:tcW w:w="2131" w:type="dxa"/>
            <w:noWrap w:val="0"/>
            <w:vAlign w:val="top"/>
          </w:tcPr>
          <w:p w14:paraId="5A94D311">
            <w:pPr>
              <w:jc w:val="left"/>
              <w:rPr>
                <w:rFonts w:hint="eastAsia" w:ascii="仿宋" w:hAnsi="仿宋" w:eastAsia="仿宋" w:cs="仿宋"/>
                <w:sz w:val="24"/>
                <w:szCs w:val="24"/>
              </w:rPr>
            </w:pPr>
            <w:r>
              <w:rPr>
                <w:rFonts w:hint="eastAsia" w:ascii="仿宋" w:hAnsi="仿宋" w:eastAsia="仿宋" w:cs="仿宋"/>
                <w:sz w:val="24"/>
                <w:szCs w:val="24"/>
              </w:rPr>
              <w:t>地址</w:t>
            </w:r>
          </w:p>
        </w:tc>
        <w:tc>
          <w:tcPr>
            <w:tcW w:w="2131" w:type="dxa"/>
            <w:noWrap w:val="0"/>
            <w:vAlign w:val="top"/>
          </w:tcPr>
          <w:p w14:paraId="1D46B269">
            <w:pPr>
              <w:jc w:val="left"/>
              <w:rPr>
                <w:rFonts w:hint="eastAsia" w:ascii="仿宋" w:hAnsi="仿宋" w:eastAsia="仿宋" w:cs="仿宋"/>
                <w:sz w:val="24"/>
                <w:szCs w:val="24"/>
              </w:rPr>
            </w:pPr>
            <w:r>
              <w:rPr>
                <w:rFonts w:hint="eastAsia" w:ascii="仿宋" w:hAnsi="仿宋" w:eastAsia="仿宋" w:cs="仿宋"/>
                <w:sz w:val="24"/>
                <w:szCs w:val="24"/>
              </w:rPr>
              <w:t>电话</w:t>
            </w:r>
          </w:p>
        </w:tc>
      </w:tr>
      <w:tr w14:paraId="717D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30" w:type="dxa"/>
            <w:noWrap w:val="0"/>
            <w:vAlign w:val="top"/>
          </w:tcPr>
          <w:p w14:paraId="285C51EC">
            <w:pPr>
              <w:jc w:val="left"/>
              <w:rPr>
                <w:rFonts w:hint="eastAsia" w:ascii="仿宋" w:hAnsi="仿宋" w:eastAsia="仿宋" w:cs="仿宋"/>
                <w:sz w:val="22"/>
                <w:szCs w:val="22"/>
              </w:rPr>
            </w:pPr>
            <w:r>
              <w:rPr>
                <w:rFonts w:hint="eastAsia" w:ascii="仿宋" w:hAnsi="仿宋" w:eastAsia="仿宋" w:cs="仿宋"/>
                <w:sz w:val="22"/>
                <w:szCs w:val="22"/>
              </w:rPr>
              <w:t>杨洋</w:t>
            </w:r>
          </w:p>
        </w:tc>
        <w:tc>
          <w:tcPr>
            <w:tcW w:w="2130" w:type="dxa"/>
            <w:noWrap w:val="0"/>
            <w:vAlign w:val="top"/>
          </w:tcPr>
          <w:p w14:paraId="345E917A">
            <w:pPr>
              <w:jc w:val="left"/>
              <w:rPr>
                <w:rFonts w:hint="eastAsia" w:ascii="仿宋" w:hAnsi="仿宋" w:eastAsia="仿宋" w:cs="仿宋"/>
                <w:sz w:val="22"/>
                <w:szCs w:val="22"/>
              </w:rPr>
            </w:pPr>
            <w:r>
              <w:rPr>
                <w:rFonts w:hint="eastAsia" w:ascii="仿宋" w:hAnsi="仿宋" w:eastAsia="仿宋" w:cs="仿宋"/>
                <w:sz w:val="22"/>
                <w:szCs w:val="22"/>
              </w:rPr>
              <w:t>客户经理</w:t>
            </w:r>
          </w:p>
        </w:tc>
        <w:tc>
          <w:tcPr>
            <w:tcW w:w="2131" w:type="dxa"/>
            <w:vMerge w:val="restart"/>
            <w:noWrap w:val="0"/>
            <w:vAlign w:val="top"/>
          </w:tcPr>
          <w:p w14:paraId="6F18334C">
            <w:pPr>
              <w:jc w:val="left"/>
              <w:rPr>
                <w:rFonts w:hint="eastAsia" w:ascii="仿宋" w:hAnsi="仿宋" w:eastAsia="仿宋" w:cs="仿宋"/>
                <w:sz w:val="22"/>
                <w:szCs w:val="22"/>
              </w:rPr>
            </w:pPr>
            <w:r>
              <w:rPr>
                <w:rFonts w:hint="eastAsia" w:ascii="仿宋" w:hAnsi="仿宋" w:eastAsia="仿宋" w:cs="仿宋"/>
                <w:sz w:val="22"/>
                <w:szCs w:val="22"/>
              </w:rPr>
              <w:t>洛阳市洛龙区关林路与厚载门街交叉口隆安大厦</w:t>
            </w:r>
          </w:p>
        </w:tc>
        <w:tc>
          <w:tcPr>
            <w:tcW w:w="2131" w:type="dxa"/>
            <w:noWrap w:val="0"/>
            <w:vAlign w:val="top"/>
          </w:tcPr>
          <w:p w14:paraId="60693857">
            <w:pPr>
              <w:jc w:val="left"/>
              <w:rPr>
                <w:rFonts w:hint="eastAsia" w:ascii="仿宋" w:hAnsi="仿宋" w:eastAsia="仿宋" w:cs="仿宋"/>
                <w:sz w:val="22"/>
                <w:szCs w:val="22"/>
              </w:rPr>
            </w:pPr>
            <w:r>
              <w:rPr>
                <w:rFonts w:hint="eastAsia" w:ascii="仿宋" w:hAnsi="仿宋" w:eastAsia="仿宋" w:cs="仿宋"/>
                <w:sz w:val="22"/>
                <w:szCs w:val="22"/>
              </w:rPr>
              <w:t>15896531927</w:t>
            </w:r>
          </w:p>
        </w:tc>
      </w:tr>
      <w:tr w14:paraId="0B79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60C16448">
            <w:pPr>
              <w:jc w:val="left"/>
              <w:rPr>
                <w:rFonts w:hint="eastAsia" w:ascii="仿宋" w:hAnsi="仿宋" w:eastAsia="仿宋" w:cs="仿宋"/>
                <w:sz w:val="22"/>
                <w:szCs w:val="22"/>
              </w:rPr>
            </w:pPr>
            <w:r>
              <w:rPr>
                <w:rFonts w:hint="eastAsia" w:ascii="仿宋" w:hAnsi="仿宋" w:eastAsia="仿宋" w:cs="仿宋"/>
                <w:sz w:val="22"/>
                <w:szCs w:val="22"/>
              </w:rPr>
              <w:t>马超</w:t>
            </w:r>
          </w:p>
        </w:tc>
        <w:tc>
          <w:tcPr>
            <w:tcW w:w="2130" w:type="dxa"/>
            <w:noWrap w:val="0"/>
            <w:vAlign w:val="top"/>
          </w:tcPr>
          <w:p w14:paraId="431EE17C">
            <w:pPr>
              <w:jc w:val="left"/>
              <w:rPr>
                <w:rFonts w:hint="eastAsia" w:ascii="仿宋" w:hAnsi="仿宋" w:eastAsia="仿宋" w:cs="仿宋"/>
                <w:sz w:val="22"/>
                <w:szCs w:val="22"/>
              </w:rPr>
            </w:pPr>
            <w:r>
              <w:rPr>
                <w:rFonts w:hint="eastAsia" w:ascii="仿宋" w:hAnsi="仿宋" w:eastAsia="仿宋" w:cs="仿宋"/>
                <w:sz w:val="22"/>
                <w:szCs w:val="22"/>
              </w:rPr>
              <w:t>客户经理</w:t>
            </w:r>
          </w:p>
        </w:tc>
        <w:tc>
          <w:tcPr>
            <w:tcW w:w="2131" w:type="dxa"/>
            <w:vMerge w:val="continue"/>
            <w:noWrap w:val="0"/>
            <w:vAlign w:val="top"/>
          </w:tcPr>
          <w:p w14:paraId="5C913EFC">
            <w:pPr>
              <w:jc w:val="left"/>
              <w:rPr>
                <w:rFonts w:hint="eastAsia" w:ascii="仿宋" w:hAnsi="仿宋" w:eastAsia="仿宋" w:cs="仿宋"/>
                <w:sz w:val="22"/>
                <w:szCs w:val="22"/>
              </w:rPr>
            </w:pPr>
          </w:p>
        </w:tc>
        <w:tc>
          <w:tcPr>
            <w:tcW w:w="2131" w:type="dxa"/>
            <w:noWrap w:val="0"/>
            <w:vAlign w:val="top"/>
          </w:tcPr>
          <w:p w14:paraId="64ED583A">
            <w:pPr>
              <w:jc w:val="left"/>
              <w:rPr>
                <w:rFonts w:hint="eastAsia" w:ascii="仿宋" w:hAnsi="仿宋" w:eastAsia="仿宋" w:cs="仿宋"/>
                <w:sz w:val="22"/>
                <w:szCs w:val="22"/>
              </w:rPr>
            </w:pPr>
            <w:r>
              <w:rPr>
                <w:rFonts w:hint="eastAsia" w:ascii="仿宋" w:hAnsi="仿宋" w:eastAsia="仿宋" w:cs="仿宋"/>
                <w:sz w:val="22"/>
                <w:szCs w:val="22"/>
              </w:rPr>
              <w:t>13072629900</w:t>
            </w:r>
          </w:p>
        </w:tc>
      </w:tr>
    </w:tbl>
    <w:p w14:paraId="5FF384A0">
      <w:pPr>
        <w:ind w:firstLine="600"/>
        <w:jc w:val="left"/>
        <w:outlineLvl w:val="9"/>
        <w:rPr>
          <w:rFonts w:hint="eastAsia" w:ascii="仿宋" w:hAnsi="仿宋" w:eastAsia="仿宋" w:cs="仿宋"/>
          <w:sz w:val="22"/>
          <w:szCs w:val="22"/>
        </w:rPr>
      </w:pPr>
      <w:bookmarkStart w:id="193" w:name="_Toc8996"/>
      <w:r>
        <w:rPr>
          <w:rFonts w:hint="eastAsia" w:ascii="仿宋" w:hAnsi="仿宋" w:eastAsia="仿宋" w:cs="仿宋"/>
          <w:sz w:val="22"/>
          <w:szCs w:val="22"/>
        </w:rPr>
        <w:t>二、融资产品介绍：</w:t>
      </w:r>
      <w:bookmarkEnd w:id="193"/>
    </w:p>
    <w:p w14:paraId="2B6F92E5">
      <w:pPr>
        <w:ind w:firstLine="600"/>
        <w:jc w:val="left"/>
        <w:rPr>
          <w:rFonts w:hint="eastAsia" w:ascii="仿宋" w:hAnsi="仿宋" w:eastAsia="仿宋" w:cs="仿宋"/>
          <w:sz w:val="22"/>
          <w:szCs w:val="22"/>
        </w:rPr>
      </w:pPr>
      <w:r>
        <w:rPr>
          <w:rFonts w:hint="eastAsia" w:ascii="仿宋" w:hAnsi="仿宋" w:eastAsia="仿宋" w:cs="仿宋"/>
          <w:sz w:val="22"/>
          <w:szCs w:val="22"/>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165569E3">
      <w:pPr>
        <w:ind w:firstLine="600"/>
        <w:jc w:val="left"/>
        <w:rPr>
          <w:rFonts w:hint="eastAsia" w:ascii="仿宋" w:hAnsi="仿宋" w:eastAsia="仿宋" w:cs="仿宋"/>
          <w:sz w:val="22"/>
          <w:szCs w:val="22"/>
        </w:rPr>
      </w:pPr>
      <w:r>
        <w:rPr>
          <w:rFonts w:hint="eastAsia" w:ascii="仿宋" w:hAnsi="仿宋" w:eastAsia="仿宋" w:cs="仿宋"/>
          <w:b/>
          <w:bCs/>
          <w:sz w:val="22"/>
          <w:szCs w:val="22"/>
        </w:rPr>
        <w:t>“E采贷”五大特点</w:t>
      </w:r>
      <w:r>
        <w:rPr>
          <w:rFonts w:hint="eastAsia" w:ascii="仿宋" w:hAnsi="仿宋" w:eastAsia="仿宋" w:cs="仿宋"/>
          <w:sz w:val="22"/>
          <w:szCs w:val="22"/>
        </w:rPr>
        <w:t>：1.纯信用：无需抵押、担保；2.更灵活：随借随还，按需支用；3.额度高：最高为上年度中标额的1.3倍，单笔最高1000万元；4.适用广：在河南省政府采购网（www.hngp.gov.cn）有备案信息即可准入；5.效率高：绿色通道，保证时效。</w:t>
      </w:r>
    </w:p>
    <w:p w14:paraId="27C3D1C1">
      <w:pPr>
        <w:ind w:firstLine="600"/>
        <w:jc w:val="left"/>
        <w:rPr>
          <w:rFonts w:hint="eastAsia" w:ascii="仿宋" w:hAnsi="仿宋" w:eastAsia="仿宋" w:cs="仿宋"/>
          <w:sz w:val="22"/>
          <w:szCs w:val="22"/>
        </w:rPr>
      </w:pPr>
      <w:r>
        <w:rPr>
          <w:rFonts w:hint="eastAsia" w:ascii="仿宋" w:hAnsi="仿宋" w:eastAsia="仿宋" w:cs="仿宋"/>
          <w:b/>
          <w:bCs/>
          <w:sz w:val="22"/>
          <w:szCs w:val="22"/>
        </w:rPr>
        <w:t>业务流程</w:t>
      </w:r>
      <w:r>
        <w:rPr>
          <w:rFonts w:hint="eastAsia" w:ascii="仿宋" w:hAnsi="仿宋" w:eastAsia="仿宋" w:cs="仿宋"/>
          <w:sz w:val="22"/>
          <w:szCs w:val="22"/>
        </w:rPr>
        <w:t>：</w:t>
      </w:r>
    </w:p>
    <w:p w14:paraId="69C812FB">
      <w:pPr>
        <w:ind w:firstLine="600"/>
        <w:jc w:val="left"/>
        <w:rPr>
          <w:rFonts w:hint="eastAsia" w:ascii="仿宋" w:hAnsi="仿宋" w:eastAsia="仿宋" w:cs="仿宋"/>
          <w:sz w:val="22"/>
          <w:szCs w:val="22"/>
        </w:rPr>
      </w:pPr>
      <w:r>
        <w:rPr>
          <w:rFonts w:hint="eastAsia" w:ascii="仿宋" w:hAnsi="仿宋" w:eastAsia="仿宋" w:cs="仿宋"/>
          <w:sz w:val="22"/>
          <w:szCs w:val="22"/>
        </w:rPr>
        <w:t>1.企业申请：凭政府采购中标通知书，向郑州银行提出授信申请。</w:t>
      </w:r>
    </w:p>
    <w:p w14:paraId="3D513F6A">
      <w:pPr>
        <w:ind w:firstLine="600"/>
        <w:jc w:val="left"/>
        <w:rPr>
          <w:rFonts w:hint="eastAsia" w:ascii="仿宋" w:hAnsi="仿宋" w:eastAsia="仿宋" w:cs="仿宋"/>
          <w:sz w:val="22"/>
          <w:szCs w:val="22"/>
        </w:rPr>
      </w:pPr>
      <w:r>
        <w:rPr>
          <w:rFonts w:hint="eastAsia" w:ascii="仿宋" w:hAnsi="仿宋" w:eastAsia="仿宋" w:cs="仿宋"/>
          <w:sz w:val="22"/>
          <w:szCs w:val="22"/>
        </w:rPr>
        <w:t>2.银行审批：客户经理现场调查，3个工作日反馈审批结果。</w:t>
      </w:r>
    </w:p>
    <w:p w14:paraId="608834CB">
      <w:pPr>
        <w:ind w:firstLine="600"/>
        <w:jc w:val="left"/>
        <w:rPr>
          <w:rFonts w:hint="eastAsia" w:ascii="仿宋" w:hAnsi="仿宋" w:eastAsia="仿宋" w:cs="仿宋"/>
          <w:sz w:val="22"/>
          <w:szCs w:val="22"/>
        </w:rPr>
      </w:pPr>
      <w:r>
        <w:rPr>
          <w:rFonts w:hint="eastAsia" w:ascii="仿宋" w:hAnsi="仿宋" w:eastAsia="仿宋" w:cs="仿宋"/>
          <w:sz w:val="22"/>
          <w:szCs w:val="22"/>
        </w:rPr>
        <w:t>3.企业提款：凭政府采购合同、购销合同等即可提款使用。</w:t>
      </w:r>
    </w:p>
    <w:p w14:paraId="579787E8">
      <w:pPr>
        <w:ind w:firstLine="600"/>
        <w:jc w:val="left"/>
        <w:rPr>
          <w:rFonts w:hint="eastAsia" w:ascii="仿宋" w:hAnsi="仿宋" w:eastAsia="仿宋" w:cs="仿宋"/>
          <w:sz w:val="22"/>
          <w:szCs w:val="22"/>
        </w:rPr>
      </w:pPr>
      <w:r>
        <w:rPr>
          <w:rFonts w:hint="eastAsia" w:ascii="仿宋" w:hAnsi="仿宋" w:eastAsia="仿宋" w:cs="仿宋"/>
          <w:b/>
          <w:bCs/>
          <w:sz w:val="22"/>
          <w:szCs w:val="22"/>
        </w:rPr>
        <w:t>利率及优惠政策</w:t>
      </w:r>
      <w:r>
        <w:rPr>
          <w:rFonts w:hint="eastAsia" w:ascii="仿宋" w:hAnsi="仿宋" w:eastAsia="仿宋" w:cs="仿宋"/>
          <w:sz w:val="22"/>
          <w:szCs w:val="22"/>
        </w:rPr>
        <w:t>：</w:t>
      </w:r>
    </w:p>
    <w:p w14:paraId="10C988FF">
      <w:pPr>
        <w:ind w:firstLine="600"/>
        <w:jc w:val="left"/>
        <w:rPr>
          <w:rFonts w:hint="eastAsia" w:ascii="仿宋" w:hAnsi="仿宋" w:eastAsia="仿宋" w:cs="仿宋"/>
          <w:sz w:val="22"/>
          <w:szCs w:val="22"/>
        </w:rPr>
      </w:pPr>
      <w:r>
        <w:rPr>
          <w:rFonts w:hint="eastAsia" w:ascii="仿宋" w:hAnsi="仿宋" w:eastAsia="仿宋" w:cs="仿宋"/>
          <w:sz w:val="22"/>
          <w:szCs w:val="22"/>
        </w:rPr>
        <w:t>原则上年利率不低于7%，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25BE2CAB">
      <w:pPr>
        <w:ind w:firstLine="600"/>
        <w:jc w:val="center"/>
        <w:rPr>
          <w:rFonts w:hint="eastAsia" w:ascii="仿宋" w:hAnsi="仿宋" w:eastAsia="仿宋" w:cs="仿宋"/>
          <w:b/>
          <w:bCs/>
          <w:i w:val="0"/>
          <w:iCs w:val="0"/>
          <w:sz w:val="28"/>
          <w:szCs w:val="28"/>
          <w:lang w:eastAsia="zh-CN"/>
        </w:rPr>
      </w:pPr>
      <w:r>
        <w:rPr>
          <w:rFonts w:hint="eastAsia" w:ascii="仿宋" w:hAnsi="仿宋" w:eastAsia="仿宋" w:cs="仿宋"/>
          <w:b/>
          <w:bCs/>
          <w:i w:val="0"/>
          <w:iCs w:val="0"/>
          <w:sz w:val="28"/>
          <w:szCs w:val="28"/>
          <w:lang w:eastAsia="zh-CN"/>
        </w:rPr>
        <w:t>中原银行洛阳分行政府采购融资贷</w:t>
      </w:r>
    </w:p>
    <w:p w14:paraId="05CD438C">
      <w:pPr>
        <w:ind w:firstLine="600"/>
        <w:jc w:val="center"/>
        <w:rPr>
          <w:rFonts w:hint="eastAsia" w:ascii="仿宋" w:hAnsi="仿宋" w:eastAsia="仿宋" w:cs="仿宋"/>
          <w:b/>
          <w:bCs/>
          <w:i w:val="0"/>
          <w:iCs w:val="0"/>
          <w:sz w:val="28"/>
          <w:szCs w:val="28"/>
          <w:lang w:eastAsia="zh-CN"/>
        </w:rPr>
      </w:pPr>
      <w:r>
        <w:rPr>
          <w:rFonts w:hint="eastAsia" w:ascii="仿宋" w:hAnsi="仿宋" w:eastAsia="仿宋" w:cs="仿宋"/>
          <w:b/>
          <w:bCs/>
          <w:i w:val="0"/>
          <w:iCs w:val="0"/>
          <w:sz w:val="28"/>
          <w:szCs w:val="28"/>
          <w:lang w:eastAsia="zh-CN"/>
        </w:rPr>
        <w:t>联系方式及融资产品介绍</w:t>
      </w:r>
    </w:p>
    <w:p w14:paraId="31D8F113">
      <w:pPr>
        <w:ind w:firstLine="600"/>
        <w:jc w:val="left"/>
        <w:rPr>
          <w:rFonts w:hint="eastAsia" w:ascii="仿宋" w:hAnsi="仿宋" w:eastAsia="仿宋" w:cs="仿宋"/>
          <w:sz w:val="22"/>
          <w:szCs w:val="22"/>
          <w:lang w:eastAsia="zh-CN"/>
        </w:rPr>
      </w:pPr>
      <w:r>
        <w:rPr>
          <w:rFonts w:hint="eastAsia" w:ascii="仿宋" w:hAnsi="仿宋" w:eastAsia="仿宋" w:cs="仿宋"/>
          <w:sz w:val="22"/>
          <w:szCs w:val="22"/>
          <w:lang w:eastAsia="zh-CN"/>
        </w:rPr>
        <w:t>一、联系方式：</w:t>
      </w:r>
    </w:p>
    <w:tbl>
      <w:tblPr>
        <w:tblStyle w:val="6"/>
        <w:tblW w:w="8253"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542"/>
        <w:gridCol w:w="3420"/>
        <w:gridCol w:w="1842"/>
      </w:tblGrid>
      <w:tr w14:paraId="4A7A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center"/>
          </w:tcPr>
          <w:p w14:paraId="0C21E759">
            <w:pPr>
              <w:ind w:firstLine="189" w:firstLineChars="100"/>
              <w:rPr>
                <w:rFonts w:hint="eastAsia" w:ascii="仿宋" w:hAnsi="仿宋" w:eastAsia="仿宋" w:cs="仿宋"/>
                <w:color w:val="000000"/>
                <w:sz w:val="22"/>
                <w:szCs w:val="22"/>
              </w:rPr>
            </w:pPr>
            <w:r>
              <w:rPr>
                <w:rFonts w:hint="eastAsia" w:ascii="仿宋" w:hAnsi="仿宋" w:eastAsia="仿宋" w:cs="仿宋"/>
                <w:color w:val="000000"/>
                <w:sz w:val="22"/>
                <w:szCs w:val="22"/>
              </w:rPr>
              <w:t>联系人</w:t>
            </w:r>
          </w:p>
        </w:tc>
        <w:tc>
          <w:tcPr>
            <w:tcW w:w="1542" w:type="dxa"/>
            <w:noWrap w:val="0"/>
            <w:vAlign w:val="center"/>
          </w:tcPr>
          <w:p w14:paraId="3C08E2A8">
            <w:pPr>
              <w:ind w:firstLine="284" w:firstLineChars="150"/>
              <w:rPr>
                <w:rFonts w:hint="eastAsia" w:ascii="仿宋" w:hAnsi="仿宋" w:eastAsia="仿宋" w:cs="仿宋"/>
                <w:color w:val="000000"/>
                <w:sz w:val="22"/>
                <w:szCs w:val="22"/>
              </w:rPr>
            </w:pPr>
            <w:r>
              <w:rPr>
                <w:rFonts w:hint="eastAsia" w:ascii="仿宋" w:hAnsi="仿宋" w:eastAsia="仿宋" w:cs="仿宋"/>
                <w:color w:val="000000"/>
                <w:sz w:val="22"/>
                <w:szCs w:val="22"/>
              </w:rPr>
              <w:t>职务</w:t>
            </w:r>
          </w:p>
        </w:tc>
        <w:tc>
          <w:tcPr>
            <w:tcW w:w="3420" w:type="dxa"/>
            <w:noWrap w:val="0"/>
            <w:vAlign w:val="center"/>
          </w:tcPr>
          <w:p w14:paraId="0D1CF681">
            <w:pPr>
              <w:ind w:firstLine="567" w:firstLineChars="300"/>
              <w:rPr>
                <w:rFonts w:hint="eastAsia" w:ascii="仿宋" w:hAnsi="仿宋" w:eastAsia="仿宋" w:cs="仿宋"/>
                <w:color w:val="000000"/>
                <w:sz w:val="22"/>
                <w:szCs w:val="22"/>
              </w:rPr>
            </w:pPr>
            <w:r>
              <w:rPr>
                <w:rFonts w:hint="eastAsia" w:ascii="仿宋" w:hAnsi="仿宋" w:eastAsia="仿宋" w:cs="仿宋"/>
                <w:color w:val="000000"/>
                <w:sz w:val="22"/>
                <w:szCs w:val="22"/>
              </w:rPr>
              <w:t>地址</w:t>
            </w:r>
          </w:p>
        </w:tc>
        <w:tc>
          <w:tcPr>
            <w:tcW w:w="1842" w:type="dxa"/>
            <w:noWrap w:val="0"/>
            <w:vAlign w:val="center"/>
          </w:tcPr>
          <w:p w14:paraId="4903BFB6">
            <w:pPr>
              <w:ind w:firstLine="378" w:firstLineChars="200"/>
              <w:rPr>
                <w:rFonts w:hint="eastAsia" w:ascii="仿宋" w:hAnsi="仿宋" w:eastAsia="仿宋" w:cs="仿宋"/>
                <w:color w:val="000000"/>
                <w:sz w:val="22"/>
                <w:szCs w:val="22"/>
              </w:rPr>
            </w:pPr>
            <w:r>
              <w:rPr>
                <w:rFonts w:hint="eastAsia" w:ascii="仿宋" w:hAnsi="仿宋" w:eastAsia="仿宋" w:cs="仿宋"/>
                <w:color w:val="000000"/>
                <w:sz w:val="22"/>
                <w:szCs w:val="22"/>
              </w:rPr>
              <w:t>电话</w:t>
            </w:r>
          </w:p>
        </w:tc>
      </w:tr>
      <w:tr w14:paraId="4D2A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top"/>
          </w:tcPr>
          <w:p w14:paraId="0AA82321">
            <w:pPr>
              <w:rPr>
                <w:rFonts w:hint="eastAsia" w:ascii="仿宋" w:hAnsi="仿宋" w:eastAsia="仿宋" w:cs="仿宋"/>
                <w:sz w:val="22"/>
                <w:szCs w:val="22"/>
              </w:rPr>
            </w:pPr>
            <w:r>
              <w:rPr>
                <w:rFonts w:hint="eastAsia" w:ascii="仿宋" w:hAnsi="仿宋" w:eastAsia="仿宋" w:cs="仿宋"/>
                <w:sz w:val="22"/>
                <w:szCs w:val="22"/>
              </w:rPr>
              <w:t>刘严</w:t>
            </w:r>
          </w:p>
        </w:tc>
        <w:tc>
          <w:tcPr>
            <w:tcW w:w="1542" w:type="dxa"/>
            <w:noWrap w:val="0"/>
            <w:vAlign w:val="center"/>
          </w:tcPr>
          <w:p w14:paraId="1941B9D2">
            <w:pPr>
              <w:rPr>
                <w:rFonts w:hint="eastAsia" w:ascii="仿宋" w:hAnsi="仿宋" w:eastAsia="仿宋" w:cs="仿宋"/>
                <w:sz w:val="22"/>
                <w:szCs w:val="22"/>
              </w:rPr>
            </w:pPr>
            <w:r>
              <w:rPr>
                <w:rFonts w:hint="eastAsia" w:ascii="仿宋" w:hAnsi="仿宋" w:eastAsia="仿宋" w:cs="仿宋"/>
                <w:sz w:val="22"/>
                <w:szCs w:val="22"/>
              </w:rPr>
              <w:t>业务主管</w:t>
            </w:r>
          </w:p>
        </w:tc>
        <w:tc>
          <w:tcPr>
            <w:tcW w:w="3420" w:type="dxa"/>
            <w:noWrap w:val="0"/>
            <w:vAlign w:val="top"/>
          </w:tcPr>
          <w:p w14:paraId="26D473FB">
            <w:pPr>
              <w:rPr>
                <w:rFonts w:hint="eastAsia" w:ascii="仿宋" w:hAnsi="仿宋" w:eastAsia="仿宋" w:cs="仿宋"/>
                <w:sz w:val="22"/>
                <w:szCs w:val="22"/>
              </w:rPr>
            </w:pPr>
            <w:r>
              <w:rPr>
                <w:rFonts w:hint="eastAsia" w:ascii="仿宋" w:hAnsi="仿宋" w:eastAsia="仿宋" w:cs="仿宋"/>
                <w:sz w:val="22"/>
                <w:szCs w:val="22"/>
              </w:rPr>
              <w:t>洛阳市洛龙区长兴街66号</w:t>
            </w:r>
          </w:p>
        </w:tc>
        <w:tc>
          <w:tcPr>
            <w:tcW w:w="1842" w:type="dxa"/>
            <w:noWrap w:val="0"/>
            <w:vAlign w:val="top"/>
          </w:tcPr>
          <w:p w14:paraId="7476B080">
            <w:pPr>
              <w:rPr>
                <w:rFonts w:hint="eastAsia" w:ascii="仿宋" w:hAnsi="仿宋" w:eastAsia="仿宋" w:cs="仿宋"/>
                <w:sz w:val="22"/>
                <w:szCs w:val="22"/>
              </w:rPr>
            </w:pPr>
            <w:r>
              <w:rPr>
                <w:rFonts w:hint="eastAsia" w:ascii="仿宋" w:hAnsi="仿宋" w:eastAsia="仿宋" w:cs="仿宋"/>
                <w:sz w:val="22"/>
                <w:szCs w:val="22"/>
              </w:rPr>
              <w:t>17737997995</w:t>
            </w:r>
          </w:p>
        </w:tc>
      </w:tr>
      <w:tr w14:paraId="69BD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top"/>
          </w:tcPr>
          <w:p w14:paraId="6A436674">
            <w:pPr>
              <w:rPr>
                <w:rFonts w:hint="eastAsia" w:ascii="仿宋" w:hAnsi="仿宋" w:eastAsia="仿宋" w:cs="仿宋"/>
                <w:sz w:val="22"/>
                <w:szCs w:val="22"/>
              </w:rPr>
            </w:pPr>
            <w:r>
              <w:rPr>
                <w:rFonts w:hint="eastAsia" w:ascii="仿宋" w:hAnsi="仿宋" w:eastAsia="仿宋" w:cs="仿宋"/>
                <w:sz w:val="22"/>
                <w:szCs w:val="22"/>
              </w:rPr>
              <w:t>许然涛</w:t>
            </w:r>
          </w:p>
        </w:tc>
        <w:tc>
          <w:tcPr>
            <w:tcW w:w="1542" w:type="dxa"/>
            <w:noWrap w:val="0"/>
            <w:vAlign w:val="center"/>
          </w:tcPr>
          <w:p w14:paraId="20621C28">
            <w:pPr>
              <w:rPr>
                <w:rFonts w:hint="eastAsia" w:ascii="仿宋" w:hAnsi="仿宋" w:eastAsia="仿宋" w:cs="仿宋"/>
                <w:sz w:val="22"/>
                <w:szCs w:val="22"/>
              </w:rPr>
            </w:pPr>
            <w:r>
              <w:rPr>
                <w:rFonts w:hint="eastAsia" w:ascii="仿宋" w:hAnsi="仿宋" w:eastAsia="仿宋" w:cs="仿宋"/>
                <w:sz w:val="22"/>
                <w:szCs w:val="22"/>
              </w:rPr>
              <w:t>业务经理</w:t>
            </w:r>
          </w:p>
        </w:tc>
        <w:tc>
          <w:tcPr>
            <w:tcW w:w="3420" w:type="dxa"/>
            <w:noWrap w:val="0"/>
            <w:vAlign w:val="top"/>
          </w:tcPr>
          <w:p w14:paraId="19C1F0B6">
            <w:pPr>
              <w:rPr>
                <w:rFonts w:hint="eastAsia" w:ascii="仿宋" w:hAnsi="仿宋" w:eastAsia="仿宋" w:cs="仿宋"/>
                <w:sz w:val="22"/>
                <w:szCs w:val="22"/>
              </w:rPr>
            </w:pPr>
            <w:r>
              <w:rPr>
                <w:rFonts w:hint="eastAsia" w:ascii="仿宋" w:hAnsi="仿宋" w:eastAsia="仿宋" w:cs="仿宋"/>
                <w:sz w:val="22"/>
                <w:szCs w:val="22"/>
              </w:rPr>
              <w:t>洛阳市洛龙区长兴街66号</w:t>
            </w:r>
          </w:p>
        </w:tc>
        <w:tc>
          <w:tcPr>
            <w:tcW w:w="1842" w:type="dxa"/>
            <w:noWrap w:val="0"/>
            <w:vAlign w:val="top"/>
          </w:tcPr>
          <w:p w14:paraId="209A7386">
            <w:pPr>
              <w:rPr>
                <w:rFonts w:hint="eastAsia" w:ascii="仿宋" w:hAnsi="仿宋" w:eastAsia="仿宋" w:cs="仿宋"/>
                <w:sz w:val="22"/>
                <w:szCs w:val="22"/>
              </w:rPr>
            </w:pPr>
            <w:r>
              <w:rPr>
                <w:rFonts w:hint="eastAsia" w:ascii="仿宋" w:hAnsi="仿宋" w:eastAsia="仿宋" w:cs="仿宋"/>
                <w:sz w:val="22"/>
                <w:szCs w:val="22"/>
              </w:rPr>
              <w:t>19903896628</w:t>
            </w:r>
          </w:p>
        </w:tc>
      </w:tr>
      <w:tr w14:paraId="0487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noWrap w:val="0"/>
            <w:vAlign w:val="top"/>
          </w:tcPr>
          <w:p w14:paraId="45CDC473">
            <w:pPr>
              <w:rPr>
                <w:rFonts w:hint="eastAsia" w:ascii="仿宋" w:hAnsi="仿宋" w:eastAsia="仿宋" w:cs="仿宋"/>
                <w:sz w:val="22"/>
                <w:szCs w:val="22"/>
              </w:rPr>
            </w:pPr>
            <w:r>
              <w:rPr>
                <w:rFonts w:hint="eastAsia" w:ascii="仿宋" w:hAnsi="仿宋" w:eastAsia="仿宋" w:cs="仿宋"/>
                <w:sz w:val="22"/>
                <w:szCs w:val="22"/>
              </w:rPr>
              <w:t>张奇浩</w:t>
            </w:r>
          </w:p>
        </w:tc>
        <w:tc>
          <w:tcPr>
            <w:tcW w:w="1542" w:type="dxa"/>
            <w:noWrap w:val="0"/>
            <w:vAlign w:val="center"/>
          </w:tcPr>
          <w:p w14:paraId="4DB846F8">
            <w:pPr>
              <w:rPr>
                <w:rFonts w:hint="eastAsia" w:ascii="仿宋" w:hAnsi="仿宋" w:eastAsia="仿宋" w:cs="仿宋"/>
                <w:sz w:val="22"/>
                <w:szCs w:val="22"/>
              </w:rPr>
            </w:pPr>
            <w:r>
              <w:rPr>
                <w:rFonts w:hint="eastAsia" w:ascii="仿宋" w:hAnsi="仿宋" w:eastAsia="仿宋" w:cs="仿宋"/>
                <w:sz w:val="22"/>
                <w:szCs w:val="22"/>
              </w:rPr>
              <w:t>业务经理</w:t>
            </w:r>
          </w:p>
        </w:tc>
        <w:tc>
          <w:tcPr>
            <w:tcW w:w="3420" w:type="dxa"/>
            <w:noWrap w:val="0"/>
            <w:vAlign w:val="top"/>
          </w:tcPr>
          <w:p w14:paraId="59952650">
            <w:pPr>
              <w:rPr>
                <w:rFonts w:hint="eastAsia" w:ascii="仿宋" w:hAnsi="仿宋" w:eastAsia="仿宋" w:cs="仿宋"/>
                <w:sz w:val="22"/>
                <w:szCs w:val="22"/>
              </w:rPr>
            </w:pPr>
            <w:r>
              <w:rPr>
                <w:rFonts w:hint="eastAsia" w:ascii="仿宋" w:hAnsi="仿宋" w:eastAsia="仿宋" w:cs="仿宋"/>
                <w:sz w:val="22"/>
                <w:szCs w:val="22"/>
              </w:rPr>
              <w:t>洛阳市洛龙区长兴街66号</w:t>
            </w:r>
          </w:p>
        </w:tc>
        <w:tc>
          <w:tcPr>
            <w:tcW w:w="1842" w:type="dxa"/>
            <w:noWrap w:val="0"/>
            <w:vAlign w:val="top"/>
          </w:tcPr>
          <w:p w14:paraId="5650DB74">
            <w:pPr>
              <w:rPr>
                <w:rFonts w:hint="eastAsia" w:ascii="仿宋" w:hAnsi="仿宋" w:eastAsia="仿宋" w:cs="仿宋"/>
                <w:sz w:val="22"/>
                <w:szCs w:val="22"/>
              </w:rPr>
            </w:pPr>
            <w:r>
              <w:rPr>
                <w:rFonts w:hint="eastAsia" w:ascii="仿宋" w:hAnsi="仿宋" w:eastAsia="仿宋" w:cs="仿宋"/>
                <w:sz w:val="22"/>
                <w:szCs w:val="22"/>
              </w:rPr>
              <w:t>17737997993</w:t>
            </w:r>
          </w:p>
        </w:tc>
      </w:tr>
    </w:tbl>
    <w:p w14:paraId="7E9D7B4E">
      <w:pPr>
        <w:ind w:firstLine="378" w:firstLineChars="200"/>
        <w:outlineLvl w:val="9"/>
        <w:rPr>
          <w:rFonts w:hint="eastAsia" w:ascii="仿宋" w:hAnsi="仿宋" w:eastAsia="仿宋" w:cs="仿宋"/>
          <w:sz w:val="22"/>
          <w:szCs w:val="22"/>
          <w:lang w:val="zh-TW" w:eastAsia="zh-TW" w:bidi="zh-TW"/>
        </w:rPr>
      </w:pPr>
      <w:bookmarkStart w:id="194" w:name="_Toc2642"/>
      <w:r>
        <w:rPr>
          <w:rFonts w:hint="eastAsia" w:ascii="仿宋" w:hAnsi="仿宋" w:eastAsia="仿宋" w:cs="仿宋"/>
          <w:sz w:val="22"/>
          <w:szCs w:val="22"/>
          <w:lang w:val="zh-TW" w:eastAsia="zh-TW" w:bidi="zh-TW"/>
        </w:rPr>
        <w:t>二、融资方案及融资产品</w:t>
      </w:r>
      <w:bookmarkEnd w:id="194"/>
    </w:p>
    <w:p w14:paraId="49307F7F">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我行推出的政府采购融资产品为信用贷款产品“政采贷”。中原银行小微企业政府采购贷款是指在政府采购招标方式下，根据政府采购中标通知书或合同，以政府财政支付资金为主要还款来源，通过封闭回款路径等方式，为小微企业提供融资服务的业务。</w:t>
      </w:r>
    </w:p>
    <w:p w14:paraId="7CAB2BB7">
      <w:pPr>
        <w:ind w:firstLine="378" w:firstLineChars="200"/>
        <w:outlineLvl w:val="9"/>
        <w:rPr>
          <w:rFonts w:hint="eastAsia" w:ascii="仿宋" w:hAnsi="仿宋" w:eastAsia="仿宋" w:cs="仿宋"/>
          <w:sz w:val="22"/>
          <w:szCs w:val="22"/>
          <w:lang w:val="zh-TW" w:eastAsia="zh-TW" w:bidi="zh-TW"/>
        </w:rPr>
      </w:pPr>
      <w:bookmarkStart w:id="195" w:name="_Toc20512"/>
      <w:r>
        <w:rPr>
          <w:rFonts w:hint="eastAsia" w:ascii="仿宋" w:hAnsi="仿宋" w:eastAsia="仿宋" w:cs="仿宋"/>
          <w:sz w:val="22"/>
          <w:szCs w:val="22"/>
          <w:lang w:val="zh-TW" w:eastAsia="zh-TW" w:bidi="zh-TW"/>
        </w:rPr>
        <w:t>三、融资流程及各环节办结时间</w:t>
      </w:r>
      <w:bookmarkEnd w:id="195"/>
    </w:p>
    <w:p w14:paraId="3603F292">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客户通过“中原银行公司金融公众号”、“中原银行小微金融公众号”或“中原银行官方网站”等渠道申请即可办理。对于申报资料齐全，符合标准的业务，5个工作日即可完成审查审批。</w:t>
      </w:r>
    </w:p>
    <w:p w14:paraId="5AD828E6">
      <w:pPr>
        <w:ind w:firstLine="378" w:firstLineChars="200"/>
        <w:outlineLvl w:val="9"/>
        <w:rPr>
          <w:rFonts w:hint="eastAsia" w:ascii="仿宋" w:hAnsi="仿宋" w:eastAsia="仿宋" w:cs="仿宋"/>
          <w:sz w:val="22"/>
          <w:szCs w:val="22"/>
          <w:lang w:val="zh-TW" w:eastAsia="zh-TW" w:bidi="zh-TW"/>
        </w:rPr>
      </w:pPr>
      <w:bookmarkStart w:id="196" w:name="_Toc20601"/>
      <w:r>
        <w:rPr>
          <w:rFonts w:hint="eastAsia" w:ascii="仿宋" w:hAnsi="仿宋" w:eastAsia="仿宋" w:cs="仿宋"/>
          <w:sz w:val="22"/>
          <w:szCs w:val="22"/>
          <w:lang w:val="zh-TW" w:eastAsia="zh-TW" w:bidi="zh-TW"/>
        </w:rPr>
        <w:t>四、项目风险防控的主要措施</w:t>
      </w:r>
      <w:bookmarkEnd w:id="196"/>
    </w:p>
    <w:p w14:paraId="4F44918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在与政府签订的采购合同中，约定回款账户为我行保证金账户，可实现封闭项目回款路径。同时，根据借款企业基本情况、资金周转情况、中标情况、履约情况，借款企业的实际控制人及其配偶、法定代表人需承担连带保证责任，在放款前需完成应收账款质押登记手续。同时, 我行可根据第一还款来源情况要求借款企业提供其他附加担保以缓释风险，如第三方企业连带责任保证、房产抵押等。</w:t>
      </w:r>
    </w:p>
    <w:p w14:paraId="558BEBDA">
      <w:pPr>
        <w:ind w:firstLine="378" w:firstLineChars="200"/>
        <w:outlineLvl w:val="9"/>
        <w:rPr>
          <w:rFonts w:hint="eastAsia" w:ascii="仿宋" w:hAnsi="仿宋" w:eastAsia="仿宋" w:cs="仿宋"/>
          <w:sz w:val="22"/>
          <w:szCs w:val="22"/>
          <w:lang w:val="zh-TW" w:eastAsia="zh-TW" w:bidi="zh-TW"/>
        </w:rPr>
      </w:pPr>
      <w:bookmarkStart w:id="197" w:name="_Toc18452"/>
      <w:r>
        <w:rPr>
          <w:rFonts w:hint="eastAsia" w:ascii="仿宋" w:hAnsi="仿宋" w:eastAsia="仿宋" w:cs="仿宋"/>
          <w:sz w:val="22"/>
          <w:szCs w:val="22"/>
          <w:lang w:val="zh-TW" w:eastAsia="zh-TW" w:bidi="zh-TW"/>
        </w:rPr>
        <w:t>五、其他小微产品</w:t>
      </w:r>
      <w:bookmarkEnd w:id="197"/>
    </w:p>
    <w:p w14:paraId="5E7BC10D">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科技贷是我行以河南省科技厅设立的信贷准备金为损失补偿机制，为符合条件的科技型中小企业发放的用于其短期生产经营周转的人民币贷款业务。该产品仅需作为担保措施的实物资产抵押不高于贷款本金的30%，进一步降低了对客户抵押物方面的要求。</w:t>
      </w:r>
    </w:p>
    <w:p w14:paraId="6791BB7A">
      <w:pPr>
        <w:ind w:firstLine="378" w:firstLineChars="200"/>
        <w:outlineLvl w:val="9"/>
        <w:rPr>
          <w:rFonts w:hint="eastAsia" w:ascii="仿宋" w:hAnsi="仿宋" w:eastAsia="仿宋" w:cs="仿宋"/>
          <w:sz w:val="22"/>
          <w:szCs w:val="22"/>
          <w:lang w:val="zh-TW" w:eastAsia="zh-TW" w:bidi="zh-TW"/>
        </w:rPr>
      </w:pPr>
      <w:bookmarkStart w:id="198" w:name="_Toc28028"/>
      <w:r>
        <w:rPr>
          <w:rFonts w:hint="eastAsia" w:ascii="仿宋" w:hAnsi="仿宋" w:eastAsia="仿宋" w:cs="仿宋"/>
          <w:sz w:val="22"/>
          <w:szCs w:val="22"/>
          <w:lang w:val="zh-TW" w:eastAsia="zh-TW" w:bidi="zh-TW"/>
        </w:rPr>
        <w:t>六、贷款利率及优惠措施</w:t>
      </w:r>
      <w:bookmarkEnd w:id="198"/>
    </w:p>
    <w:p w14:paraId="7D9B1D5F">
      <w:pPr>
        <w:ind w:firstLine="378" w:firstLineChars="200"/>
        <w:rPr>
          <w:rFonts w:hint="eastAsia" w:ascii="仿宋" w:hAnsi="仿宋" w:eastAsia="仿宋" w:cs="仿宋"/>
          <w:b/>
          <w:bCs/>
          <w:color w:val="000000"/>
          <w:sz w:val="28"/>
          <w:szCs w:val="36"/>
          <w:lang w:val="zh-TW" w:bidi="zh-TW"/>
        </w:rPr>
      </w:pPr>
      <w:r>
        <w:rPr>
          <w:rFonts w:hint="eastAsia" w:ascii="仿宋" w:hAnsi="仿宋" w:eastAsia="仿宋" w:cs="仿宋"/>
          <w:sz w:val="22"/>
          <w:szCs w:val="22"/>
          <w:lang w:val="zh-TW" w:eastAsia="zh-TW" w:bidi="zh-TW"/>
        </w:rPr>
        <w:t>在利率定价方面，我行积极贯彻落实降低小微企业融资成本的相关政策指示精神，不断完善小微企业定价机制，参照当地同业平均水平，依据客户风险水平，实施差异化的定价。另一方面，我行对小企业贷款FTP利率较大中型企业低30BP，从源头上降低了企业的融资成本。同时，我行拥有小企业专营团队，并配备有政采贷专职市场营销人员，能够为小微企业客户提供专业服</w:t>
      </w:r>
      <w:r>
        <w:rPr>
          <w:rFonts w:hint="eastAsia" w:ascii="仿宋" w:hAnsi="仿宋" w:eastAsia="仿宋" w:cs="仿宋"/>
          <w:sz w:val="24"/>
          <w:szCs w:val="24"/>
          <w:lang w:val="zh-TW" w:eastAsia="zh-TW" w:bidi="zh-TW"/>
        </w:rPr>
        <w:t>务。</w:t>
      </w:r>
    </w:p>
    <w:p w14:paraId="3858DBA3">
      <w:pPr>
        <w:spacing w:line="240" w:lineRule="auto"/>
        <w:jc w:val="center"/>
        <w:outlineLvl w:val="9"/>
        <w:rPr>
          <w:rFonts w:hint="eastAsia" w:ascii="仿宋" w:hAnsi="仿宋" w:eastAsia="仿宋" w:cs="仿宋"/>
          <w:b/>
          <w:bCs/>
          <w:color w:val="000000"/>
          <w:sz w:val="28"/>
          <w:szCs w:val="36"/>
          <w:lang w:val="zh-TW" w:bidi="zh-TW"/>
        </w:rPr>
      </w:pPr>
      <w:bookmarkStart w:id="199" w:name="_Toc13836"/>
      <w:r>
        <w:rPr>
          <w:rFonts w:hint="eastAsia" w:ascii="仿宋" w:hAnsi="仿宋" w:eastAsia="仿宋" w:cs="仿宋"/>
          <w:b/>
          <w:bCs/>
          <w:color w:val="000000"/>
          <w:sz w:val="28"/>
          <w:szCs w:val="36"/>
          <w:lang w:val="zh-TW" w:bidi="zh-TW"/>
        </w:rPr>
        <w:t>交通银行政府采购融资贷款联系方式</w:t>
      </w:r>
      <w:bookmarkEnd w:id="199"/>
    </w:p>
    <w:p w14:paraId="64E05320">
      <w:pPr>
        <w:spacing w:line="240" w:lineRule="auto"/>
        <w:jc w:val="center"/>
        <w:outlineLvl w:val="9"/>
        <w:rPr>
          <w:rFonts w:hint="eastAsia" w:ascii="仿宋" w:hAnsi="仿宋" w:eastAsia="仿宋" w:cs="仿宋"/>
          <w:b/>
          <w:bCs/>
          <w:color w:val="000000"/>
          <w:sz w:val="28"/>
          <w:szCs w:val="36"/>
          <w:lang w:val="zh-TW" w:bidi="zh-TW"/>
        </w:rPr>
      </w:pPr>
      <w:bookmarkStart w:id="200" w:name="_Toc22968"/>
      <w:r>
        <w:rPr>
          <w:rFonts w:hint="eastAsia" w:ascii="仿宋" w:hAnsi="仿宋" w:eastAsia="仿宋" w:cs="仿宋"/>
          <w:b/>
          <w:bCs/>
          <w:color w:val="000000"/>
          <w:sz w:val="28"/>
          <w:szCs w:val="36"/>
          <w:lang w:val="zh-TW" w:bidi="zh-TW"/>
        </w:rPr>
        <w:t>及融资产品介绍</w:t>
      </w:r>
      <w:bookmarkEnd w:id="200"/>
    </w:p>
    <w:p w14:paraId="3A7ABB63">
      <w:pPr>
        <w:ind w:firstLine="378" w:firstLineChars="200"/>
        <w:outlineLvl w:val="9"/>
        <w:rPr>
          <w:rFonts w:hint="eastAsia" w:ascii="仿宋" w:hAnsi="仿宋" w:eastAsia="仿宋" w:cs="仿宋"/>
          <w:sz w:val="22"/>
          <w:szCs w:val="22"/>
          <w:lang w:val="zh-TW" w:eastAsia="zh-TW" w:bidi="zh-TW"/>
        </w:rPr>
      </w:pPr>
      <w:bookmarkStart w:id="201" w:name="_Toc16267"/>
      <w:r>
        <w:rPr>
          <w:rFonts w:hint="eastAsia" w:ascii="仿宋" w:hAnsi="仿宋" w:eastAsia="仿宋" w:cs="仿宋"/>
          <w:sz w:val="22"/>
          <w:szCs w:val="22"/>
          <w:lang w:val="zh-TW" w:eastAsia="zh-TW" w:bidi="zh-TW"/>
        </w:rPr>
        <w:t>一、联系方式：</w:t>
      </w:r>
      <w:bookmarkEnd w:id="201"/>
    </w:p>
    <w:tbl>
      <w:tblPr>
        <w:tblStyle w:val="6"/>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417"/>
        <w:gridCol w:w="2228"/>
        <w:gridCol w:w="3044"/>
        <w:gridCol w:w="825"/>
      </w:tblGrid>
      <w:tr w14:paraId="67FD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06DF7F28">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417" w:type="dxa"/>
            <w:noWrap w:val="0"/>
            <w:vAlign w:val="center"/>
          </w:tcPr>
          <w:p w14:paraId="1763D51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2228" w:type="dxa"/>
            <w:noWrap w:val="0"/>
            <w:vAlign w:val="center"/>
          </w:tcPr>
          <w:p w14:paraId="4FA918B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3044" w:type="dxa"/>
            <w:noWrap w:val="0"/>
            <w:vAlign w:val="center"/>
          </w:tcPr>
          <w:p w14:paraId="22D7ADF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825" w:type="dxa"/>
            <w:noWrap w:val="0"/>
            <w:vAlign w:val="center"/>
          </w:tcPr>
          <w:p w14:paraId="2E8635F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6F0C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44FED4D8">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杨静</w:t>
            </w:r>
          </w:p>
        </w:tc>
        <w:tc>
          <w:tcPr>
            <w:tcW w:w="1417" w:type="dxa"/>
            <w:noWrap w:val="0"/>
            <w:vAlign w:val="center"/>
          </w:tcPr>
          <w:p w14:paraId="5C6016F9">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客户经理</w:t>
            </w:r>
          </w:p>
        </w:tc>
        <w:tc>
          <w:tcPr>
            <w:tcW w:w="2228" w:type="dxa"/>
            <w:noWrap w:val="0"/>
            <w:vAlign w:val="center"/>
          </w:tcPr>
          <w:p w14:paraId="17EB2995">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开元大道226号</w:t>
            </w:r>
          </w:p>
        </w:tc>
        <w:tc>
          <w:tcPr>
            <w:tcW w:w="3044" w:type="dxa"/>
            <w:noWrap w:val="0"/>
            <w:vAlign w:val="center"/>
          </w:tcPr>
          <w:p w14:paraId="751A707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63272215/13592088356</w:t>
            </w:r>
          </w:p>
        </w:tc>
        <w:tc>
          <w:tcPr>
            <w:tcW w:w="825" w:type="dxa"/>
            <w:noWrap w:val="0"/>
            <w:vAlign w:val="center"/>
          </w:tcPr>
          <w:p w14:paraId="55B0F8AF">
            <w:pPr>
              <w:ind w:firstLine="378" w:firstLineChars="200"/>
              <w:rPr>
                <w:rFonts w:hint="eastAsia" w:ascii="仿宋" w:hAnsi="仿宋" w:eastAsia="仿宋" w:cs="仿宋"/>
                <w:sz w:val="22"/>
                <w:szCs w:val="22"/>
                <w:lang w:val="zh-TW" w:eastAsia="zh-TW" w:bidi="zh-TW"/>
              </w:rPr>
            </w:pPr>
          </w:p>
        </w:tc>
      </w:tr>
      <w:tr w14:paraId="71A7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0E6F8C2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魏柴扉</w:t>
            </w:r>
          </w:p>
        </w:tc>
        <w:tc>
          <w:tcPr>
            <w:tcW w:w="1417" w:type="dxa"/>
            <w:noWrap w:val="0"/>
            <w:vAlign w:val="center"/>
          </w:tcPr>
          <w:p w14:paraId="0210AEC2">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客户经理</w:t>
            </w:r>
          </w:p>
        </w:tc>
        <w:tc>
          <w:tcPr>
            <w:tcW w:w="2228" w:type="dxa"/>
            <w:noWrap w:val="0"/>
            <w:vAlign w:val="center"/>
          </w:tcPr>
          <w:p w14:paraId="52251CA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开元大道226号</w:t>
            </w:r>
          </w:p>
        </w:tc>
        <w:tc>
          <w:tcPr>
            <w:tcW w:w="3044" w:type="dxa"/>
            <w:noWrap w:val="0"/>
            <w:vAlign w:val="center"/>
          </w:tcPr>
          <w:p w14:paraId="454160DA">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63272105/18837923035</w:t>
            </w:r>
          </w:p>
        </w:tc>
        <w:tc>
          <w:tcPr>
            <w:tcW w:w="825" w:type="dxa"/>
            <w:noWrap w:val="0"/>
            <w:vAlign w:val="center"/>
          </w:tcPr>
          <w:p w14:paraId="2EE6943C">
            <w:pPr>
              <w:ind w:firstLine="378" w:firstLineChars="200"/>
              <w:rPr>
                <w:rFonts w:hint="eastAsia" w:ascii="仿宋" w:hAnsi="仿宋" w:eastAsia="仿宋" w:cs="仿宋"/>
                <w:sz w:val="22"/>
                <w:szCs w:val="22"/>
                <w:lang w:val="zh-TW" w:eastAsia="zh-TW" w:bidi="zh-TW"/>
              </w:rPr>
            </w:pPr>
          </w:p>
        </w:tc>
      </w:tr>
    </w:tbl>
    <w:p w14:paraId="08A9F7B4">
      <w:pPr>
        <w:ind w:firstLine="378" w:firstLineChars="200"/>
        <w:outlineLvl w:val="9"/>
        <w:rPr>
          <w:rFonts w:hint="eastAsia" w:ascii="仿宋" w:hAnsi="仿宋" w:eastAsia="仿宋" w:cs="仿宋"/>
          <w:sz w:val="22"/>
          <w:szCs w:val="22"/>
          <w:lang w:val="zh-TW" w:eastAsia="zh-TW" w:bidi="zh-TW"/>
        </w:rPr>
      </w:pPr>
      <w:bookmarkStart w:id="202" w:name="_Toc189"/>
      <w:r>
        <w:rPr>
          <w:rFonts w:hint="eastAsia" w:ascii="仿宋" w:hAnsi="仿宋" w:eastAsia="仿宋" w:cs="仿宋"/>
          <w:sz w:val="22"/>
          <w:szCs w:val="22"/>
          <w:lang w:val="zh-TW" w:eastAsia="zh-TW" w:bidi="zh-TW"/>
        </w:rPr>
        <w:t>二、融资产品介绍</w:t>
      </w:r>
      <w:bookmarkEnd w:id="202"/>
    </w:p>
    <w:p w14:paraId="7736A29F">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1、产品介绍</w:t>
      </w:r>
    </w:p>
    <w:p w14:paraId="661C4D5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“政府采购贷款”是指交通银行为洛阳地区政府采购提供货物、服务的小微企业提供的，以财政性资金作为还款来源的订单融资。是供应商中标即可申请的一种简易融资业务。授信期限一般为一年。</w:t>
      </w:r>
    </w:p>
    <w:p w14:paraId="36BBA7F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2、申请路径</w:t>
      </w:r>
    </w:p>
    <w:p w14:paraId="40DA87A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客户中标后即可向我行联系人申请，由我行专业团队上门拜访调查、收集授信资料（参考小企业授信资料清单）及协助开立银行账户，同时做好后续的审批跟进、放款及贷后管理流程。</w:t>
      </w:r>
    </w:p>
    <w:p w14:paraId="245FB33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3、利率</w:t>
      </w:r>
    </w:p>
    <w:p w14:paraId="7B81249F">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执行普惠小微企业贷款利率。</w:t>
      </w:r>
    </w:p>
    <w:p w14:paraId="44FB8AB4">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4、优惠政策</w:t>
      </w:r>
    </w:p>
    <w:p w14:paraId="2AD39FA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（1）在利率水平上，对于优质客户给予利率优惠。</w:t>
      </w:r>
    </w:p>
    <w:p w14:paraId="7E7E4EC4">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（2）建立授信审批专用通道，3日内完成放款，优化各项流程。对疫情防控关键领域倾斜信贷资源，保障信贷投放。</w:t>
      </w:r>
    </w:p>
    <w:p w14:paraId="6C9D5791">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（4）一般户及监管账户免开户手续费、免U盾使用费。</w:t>
      </w:r>
    </w:p>
    <w:p w14:paraId="6234CCD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（5）开户流程上给予绿色通道，保证办理时效。</w:t>
      </w:r>
    </w:p>
    <w:p w14:paraId="6E888626">
      <w:pPr>
        <w:ind w:firstLine="378" w:firstLineChars="200"/>
        <w:rPr>
          <w:rFonts w:hint="eastAsia" w:ascii="仿宋" w:hAnsi="仿宋" w:eastAsia="仿宋" w:cs="仿宋"/>
          <w:b/>
          <w:bCs/>
          <w:color w:val="000000"/>
          <w:sz w:val="28"/>
          <w:szCs w:val="36"/>
          <w:lang w:val="zh-TW" w:bidi="zh-TW"/>
        </w:rPr>
      </w:pPr>
      <w:r>
        <w:rPr>
          <w:rFonts w:hint="eastAsia" w:ascii="仿宋" w:hAnsi="仿宋" w:eastAsia="仿宋" w:cs="仿宋"/>
          <w:sz w:val="22"/>
          <w:szCs w:val="22"/>
          <w:lang w:val="zh-TW" w:eastAsia="zh-TW" w:bidi="zh-TW"/>
        </w:rPr>
        <w:t>（6）专业团队对产品进行对接，保证业务全流程优质服务。</w:t>
      </w:r>
    </w:p>
    <w:p w14:paraId="53A4550D">
      <w:pPr>
        <w:spacing w:line="240" w:lineRule="auto"/>
        <w:jc w:val="center"/>
        <w:outlineLvl w:val="9"/>
        <w:rPr>
          <w:rFonts w:hint="eastAsia" w:ascii="仿宋" w:hAnsi="仿宋" w:eastAsia="仿宋" w:cs="仿宋"/>
          <w:b/>
          <w:bCs/>
          <w:color w:val="000000"/>
          <w:sz w:val="28"/>
          <w:szCs w:val="36"/>
          <w:lang w:val="zh-TW" w:bidi="zh-TW"/>
        </w:rPr>
      </w:pPr>
      <w:bookmarkStart w:id="203" w:name="_Toc30107"/>
      <w:r>
        <w:rPr>
          <w:rFonts w:hint="eastAsia" w:ascii="仿宋" w:hAnsi="仿宋" w:eastAsia="仿宋" w:cs="仿宋"/>
          <w:b/>
          <w:bCs/>
          <w:color w:val="000000"/>
          <w:sz w:val="28"/>
          <w:szCs w:val="36"/>
          <w:lang w:val="zh-TW" w:bidi="zh-TW"/>
        </w:rPr>
        <w:t>浦发银行洛阳分行政府采购融资贷联系方式</w:t>
      </w:r>
      <w:bookmarkEnd w:id="203"/>
    </w:p>
    <w:p w14:paraId="2129A431">
      <w:pPr>
        <w:spacing w:line="240" w:lineRule="auto"/>
        <w:jc w:val="center"/>
        <w:outlineLvl w:val="9"/>
        <w:rPr>
          <w:rFonts w:hint="eastAsia" w:ascii="仿宋" w:hAnsi="仿宋" w:eastAsia="仿宋" w:cs="仿宋"/>
          <w:b/>
          <w:bCs/>
          <w:color w:val="000000"/>
          <w:sz w:val="28"/>
          <w:szCs w:val="36"/>
          <w:lang w:val="zh-TW" w:bidi="zh-TW"/>
        </w:rPr>
      </w:pPr>
      <w:bookmarkStart w:id="204" w:name="_Toc31828"/>
      <w:r>
        <w:rPr>
          <w:rFonts w:hint="eastAsia" w:ascii="仿宋" w:hAnsi="仿宋" w:eastAsia="仿宋" w:cs="仿宋"/>
          <w:b/>
          <w:bCs/>
          <w:color w:val="000000"/>
          <w:sz w:val="28"/>
          <w:szCs w:val="36"/>
          <w:lang w:val="zh-TW" w:bidi="zh-TW"/>
        </w:rPr>
        <w:t>及融资产品介绍</w:t>
      </w:r>
      <w:bookmarkEnd w:id="204"/>
    </w:p>
    <w:p w14:paraId="0D87E5C1">
      <w:pPr>
        <w:ind w:firstLine="378" w:firstLineChars="200"/>
        <w:outlineLvl w:val="9"/>
        <w:rPr>
          <w:rFonts w:hint="eastAsia" w:ascii="仿宋" w:hAnsi="仿宋" w:eastAsia="仿宋" w:cs="仿宋"/>
          <w:sz w:val="22"/>
          <w:szCs w:val="22"/>
          <w:lang w:val="zh-TW" w:bidi="zh-TW"/>
        </w:rPr>
      </w:pPr>
      <w:bookmarkStart w:id="205" w:name="_Toc19484"/>
      <w:r>
        <w:rPr>
          <w:rFonts w:hint="eastAsia" w:ascii="仿宋" w:hAnsi="仿宋" w:eastAsia="仿宋" w:cs="仿宋"/>
          <w:sz w:val="22"/>
          <w:szCs w:val="22"/>
          <w:lang w:val="zh-TW" w:eastAsia="zh-TW" w:bidi="zh-TW"/>
        </w:rPr>
        <w:t>一、联系方式</w:t>
      </w:r>
      <w:bookmarkEnd w:id="205"/>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758F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4C8AF5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704" w:type="dxa"/>
            <w:noWrap w:val="0"/>
            <w:vAlign w:val="top"/>
          </w:tcPr>
          <w:p w14:paraId="4939DDA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1704" w:type="dxa"/>
            <w:noWrap w:val="0"/>
            <w:vAlign w:val="top"/>
          </w:tcPr>
          <w:p w14:paraId="5E5CFB8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1705" w:type="dxa"/>
            <w:noWrap w:val="0"/>
            <w:vAlign w:val="top"/>
          </w:tcPr>
          <w:p w14:paraId="69F164B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1705" w:type="dxa"/>
            <w:noWrap w:val="0"/>
            <w:vAlign w:val="top"/>
          </w:tcPr>
          <w:p w14:paraId="4396747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17DC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E14077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苏冰</w:t>
            </w:r>
          </w:p>
        </w:tc>
        <w:tc>
          <w:tcPr>
            <w:tcW w:w="1704" w:type="dxa"/>
            <w:noWrap w:val="0"/>
            <w:vAlign w:val="top"/>
          </w:tcPr>
          <w:p w14:paraId="0AEE9BA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高级产品经理</w:t>
            </w:r>
          </w:p>
        </w:tc>
        <w:tc>
          <w:tcPr>
            <w:tcW w:w="1704" w:type="dxa"/>
            <w:noWrap w:val="0"/>
            <w:vAlign w:val="top"/>
          </w:tcPr>
          <w:p w14:paraId="64EED1A0">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洛阳市洛龙区展览路211号</w:t>
            </w:r>
          </w:p>
        </w:tc>
        <w:tc>
          <w:tcPr>
            <w:tcW w:w="1705" w:type="dxa"/>
            <w:noWrap w:val="0"/>
            <w:vAlign w:val="top"/>
          </w:tcPr>
          <w:p w14:paraId="67C6302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18623790623；0379-63037517</w:t>
            </w:r>
          </w:p>
        </w:tc>
        <w:tc>
          <w:tcPr>
            <w:tcW w:w="1705" w:type="dxa"/>
            <w:noWrap w:val="0"/>
            <w:vAlign w:val="top"/>
          </w:tcPr>
          <w:p w14:paraId="6396E635">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微信同手机号</w:t>
            </w:r>
          </w:p>
        </w:tc>
      </w:tr>
      <w:tr w14:paraId="00C4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339D2A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汪乐阳</w:t>
            </w:r>
          </w:p>
        </w:tc>
        <w:tc>
          <w:tcPr>
            <w:tcW w:w="1704" w:type="dxa"/>
            <w:noWrap w:val="0"/>
            <w:vAlign w:val="top"/>
          </w:tcPr>
          <w:p w14:paraId="304AC777">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普惠金融部总经理</w:t>
            </w:r>
          </w:p>
        </w:tc>
        <w:tc>
          <w:tcPr>
            <w:tcW w:w="1704" w:type="dxa"/>
            <w:noWrap w:val="0"/>
            <w:vAlign w:val="top"/>
          </w:tcPr>
          <w:p w14:paraId="39951B60">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洛阳市洛龙区展览路211号</w:t>
            </w:r>
          </w:p>
        </w:tc>
        <w:tc>
          <w:tcPr>
            <w:tcW w:w="1705" w:type="dxa"/>
            <w:noWrap w:val="0"/>
            <w:vAlign w:val="top"/>
          </w:tcPr>
          <w:p w14:paraId="1178B9AE">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13698889966</w:t>
            </w:r>
          </w:p>
          <w:p w14:paraId="7A0FFEEE">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63037526</w:t>
            </w:r>
          </w:p>
        </w:tc>
        <w:tc>
          <w:tcPr>
            <w:tcW w:w="1705" w:type="dxa"/>
            <w:noWrap w:val="0"/>
            <w:vAlign w:val="top"/>
          </w:tcPr>
          <w:p w14:paraId="0E66D4D3">
            <w:p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微信同手机号</w:t>
            </w:r>
          </w:p>
        </w:tc>
      </w:tr>
    </w:tbl>
    <w:p w14:paraId="4628687B">
      <w:pPr>
        <w:ind w:firstLine="378" w:firstLineChars="200"/>
        <w:outlineLvl w:val="9"/>
        <w:rPr>
          <w:rFonts w:hint="eastAsia" w:ascii="仿宋" w:hAnsi="仿宋" w:eastAsia="仿宋" w:cs="仿宋"/>
          <w:sz w:val="22"/>
          <w:szCs w:val="22"/>
          <w:lang w:val="zh-TW" w:eastAsia="zh-TW" w:bidi="zh-TW"/>
        </w:rPr>
      </w:pPr>
      <w:bookmarkStart w:id="206" w:name="_Toc13593"/>
      <w:r>
        <w:rPr>
          <w:rFonts w:hint="eastAsia" w:ascii="仿宋" w:hAnsi="仿宋" w:eastAsia="仿宋" w:cs="仿宋"/>
          <w:sz w:val="22"/>
          <w:szCs w:val="22"/>
          <w:lang w:val="zh-TW" w:eastAsia="zh-TW" w:bidi="zh-TW"/>
        </w:rPr>
        <w:t>二、融资产品介绍</w:t>
      </w:r>
      <w:bookmarkEnd w:id="206"/>
    </w:p>
    <w:p w14:paraId="4A586F8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（一）产品介绍：</w:t>
      </w:r>
    </w:p>
    <w:p w14:paraId="17671C6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“政采e贷”是由洛阳市财政局与浦发银行共同开发，基于政府采购合同，为供应商提供的信用贷款。</w:t>
      </w:r>
    </w:p>
    <w:p w14:paraId="73ACB98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（二）产品优势：</w:t>
      </w:r>
    </w:p>
    <w:p w14:paraId="1AD3734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1、融资期限最长可达1年。</w:t>
      </w:r>
    </w:p>
    <w:p w14:paraId="0A0976D1">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2、货物、服务类最高1000万元，工程类最高1500万元。</w:t>
      </w:r>
    </w:p>
    <w:p w14:paraId="5665879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3、信用贷款，低门槛，循环额度，随借随还。</w:t>
      </w:r>
    </w:p>
    <w:p w14:paraId="3037CDBA">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4、业务流程简单，在线秒级放款，尊享快捷体验。</w:t>
      </w:r>
    </w:p>
    <w:p w14:paraId="18949F0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5、总行补贴，融资利率有优惠。</w:t>
      </w:r>
    </w:p>
    <w:p w14:paraId="290A4FDB">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（三）适用客户：</w:t>
      </w:r>
    </w:p>
    <w:p w14:paraId="7F880F2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1、在河南省境内注册的供应商，未列入河南省政府采购供应商黑名单。</w:t>
      </w:r>
    </w:p>
    <w:p w14:paraId="0D89C4E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2、人民银行征信系统无逾期、垫款等情况，且无其他不良信用记录。</w:t>
      </w:r>
    </w:p>
    <w:p w14:paraId="50040E22">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3、政府采购中标区域：</w:t>
      </w:r>
    </w:p>
    <w:p w14:paraId="58E09AA9">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（1）河南省省直、郑州市（含市内各区）项目</w:t>
      </w:r>
    </w:p>
    <w:p w14:paraId="5B58D6C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（2）洛阳市市直项目</w:t>
      </w:r>
    </w:p>
    <w:p w14:paraId="262E79DB">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（3）河南其他地市市直项目</w:t>
      </w:r>
    </w:p>
    <w:p w14:paraId="31D10F96">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（4）林州、长垣、新郑、禹州中标项目。</w:t>
      </w:r>
    </w:p>
    <w:p w14:paraId="173C6F14">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（四）申请路径</w:t>
      </w:r>
    </w:p>
    <w:p w14:paraId="729C1F0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1、供应商首先与联系人联系，提供企业基本证件、征信报告、中标合同、采购合同等进行客户准入和额度测算。</w:t>
      </w:r>
    </w:p>
    <w:p w14:paraId="690920A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2、供应商来浦发银行开户，在政府采购合同中填写浦发银行账号。（若客户已签署其他银行账号，则需要联系浦发银行进行备案银行账号变更）</w:t>
      </w:r>
    </w:p>
    <w:p w14:paraId="3BBF0011">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3、授信审查和放款（一周时间）</w:t>
      </w:r>
    </w:p>
    <w:p w14:paraId="1C4D8F65">
      <w:pPr>
        <w:ind w:firstLine="378" w:firstLineChars="200"/>
        <w:rPr>
          <w:rFonts w:hint="eastAsia" w:ascii="仿宋" w:hAnsi="仿宋" w:eastAsia="仿宋" w:cs="仿宋"/>
          <w:sz w:val="22"/>
          <w:szCs w:val="22"/>
          <w:lang w:val="zh-TW" w:eastAsia="zh-TW" w:bidi="zh-TW"/>
        </w:rPr>
      </w:pPr>
    </w:p>
    <w:p w14:paraId="7F4FC032">
      <w:pPr>
        <w:spacing w:line="360" w:lineRule="auto"/>
        <w:jc w:val="center"/>
        <w:outlineLvl w:val="9"/>
        <w:rPr>
          <w:rFonts w:hint="eastAsia" w:ascii="仿宋" w:hAnsi="仿宋" w:eastAsia="仿宋" w:cs="仿宋"/>
          <w:b/>
          <w:bCs/>
          <w:color w:val="000000"/>
          <w:sz w:val="28"/>
          <w:szCs w:val="36"/>
          <w:lang w:val="zh-TW" w:bidi="zh-TW"/>
        </w:rPr>
      </w:pPr>
      <w:bookmarkStart w:id="207" w:name="_Toc9361"/>
      <w:r>
        <w:rPr>
          <w:rFonts w:hint="eastAsia" w:ascii="仿宋" w:hAnsi="仿宋" w:eastAsia="仿宋" w:cs="仿宋"/>
          <w:b/>
          <w:bCs/>
          <w:color w:val="000000"/>
          <w:sz w:val="28"/>
          <w:szCs w:val="36"/>
          <w:lang w:val="zh-TW" w:bidi="zh-TW"/>
        </w:rPr>
        <w:t>邮储银行政府采购融资贷联系方式</w:t>
      </w:r>
      <w:bookmarkEnd w:id="207"/>
    </w:p>
    <w:p w14:paraId="1060C8A1">
      <w:pPr>
        <w:spacing w:line="360" w:lineRule="auto"/>
        <w:jc w:val="center"/>
        <w:outlineLvl w:val="9"/>
        <w:rPr>
          <w:rFonts w:hint="eastAsia" w:ascii="仿宋" w:hAnsi="仿宋" w:eastAsia="仿宋" w:cs="仿宋"/>
          <w:b/>
          <w:bCs/>
          <w:color w:val="000000"/>
          <w:sz w:val="28"/>
          <w:szCs w:val="36"/>
          <w:lang w:val="zh-TW" w:bidi="zh-TW"/>
        </w:rPr>
      </w:pPr>
      <w:bookmarkStart w:id="208" w:name="_Toc31888"/>
      <w:r>
        <w:rPr>
          <w:rFonts w:hint="eastAsia" w:ascii="仿宋" w:hAnsi="仿宋" w:eastAsia="仿宋" w:cs="仿宋"/>
          <w:b/>
          <w:bCs/>
          <w:color w:val="000000"/>
          <w:sz w:val="28"/>
          <w:szCs w:val="36"/>
          <w:lang w:val="zh-TW" w:bidi="zh-TW"/>
        </w:rPr>
        <w:t>及融资产品介绍</w:t>
      </w:r>
      <w:bookmarkEnd w:id="208"/>
    </w:p>
    <w:p w14:paraId="54724C6B">
      <w:pPr>
        <w:numPr>
          <w:ilvl w:val="0"/>
          <w:numId w:val="3"/>
        </w:numPr>
        <w:outlineLvl w:val="9"/>
        <w:rPr>
          <w:rFonts w:hint="eastAsia" w:ascii="仿宋" w:hAnsi="仿宋" w:eastAsia="仿宋" w:cs="仿宋"/>
          <w:sz w:val="22"/>
          <w:szCs w:val="22"/>
          <w:lang w:val="zh-TW" w:eastAsia="zh-TW" w:bidi="zh-TW"/>
        </w:rPr>
      </w:pPr>
      <w:bookmarkStart w:id="209" w:name="_Toc20559"/>
      <w:r>
        <w:rPr>
          <w:rFonts w:hint="eastAsia" w:ascii="仿宋" w:hAnsi="仿宋" w:eastAsia="仿宋" w:cs="仿宋"/>
          <w:sz w:val="22"/>
          <w:szCs w:val="22"/>
          <w:lang w:val="zh-TW" w:eastAsia="zh-TW" w:bidi="zh-TW"/>
        </w:rPr>
        <w:t>联系方式：</w:t>
      </w:r>
      <w:bookmarkEnd w:id="209"/>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775"/>
        <w:gridCol w:w="2025"/>
        <w:gridCol w:w="1474"/>
      </w:tblGrid>
      <w:tr w14:paraId="4926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24" w:type="dxa"/>
            <w:noWrap w:val="0"/>
            <w:vAlign w:val="top"/>
          </w:tcPr>
          <w:p w14:paraId="13057560">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624" w:type="dxa"/>
            <w:noWrap w:val="0"/>
            <w:vAlign w:val="top"/>
          </w:tcPr>
          <w:p w14:paraId="00C359E3">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1775" w:type="dxa"/>
            <w:noWrap w:val="0"/>
            <w:vAlign w:val="top"/>
          </w:tcPr>
          <w:p w14:paraId="6AA88BD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2025" w:type="dxa"/>
            <w:noWrap w:val="0"/>
            <w:vAlign w:val="top"/>
          </w:tcPr>
          <w:p w14:paraId="565DB29D">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1474" w:type="dxa"/>
            <w:noWrap w:val="0"/>
            <w:vAlign w:val="top"/>
          </w:tcPr>
          <w:p w14:paraId="380760A5">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182C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1624" w:type="dxa"/>
            <w:noWrap w:val="0"/>
            <w:vAlign w:val="top"/>
          </w:tcPr>
          <w:p w14:paraId="5BBBE989">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李幸丽</w:t>
            </w:r>
          </w:p>
        </w:tc>
        <w:tc>
          <w:tcPr>
            <w:tcW w:w="1624" w:type="dxa"/>
            <w:noWrap w:val="0"/>
            <w:vAlign w:val="top"/>
          </w:tcPr>
          <w:p w14:paraId="01F539D5">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总经理</w:t>
            </w:r>
          </w:p>
        </w:tc>
        <w:tc>
          <w:tcPr>
            <w:tcW w:w="1775" w:type="dxa"/>
            <w:noWrap w:val="0"/>
            <w:vAlign w:val="top"/>
          </w:tcPr>
          <w:p w14:paraId="679290F2">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西工区中州中路216号邮政大厦</w:t>
            </w:r>
          </w:p>
        </w:tc>
        <w:tc>
          <w:tcPr>
            <w:tcW w:w="2025" w:type="dxa"/>
            <w:noWrap w:val="0"/>
            <w:vAlign w:val="top"/>
          </w:tcPr>
          <w:p w14:paraId="7AA82C22">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13838836699/</w:t>
            </w:r>
          </w:p>
          <w:p w14:paraId="2C43795F">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63290358</w:t>
            </w:r>
          </w:p>
        </w:tc>
        <w:tc>
          <w:tcPr>
            <w:tcW w:w="1474" w:type="dxa"/>
            <w:noWrap w:val="0"/>
            <w:vAlign w:val="top"/>
          </w:tcPr>
          <w:p w14:paraId="7E92DEB3">
            <w:pPr>
              <w:jc w:val="center"/>
              <w:rPr>
                <w:rFonts w:hint="eastAsia" w:ascii="仿宋" w:hAnsi="仿宋" w:eastAsia="仿宋" w:cs="仿宋"/>
                <w:sz w:val="22"/>
                <w:szCs w:val="22"/>
                <w:lang w:val="zh-TW" w:eastAsia="zh-TW" w:bidi="zh-TW"/>
              </w:rPr>
            </w:pPr>
          </w:p>
        </w:tc>
      </w:tr>
      <w:tr w14:paraId="18C7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noWrap w:val="0"/>
            <w:vAlign w:val="top"/>
          </w:tcPr>
          <w:p w14:paraId="5807694B">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杨晓滢</w:t>
            </w:r>
          </w:p>
        </w:tc>
        <w:tc>
          <w:tcPr>
            <w:tcW w:w="1624" w:type="dxa"/>
            <w:noWrap w:val="0"/>
            <w:vAlign w:val="top"/>
          </w:tcPr>
          <w:p w14:paraId="50DBE868">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产品经理</w:t>
            </w:r>
          </w:p>
        </w:tc>
        <w:tc>
          <w:tcPr>
            <w:tcW w:w="1775" w:type="dxa"/>
            <w:noWrap w:val="0"/>
            <w:vAlign w:val="top"/>
          </w:tcPr>
          <w:p w14:paraId="595449FD">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西工区中州中路216号邮政大厦</w:t>
            </w:r>
          </w:p>
        </w:tc>
        <w:tc>
          <w:tcPr>
            <w:tcW w:w="2025" w:type="dxa"/>
            <w:noWrap w:val="0"/>
            <w:vAlign w:val="top"/>
          </w:tcPr>
          <w:p w14:paraId="2BFF1A4D">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13523600357/</w:t>
            </w:r>
          </w:p>
          <w:p w14:paraId="1F66339E">
            <w:pPr>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63290358</w:t>
            </w:r>
          </w:p>
        </w:tc>
        <w:tc>
          <w:tcPr>
            <w:tcW w:w="1474" w:type="dxa"/>
            <w:noWrap w:val="0"/>
            <w:vAlign w:val="top"/>
          </w:tcPr>
          <w:p w14:paraId="56FB25A9">
            <w:pPr>
              <w:jc w:val="center"/>
              <w:rPr>
                <w:rFonts w:hint="eastAsia" w:ascii="仿宋" w:hAnsi="仿宋" w:eastAsia="仿宋" w:cs="仿宋"/>
                <w:sz w:val="22"/>
                <w:szCs w:val="22"/>
                <w:lang w:val="zh-TW" w:eastAsia="zh-TW" w:bidi="zh-TW"/>
              </w:rPr>
            </w:pPr>
          </w:p>
        </w:tc>
      </w:tr>
    </w:tbl>
    <w:p w14:paraId="4A8D97EB">
      <w:pPr>
        <w:numPr>
          <w:ilvl w:val="0"/>
          <w:numId w:val="3"/>
        </w:numPr>
        <w:outlineLvl w:val="9"/>
        <w:rPr>
          <w:rFonts w:hint="eastAsia" w:ascii="仿宋" w:hAnsi="仿宋" w:eastAsia="仿宋" w:cs="仿宋"/>
          <w:sz w:val="22"/>
          <w:szCs w:val="22"/>
          <w:lang w:val="zh-TW" w:eastAsia="zh-TW" w:bidi="zh-TW"/>
        </w:rPr>
      </w:pPr>
      <w:bookmarkStart w:id="210" w:name="_Toc5393"/>
      <w:r>
        <w:rPr>
          <w:rFonts w:hint="eastAsia" w:ascii="仿宋" w:hAnsi="仿宋" w:eastAsia="仿宋" w:cs="仿宋"/>
          <w:sz w:val="22"/>
          <w:szCs w:val="22"/>
          <w:lang w:val="zh-TW" w:eastAsia="zh-TW" w:bidi="zh-TW"/>
        </w:rPr>
        <w:t>融资产品介绍：</w:t>
      </w:r>
      <w:bookmarkEnd w:id="210"/>
    </w:p>
    <w:p w14:paraId="6BAFF3FD">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政采贷是指我行向符合我行授信条件的、在政府采购活动中中标的企业或自然人发放的，用于中标企业合法生产经营活动的短期人民币流动资金贷款。</w:t>
      </w:r>
    </w:p>
    <w:p w14:paraId="4B7493D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该产品以借款人在我行开立并质押给我行的政府采购收款账户回款作为主要还款来源，授信额度最高500万，额度期限2年，单笔期限最长不超过18个月，还款方式包括等额本息，按月还息、到期一次性还本，固定周期结息、按还款计划表还本等，贷款利率执行普惠金融贷款利率。</w:t>
      </w:r>
    </w:p>
    <w:p w14:paraId="7EF8F417">
      <w:pPr>
        <w:ind w:firstLine="378" w:firstLineChars="200"/>
        <w:rPr>
          <w:rFonts w:hint="eastAsia" w:ascii="仿宋" w:hAnsi="仿宋" w:eastAsia="仿宋" w:cs="仿宋"/>
          <w:b/>
          <w:bCs/>
          <w:color w:val="000000"/>
          <w:sz w:val="28"/>
          <w:szCs w:val="36"/>
          <w:lang w:val="zh-TW" w:bidi="zh-TW"/>
        </w:rPr>
      </w:pPr>
      <w:r>
        <w:rPr>
          <w:rFonts w:hint="eastAsia" w:ascii="仿宋" w:hAnsi="仿宋" w:eastAsia="仿宋" w:cs="仿宋"/>
          <w:sz w:val="22"/>
          <w:szCs w:val="22"/>
          <w:lang w:val="zh-TW" w:eastAsia="zh-TW" w:bidi="zh-TW"/>
        </w:rPr>
        <w:t>邮储银行各分支机构均可以申请。</w:t>
      </w:r>
      <w:bookmarkStart w:id="211" w:name="_Toc413317259"/>
      <w:bookmarkStart w:id="212" w:name="_Toc414893486"/>
    </w:p>
    <w:p w14:paraId="3261B106">
      <w:pPr>
        <w:jc w:val="center"/>
        <w:outlineLvl w:val="9"/>
        <w:rPr>
          <w:rFonts w:hint="eastAsia" w:ascii="仿宋" w:hAnsi="仿宋" w:eastAsia="仿宋" w:cs="仿宋"/>
          <w:b/>
          <w:bCs/>
          <w:color w:val="000000"/>
          <w:sz w:val="28"/>
          <w:szCs w:val="36"/>
          <w:lang w:val="zh-TW" w:bidi="zh-TW"/>
        </w:rPr>
      </w:pPr>
      <w:bookmarkStart w:id="213" w:name="_Toc19773"/>
      <w:r>
        <w:rPr>
          <w:rFonts w:hint="eastAsia" w:ascii="仿宋" w:hAnsi="仿宋" w:eastAsia="仿宋" w:cs="仿宋"/>
          <w:b/>
          <w:bCs/>
          <w:color w:val="000000"/>
          <w:sz w:val="28"/>
          <w:szCs w:val="36"/>
          <w:lang w:val="zh-TW" w:bidi="zh-TW"/>
        </w:rPr>
        <w:t>光大银行洛阳分行政府采购融资贷款</w:t>
      </w:r>
      <w:bookmarkEnd w:id="213"/>
    </w:p>
    <w:p w14:paraId="23C18816">
      <w:pPr>
        <w:jc w:val="center"/>
        <w:outlineLvl w:val="9"/>
        <w:rPr>
          <w:rFonts w:hint="eastAsia" w:ascii="仿宋" w:hAnsi="仿宋" w:eastAsia="仿宋" w:cs="仿宋"/>
          <w:b/>
          <w:bCs/>
          <w:color w:val="000000"/>
          <w:sz w:val="28"/>
          <w:szCs w:val="36"/>
          <w:lang w:val="zh-TW" w:bidi="zh-TW"/>
        </w:rPr>
      </w:pPr>
      <w:bookmarkStart w:id="214" w:name="_Toc32270"/>
      <w:r>
        <w:rPr>
          <w:rFonts w:hint="eastAsia" w:ascii="仿宋" w:hAnsi="仿宋" w:eastAsia="仿宋" w:cs="仿宋"/>
          <w:b/>
          <w:bCs/>
          <w:color w:val="000000"/>
          <w:sz w:val="28"/>
          <w:szCs w:val="36"/>
          <w:lang w:val="zh-TW" w:bidi="zh-TW"/>
        </w:rPr>
        <w:t>产品介绍</w:t>
      </w:r>
      <w:bookmarkEnd w:id="214"/>
    </w:p>
    <w:p w14:paraId="07A8C4B0">
      <w:pPr>
        <w:ind w:firstLine="378" w:firstLineChars="200"/>
        <w:outlineLvl w:val="9"/>
        <w:rPr>
          <w:rFonts w:hint="eastAsia" w:ascii="仿宋" w:hAnsi="仿宋" w:eastAsia="仿宋" w:cs="仿宋"/>
          <w:sz w:val="22"/>
          <w:szCs w:val="22"/>
          <w:lang w:val="zh-TW" w:eastAsia="zh-TW" w:bidi="zh-TW"/>
        </w:rPr>
      </w:pPr>
      <w:bookmarkStart w:id="215" w:name="_Toc22924"/>
      <w:r>
        <w:rPr>
          <w:rFonts w:hint="eastAsia" w:ascii="仿宋" w:hAnsi="仿宋" w:eastAsia="仿宋" w:cs="仿宋"/>
          <w:sz w:val="22"/>
          <w:szCs w:val="22"/>
          <w:lang w:val="zh-TW" w:eastAsia="zh-TW" w:bidi="zh-TW"/>
        </w:rPr>
        <w:t>一、联系方式</w:t>
      </w:r>
      <w:bookmarkEnd w:id="215"/>
    </w:p>
    <w:bookmarkEnd w:id="211"/>
    <w:bookmarkEnd w:id="212"/>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26"/>
        <w:gridCol w:w="2520"/>
        <w:gridCol w:w="1890"/>
        <w:gridCol w:w="1091"/>
      </w:tblGrid>
      <w:tr w14:paraId="7AF0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6077F82E">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926" w:type="dxa"/>
            <w:noWrap w:val="0"/>
            <w:vAlign w:val="top"/>
          </w:tcPr>
          <w:p w14:paraId="4D6C4E5C">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2520" w:type="dxa"/>
            <w:noWrap w:val="0"/>
            <w:vAlign w:val="top"/>
          </w:tcPr>
          <w:p w14:paraId="7938A1B9">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1890" w:type="dxa"/>
            <w:noWrap w:val="0"/>
            <w:vAlign w:val="top"/>
          </w:tcPr>
          <w:p w14:paraId="2EB40F1D">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1091" w:type="dxa"/>
            <w:noWrap w:val="0"/>
            <w:vAlign w:val="top"/>
          </w:tcPr>
          <w:p w14:paraId="354834AB">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1097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0591E927">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王冲</w:t>
            </w:r>
          </w:p>
        </w:tc>
        <w:tc>
          <w:tcPr>
            <w:tcW w:w="1926" w:type="dxa"/>
            <w:noWrap w:val="0"/>
            <w:vAlign w:val="top"/>
          </w:tcPr>
          <w:p w14:paraId="40B27232">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产品经理</w:t>
            </w:r>
          </w:p>
        </w:tc>
        <w:tc>
          <w:tcPr>
            <w:tcW w:w="2520" w:type="dxa"/>
            <w:vMerge w:val="restart"/>
            <w:noWrap w:val="0"/>
            <w:vAlign w:val="top"/>
          </w:tcPr>
          <w:p w14:paraId="5C5E4D74">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洛龙区开元大道五洲大厦楼一、二层</w:t>
            </w:r>
          </w:p>
        </w:tc>
        <w:tc>
          <w:tcPr>
            <w:tcW w:w="1890" w:type="dxa"/>
            <w:vMerge w:val="restart"/>
            <w:noWrap w:val="0"/>
            <w:vAlign w:val="top"/>
          </w:tcPr>
          <w:p w14:paraId="6058AC42">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62222007</w:t>
            </w:r>
          </w:p>
          <w:p w14:paraId="3EBB0073">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18569936293</w:t>
            </w:r>
          </w:p>
        </w:tc>
        <w:tc>
          <w:tcPr>
            <w:tcW w:w="1091" w:type="dxa"/>
            <w:vMerge w:val="restart"/>
            <w:noWrap w:val="0"/>
            <w:vAlign w:val="top"/>
          </w:tcPr>
          <w:p w14:paraId="5AA9960A">
            <w:pPr>
              <w:jc w:val="center"/>
              <w:rPr>
                <w:rFonts w:hint="eastAsia" w:ascii="仿宋" w:hAnsi="仿宋" w:eastAsia="仿宋" w:cs="仿宋"/>
                <w:sz w:val="22"/>
                <w:szCs w:val="22"/>
                <w:lang w:val="zh-TW" w:eastAsia="zh-TW" w:bidi="zh-TW"/>
              </w:rPr>
            </w:pPr>
          </w:p>
        </w:tc>
      </w:tr>
      <w:tr w14:paraId="25E3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0771B4C7">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石磊</w:t>
            </w:r>
          </w:p>
        </w:tc>
        <w:tc>
          <w:tcPr>
            <w:tcW w:w="1926" w:type="dxa"/>
            <w:noWrap w:val="0"/>
            <w:vAlign w:val="top"/>
          </w:tcPr>
          <w:p w14:paraId="03639AF7">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副总经理</w:t>
            </w:r>
          </w:p>
        </w:tc>
        <w:tc>
          <w:tcPr>
            <w:tcW w:w="2520" w:type="dxa"/>
            <w:vMerge w:val="continue"/>
            <w:noWrap w:val="0"/>
            <w:vAlign w:val="top"/>
          </w:tcPr>
          <w:p w14:paraId="1950390D">
            <w:pPr>
              <w:jc w:val="center"/>
              <w:rPr>
                <w:rFonts w:hint="eastAsia" w:ascii="仿宋" w:hAnsi="仿宋" w:eastAsia="仿宋" w:cs="仿宋"/>
                <w:sz w:val="22"/>
                <w:szCs w:val="22"/>
                <w:lang w:val="zh-TW" w:eastAsia="zh-TW" w:bidi="zh-TW"/>
              </w:rPr>
            </w:pPr>
          </w:p>
        </w:tc>
        <w:tc>
          <w:tcPr>
            <w:tcW w:w="1890" w:type="dxa"/>
            <w:vMerge w:val="continue"/>
            <w:noWrap w:val="0"/>
            <w:vAlign w:val="top"/>
          </w:tcPr>
          <w:p w14:paraId="2DE4EDAF">
            <w:pPr>
              <w:jc w:val="center"/>
              <w:rPr>
                <w:rFonts w:hint="eastAsia" w:ascii="仿宋" w:hAnsi="仿宋" w:eastAsia="仿宋" w:cs="仿宋"/>
                <w:sz w:val="22"/>
                <w:szCs w:val="22"/>
                <w:lang w:val="zh-TW" w:eastAsia="zh-TW" w:bidi="zh-TW"/>
              </w:rPr>
            </w:pPr>
          </w:p>
        </w:tc>
        <w:tc>
          <w:tcPr>
            <w:tcW w:w="1091" w:type="dxa"/>
            <w:vMerge w:val="continue"/>
            <w:noWrap w:val="0"/>
            <w:vAlign w:val="top"/>
          </w:tcPr>
          <w:p w14:paraId="45AB992A">
            <w:pPr>
              <w:jc w:val="center"/>
              <w:rPr>
                <w:rFonts w:hint="eastAsia" w:ascii="仿宋" w:hAnsi="仿宋" w:eastAsia="仿宋" w:cs="仿宋"/>
                <w:sz w:val="22"/>
                <w:szCs w:val="22"/>
                <w:lang w:val="zh-TW" w:eastAsia="zh-TW" w:bidi="zh-TW"/>
              </w:rPr>
            </w:pPr>
          </w:p>
        </w:tc>
      </w:tr>
    </w:tbl>
    <w:p w14:paraId="731FCD3F">
      <w:pPr>
        <w:ind w:firstLine="378" w:firstLineChars="200"/>
        <w:outlineLvl w:val="9"/>
        <w:rPr>
          <w:rFonts w:hint="eastAsia" w:ascii="仿宋" w:hAnsi="仿宋" w:eastAsia="仿宋" w:cs="仿宋"/>
          <w:sz w:val="22"/>
          <w:szCs w:val="22"/>
          <w:lang w:val="zh-TW" w:eastAsia="zh-TW" w:bidi="zh-TW"/>
        </w:rPr>
      </w:pPr>
      <w:bookmarkStart w:id="216" w:name="_Toc20341"/>
      <w:r>
        <w:rPr>
          <w:rFonts w:hint="eastAsia" w:ascii="仿宋" w:hAnsi="仿宋" w:eastAsia="仿宋" w:cs="仿宋"/>
          <w:sz w:val="22"/>
          <w:szCs w:val="22"/>
          <w:lang w:val="zh-TW" w:eastAsia="zh-TW" w:bidi="zh-TW"/>
        </w:rPr>
        <w:t>二、融资产品介绍</w:t>
      </w:r>
      <w:bookmarkEnd w:id="216"/>
    </w:p>
    <w:p w14:paraId="3B2EE365">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1、产品介绍</w:t>
      </w:r>
    </w:p>
    <w:p w14:paraId="1F6280DE">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我行开展的政府采购融资贷款名称为政采融易贷，指我行根据政府采购中标通知书，以政府财政支付资金为主要还款来源，通过封闭回款路径等方式，为中标供应商提供授信额度。中标供应商可根据需要办理短期流动资金贷款、开立银行承兑汇票、信用证、保理等业务。</w:t>
      </w:r>
    </w:p>
    <w:p w14:paraId="61250C83">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2、申请路径</w:t>
      </w:r>
    </w:p>
    <w:p w14:paraId="3909C5CC">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标供应商持政府采购中标通知书即可向我行各营业网点申请政采融易贷。授信申请企业材料齐全完备的,我行可在7个工作日内完成审批。审批通过后,对具备放款条件的企业,在5个工作日内完成放款。后附我行各营业网点地址电话及申请业务所需材料清单。</w:t>
      </w:r>
    </w:p>
    <w:p w14:paraId="6194A4B0">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3、授信金额及期限</w:t>
      </w:r>
    </w:p>
    <w:p w14:paraId="3C77DBF2">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单笔授信金额最高可达政府采购中标合同金额的百分之八十，贷款期限与政府采购合同中约定的结算周期、付款方式相匹配，最长为合同约定付款日期后两个月。</w:t>
      </w:r>
    </w:p>
    <w:p w14:paraId="5BCF83EB">
      <w:pPr>
        <w:numPr>
          <w:ilvl w:val="0"/>
          <w:numId w:val="4"/>
        </w:num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利率</w:t>
      </w:r>
      <w:r>
        <w:rPr>
          <w:rFonts w:hint="eastAsia" w:ascii="仿宋" w:hAnsi="仿宋" w:eastAsia="仿宋" w:cs="仿宋"/>
          <w:sz w:val="22"/>
          <w:szCs w:val="22"/>
          <w:lang w:val="zh-TW" w:bidi="zh-TW"/>
        </w:rPr>
        <w:t>：</w:t>
      </w:r>
      <w:r>
        <w:rPr>
          <w:rFonts w:hint="eastAsia" w:ascii="仿宋" w:hAnsi="仿宋" w:eastAsia="仿宋" w:cs="仿宋"/>
          <w:sz w:val="22"/>
          <w:szCs w:val="22"/>
          <w:lang w:val="zh-TW" w:eastAsia="zh-TW" w:bidi="zh-TW"/>
        </w:rPr>
        <w:t>参照放款时当地市场利率执行。</w:t>
      </w:r>
    </w:p>
    <w:p w14:paraId="7F633F66">
      <w:pPr>
        <w:outlineLvl w:val="9"/>
        <w:rPr>
          <w:rFonts w:hint="eastAsia" w:ascii="仿宋" w:hAnsi="仿宋" w:eastAsia="仿宋" w:cs="仿宋"/>
          <w:sz w:val="22"/>
          <w:szCs w:val="22"/>
          <w:lang w:val="zh-TW" w:eastAsia="zh-TW" w:bidi="zh-TW"/>
        </w:rPr>
      </w:pPr>
      <w:bookmarkStart w:id="217" w:name="_Toc7679"/>
      <w:r>
        <w:rPr>
          <w:rFonts w:hint="eastAsia" w:ascii="仿宋" w:hAnsi="仿宋" w:eastAsia="仿宋" w:cs="仿宋"/>
          <w:sz w:val="22"/>
          <w:szCs w:val="22"/>
          <w:lang w:val="zh-TW" w:eastAsia="zh-TW" w:bidi="zh-TW"/>
        </w:rPr>
        <w:t>附件一：光大银行洛阳分行各营业网点</w:t>
      </w:r>
      <w:bookmarkEnd w:id="217"/>
    </w:p>
    <w:tbl>
      <w:tblPr>
        <w:tblStyle w:val="6"/>
        <w:tblW w:w="8197" w:type="dxa"/>
        <w:jc w:val="center"/>
        <w:tblLayout w:type="fixed"/>
        <w:tblCellMar>
          <w:top w:w="0" w:type="dxa"/>
          <w:left w:w="108" w:type="dxa"/>
          <w:bottom w:w="0" w:type="dxa"/>
          <w:right w:w="108" w:type="dxa"/>
        </w:tblCellMar>
      </w:tblPr>
      <w:tblGrid>
        <w:gridCol w:w="1701"/>
        <w:gridCol w:w="4051"/>
        <w:gridCol w:w="2445"/>
      </w:tblGrid>
      <w:tr w14:paraId="1852F870">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563F4EC5">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营业网点</w:t>
            </w:r>
          </w:p>
        </w:tc>
        <w:tc>
          <w:tcPr>
            <w:tcW w:w="4051" w:type="dxa"/>
            <w:tcBorders>
              <w:top w:val="single" w:color="auto" w:sz="4" w:space="0"/>
              <w:left w:val="nil"/>
              <w:bottom w:val="single" w:color="auto" w:sz="4" w:space="0"/>
              <w:right w:val="single" w:color="auto" w:sz="4" w:space="0"/>
            </w:tcBorders>
            <w:noWrap w:val="0"/>
            <w:vAlign w:val="center"/>
          </w:tcPr>
          <w:p w14:paraId="4D38E9E2">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2445" w:type="dxa"/>
            <w:tcBorders>
              <w:top w:val="single" w:color="auto" w:sz="4" w:space="0"/>
              <w:left w:val="nil"/>
              <w:bottom w:val="single" w:color="auto" w:sz="4" w:space="0"/>
              <w:right w:val="single" w:color="auto" w:sz="4" w:space="0"/>
            </w:tcBorders>
            <w:noWrap w:val="0"/>
            <w:vAlign w:val="center"/>
          </w:tcPr>
          <w:p w14:paraId="306D23F2">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联系电话</w:t>
            </w:r>
          </w:p>
        </w:tc>
      </w:tr>
      <w:tr w14:paraId="6A3A8974">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25B6F070">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分行营业部</w:t>
            </w:r>
          </w:p>
        </w:tc>
        <w:tc>
          <w:tcPr>
            <w:tcW w:w="4051" w:type="dxa"/>
            <w:tcBorders>
              <w:top w:val="single" w:color="auto" w:sz="4" w:space="0"/>
              <w:left w:val="nil"/>
              <w:bottom w:val="single" w:color="auto" w:sz="4" w:space="0"/>
              <w:right w:val="single" w:color="auto" w:sz="4" w:space="0"/>
            </w:tcBorders>
            <w:noWrap w:val="0"/>
            <w:vAlign w:val="center"/>
          </w:tcPr>
          <w:p w14:paraId="64FECE5A">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洛龙区通济街开元大道交叉口五洲大厦裙楼</w:t>
            </w:r>
          </w:p>
        </w:tc>
        <w:tc>
          <w:tcPr>
            <w:tcW w:w="2445" w:type="dxa"/>
            <w:tcBorders>
              <w:top w:val="single" w:color="auto" w:sz="4" w:space="0"/>
              <w:left w:val="nil"/>
              <w:bottom w:val="single" w:color="auto" w:sz="4" w:space="0"/>
              <w:right w:val="single" w:color="auto" w:sz="4" w:space="0"/>
            </w:tcBorders>
            <w:noWrap w:val="0"/>
            <w:vAlign w:val="center"/>
          </w:tcPr>
          <w:p w14:paraId="1FF3309E">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0379-62222126</w:t>
            </w:r>
          </w:p>
        </w:tc>
      </w:tr>
      <w:tr w14:paraId="79C1FC65">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2E194C17">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王城路支行</w:t>
            </w:r>
          </w:p>
        </w:tc>
        <w:tc>
          <w:tcPr>
            <w:tcW w:w="4051" w:type="dxa"/>
            <w:tcBorders>
              <w:top w:val="single" w:color="auto" w:sz="4" w:space="0"/>
              <w:left w:val="nil"/>
              <w:bottom w:val="single" w:color="auto" w:sz="4" w:space="0"/>
              <w:right w:val="single" w:color="auto" w:sz="4" w:space="0"/>
            </w:tcBorders>
            <w:noWrap w:val="0"/>
            <w:vAlign w:val="center"/>
          </w:tcPr>
          <w:p w14:paraId="7D2F178F">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西工区王城大道221号</w:t>
            </w:r>
          </w:p>
        </w:tc>
        <w:tc>
          <w:tcPr>
            <w:tcW w:w="2445" w:type="dxa"/>
            <w:tcBorders>
              <w:top w:val="single" w:color="auto" w:sz="4" w:space="0"/>
              <w:left w:val="nil"/>
              <w:bottom w:val="single" w:color="auto" w:sz="4" w:space="0"/>
              <w:right w:val="single" w:color="auto" w:sz="4" w:space="0"/>
            </w:tcBorders>
            <w:noWrap w:val="0"/>
            <w:vAlign w:val="center"/>
          </w:tcPr>
          <w:p w14:paraId="5F6E4B79">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0379-62222022</w:t>
            </w:r>
          </w:p>
        </w:tc>
      </w:tr>
      <w:tr w14:paraId="032E18DB">
        <w:tblPrEx>
          <w:tblCellMar>
            <w:top w:w="0" w:type="dxa"/>
            <w:left w:w="108" w:type="dxa"/>
            <w:bottom w:w="0" w:type="dxa"/>
            <w:right w:w="108" w:type="dxa"/>
          </w:tblCellMar>
        </w:tblPrEx>
        <w:trPr>
          <w:trHeight w:val="1130"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0F7DA5BF">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西苑路支行</w:t>
            </w:r>
          </w:p>
        </w:tc>
        <w:tc>
          <w:tcPr>
            <w:tcW w:w="4051" w:type="dxa"/>
            <w:tcBorders>
              <w:top w:val="single" w:color="auto" w:sz="4" w:space="0"/>
              <w:left w:val="nil"/>
              <w:bottom w:val="single" w:color="auto" w:sz="4" w:space="0"/>
              <w:right w:val="single" w:color="auto" w:sz="4" w:space="0"/>
            </w:tcBorders>
            <w:noWrap w:val="0"/>
            <w:vAlign w:val="center"/>
          </w:tcPr>
          <w:p w14:paraId="78BE6DD9">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涧西区西苑路与青岛路交叉口西南角</w:t>
            </w:r>
          </w:p>
        </w:tc>
        <w:tc>
          <w:tcPr>
            <w:tcW w:w="2445" w:type="dxa"/>
            <w:tcBorders>
              <w:top w:val="single" w:color="auto" w:sz="4" w:space="0"/>
              <w:left w:val="nil"/>
              <w:bottom w:val="single" w:color="auto" w:sz="4" w:space="0"/>
              <w:right w:val="single" w:color="auto" w:sz="4" w:space="0"/>
            </w:tcBorders>
            <w:noWrap w:val="0"/>
            <w:vAlign w:val="center"/>
          </w:tcPr>
          <w:p w14:paraId="6CCC2184">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0379-62222056</w:t>
            </w:r>
          </w:p>
        </w:tc>
      </w:tr>
      <w:tr w14:paraId="507E8AF7">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1D61EDF8">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华阳支行</w:t>
            </w:r>
          </w:p>
        </w:tc>
        <w:tc>
          <w:tcPr>
            <w:tcW w:w="4051" w:type="dxa"/>
            <w:tcBorders>
              <w:top w:val="single" w:color="auto" w:sz="4" w:space="0"/>
              <w:left w:val="nil"/>
              <w:bottom w:val="single" w:color="auto" w:sz="4" w:space="0"/>
              <w:right w:val="single" w:color="auto" w:sz="4" w:space="0"/>
            </w:tcBorders>
            <w:noWrap w:val="0"/>
            <w:vAlign w:val="center"/>
          </w:tcPr>
          <w:p w14:paraId="1E26562E">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辽宁路与丽新路交叉口西100米路北</w:t>
            </w:r>
          </w:p>
        </w:tc>
        <w:tc>
          <w:tcPr>
            <w:tcW w:w="2445" w:type="dxa"/>
            <w:tcBorders>
              <w:top w:val="single" w:color="auto" w:sz="4" w:space="0"/>
              <w:left w:val="nil"/>
              <w:bottom w:val="single" w:color="auto" w:sz="4" w:space="0"/>
              <w:right w:val="single" w:color="auto" w:sz="4" w:space="0"/>
            </w:tcBorders>
            <w:noWrap w:val="0"/>
            <w:vAlign w:val="center"/>
          </w:tcPr>
          <w:p w14:paraId="0D0E87CE">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0379-60650338</w:t>
            </w:r>
          </w:p>
        </w:tc>
      </w:tr>
      <w:tr w14:paraId="286F36DC">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6DC45D98">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珠江路支行</w:t>
            </w:r>
          </w:p>
        </w:tc>
        <w:tc>
          <w:tcPr>
            <w:tcW w:w="4051" w:type="dxa"/>
            <w:tcBorders>
              <w:top w:val="single" w:color="auto" w:sz="4" w:space="0"/>
              <w:left w:val="nil"/>
              <w:bottom w:val="single" w:color="auto" w:sz="4" w:space="0"/>
              <w:right w:val="single" w:color="auto" w:sz="4" w:space="0"/>
            </w:tcBorders>
            <w:noWrap w:val="0"/>
            <w:vAlign w:val="center"/>
          </w:tcPr>
          <w:p w14:paraId="2C604FB7">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涧西区珠江路与寨南路交叉口西南角美景家园底层一二层</w:t>
            </w:r>
          </w:p>
        </w:tc>
        <w:tc>
          <w:tcPr>
            <w:tcW w:w="2445" w:type="dxa"/>
            <w:tcBorders>
              <w:top w:val="single" w:color="auto" w:sz="4" w:space="0"/>
              <w:left w:val="nil"/>
              <w:bottom w:val="single" w:color="auto" w:sz="4" w:space="0"/>
              <w:right w:val="single" w:color="auto" w:sz="4" w:space="0"/>
            </w:tcBorders>
            <w:noWrap w:val="0"/>
            <w:vAlign w:val="center"/>
          </w:tcPr>
          <w:p w14:paraId="1F0D7629">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0379-62222071</w:t>
            </w:r>
          </w:p>
        </w:tc>
      </w:tr>
      <w:tr w14:paraId="730341B0">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70454C8D">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英才路支行</w:t>
            </w:r>
          </w:p>
        </w:tc>
        <w:tc>
          <w:tcPr>
            <w:tcW w:w="4051" w:type="dxa"/>
            <w:tcBorders>
              <w:top w:val="single" w:color="auto" w:sz="4" w:space="0"/>
              <w:left w:val="nil"/>
              <w:bottom w:val="single" w:color="auto" w:sz="4" w:space="0"/>
              <w:right w:val="single" w:color="auto" w:sz="4" w:space="0"/>
            </w:tcBorders>
            <w:noWrap w:val="0"/>
            <w:vAlign w:val="center"/>
          </w:tcPr>
          <w:p w14:paraId="3C2B10C5">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洛龙区英才路与美茵街交叉口</w:t>
            </w:r>
          </w:p>
        </w:tc>
        <w:tc>
          <w:tcPr>
            <w:tcW w:w="2445" w:type="dxa"/>
            <w:tcBorders>
              <w:top w:val="single" w:color="auto" w:sz="4" w:space="0"/>
              <w:left w:val="nil"/>
              <w:bottom w:val="single" w:color="auto" w:sz="4" w:space="0"/>
              <w:right w:val="single" w:color="auto" w:sz="4" w:space="0"/>
            </w:tcBorders>
            <w:noWrap w:val="0"/>
            <w:vAlign w:val="center"/>
          </w:tcPr>
          <w:p w14:paraId="09F2EAD7">
            <w:pPr>
              <w:widowControl/>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0379-62222217</w:t>
            </w:r>
          </w:p>
        </w:tc>
      </w:tr>
    </w:tbl>
    <w:p w14:paraId="02E4FC3A">
      <w:pPr>
        <w:outlineLvl w:val="9"/>
        <w:rPr>
          <w:rFonts w:hint="eastAsia" w:ascii="仿宋" w:hAnsi="仿宋" w:eastAsia="仿宋" w:cs="仿宋"/>
          <w:sz w:val="22"/>
          <w:szCs w:val="22"/>
          <w:lang w:val="zh-TW" w:eastAsia="zh-TW" w:bidi="zh-TW"/>
        </w:rPr>
      </w:pPr>
      <w:bookmarkStart w:id="218" w:name="_Toc1346"/>
      <w:r>
        <w:rPr>
          <w:rFonts w:hint="eastAsia" w:ascii="仿宋" w:hAnsi="仿宋" w:eastAsia="仿宋" w:cs="仿宋"/>
          <w:sz w:val="22"/>
          <w:szCs w:val="22"/>
          <w:lang w:val="zh-TW" w:eastAsia="zh-TW" w:bidi="zh-TW"/>
        </w:rPr>
        <w:t>附件二：申请材料清单</w:t>
      </w:r>
      <w:bookmarkEnd w:id="218"/>
    </w:p>
    <w:p w14:paraId="394CD6A5">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营业执照正副本复印件</w:t>
      </w:r>
    </w:p>
    <w:p w14:paraId="2422B121">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法人身份证复印件</w:t>
      </w:r>
    </w:p>
    <w:p w14:paraId="3F021A5A">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公司章程</w:t>
      </w:r>
    </w:p>
    <w:p w14:paraId="4786576B">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开户许可证复印件</w:t>
      </w:r>
    </w:p>
    <w:p w14:paraId="53B36BCC">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近三年及最近一期财务报表</w:t>
      </w:r>
    </w:p>
    <w:p w14:paraId="4F636060">
      <w:pPr>
        <w:numPr>
          <w:ilvl w:val="0"/>
          <w:numId w:val="5"/>
        </w:numPr>
        <w:spacing w:line="360" w:lineRule="auto"/>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授信申请书</w:t>
      </w:r>
    </w:p>
    <w:p w14:paraId="26AFDEB4">
      <w:pPr>
        <w:numPr>
          <w:ilvl w:val="0"/>
          <w:numId w:val="5"/>
        </w:numPr>
        <w:spacing w:line="360" w:lineRule="auto"/>
        <w:rPr>
          <w:rFonts w:hint="eastAsia" w:ascii="仿宋" w:hAnsi="仿宋" w:eastAsia="仿宋" w:cs="仿宋"/>
          <w:sz w:val="22"/>
          <w:szCs w:val="22"/>
          <w:lang w:val="zh-TW" w:bidi="zh-TW"/>
        </w:rPr>
      </w:pPr>
      <w:r>
        <w:rPr>
          <w:rFonts w:hint="eastAsia" w:ascii="仿宋" w:hAnsi="仿宋" w:eastAsia="仿宋" w:cs="仿宋"/>
          <w:sz w:val="22"/>
          <w:szCs w:val="22"/>
          <w:lang w:val="zh-TW" w:eastAsia="zh-TW" w:bidi="zh-TW"/>
        </w:rPr>
        <w:t>政府采购中标通知书</w:t>
      </w:r>
      <w:r>
        <w:rPr>
          <w:rFonts w:hint="eastAsia" w:ascii="仿宋" w:hAnsi="仿宋" w:eastAsia="仿宋" w:cs="仿宋"/>
          <w:sz w:val="22"/>
          <w:szCs w:val="22"/>
          <w:lang w:val="zh-TW" w:bidi="zh-TW"/>
        </w:rPr>
        <w:t>及</w:t>
      </w:r>
      <w:r>
        <w:rPr>
          <w:rFonts w:hint="eastAsia" w:ascii="仿宋" w:hAnsi="仿宋" w:eastAsia="仿宋" w:cs="仿宋"/>
          <w:sz w:val="22"/>
          <w:szCs w:val="22"/>
          <w:lang w:val="zh-TW" w:eastAsia="zh-TW" w:bidi="zh-TW"/>
        </w:rPr>
        <w:t>其他相关资料</w:t>
      </w:r>
    </w:p>
    <w:p w14:paraId="23C58957">
      <w:pPr>
        <w:jc w:val="center"/>
        <w:outlineLvl w:val="9"/>
        <w:rPr>
          <w:rFonts w:hint="eastAsia" w:ascii="仿宋" w:hAnsi="仿宋" w:eastAsia="仿宋" w:cs="仿宋"/>
          <w:b/>
          <w:bCs/>
          <w:sz w:val="28"/>
          <w:szCs w:val="36"/>
        </w:rPr>
      </w:pPr>
      <w:bookmarkStart w:id="219" w:name="_Toc27592"/>
      <w:r>
        <w:rPr>
          <w:rFonts w:hint="eastAsia" w:ascii="仿宋" w:hAnsi="仿宋" w:eastAsia="仿宋" w:cs="仿宋"/>
          <w:b/>
          <w:bCs/>
          <w:sz w:val="28"/>
          <w:szCs w:val="36"/>
        </w:rPr>
        <w:t>中信银行政府采购贷联系方式及产品介绍</w:t>
      </w:r>
      <w:bookmarkEnd w:id="219"/>
    </w:p>
    <w:p w14:paraId="16767531">
      <w:pPr>
        <w:numPr>
          <w:ilvl w:val="0"/>
          <w:numId w:val="6"/>
        </w:numPr>
        <w:outlineLvl w:val="9"/>
        <w:rPr>
          <w:rFonts w:hint="eastAsia" w:ascii="仿宋" w:hAnsi="仿宋" w:eastAsia="仿宋" w:cs="仿宋"/>
          <w:sz w:val="22"/>
          <w:szCs w:val="22"/>
          <w:lang w:val="zh-TW" w:eastAsia="zh-TW" w:bidi="zh-TW"/>
        </w:rPr>
      </w:pPr>
      <w:bookmarkStart w:id="220" w:name="_Toc25722"/>
      <w:r>
        <w:rPr>
          <w:rFonts w:hint="eastAsia" w:ascii="仿宋" w:hAnsi="仿宋" w:eastAsia="仿宋" w:cs="仿宋"/>
          <w:sz w:val="22"/>
          <w:szCs w:val="22"/>
          <w:lang w:val="zh-TW" w:eastAsia="zh-TW" w:bidi="zh-TW"/>
        </w:rPr>
        <w:t>联系方式</w:t>
      </w:r>
      <w:bookmarkEnd w:id="220"/>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0D64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918C92B">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2130" w:type="dxa"/>
            <w:noWrap w:val="0"/>
            <w:vAlign w:val="top"/>
          </w:tcPr>
          <w:p w14:paraId="33FE295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2131" w:type="dxa"/>
            <w:noWrap w:val="0"/>
            <w:vAlign w:val="top"/>
          </w:tcPr>
          <w:p w14:paraId="17954AC0">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2131" w:type="dxa"/>
            <w:noWrap w:val="0"/>
            <w:vAlign w:val="top"/>
          </w:tcPr>
          <w:p w14:paraId="467D2EA9">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r>
      <w:tr w14:paraId="199C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09EB73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闫恺</w:t>
            </w:r>
          </w:p>
        </w:tc>
        <w:tc>
          <w:tcPr>
            <w:tcW w:w="2130" w:type="dxa"/>
            <w:noWrap w:val="0"/>
            <w:vAlign w:val="top"/>
          </w:tcPr>
          <w:p w14:paraId="25573F50">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中信银行洛阳分行普惠金融部总经理</w:t>
            </w:r>
          </w:p>
        </w:tc>
        <w:tc>
          <w:tcPr>
            <w:tcW w:w="2131" w:type="dxa"/>
            <w:noWrap w:val="0"/>
            <w:vAlign w:val="top"/>
          </w:tcPr>
          <w:p w14:paraId="3587898F">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洛阳市西工区中州中路405号中信银行大厦1803室</w:t>
            </w:r>
          </w:p>
        </w:tc>
        <w:tc>
          <w:tcPr>
            <w:tcW w:w="2131" w:type="dxa"/>
            <w:noWrap w:val="0"/>
            <w:vAlign w:val="top"/>
          </w:tcPr>
          <w:p w14:paraId="40C54829">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15837959999</w:t>
            </w:r>
          </w:p>
        </w:tc>
      </w:tr>
      <w:tr w14:paraId="5007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9399283">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齐笑沛</w:t>
            </w:r>
          </w:p>
        </w:tc>
        <w:tc>
          <w:tcPr>
            <w:tcW w:w="2130" w:type="dxa"/>
            <w:noWrap w:val="0"/>
            <w:vAlign w:val="top"/>
          </w:tcPr>
          <w:p w14:paraId="5A0030FF">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中信银行洛阳分行普惠金融部客户经理</w:t>
            </w:r>
          </w:p>
        </w:tc>
        <w:tc>
          <w:tcPr>
            <w:tcW w:w="2131" w:type="dxa"/>
            <w:noWrap w:val="0"/>
            <w:vAlign w:val="top"/>
          </w:tcPr>
          <w:p w14:paraId="06A757C1">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洛阳市西工区中州中路405号中信银行大厦</w:t>
            </w:r>
          </w:p>
        </w:tc>
        <w:tc>
          <w:tcPr>
            <w:tcW w:w="2131" w:type="dxa"/>
            <w:noWrap w:val="0"/>
            <w:vAlign w:val="top"/>
          </w:tcPr>
          <w:p w14:paraId="25BC5E66">
            <w:pPr>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13938852129</w:t>
            </w:r>
          </w:p>
        </w:tc>
      </w:tr>
    </w:tbl>
    <w:p w14:paraId="2F0BACB1">
      <w:pPr>
        <w:numPr>
          <w:ilvl w:val="0"/>
          <w:numId w:val="6"/>
        </w:numPr>
        <w:outlineLvl w:val="9"/>
        <w:rPr>
          <w:rFonts w:hint="eastAsia" w:ascii="仿宋" w:hAnsi="仿宋" w:eastAsia="仿宋" w:cs="仿宋"/>
          <w:sz w:val="22"/>
          <w:szCs w:val="22"/>
          <w:lang w:val="zh-TW" w:eastAsia="zh-TW" w:bidi="zh-TW"/>
        </w:rPr>
      </w:pPr>
      <w:bookmarkStart w:id="221" w:name="_Toc12807"/>
      <w:r>
        <w:rPr>
          <w:rFonts w:hint="eastAsia" w:ascii="仿宋" w:hAnsi="仿宋" w:eastAsia="仿宋" w:cs="仿宋"/>
          <w:sz w:val="22"/>
          <w:szCs w:val="22"/>
          <w:lang w:val="zh-TW" w:eastAsia="zh-TW" w:bidi="zh-TW"/>
        </w:rPr>
        <w:t>融资产品介绍：</w:t>
      </w:r>
      <w:bookmarkEnd w:id="221"/>
    </w:p>
    <w:p w14:paraId="2A565528">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中信银行政府采购贷是在政府采购公开招标采购方式下，中信银行根据采购中标通知书或合同，为小微企业提供的流动资金贷款业务。</w:t>
      </w:r>
    </w:p>
    <w:p w14:paraId="0FA1F857">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产品适用范围：中标河南省政府采购项目和洛阳市政府采购项目的全省所有小微企业。</w:t>
      </w:r>
    </w:p>
    <w:p w14:paraId="722EEBC0">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贷款额度：额度为中标合同金额的90%，最高1000万元。</w:t>
      </w:r>
    </w:p>
    <w:p w14:paraId="2A311913">
      <w:pPr>
        <w:numPr>
          <w:ilvl w:val="0"/>
          <w:numId w:val="7"/>
        </w:numP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申请路径：联系中信银行洛阳分行普惠金融部，提供企业基础资料及中标相关资料，资料齐全1个工作日即可审批完结。</w:t>
      </w:r>
    </w:p>
    <w:p w14:paraId="18751863">
      <w:pPr>
        <w:numPr>
          <w:ilvl w:val="0"/>
          <w:numId w:val="7"/>
        </w:numPr>
        <w:rPr>
          <w:rFonts w:hint="eastAsia" w:ascii="仿宋" w:hAnsi="仿宋" w:eastAsia="仿宋" w:cs="仿宋"/>
          <w:b/>
          <w:bCs/>
          <w:sz w:val="28"/>
          <w:szCs w:val="36"/>
        </w:rPr>
      </w:pPr>
      <w:r>
        <w:rPr>
          <w:rFonts w:hint="eastAsia" w:ascii="仿宋" w:hAnsi="仿宋" w:eastAsia="仿宋" w:cs="仿宋"/>
          <w:sz w:val="22"/>
          <w:szCs w:val="22"/>
          <w:lang w:val="zh-TW" w:eastAsia="zh-TW" w:bidi="zh-TW"/>
        </w:rPr>
        <w:t>优惠政策：中标政府采购贷款的小微企业可在中信银行普惠金融享受优质客户的最优惠利率、减免相关费用、提供小微企业专属金融服务方案。</w:t>
      </w:r>
    </w:p>
    <w:p w14:paraId="2F7DA2F7">
      <w:pPr>
        <w:ind w:firstLine="488" w:firstLineChars="196"/>
        <w:jc w:val="center"/>
        <w:outlineLvl w:val="9"/>
        <w:rPr>
          <w:rFonts w:hint="eastAsia" w:ascii="仿宋" w:hAnsi="仿宋" w:eastAsia="仿宋" w:cs="仿宋"/>
          <w:b/>
          <w:bCs/>
          <w:sz w:val="28"/>
          <w:szCs w:val="36"/>
        </w:rPr>
      </w:pPr>
      <w:bookmarkStart w:id="222" w:name="_Toc11558"/>
      <w:r>
        <w:rPr>
          <w:rFonts w:hint="eastAsia" w:ascii="仿宋" w:hAnsi="仿宋" w:eastAsia="仿宋" w:cs="仿宋"/>
          <w:b/>
          <w:bCs/>
          <w:sz w:val="28"/>
          <w:szCs w:val="36"/>
        </w:rPr>
        <w:t>招商银行政府采购融资贷联系方式</w:t>
      </w:r>
      <w:bookmarkEnd w:id="222"/>
    </w:p>
    <w:p w14:paraId="0144EB89">
      <w:pPr>
        <w:ind w:firstLine="488" w:firstLineChars="196"/>
        <w:jc w:val="center"/>
        <w:outlineLvl w:val="9"/>
        <w:rPr>
          <w:rFonts w:hint="eastAsia" w:ascii="仿宋" w:hAnsi="仿宋" w:eastAsia="仿宋" w:cs="仿宋"/>
          <w:b/>
          <w:bCs/>
          <w:sz w:val="28"/>
          <w:szCs w:val="36"/>
        </w:rPr>
      </w:pPr>
      <w:bookmarkStart w:id="223" w:name="_Toc12388"/>
      <w:r>
        <w:rPr>
          <w:rFonts w:hint="eastAsia" w:ascii="仿宋" w:hAnsi="仿宋" w:eastAsia="仿宋" w:cs="仿宋"/>
          <w:b/>
          <w:bCs/>
          <w:sz w:val="28"/>
          <w:szCs w:val="36"/>
        </w:rPr>
        <w:t>及融资产品介绍</w:t>
      </w:r>
      <w:bookmarkEnd w:id="223"/>
    </w:p>
    <w:p w14:paraId="63A06861">
      <w:pPr>
        <w:pStyle w:val="85"/>
        <w:numPr>
          <w:ilvl w:val="0"/>
          <w:numId w:val="8"/>
        </w:numPr>
        <w:spacing w:line="480" w:lineRule="auto"/>
        <w:ind w:firstLineChars="0"/>
        <w:outlineLvl w:val="9"/>
        <w:rPr>
          <w:rFonts w:hint="eastAsia" w:ascii="仿宋" w:hAnsi="仿宋" w:eastAsia="仿宋" w:cs="仿宋"/>
          <w:sz w:val="22"/>
          <w:szCs w:val="22"/>
          <w:lang w:val="zh-TW" w:eastAsia="zh-TW" w:bidi="zh-TW"/>
        </w:rPr>
      </w:pPr>
      <w:bookmarkStart w:id="224" w:name="_Toc10508"/>
      <w:r>
        <w:rPr>
          <w:rFonts w:hint="eastAsia" w:ascii="仿宋" w:hAnsi="仿宋" w:eastAsia="仿宋" w:cs="仿宋"/>
          <w:sz w:val="22"/>
          <w:szCs w:val="22"/>
          <w:lang w:val="zh-TW" w:eastAsia="zh-TW" w:bidi="zh-TW"/>
        </w:rPr>
        <w:t>联系方式：</w:t>
      </w:r>
      <w:bookmarkEnd w:id="224"/>
    </w:p>
    <w:tbl>
      <w:tblPr>
        <w:tblStyle w:val="6"/>
        <w:tblW w:w="9782" w:type="dxa"/>
        <w:tblInd w:w="-176" w:type="dxa"/>
        <w:tblLayout w:type="fixed"/>
        <w:tblCellMar>
          <w:top w:w="0" w:type="dxa"/>
          <w:left w:w="108" w:type="dxa"/>
          <w:bottom w:w="0" w:type="dxa"/>
          <w:right w:w="108" w:type="dxa"/>
        </w:tblCellMar>
      </w:tblPr>
      <w:tblGrid>
        <w:gridCol w:w="1135"/>
        <w:gridCol w:w="1417"/>
        <w:gridCol w:w="3261"/>
        <w:gridCol w:w="3118"/>
        <w:gridCol w:w="851"/>
      </w:tblGrid>
      <w:tr w14:paraId="50EB7C12">
        <w:tblPrEx>
          <w:tblCellMar>
            <w:top w:w="0" w:type="dxa"/>
            <w:left w:w="108" w:type="dxa"/>
            <w:bottom w:w="0" w:type="dxa"/>
            <w:right w:w="108" w:type="dxa"/>
          </w:tblCellMar>
        </w:tblPrEx>
        <w:trPr>
          <w:trHeight w:val="270"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2BAF907B">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联系人</w:t>
            </w:r>
          </w:p>
        </w:tc>
        <w:tc>
          <w:tcPr>
            <w:tcW w:w="1417" w:type="dxa"/>
            <w:tcBorders>
              <w:top w:val="single" w:color="auto" w:sz="4" w:space="0"/>
              <w:left w:val="nil"/>
              <w:bottom w:val="single" w:color="auto" w:sz="4" w:space="0"/>
              <w:right w:val="single" w:color="auto" w:sz="4" w:space="0"/>
            </w:tcBorders>
            <w:noWrap w:val="0"/>
            <w:vAlign w:val="center"/>
          </w:tcPr>
          <w:p w14:paraId="7E546966">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职务</w:t>
            </w:r>
          </w:p>
        </w:tc>
        <w:tc>
          <w:tcPr>
            <w:tcW w:w="3261" w:type="dxa"/>
            <w:tcBorders>
              <w:top w:val="single" w:color="auto" w:sz="4" w:space="0"/>
              <w:left w:val="nil"/>
              <w:bottom w:val="single" w:color="auto" w:sz="4" w:space="0"/>
              <w:right w:val="single" w:color="auto" w:sz="4" w:space="0"/>
            </w:tcBorders>
            <w:noWrap w:val="0"/>
            <w:vAlign w:val="center"/>
          </w:tcPr>
          <w:p w14:paraId="3CD2E58B">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地址</w:t>
            </w:r>
          </w:p>
        </w:tc>
        <w:tc>
          <w:tcPr>
            <w:tcW w:w="3118" w:type="dxa"/>
            <w:tcBorders>
              <w:top w:val="single" w:color="auto" w:sz="4" w:space="0"/>
              <w:left w:val="nil"/>
              <w:bottom w:val="single" w:color="auto" w:sz="4" w:space="0"/>
              <w:right w:val="single" w:color="auto" w:sz="4" w:space="0"/>
            </w:tcBorders>
            <w:noWrap w:val="0"/>
            <w:vAlign w:val="center"/>
          </w:tcPr>
          <w:p w14:paraId="72947648">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电话</w:t>
            </w:r>
          </w:p>
        </w:tc>
        <w:tc>
          <w:tcPr>
            <w:tcW w:w="851" w:type="dxa"/>
            <w:tcBorders>
              <w:top w:val="single" w:color="auto" w:sz="4" w:space="0"/>
              <w:left w:val="nil"/>
              <w:bottom w:val="single" w:color="auto" w:sz="4" w:space="0"/>
              <w:right w:val="single" w:color="auto" w:sz="4" w:space="0"/>
            </w:tcBorders>
            <w:noWrap w:val="0"/>
            <w:vAlign w:val="center"/>
          </w:tcPr>
          <w:p w14:paraId="5CDB278F">
            <w:pPr>
              <w:widowControl/>
              <w:spacing w:line="480"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备注</w:t>
            </w:r>
          </w:p>
        </w:tc>
      </w:tr>
      <w:tr w14:paraId="5A2A8D18">
        <w:tblPrEx>
          <w:tblCellMar>
            <w:top w:w="0" w:type="dxa"/>
            <w:left w:w="108" w:type="dxa"/>
            <w:bottom w:w="0" w:type="dxa"/>
            <w:right w:w="108" w:type="dxa"/>
          </w:tblCellMar>
        </w:tblPrEx>
        <w:trPr>
          <w:trHeight w:val="270" w:hRule="atLeast"/>
        </w:trPr>
        <w:tc>
          <w:tcPr>
            <w:tcW w:w="1135" w:type="dxa"/>
            <w:tcBorders>
              <w:top w:val="nil"/>
              <w:left w:val="single" w:color="auto" w:sz="4" w:space="0"/>
              <w:bottom w:val="single" w:color="auto" w:sz="4" w:space="0"/>
              <w:right w:val="single" w:color="auto" w:sz="4" w:space="0"/>
            </w:tcBorders>
            <w:noWrap w:val="0"/>
            <w:vAlign w:val="center"/>
          </w:tcPr>
          <w:p w14:paraId="5C534069">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平凡</w:t>
            </w:r>
          </w:p>
        </w:tc>
        <w:tc>
          <w:tcPr>
            <w:tcW w:w="1417" w:type="dxa"/>
            <w:tcBorders>
              <w:top w:val="nil"/>
              <w:left w:val="nil"/>
              <w:bottom w:val="single" w:color="auto" w:sz="4" w:space="0"/>
              <w:right w:val="single" w:color="auto" w:sz="4" w:space="0"/>
            </w:tcBorders>
            <w:noWrap w:val="0"/>
            <w:vAlign w:val="center"/>
          </w:tcPr>
          <w:p w14:paraId="78AAB54D">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产品经理</w:t>
            </w:r>
          </w:p>
        </w:tc>
        <w:tc>
          <w:tcPr>
            <w:tcW w:w="3261" w:type="dxa"/>
            <w:tcBorders>
              <w:top w:val="nil"/>
              <w:left w:val="nil"/>
              <w:bottom w:val="single" w:color="auto" w:sz="4" w:space="0"/>
              <w:right w:val="single" w:color="auto" w:sz="4" w:space="0"/>
            </w:tcBorders>
            <w:noWrap w:val="0"/>
            <w:vAlign w:val="center"/>
          </w:tcPr>
          <w:p w14:paraId="602C2661">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洛阳市涧西区南昌路7号西苑大厦</w:t>
            </w:r>
          </w:p>
        </w:tc>
        <w:tc>
          <w:tcPr>
            <w:tcW w:w="3118" w:type="dxa"/>
            <w:tcBorders>
              <w:top w:val="nil"/>
              <w:left w:val="nil"/>
              <w:bottom w:val="single" w:color="auto" w:sz="4" w:space="0"/>
              <w:right w:val="single" w:color="auto" w:sz="4" w:space="0"/>
            </w:tcBorders>
            <w:noWrap w:val="0"/>
            <w:vAlign w:val="center"/>
          </w:tcPr>
          <w:p w14:paraId="33735640">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0379-65119671 13461051216</w:t>
            </w:r>
          </w:p>
        </w:tc>
        <w:tc>
          <w:tcPr>
            <w:tcW w:w="851" w:type="dxa"/>
            <w:tcBorders>
              <w:top w:val="nil"/>
              <w:left w:val="nil"/>
              <w:bottom w:val="single" w:color="auto" w:sz="4" w:space="0"/>
              <w:right w:val="single" w:color="auto" w:sz="4" w:space="0"/>
            </w:tcBorders>
            <w:noWrap w:val="0"/>
            <w:vAlign w:val="center"/>
          </w:tcPr>
          <w:p w14:paraId="3FD1817E">
            <w:pPr>
              <w:widowControl/>
              <w:spacing w:line="480"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w:t>
            </w:r>
          </w:p>
        </w:tc>
      </w:tr>
      <w:tr w14:paraId="23C1C92C">
        <w:tblPrEx>
          <w:tblCellMar>
            <w:top w:w="0" w:type="dxa"/>
            <w:left w:w="108" w:type="dxa"/>
            <w:bottom w:w="0" w:type="dxa"/>
            <w:right w:w="108" w:type="dxa"/>
          </w:tblCellMar>
        </w:tblPrEx>
        <w:trPr>
          <w:trHeight w:val="270" w:hRule="atLeast"/>
        </w:trPr>
        <w:tc>
          <w:tcPr>
            <w:tcW w:w="1135" w:type="dxa"/>
            <w:tcBorders>
              <w:top w:val="nil"/>
              <w:left w:val="single" w:color="auto" w:sz="4" w:space="0"/>
              <w:bottom w:val="single" w:color="auto" w:sz="4" w:space="0"/>
              <w:right w:val="single" w:color="auto" w:sz="4" w:space="0"/>
            </w:tcBorders>
            <w:noWrap w:val="0"/>
            <w:vAlign w:val="center"/>
          </w:tcPr>
          <w:p w14:paraId="3289FA31">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王伊宁</w:t>
            </w:r>
          </w:p>
        </w:tc>
        <w:tc>
          <w:tcPr>
            <w:tcW w:w="1417" w:type="dxa"/>
            <w:tcBorders>
              <w:top w:val="nil"/>
              <w:left w:val="nil"/>
              <w:bottom w:val="single" w:color="auto" w:sz="4" w:space="0"/>
              <w:right w:val="single" w:color="auto" w:sz="4" w:space="0"/>
            </w:tcBorders>
            <w:noWrap w:val="0"/>
            <w:vAlign w:val="center"/>
          </w:tcPr>
          <w:p w14:paraId="5AC45774">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客户经理</w:t>
            </w:r>
          </w:p>
        </w:tc>
        <w:tc>
          <w:tcPr>
            <w:tcW w:w="3261" w:type="dxa"/>
            <w:tcBorders>
              <w:top w:val="nil"/>
              <w:left w:val="nil"/>
              <w:bottom w:val="single" w:color="auto" w:sz="4" w:space="0"/>
              <w:right w:val="single" w:color="auto" w:sz="4" w:space="0"/>
            </w:tcBorders>
            <w:noWrap w:val="0"/>
            <w:vAlign w:val="center"/>
          </w:tcPr>
          <w:p w14:paraId="74288113">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洛阳市涧西区南昌路7号西苑大厦</w:t>
            </w:r>
          </w:p>
        </w:tc>
        <w:tc>
          <w:tcPr>
            <w:tcW w:w="3118" w:type="dxa"/>
            <w:tcBorders>
              <w:top w:val="nil"/>
              <w:left w:val="nil"/>
              <w:bottom w:val="single" w:color="auto" w:sz="4" w:space="0"/>
              <w:right w:val="single" w:color="auto" w:sz="4" w:space="0"/>
            </w:tcBorders>
            <w:noWrap w:val="0"/>
            <w:vAlign w:val="center"/>
          </w:tcPr>
          <w:p w14:paraId="22DBFE21">
            <w:pPr>
              <w:widowControl/>
              <w:spacing w:line="276"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0379-65119711 13683861133</w:t>
            </w:r>
          </w:p>
        </w:tc>
        <w:tc>
          <w:tcPr>
            <w:tcW w:w="851" w:type="dxa"/>
            <w:tcBorders>
              <w:top w:val="nil"/>
              <w:left w:val="nil"/>
              <w:bottom w:val="single" w:color="auto" w:sz="4" w:space="0"/>
              <w:right w:val="single" w:color="auto" w:sz="4" w:space="0"/>
            </w:tcBorders>
            <w:noWrap w:val="0"/>
            <w:vAlign w:val="center"/>
          </w:tcPr>
          <w:p w14:paraId="4BA76B64">
            <w:pPr>
              <w:widowControl/>
              <w:spacing w:line="480" w:lineRule="auto"/>
              <w:jc w:val="center"/>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w:t>
            </w:r>
          </w:p>
        </w:tc>
      </w:tr>
    </w:tbl>
    <w:p w14:paraId="3D1C9964">
      <w:pPr>
        <w:pStyle w:val="85"/>
        <w:numPr>
          <w:ilvl w:val="0"/>
          <w:numId w:val="8"/>
        </w:numPr>
        <w:spacing w:line="480" w:lineRule="auto"/>
        <w:ind w:firstLineChars="0"/>
        <w:outlineLvl w:val="9"/>
        <w:rPr>
          <w:rFonts w:hint="eastAsia" w:ascii="仿宋" w:hAnsi="仿宋" w:eastAsia="仿宋" w:cs="仿宋"/>
          <w:sz w:val="22"/>
          <w:szCs w:val="22"/>
          <w:lang w:val="zh-TW" w:eastAsia="zh-TW" w:bidi="zh-TW"/>
        </w:rPr>
      </w:pPr>
      <w:bookmarkStart w:id="225" w:name="_Toc22367"/>
      <w:r>
        <w:rPr>
          <w:rFonts w:hint="eastAsia" w:ascii="仿宋" w:hAnsi="仿宋" w:eastAsia="仿宋" w:cs="仿宋"/>
          <w:sz w:val="22"/>
          <w:szCs w:val="22"/>
          <w:lang w:val="zh-TW" w:eastAsia="zh-TW" w:bidi="zh-TW"/>
        </w:rPr>
        <w:t>融资产品介绍：</w:t>
      </w:r>
      <w:bookmarkEnd w:id="225"/>
    </w:p>
    <w:p w14:paraId="7A208E90">
      <w:pPr>
        <w:ind w:firstLine="371" w:firstLineChars="196"/>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1、产品介绍：我行针对政府采购合同融资的产品为“政采贷”，是指我行针对政府采购招投标中标供应商，结合其中标项目、采购合同、综合履约能力提供用于履行政府采购合同、并以该合同项下未来应收账款为第一还款来源的综合授信，授信品种包括流动资金贷款、银行承兑汇票、国内信用证等，目前我行该产品主要有线上及线下两种模式；</w:t>
      </w:r>
    </w:p>
    <w:p w14:paraId="5D7305D8">
      <w:pPr>
        <w:ind w:firstLine="378" w:firstLineChars="200"/>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我行郑州分行机构内已设置专业团队负责政府采购合同融资业务办理，已于2018年成功对接河南省财政厅实现政府采购系统的数据互通，开展线上模式的政府采购融资业务；</w:t>
      </w:r>
    </w:p>
    <w:p w14:paraId="5BAEDED2">
      <w:pPr>
        <w:numPr>
          <w:ilvl w:val="0"/>
          <w:numId w:val="9"/>
        </w:numPr>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申请路径：政采网直接发起融资意向申请或招行小程序/APP等多维度线上、线下渠道申请</w:t>
      </w:r>
    </w:p>
    <w:p w14:paraId="1A83EB43">
      <w:pPr>
        <w:jc w:val="center"/>
        <w:rPr>
          <w:rFonts w:hint="eastAsia" w:ascii="仿宋" w:hAnsi="仿宋" w:eastAsia="仿宋" w:cs="仿宋"/>
          <w:sz w:val="22"/>
          <w:szCs w:val="22"/>
          <w:lang w:val="zh-TW" w:bidi="zh-TW"/>
        </w:rPr>
      </w:pPr>
      <w:r>
        <w:rPr>
          <w:rFonts w:hint="eastAsia" w:ascii="仿宋" w:hAnsi="仿宋" w:eastAsia="仿宋" w:cs="仿宋"/>
          <w:sz w:val="22"/>
          <w:szCs w:val="22"/>
        </w:rPr>
        <w:drawing>
          <wp:inline distT="0" distB="0" distL="114300" distR="114300">
            <wp:extent cx="2448560" cy="1397000"/>
            <wp:effectExtent l="0" t="0" r="8890" b="1270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2"/>
                    <a:stretch>
                      <a:fillRect/>
                    </a:stretch>
                  </pic:blipFill>
                  <pic:spPr>
                    <a:xfrm>
                      <a:off x="0" y="0"/>
                      <a:ext cx="2448560" cy="1397000"/>
                    </a:xfrm>
                    <a:prstGeom prst="rect">
                      <a:avLst/>
                    </a:prstGeom>
                    <a:noFill/>
                    <a:ln>
                      <a:noFill/>
                    </a:ln>
                  </pic:spPr>
                </pic:pic>
              </a:graphicData>
            </a:graphic>
          </wp:inline>
        </w:drawing>
      </w:r>
    </w:p>
    <w:p w14:paraId="13BDF09D">
      <w:pPr>
        <w:spacing w:line="500" w:lineRule="exact"/>
        <w:ind w:firstLine="378" w:firstLineChars="200"/>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3、利率：为切实降低中小微企业融资成本，我行严格执行普惠金融利率政策，对符合标准的普惠小微贷款业务一定补贴优惠；</w:t>
      </w:r>
    </w:p>
    <w:p w14:paraId="5697DBD6">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4、业务流程：对有融资意向的中小微企业申报材料齐全完备---授信审批（7工作日内）---合同备案---放款（合同备案完成之后5工作日内）；</w:t>
      </w:r>
    </w:p>
    <w:p w14:paraId="4D19DC88">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5、风控措施：回款锁定——保证融资申请人在我行进行融资的政府采购商务合同所对应回款的账户唯一性；选择已备案的采购合同放款；</w:t>
      </w:r>
    </w:p>
    <w:p w14:paraId="5278BF5E">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6、客户准入：</w:t>
      </w:r>
    </w:p>
    <w:p w14:paraId="3DA9BD99">
      <w:pPr>
        <w:spacing w:line="500" w:lineRule="exact"/>
        <w:ind w:firstLine="371" w:firstLineChars="196"/>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采购单位 </w:t>
      </w:r>
    </w:p>
    <w:p w14:paraId="5C967D35">
      <w:pPr>
        <w:numPr>
          <w:ilvl w:val="0"/>
          <w:numId w:val="10"/>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区县及以上政府机构；由上述政府统筹付款的二甲以上公立医院、学校、科研机构等事业单位； </w:t>
      </w:r>
    </w:p>
    <w:p w14:paraId="60C31CD4">
      <w:pPr>
        <w:numPr>
          <w:ilvl w:val="0"/>
          <w:numId w:val="10"/>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付款记录良好，无拖欠大额工程款、采购款、逃废银行债务等不良记录；</w:t>
      </w:r>
    </w:p>
    <w:p w14:paraId="26B3015F">
      <w:pPr>
        <w:spacing w:line="500" w:lineRule="exact"/>
        <w:ind w:firstLine="555" w:firstLineChars="294"/>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采购项目 </w:t>
      </w:r>
    </w:p>
    <w:p w14:paraId="6D5A9C43">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优先支持货物、服务类采购，稳妥介入建设工程类采购； </w:t>
      </w:r>
    </w:p>
    <w:p w14:paraId="2C003F4F">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上一年履行或本年中标采购合同金额占企业销售收入达到一定比例；</w:t>
      </w:r>
    </w:p>
    <w:p w14:paraId="03978BBA">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未在他行办理以同一采购合同为贸易背景的融资业务； </w:t>
      </w:r>
    </w:p>
    <w:p w14:paraId="7235F053">
      <w:pPr>
        <w:numPr>
          <w:ilvl w:val="0"/>
          <w:numId w:val="11"/>
        </w:numPr>
        <w:spacing w:line="500" w:lineRule="exact"/>
        <w:jc w:val="left"/>
        <w:rPr>
          <w:rFonts w:hint="eastAsia" w:ascii="仿宋" w:hAnsi="仿宋" w:eastAsia="仿宋" w:cs="仿宋"/>
          <w:sz w:val="22"/>
          <w:szCs w:val="22"/>
          <w:lang w:val="zh-TW" w:eastAsia="zh-TW" w:bidi="zh-TW"/>
        </w:rPr>
      </w:pPr>
      <w:r>
        <w:rPr>
          <w:rFonts w:hint="eastAsia" w:ascii="仿宋" w:hAnsi="仿宋" w:eastAsia="仿宋" w:cs="仿宋"/>
          <w:sz w:val="22"/>
          <w:szCs w:val="22"/>
          <w:lang w:val="zh-TW" w:eastAsia="zh-TW" w:bidi="zh-TW"/>
        </w:rPr>
        <w:t xml:space="preserve">基于政府采购中标总额和实际采购合同办理融资,额度最高可达到2000万，期限最长1年； </w:t>
      </w:r>
    </w:p>
    <w:p w14:paraId="6A7C15AE">
      <w:pPr>
        <w:pStyle w:val="13"/>
        <w:ind w:firstLine="0"/>
        <w:rPr>
          <w:rFonts w:hint="eastAsia" w:ascii="仿宋" w:hAnsi="仿宋" w:eastAsia="仿宋" w:cs="仿宋"/>
          <w:spacing w:val="14"/>
          <w:szCs w:val="21"/>
          <w:lang w:eastAsia="zh-CN"/>
        </w:rPr>
      </w:pPr>
      <w:r>
        <w:rPr>
          <w:rFonts w:hint="eastAsia" w:ascii="仿宋" w:hAnsi="仿宋" w:eastAsia="仿宋" w:cs="仿宋"/>
          <w:sz w:val="22"/>
          <w:szCs w:val="22"/>
          <w:lang w:val="zh-TW" w:eastAsia="zh-TW" w:bidi="zh-TW"/>
        </w:rPr>
        <w:t>线上+线下用款模式结合，线上随借随还，资金支付灵活。</w:t>
      </w:r>
    </w:p>
    <w:p w14:paraId="7682AE8B">
      <w:pPr>
        <w:jc w:val="center"/>
        <w:outlineLvl w:val="0"/>
        <w:rPr>
          <w:rFonts w:hint="eastAsia" w:ascii="仿宋" w:hAnsi="仿宋" w:eastAsia="仿宋" w:cs="宋体"/>
          <w:b/>
          <w:bCs/>
          <w:sz w:val="32"/>
          <w:szCs w:val="32"/>
        </w:rPr>
      </w:pPr>
      <w:r>
        <w:rPr>
          <w:rFonts w:hint="eastAsia" w:ascii="仿宋" w:hAnsi="仿宋" w:eastAsia="仿宋" w:cs="宋体"/>
          <w:szCs w:val="21"/>
        </w:rPr>
        <w:br w:type="page"/>
      </w:r>
      <w:bookmarkStart w:id="226" w:name="_Toc256000020"/>
      <w:bookmarkEnd w:id="226"/>
      <w:bookmarkStart w:id="227" w:name="_Toc256000049"/>
      <w:bookmarkEnd w:id="227"/>
      <w:bookmarkStart w:id="228" w:name="_Toc9101"/>
      <w:bookmarkEnd w:id="228"/>
      <w:bookmarkStart w:id="229" w:name="_Toc1662646"/>
      <w:bookmarkEnd w:id="229"/>
      <w:bookmarkStart w:id="230" w:name="_Toc256000073"/>
      <w:bookmarkEnd w:id="230"/>
      <w:bookmarkStart w:id="231" w:name="_Toc14057"/>
      <w:bookmarkEnd w:id="231"/>
      <w:bookmarkStart w:id="232" w:name="_Toc504741948"/>
      <w:bookmarkEnd w:id="232"/>
      <w:bookmarkStart w:id="233" w:name="_Toc16266"/>
      <w:bookmarkStart w:id="234" w:name="_Toc256000069"/>
      <w:bookmarkStart w:id="235" w:name="_Toc14109"/>
      <w:bookmarkStart w:id="236" w:name="_Toc130305941"/>
      <w:r>
        <w:rPr>
          <w:rFonts w:hint="eastAsia" w:ascii="仿宋" w:hAnsi="仿宋" w:eastAsia="仿宋" w:cs="宋体"/>
          <w:b/>
          <w:bCs/>
          <w:sz w:val="32"/>
          <w:szCs w:val="32"/>
        </w:rPr>
        <w:t xml:space="preserve">第五章  </w:t>
      </w:r>
      <w:bookmarkEnd w:id="233"/>
      <w:r>
        <w:rPr>
          <w:rFonts w:hint="eastAsia" w:ascii="仿宋" w:hAnsi="仿宋" w:eastAsia="仿宋" w:cs="宋体"/>
          <w:b/>
          <w:bCs/>
          <w:sz w:val="32"/>
          <w:szCs w:val="32"/>
        </w:rPr>
        <w:t>资格审查与评审办法</w:t>
      </w:r>
      <w:bookmarkEnd w:id="234"/>
      <w:bookmarkEnd w:id="235"/>
      <w:bookmarkEnd w:id="236"/>
    </w:p>
    <w:p w14:paraId="039E12E9">
      <w:pPr>
        <w:keepNext/>
        <w:keepLines/>
        <w:spacing w:before="260" w:after="260" w:line="400" w:lineRule="exact"/>
        <w:outlineLvl w:val="2"/>
        <w:rPr>
          <w:rFonts w:hint="eastAsia" w:ascii="仿宋" w:hAnsi="仿宋" w:eastAsia="仿宋"/>
          <w:b/>
          <w:bCs/>
          <w:sz w:val="28"/>
          <w:szCs w:val="28"/>
        </w:rPr>
      </w:pPr>
      <w:bookmarkStart w:id="237" w:name="_Toc1662647"/>
      <w:bookmarkEnd w:id="237"/>
      <w:bookmarkStart w:id="238" w:name="_Toc31778"/>
      <w:bookmarkEnd w:id="238"/>
      <w:bookmarkStart w:id="239" w:name="_Toc256000074"/>
      <w:bookmarkEnd w:id="239"/>
      <w:bookmarkStart w:id="240" w:name="_Toc256000050"/>
      <w:bookmarkEnd w:id="240"/>
      <w:bookmarkStart w:id="241" w:name="_Toc256000021"/>
      <w:bookmarkEnd w:id="241"/>
      <w:bookmarkStart w:id="242" w:name="_Toc130305942"/>
      <w:bookmarkStart w:id="243" w:name="_Toc256000070"/>
      <w:bookmarkStart w:id="244" w:name="_Toc4080"/>
      <w:bookmarkStart w:id="245" w:name="_Toc25682"/>
      <w:bookmarkStart w:id="246" w:name="_Toc31937"/>
      <w:bookmarkStart w:id="247" w:name="_Toc14280"/>
      <w:r>
        <w:rPr>
          <w:rFonts w:hint="eastAsia" w:ascii="仿宋" w:hAnsi="仿宋" w:eastAsia="仿宋"/>
          <w:b/>
          <w:bCs/>
          <w:sz w:val="28"/>
          <w:szCs w:val="28"/>
        </w:rPr>
        <w:t>1、评审方法</w:t>
      </w:r>
      <w:bookmarkEnd w:id="242"/>
      <w:bookmarkEnd w:id="243"/>
      <w:bookmarkEnd w:id="244"/>
      <w:bookmarkEnd w:id="245"/>
      <w:bookmarkEnd w:id="246"/>
      <w:bookmarkEnd w:id="247"/>
    </w:p>
    <w:p w14:paraId="2A087C6C">
      <w:pPr>
        <w:pStyle w:val="13"/>
        <w:spacing w:line="40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本次资格审查和符合性审查采用合格制，评审方法采用综合评分法。磋商小组对满足磋商文件实质性要求的响应文件，按照本章2.2 款规定的评分标准进行打分，按得分由高到低顺序推荐成交候选人，根据采购人授权直接确定成交人，但最后报价明显低于其他通过符合性审查的报价，且低于成本价的，有可能影响产品质量或者不能诚信履约的，磋商小组有权否决其投标。评审得分相同的，按最终报价由低到高顺序排列。得分且最终报价相同的，按技术标得分由高到低的顺序排列。得分、报价、技术标均相等，则由磋商小组投票决定成交人及成交候选人排名。</w:t>
      </w:r>
    </w:p>
    <w:p w14:paraId="67EB7539">
      <w:pPr>
        <w:keepNext/>
        <w:keepLines/>
        <w:spacing w:before="260" w:after="260" w:line="400" w:lineRule="exact"/>
        <w:outlineLvl w:val="2"/>
        <w:rPr>
          <w:rFonts w:hint="eastAsia" w:ascii="仿宋" w:hAnsi="仿宋" w:eastAsia="仿宋"/>
          <w:b/>
          <w:bCs/>
          <w:sz w:val="28"/>
          <w:szCs w:val="28"/>
        </w:rPr>
      </w:pPr>
      <w:bookmarkStart w:id="248" w:name="_Toc2220"/>
      <w:bookmarkEnd w:id="248"/>
      <w:bookmarkStart w:id="249" w:name="_Toc256000051"/>
      <w:bookmarkEnd w:id="249"/>
      <w:bookmarkStart w:id="250" w:name="_Toc26670"/>
      <w:bookmarkEnd w:id="250"/>
      <w:bookmarkStart w:id="251" w:name="_Toc256000075"/>
      <w:bookmarkEnd w:id="251"/>
      <w:bookmarkStart w:id="252" w:name="_Toc1662648"/>
      <w:bookmarkEnd w:id="252"/>
      <w:bookmarkStart w:id="253" w:name="_Toc32566"/>
      <w:bookmarkStart w:id="254" w:name="_Toc256000071"/>
      <w:bookmarkStart w:id="255" w:name="_Toc256000022"/>
      <w:bookmarkStart w:id="256" w:name="_Toc9272"/>
      <w:bookmarkStart w:id="257" w:name="_Toc22303"/>
      <w:bookmarkStart w:id="258" w:name="_Toc130305943"/>
      <w:r>
        <w:rPr>
          <w:rFonts w:hint="eastAsia" w:ascii="仿宋" w:hAnsi="仿宋" w:eastAsia="仿宋"/>
          <w:b/>
          <w:bCs/>
          <w:sz w:val="28"/>
          <w:szCs w:val="28"/>
        </w:rPr>
        <w:t>2、评审标准</w:t>
      </w:r>
      <w:bookmarkEnd w:id="253"/>
      <w:bookmarkEnd w:id="254"/>
      <w:bookmarkEnd w:id="255"/>
      <w:bookmarkEnd w:id="256"/>
      <w:bookmarkEnd w:id="257"/>
      <w:bookmarkEnd w:id="258"/>
    </w:p>
    <w:p w14:paraId="17F3953F">
      <w:pPr>
        <w:keepNext/>
        <w:keepLines/>
        <w:spacing w:line="400" w:lineRule="exact"/>
        <w:outlineLvl w:val="3"/>
        <w:rPr>
          <w:rFonts w:hint="eastAsia" w:ascii="仿宋" w:hAnsi="仿宋" w:eastAsia="仿宋" w:cs="Arial"/>
          <w:b/>
          <w:bCs/>
          <w:sz w:val="28"/>
          <w:szCs w:val="28"/>
        </w:rPr>
      </w:pPr>
      <w:bookmarkStart w:id="259" w:name="_Toc1662649"/>
      <w:bookmarkEnd w:id="259"/>
      <w:r>
        <w:rPr>
          <w:rFonts w:hint="eastAsia" w:ascii="仿宋" w:hAnsi="仿宋" w:eastAsia="仿宋" w:cs="Arial"/>
          <w:b/>
          <w:bCs/>
          <w:sz w:val="28"/>
          <w:szCs w:val="28"/>
        </w:rPr>
        <w:t>2.1 资格性审查与符合性审查标准</w:t>
      </w:r>
    </w:p>
    <w:p w14:paraId="056D9CE3">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2.1.1 资格性审查标准：见第六章。</w:t>
      </w:r>
    </w:p>
    <w:p w14:paraId="6D402E71">
      <w:pPr>
        <w:pStyle w:val="13"/>
        <w:spacing w:line="40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2.1.2 符合性审查标准：见第六章。</w:t>
      </w:r>
    </w:p>
    <w:p w14:paraId="2EA45E89">
      <w:pPr>
        <w:keepNext/>
        <w:keepLines/>
        <w:spacing w:line="400" w:lineRule="exact"/>
        <w:outlineLvl w:val="3"/>
        <w:rPr>
          <w:rFonts w:hint="eastAsia" w:ascii="仿宋" w:hAnsi="仿宋" w:eastAsia="仿宋" w:cs="Arial"/>
          <w:b/>
          <w:bCs/>
          <w:sz w:val="28"/>
          <w:szCs w:val="28"/>
        </w:rPr>
      </w:pPr>
      <w:bookmarkStart w:id="260" w:name="_Toc1662650"/>
      <w:bookmarkEnd w:id="260"/>
      <w:r>
        <w:rPr>
          <w:rFonts w:hint="eastAsia" w:ascii="仿宋" w:hAnsi="仿宋" w:eastAsia="仿宋" w:cs="Arial"/>
          <w:b/>
          <w:bCs/>
          <w:sz w:val="28"/>
          <w:szCs w:val="28"/>
        </w:rPr>
        <w:t>2.2 分值构成与评分标准</w:t>
      </w:r>
    </w:p>
    <w:p w14:paraId="1ED173A7">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2.2.1 分值构成见评分标准。</w:t>
      </w:r>
    </w:p>
    <w:p w14:paraId="7617B6F0">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2.2.2 评分标准：具体评分标准见第六章。</w:t>
      </w:r>
    </w:p>
    <w:p w14:paraId="12B1B86A">
      <w:pPr>
        <w:rPr>
          <w:rFonts w:hint="eastAsia" w:ascii="仿宋" w:hAnsi="仿宋" w:eastAsia="仿宋"/>
          <w:b/>
          <w:bCs/>
          <w:color w:val="auto"/>
          <w:spacing w:val="14"/>
          <w:sz w:val="28"/>
          <w:szCs w:val="32"/>
          <w:lang w:val="en-US" w:eastAsia="zh-CN"/>
        </w:rPr>
      </w:pPr>
      <w:r>
        <w:rPr>
          <w:rFonts w:hint="eastAsia" w:ascii="仿宋" w:hAnsi="仿宋" w:eastAsia="仿宋"/>
          <w:b/>
          <w:bCs/>
          <w:color w:val="auto"/>
          <w:spacing w:val="14"/>
          <w:sz w:val="28"/>
          <w:szCs w:val="32"/>
          <w:lang w:val="en-US" w:eastAsia="zh-CN"/>
        </w:rPr>
        <w:t xml:space="preserve">2.3暗标评审 </w:t>
      </w:r>
    </w:p>
    <w:p w14:paraId="2345EDDC">
      <w:pPr>
        <w:ind w:firstLine="474" w:firstLineChars="200"/>
        <w:rPr>
          <w:rFonts w:hint="eastAsia" w:ascii="仿宋" w:hAnsi="仿宋" w:eastAsia="仿宋" w:cs="Times New Roman"/>
          <w:b/>
          <w:bCs/>
          <w:spacing w:val="14"/>
          <w:kern w:val="0"/>
          <w:sz w:val="24"/>
          <w:szCs w:val="22"/>
        </w:rPr>
      </w:pPr>
      <w:r>
        <w:rPr>
          <w:rFonts w:hint="eastAsia" w:ascii="仿宋" w:hAnsi="仿宋" w:eastAsia="仿宋" w:cs="Times New Roman"/>
          <w:b/>
          <w:bCs/>
          <w:spacing w:val="14"/>
          <w:kern w:val="0"/>
          <w:sz w:val="24"/>
          <w:szCs w:val="22"/>
        </w:rPr>
        <w:t>2.</w:t>
      </w:r>
      <w:r>
        <w:rPr>
          <w:rFonts w:hint="eastAsia" w:ascii="仿宋" w:hAnsi="仿宋" w:eastAsia="仿宋" w:cs="Times New Roman"/>
          <w:b/>
          <w:bCs/>
          <w:spacing w:val="14"/>
          <w:kern w:val="0"/>
          <w:sz w:val="24"/>
          <w:szCs w:val="22"/>
          <w:lang w:val="en-US" w:eastAsia="zh-CN"/>
        </w:rPr>
        <w:t>3.</w:t>
      </w:r>
      <w:r>
        <w:rPr>
          <w:rFonts w:hint="eastAsia" w:ascii="仿宋" w:hAnsi="仿宋" w:eastAsia="仿宋" w:cs="Times New Roman"/>
          <w:b/>
          <w:bCs/>
          <w:spacing w:val="14"/>
          <w:kern w:val="0"/>
          <w:sz w:val="24"/>
          <w:szCs w:val="22"/>
        </w:rPr>
        <w:t>1</w:t>
      </w:r>
      <w:r>
        <w:rPr>
          <w:rFonts w:hint="eastAsia" w:ascii="仿宋" w:hAnsi="仿宋" w:eastAsia="仿宋" w:cs="Times New Roman"/>
          <w:b/>
          <w:bCs/>
          <w:spacing w:val="14"/>
          <w:kern w:val="0"/>
          <w:sz w:val="24"/>
          <w:szCs w:val="24"/>
          <w:highlight w:val="none"/>
        </w:rPr>
        <w:t>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采用暗标评审。</w:t>
      </w:r>
      <w:r>
        <w:rPr>
          <w:rFonts w:hint="eastAsia" w:ascii="仿宋" w:hAnsi="仿宋" w:eastAsia="仿宋" w:cs="Times New Roman"/>
          <w:b/>
          <w:bCs/>
          <w:spacing w:val="14"/>
          <w:kern w:val="0"/>
          <w:sz w:val="24"/>
          <w:szCs w:val="22"/>
        </w:rPr>
        <w:t xml:space="preserve"> </w:t>
      </w:r>
    </w:p>
    <w:p w14:paraId="534CA571">
      <w:pPr>
        <w:ind w:firstLine="474" w:firstLineChars="200"/>
        <w:rPr>
          <w:rFonts w:hint="eastAsia" w:ascii="仿宋" w:hAnsi="仿宋" w:eastAsia="仿宋" w:cs="Times New Roman"/>
          <w:b/>
          <w:bCs/>
          <w:spacing w:val="14"/>
          <w:kern w:val="0"/>
          <w:sz w:val="24"/>
          <w:szCs w:val="22"/>
          <w:lang w:val="en-US" w:eastAsia="zh-CN"/>
        </w:rPr>
      </w:pPr>
      <w:r>
        <w:rPr>
          <w:rFonts w:hint="eastAsia" w:ascii="仿宋" w:hAnsi="仿宋" w:eastAsia="仿宋" w:cs="Times New Roman"/>
          <w:b/>
          <w:bCs/>
          <w:spacing w:val="14"/>
          <w:kern w:val="0"/>
          <w:sz w:val="24"/>
          <w:szCs w:val="22"/>
        </w:rPr>
        <w:t>2.</w:t>
      </w:r>
      <w:r>
        <w:rPr>
          <w:rFonts w:hint="eastAsia" w:ascii="仿宋" w:hAnsi="仿宋" w:eastAsia="仿宋" w:cs="Times New Roman"/>
          <w:b/>
          <w:bCs/>
          <w:spacing w:val="14"/>
          <w:kern w:val="0"/>
          <w:sz w:val="24"/>
          <w:szCs w:val="22"/>
          <w:lang w:val="en-US" w:eastAsia="zh-CN"/>
        </w:rPr>
        <w:t>3.</w:t>
      </w:r>
      <w:r>
        <w:rPr>
          <w:rFonts w:hint="eastAsia" w:ascii="仿宋" w:hAnsi="仿宋" w:eastAsia="仿宋" w:cs="Times New Roman"/>
          <w:b/>
          <w:bCs/>
          <w:spacing w:val="14"/>
          <w:kern w:val="0"/>
          <w:sz w:val="24"/>
          <w:szCs w:val="22"/>
        </w:rPr>
        <w:t>2</w:t>
      </w:r>
      <w:r>
        <w:rPr>
          <w:rFonts w:hint="eastAsia" w:ascii="仿宋" w:hAnsi="仿宋" w:eastAsia="仿宋" w:cs="Times New Roman"/>
          <w:b/>
          <w:bCs/>
          <w:spacing w:val="14"/>
          <w:kern w:val="0"/>
          <w:sz w:val="24"/>
          <w:szCs w:val="24"/>
          <w:highlight w:val="none"/>
        </w:rPr>
        <w:t>本项目综合标为暗标内容，投标文件中暗标部分不符合要求的，其暗标部分整体得零分：</w:t>
      </w:r>
    </w:p>
    <w:p w14:paraId="7E1AABF8">
      <w:pPr>
        <w:ind w:firstLine="474" w:firstLineChars="20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highlight w:val="none"/>
          <w:lang w:val="en-US" w:eastAsia="zh-CN"/>
        </w:rPr>
        <w:t>2.3.2.1签章要求：不得对暗标部分进行电子签</w:t>
      </w:r>
      <w:r>
        <w:rPr>
          <w:rFonts w:hint="eastAsia" w:ascii="仿宋" w:hAnsi="仿宋" w:eastAsia="仿宋" w:cs="Times New Roman"/>
          <w:b/>
          <w:bCs/>
          <w:spacing w:val="14"/>
          <w:kern w:val="0"/>
          <w:sz w:val="24"/>
          <w:szCs w:val="24"/>
          <w:lang w:val="en-US" w:eastAsia="zh-CN"/>
        </w:rPr>
        <w:t>章</w:t>
      </w:r>
      <w:r>
        <w:rPr>
          <w:rFonts w:hint="eastAsia" w:ascii="仿宋" w:hAnsi="仿宋" w:eastAsia="仿宋" w:cs="Times New Roman"/>
          <w:b/>
          <w:bCs/>
          <w:spacing w:val="14"/>
          <w:kern w:val="0"/>
          <w:sz w:val="24"/>
          <w:szCs w:val="24"/>
          <w:lang w:eastAsia="zh-CN"/>
        </w:rPr>
        <w:t>。</w:t>
      </w:r>
    </w:p>
    <w:p w14:paraId="05AE173B">
      <w:pPr>
        <w:ind w:firstLine="474" w:firstLineChars="200"/>
        <w:jc w:val="left"/>
        <w:rPr>
          <w:rFonts w:hint="eastAsia" w:ascii="仿宋" w:hAnsi="仿宋" w:eastAsia="仿宋" w:cs="Times New Roman"/>
          <w:b/>
          <w:bCs/>
          <w:spacing w:val="14"/>
          <w:kern w:val="0"/>
          <w:sz w:val="24"/>
          <w:szCs w:val="24"/>
          <w:lang w:eastAsia="zh-CN"/>
        </w:rPr>
      </w:pPr>
      <w:r>
        <w:rPr>
          <w:rFonts w:hint="eastAsia" w:ascii="仿宋" w:hAnsi="仿宋" w:eastAsia="仿宋" w:cs="Times New Roman"/>
          <w:b/>
          <w:bCs/>
          <w:spacing w:val="14"/>
          <w:kern w:val="0"/>
          <w:sz w:val="24"/>
          <w:szCs w:val="24"/>
          <w:lang w:val="en-US" w:eastAsia="zh-CN"/>
        </w:rPr>
        <w:t>2.3.2.2排版要求：全文采用A4大小，不允许插入空白页，页边距均为2.5厘米，不得出现页眉、页脚、页码，全文均为白底黑字，字体为宋体四号字，不允许倾斜和下划线，行间距采用固定值28磅，段前段后间距为0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lang w:eastAsia="zh-CN"/>
        </w:rPr>
        <w:t>。</w:t>
      </w:r>
    </w:p>
    <w:p w14:paraId="23C28B45">
      <w:pPr>
        <w:ind w:firstLine="474" w:firstLineChars="2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2.3.2.3标题编号要求：标题序号最多设置7级，每一个暗标部分的标题都要重新开始编号，编号格式为：</w:t>
      </w:r>
    </w:p>
    <w:p w14:paraId="55859338">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一级为“一、”、“二、”......，  </w:t>
      </w:r>
    </w:p>
    <w:p w14:paraId="3DDDAF10">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二级为“（一）”、“（二）”......，  </w:t>
      </w:r>
    </w:p>
    <w:p w14:paraId="2F763E54">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三级为“1.”、“2.”......，  </w:t>
      </w:r>
    </w:p>
    <w:p w14:paraId="3C2CDF3C">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四级为“（1）”、“（2）”......，  </w:t>
      </w:r>
    </w:p>
    <w:p w14:paraId="4D3673E1">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五级为“1）”、“2）”......，  </w:t>
      </w:r>
    </w:p>
    <w:p w14:paraId="4FF94B7F">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 xml:space="preserve">六级为“a.”、“b.”......，  </w:t>
      </w:r>
    </w:p>
    <w:p w14:paraId="2B5CE203">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七级为“a）”、“b）”......。</w:t>
      </w:r>
    </w:p>
    <w:p w14:paraId="5342A1A3">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2.3.2.4图表要求：电脑绘制（不得手绘），白底黑字。宋体四号字，字体不允许倾斜和下划线。</w:t>
      </w:r>
    </w:p>
    <w:p w14:paraId="2CDDBB7F">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2.3.2.5内容中不得出现投标人名称和其他可识别投标人身份的字符、徽标、人员名称以及其他特殊标记等。</w:t>
      </w:r>
    </w:p>
    <w:p w14:paraId="2A0F9A2D">
      <w:pPr>
        <w:ind w:firstLine="237" w:firstLineChars="100"/>
        <w:jc w:val="left"/>
        <w:rPr>
          <w:rFonts w:hint="eastAsia" w:ascii="仿宋" w:hAnsi="仿宋" w:eastAsia="仿宋" w:cs="Times New Roman"/>
          <w:b/>
          <w:bCs/>
          <w:spacing w:val="14"/>
          <w:kern w:val="0"/>
          <w:sz w:val="24"/>
          <w:szCs w:val="24"/>
          <w:lang w:val="en-US" w:eastAsia="zh-CN"/>
        </w:rPr>
      </w:pPr>
      <w:r>
        <w:rPr>
          <w:rFonts w:hint="eastAsia" w:ascii="仿宋" w:hAnsi="仿宋" w:eastAsia="仿宋" w:cs="Times New Roman"/>
          <w:b/>
          <w:bCs/>
          <w:spacing w:val="14"/>
          <w:kern w:val="0"/>
          <w:sz w:val="24"/>
          <w:szCs w:val="24"/>
          <w:lang w:val="en-US" w:eastAsia="zh-CN"/>
        </w:rPr>
        <w:t>2.3.2.6不得插入图片（招标文件要求有图片除外）。</w:t>
      </w:r>
    </w:p>
    <w:p w14:paraId="0B68F6FD">
      <w:pPr>
        <w:ind w:firstLine="237" w:firstLineChars="100"/>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2.3.2.7</w:t>
      </w:r>
      <w:r>
        <w:rPr>
          <w:rFonts w:hint="eastAsia" w:ascii="仿宋" w:hAnsi="仿宋" w:eastAsia="仿宋" w:cs="仿宋"/>
          <w:b/>
          <w:bCs/>
          <w:color w:val="auto"/>
          <w:sz w:val="24"/>
          <w:szCs w:val="24"/>
          <w:highlight w:val="none"/>
          <w:lang w:eastAsia="zh-CN"/>
        </w:rPr>
        <w:t>黑字必须为标准黑色字体，颜色为RGB（0,0,0）。</w:t>
      </w:r>
    </w:p>
    <w:p w14:paraId="47520F95">
      <w:pPr>
        <w:ind w:firstLine="237" w:firstLineChars="100"/>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2.3.2.8</w:t>
      </w:r>
      <w:r>
        <w:rPr>
          <w:rFonts w:hint="eastAsia" w:ascii="仿宋" w:hAnsi="仿宋" w:eastAsia="仿宋" w:cs="仿宋"/>
          <w:b/>
          <w:bCs/>
          <w:color w:val="auto"/>
          <w:sz w:val="24"/>
          <w:szCs w:val="24"/>
          <w:highlight w:val="none"/>
          <w:lang w:eastAsia="zh-CN"/>
        </w:rPr>
        <w:t>每个暗标评审点的文档都要重新开始标题编号。</w:t>
      </w:r>
    </w:p>
    <w:p w14:paraId="6184B17C">
      <w:pPr>
        <w:ind w:firstLine="237" w:firstLineChars="100"/>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lang w:val="en-US" w:eastAsia="zh-CN"/>
        </w:rPr>
        <w:t>2.3.2.9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p w14:paraId="24AEF1BC">
      <w:pPr>
        <w:keepNext/>
        <w:keepLines/>
        <w:spacing w:before="260" w:after="260" w:line="400" w:lineRule="exact"/>
        <w:outlineLvl w:val="2"/>
        <w:rPr>
          <w:rFonts w:hint="eastAsia" w:ascii="仿宋" w:hAnsi="仿宋" w:eastAsia="仿宋"/>
          <w:b/>
          <w:bCs/>
          <w:sz w:val="28"/>
          <w:szCs w:val="28"/>
        </w:rPr>
      </w:pPr>
      <w:bookmarkStart w:id="261" w:name="_Toc256000052"/>
      <w:bookmarkEnd w:id="261"/>
      <w:bookmarkStart w:id="262" w:name="_Toc256000076"/>
      <w:bookmarkEnd w:id="262"/>
      <w:bookmarkStart w:id="263" w:name="_Toc13851"/>
      <w:bookmarkEnd w:id="263"/>
      <w:bookmarkStart w:id="264" w:name="_Toc26381"/>
      <w:bookmarkEnd w:id="264"/>
      <w:bookmarkStart w:id="265" w:name="_Toc256000023"/>
      <w:bookmarkEnd w:id="265"/>
      <w:bookmarkStart w:id="266" w:name="_Toc24864"/>
      <w:bookmarkStart w:id="267" w:name="_Toc1662651"/>
      <w:bookmarkStart w:id="268" w:name="_Toc2221"/>
      <w:bookmarkStart w:id="269" w:name="_Toc256000072"/>
      <w:bookmarkStart w:id="270" w:name="_Toc2396"/>
      <w:bookmarkStart w:id="271" w:name="_Toc130305944"/>
      <w:r>
        <w:rPr>
          <w:rFonts w:hint="eastAsia" w:ascii="仿宋" w:hAnsi="仿宋" w:eastAsia="仿宋"/>
          <w:b/>
          <w:bCs/>
          <w:sz w:val="28"/>
          <w:szCs w:val="28"/>
        </w:rPr>
        <w:t>3、评审程序</w:t>
      </w:r>
      <w:bookmarkEnd w:id="266"/>
      <w:bookmarkEnd w:id="267"/>
      <w:bookmarkEnd w:id="268"/>
      <w:bookmarkEnd w:id="269"/>
      <w:bookmarkEnd w:id="270"/>
      <w:bookmarkEnd w:id="271"/>
    </w:p>
    <w:p w14:paraId="79CE7624">
      <w:pPr>
        <w:keepNext/>
        <w:keepLines/>
        <w:spacing w:line="400" w:lineRule="exact"/>
        <w:outlineLvl w:val="3"/>
        <w:rPr>
          <w:rFonts w:hint="eastAsia" w:ascii="仿宋" w:hAnsi="仿宋" w:eastAsia="仿宋" w:cs="Arial"/>
          <w:b/>
          <w:bCs/>
          <w:sz w:val="28"/>
          <w:szCs w:val="28"/>
        </w:rPr>
      </w:pPr>
      <w:bookmarkStart w:id="272" w:name="_Toc1662652"/>
      <w:bookmarkEnd w:id="272"/>
      <w:r>
        <w:rPr>
          <w:rFonts w:hint="eastAsia" w:ascii="仿宋" w:hAnsi="仿宋" w:eastAsia="仿宋" w:cs="Arial"/>
          <w:b/>
          <w:bCs/>
          <w:sz w:val="28"/>
          <w:szCs w:val="28"/>
        </w:rPr>
        <w:t>3.1 资格性审查与符合性审查</w:t>
      </w:r>
    </w:p>
    <w:p w14:paraId="24F6A7AE">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3.1.1磋商小组依据本章第2.1.1款和第 2.1.2款规定的标准对响应文件进行审查。有一项不符合审查标准的，应当否决其响应文件。</w:t>
      </w:r>
    </w:p>
    <w:p w14:paraId="6B32718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3.1.2 有以下情形之一的，磋商小组应当否决其响应文件：</w:t>
      </w:r>
    </w:p>
    <w:p w14:paraId="7716336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（1）响应文件没有对磋商文件的实质性要求和条件作出响应，或者对磋商文件的偏差超出磋商文件规定的偏差范围或最高项数；</w:t>
      </w:r>
    </w:p>
    <w:p w14:paraId="01A4FC92">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（2）有串通、弄虚作假、行贿等违法行为。</w:t>
      </w:r>
    </w:p>
    <w:p w14:paraId="67108F0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3.1.3有下列情形之一的，视为串通，其响应文件无效：</w:t>
      </w:r>
    </w:p>
    <w:p w14:paraId="7658513F">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（1）不同供应商的响应文件由同一单位或者个人编制；</w:t>
      </w:r>
    </w:p>
    <w:p w14:paraId="6963B48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（2）不同供应商委托同一单位或者个人办理磋商事宜；</w:t>
      </w:r>
    </w:p>
    <w:p w14:paraId="2D4E1C34">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（3）不同供应商的响应文件载明的项目管理成员或者联系人员为同一人；</w:t>
      </w:r>
    </w:p>
    <w:p w14:paraId="385368F8">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（4）不同供应商的响应文件异常一致或者报价呈规律性差异；</w:t>
      </w:r>
    </w:p>
    <w:p w14:paraId="1CAD722A">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（5）不同供应商的响应文件相互混装；</w:t>
      </w:r>
    </w:p>
    <w:p w14:paraId="06FAA6BC">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3.1.4响应文件报价出现前后不一致的，磋商小组按以下原则要求对报价进行修正，并要求书面澄清确认。拒不澄清确认的，磋商小组应当否决其响应文件：</w:t>
      </w:r>
    </w:p>
    <w:p w14:paraId="6AFB8A86">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（1）响应文件中报价一览表内容与响应文件中相应内容不一致的，以报价一览表为准；</w:t>
      </w:r>
    </w:p>
    <w:p w14:paraId="072438AD">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（2）大写金额和小写金额不一致的，以大写金额为准；</w:t>
      </w:r>
    </w:p>
    <w:p w14:paraId="7A03F826">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（3）单价金额小数点或者百分比有明显错位的，以报价一览表的总价为准，并修改单价；</w:t>
      </w:r>
    </w:p>
    <w:p w14:paraId="41110C21">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（4）总价金额与按单价汇总金额不一致的，以单价金额计算结果为准。</w:t>
      </w:r>
    </w:p>
    <w:p w14:paraId="3A59AF4C">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同时出现两种以上不一致的，按照前款规定的顺序修正。</w:t>
      </w:r>
    </w:p>
    <w:p w14:paraId="205893FA">
      <w:pPr>
        <w:pStyle w:val="13"/>
        <w:rPr>
          <w:rFonts w:hint="eastAsia" w:ascii="仿宋" w:hAnsi="仿宋" w:eastAsia="仿宋" w:cs="宋体"/>
          <w:b/>
          <w:bCs/>
          <w:color w:val="auto"/>
          <w:spacing w:val="14"/>
          <w:sz w:val="28"/>
          <w:szCs w:val="28"/>
        </w:rPr>
      </w:pPr>
      <w:bookmarkStart w:id="273" w:name="_Toc1662653"/>
      <w:bookmarkEnd w:id="273"/>
      <w:r>
        <w:rPr>
          <w:rFonts w:hint="eastAsia" w:ascii="仿宋" w:hAnsi="仿宋" w:eastAsia="仿宋" w:cs="宋体"/>
          <w:b/>
          <w:bCs/>
          <w:color w:val="auto"/>
          <w:spacing w:val="14"/>
          <w:sz w:val="28"/>
          <w:szCs w:val="28"/>
        </w:rPr>
        <w:t>3.2 详细评审</w:t>
      </w:r>
    </w:p>
    <w:p w14:paraId="62CC07F1">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3.2.1磋商小组按本章第 2.2 款规定的量化因素和分值进行打分，取所有评委打分分数的算术平均值作为该的各项得分。</w:t>
      </w:r>
    </w:p>
    <w:p w14:paraId="677C44B1">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3.2.2 评分分值计算保留小数点后两位，小数点后第三位“四舍五入”。</w:t>
      </w:r>
    </w:p>
    <w:p w14:paraId="1759D98A">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3.2.3磋商小组汇总的各项得分，相加后为最终得分。</w:t>
      </w:r>
    </w:p>
    <w:p w14:paraId="035FC61E">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3.2.4若磋商小组认为的报价明显低于其他通过符合性审查的报价，有可能影响产品质量或者不能诚信履约的，应当要求其在评审现场合理的时间内提供书面说明，必要时提交相关证明材料；不能证明其报价合理性的，磋商小组应当将其作为无效响应文件处理。</w:t>
      </w:r>
    </w:p>
    <w:p w14:paraId="56356131">
      <w:pPr>
        <w:pStyle w:val="13"/>
        <w:rPr>
          <w:rFonts w:hint="eastAsia" w:ascii="仿宋" w:hAnsi="仿宋" w:eastAsia="仿宋" w:cs="宋体"/>
          <w:b/>
          <w:bCs/>
          <w:color w:val="auto"/>
          <w:spacing w:val="14"/>
          <w:sz w:val="28"/>
          <w:szCs w:val="28"/>
        </w:rPr>
      </w:pPr>
      <w:bookmarkStart w:id="274" w:name="_Toc1662654"/>
      <w:bookmarkEnd w:id="274"/>
      <w:r>
        <w:rPr>
          <w:rFonts w:hint="eastAsia" w:ascii="仿宋" w:hAnsi="仿宋" w:eastAsia="仿宋" w:cs="宋体"/>
          <w:b/>
          <w:bCs/>
          <w:color w:val="auto"/>
          <w:spacing w:val="14"/>
          <w:sz w:val="28"/>
          <w:szCs w:val="28"/>
        </w:rPr>
        <w:t>3.3 响应文件的澄清</w:t>
      </w:r>
    </w:p>
    <w:p w14:paraId="05B3403C">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3.3.1 在评审过程中，磋商小组可以书面形式要求对响应文件中含义不明确、对同类问题表述不一致或者有明显文字和计算错误的内容作必要的澄清、说明或补正。澄清、说明或补正应以书面方式进行。磋商小组不接受主动提出的澄清、说明或补正。</w:t>
      </w:r>
    </w:p>
    <w:p w14:paraId="3FAB43E6">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3.3.2 澄清、说明或补正不得超出响应文件的范围且不得改变响应文件的实质性内容，并构成响应文件的组成部分。</w:t>
      </w:r>
    </w:p>
    <w:p w14:paraId="1695E9A2">
      <w:pPr>
        <w:pStyle w:val="13"/>
        <w:rPr>
          <w:rFonts w:hint="eastAsia" w:ascii="仿宋" w:hAnsi="仿宋" w:eastAsia="仿宋" w:cs="宋体"/>
          <w:color w:val="auto"/>
          <w:spacing w:val="14"/>
          <w:sz w:val="24"/>
          <w:szCs w:val="24"/>
        </w:rPr>
      </w:pPr>
      <w:r>
        <w:rPr>
          <w:rFonts w:hint="eastAsia" w:ascii="仿宋" w:hAnsi="仿宋" w:eastAsia="仿宋" w:cs="宋体"/>
          <w:color w:val="auto"/>
          <w:spacing w:val="14"/>
          <w:sz w:val="24"/>
          <w:szCs w:val="24"/>
        </w:rPr>
        <w:t>3.3.3 磋商小组对提交的澄清、说明或补正有疑问的，可以要求进一步澄清、说明或补正，直至满足磋商小组的要求。</w:t>
      </w:r>
    </w:p>
    <w:p w14:paraId="41B59E67">
      <w:pPr>
        <w:keepNext/>
        <w:keepLines/>
        <w:spacing w:line="400" w:lineRule="exact"/>
        <w:outlineLvl w:val="3"/>
        <w:rPr>
          <w:rFonts w:hint="eastAsia" w:ascii="仿宋" w:hAnsi="仿宋" w:eastAsia="仿宋" w:cs="Arial"/>
          <w:b/>
          <w:bCs/>
          <w:sz w:val="28"/>
          <w:szCs w:val="28"/>
        </w:rPr>
      </w:pPr>
      <w:bookmarkStart w:id="275" w:name="_Toc1662655"/>
      <w:bookmarkEnd w:id="275"/>
      <w:r>
        <w:rPr>
          <w:rFonts w:hint="eastAsia" w:ascii="仿宋" w:hAnsi="仿宋" w:eastAsia="仿宋" w:cs="Arial"/>
          <w:b/>
          <w:bCs/>
          <w:sz w:val="28"/>
          <w:szCs w:val="28"/>
        </w:rPr>
        <w:t>3.4 评审结果</w:t>
      </w:r>
    </w:p>
    <w:p w14:paraId="2FAA9739">
      <w:pPr>
        <w:pStyle w:val="13"/>
        <w:rPr>
          <w:rFonts w:hint="eastAsia" w:ascii="仿宋" w:hAnsi="仿宋" w:eastAsia="仿宋"/>
          <w:color w:val="auto"/>
          <w:spacing w:val="14"/>
          <w:sz w:val="24"/>
          <w:szCs w:val="24"/>
        </w:rPr>
      </w:pPr>
      <w:r>
        <w:rPr>
          <w:rFonts w:hint="eastAsia" w:ascii="仿宋" w:hAnsi="仿宋" w:eastAsia="仿宋"/>
          <w:color w:val="auto"/>
          <w:spacing w:val="14"/>
          <w:sz w:val="24"/>
          <w:szCs w:val="24"/>
        </w:rPr>
        <w:t>3.4.1磋商小组严格按照磋商文件的要求和条件进行评审和打分，评审结果按评审后得分由高到低的顺序排列。评审得分相同的，按最终报价由低到高顺序排列。得分且最终报价相同的，按技术标得分由高到低的顺序排列。得分、报价、技术标均相等，则由磋商小组投票决定成交人及成交候选人排名。</w:t>
      </w:r>
    </w:p>
    <w:p w14:paraId="5A16FBFB">
      <w:pPr>
        <w:pStyle w:val="13"/>
        <w:spacing w:line="400" w:lineRule="exact"/>
        <w:rPr>
          <w:rFonts w:hint="eastAsia" w:ascii="仿宋" w:hAnsi="仿宋" w:eastAsia="仿宋"/>
          <w:color w:val="auto"/>
          <w:spacing w:val="14"/>
          <w:sz w:val="24"/>
          <w:szCs w:val="24"/>
        </w:rPr>
      </w:pPr>
      <w:r>
        <w:rPr>
          <w:rFonts w:hint="eastAsia" w:ascii="仿宋" w:hAnsi="仿宋" w:eastAsia="仿宋"/>
          <w:color w:val="auto"/>
          <w:spacing w:val="14"/>
          <w:sz w:val="24"/>
          <w:szCs w:val="24"/>
        </w:rPr>
        <w:t>3.4.2磋商小组完成评审后，应当向采购人提交书面评审报告和成交候选人名单。</w:t>
      </w:r>
    </w:p>
    <w:p w14:paraId="014BD7F8">
      <w:pPr>
        <w:keepNext/>
        <w:keepLines/>
        <w:spacing w:before="260" w:after="260" w:line="400" w:lineRule="exact"/>
        <w:outlineLvl w:val="2"/>
        <w:rPr>
          <w:rFonts w:hint="eastAsia" w:ascii="仿宋" w:hAnsi="仿宋" w:eastAsia="仿宋"/>
          <w:b/>
          <w:bCs/>
          <w:sz w:val="28"/>
          <w:szCs w:val="28"/>
        </w:rPr>
      </w:pPr>
      <w:bookmarkStart w:id="276" w:name="_Toc256000024"/>
      <w:bookmarkEnd w:id="276"/>
      <w:bookmarkStart w:id="277" w:name="_Toc1662656"/>
      <w:bookmarkEnd w:id="277"/>
      <w:bookmarkStart w:id="278" w:name="_Toc256000053"/>
      <w:bookmarkEnd w:id="278"/>
      <w:bookmarkStart w:id="279" w:name="_Toc15765"/>
      <w:bookmarkEnd w:id="279"/>
      <w:bookmarkStart w:id="280" w:name="_Toc256000077"/>
      <w:bookmarkEnd w:id="280"/>
      <w:bookmarkStart w:id="281" w:name="_Toc130305945"/>
      <w:bookmarkStart w:id="282" w:name="_Toc22739"/>
      <w:bookmarkStart w:id="283" w:name="_Toc22469"/>
      <w:bookmarkStart w:id="284" w:name="_Toc7591"/>
      <w:bookmarkStart w:id="285" w:name="_Toc256000079"/>
      <w:bookmarkStart w:id="286" w:name="_Toc26608"/>
      <w:r>
        <w:rPr>
          <w:rFonts w:hint="eastAsia" w:ascii="仿宋" w:hAnsi="仿宋" w:eastAsia="仿宋"/>
          <w:b/>
          <w:bCs/>
          <w:sz w:val="28"/>
          <w:szCs w:val="28"/>
        </w:rPr>
        <w:t>4、评分标准说明</w:t>
      </w:r>
      <w:bookmarkEnd w:id="281"/>
      <w:bookmarkEnd w:id="282"/>
      <w:bookmarkEnd w:id="283"/>
      <w:bookmarkEnd w:id="284"/>
      <w:bookmarkEnd w:id="285"/>
      <w:bookmarkEnd w:id="286"/>
    </w:p>
    <w:p w14:paraId="6359AF5D">
      <w:pPr>
        <w:keepNext/>
        <w:keepLines/>
        <w:spacing w:line="400" w:lineRule="exact"/>
        <w:outlineLvl w:val="3"/>
        <w:rPr>
          <w:rFonts w:hint="eastAsia" w:ascii="仿宋" w:hAnsi="仿宋" w:eastAsia="仿宋" w:cs="Arial"/>
          <w:b/>
          <w:bCs/>
          <w:sz w:val="24"/>
          <w:szCs w:val="24"/>
        </w:rPr>
      </w:pPr>
      <w:bookmarkStart w:id="287" w:name="_Toc1662657"/>
      <w:bookmarkEnd w:id="287"/>
      <w:r>
        <w:rPr>
          <w:rFonts w:hint="eastAsia" w:ascii="仿宋" w:hAnsi="仿宋" w:eastAsia="仿宋" w:cs="Arial"/>
          <w:b/>
          <w:bCs/>
          <w:sz w:val="24"/>
          <w:szCs w:val="24"/>
        </w:rPr>
        <w:t xml:space="preserve">4.1关于价格扣除和评审报价的说明 </w:t>
      </w:r>
    </w:p>
    <w:p w14:paraId="3BAFF78C">
      <w:pPr>
        <w:pStyle w:val="13"/>
        <w:rPr>
          <w:rFonts w:hint="eastAsia" w:ascii="仿宋" w:hAnsi="仿宋" w:eastAsia="仿宋"/>
          <w:b/>
          <w:bCs/>
          <w:color w:val="auto"/>
          <w:spacing w:val="14"/>
          <w:sz w:val="24"/>
          <w:szCs w:val="24"/>
        </w:rPr>
      </w:pPr>
      <w:bookmarkStart w:id="288" w:name="_Toc1662658"/>
      <w:bookmarkEnd w:id="288"/>
      <w:bookmarkStart w:id="289" w:name="_Toc256000099"/>
      <w:bookmarkEnd w:id="289"/>
      <w:bookmarkStart w:id="290" w:name="_Toc256000059"/>
      <w:r>
        <w:rPr>
          <w:rFonts w:hint="eastAsia" w:ascii="仿宋" w:hAnsi="仿宋" w:eastAsia="仿宋"/>
          <w:b/>
          <w:bCs/>
          <w:color w:val="auto"/>
          <w:spacing w:val="14"/>
          <w:sz w:val="24"/>
          <w:szCs w:val="24"/>
        </w:rPr>
        <w:t>本项目</w:t>
      </w:r>
      <w:bookmarkEnd w:id="290"/>
      <w:r>
        <w:rPr>
          <w:rFonts w:hint="eastAsia" w:ascii="仿宋" w:hAnsi="仿宋" w:eastAsia="仿宋"/>
          <w:b/>
          <w:bCs/>
          <w:color w:val="auto"/>
          <w:spacing w:val="14"/>
          <w:sz w:val="24"/>
          <w:szCs w:val="24"/>
        </w:rPr>
        <w:t>本项目专门面向中小微（含监狱、残疾人福利性单位）企业采购，评审中价格将均不予扣除。</w:t>
      </w:r>
    </w:p>
    <w:p w14:paraId="6EEDF077">
      <w:pPr>
        <w:keepNext/>
        <w:keepLines/>
        <w:spacing w:before="260" w:after="260" w:line="400" w:lineRule="exact"/>
        <w:outlineLvl w:val="2"/>
        <w:rPr>
          <w:rFonts w:hint="eastAsia" w:ascii="仿宋" w:hAnsi="仿宋" w:eastAsia="仿宋"/>
          <w:b/>
          <w:bCs/>
          <w:sz w:val="28"/>
          <w:szCs w:val="28"/>
        </w:rPr>
      </w:pPr>
      <w:bookmarkStart w:id="291" w:name="_Toc256000054"/>
      <w:bookmarkEnd w:id="291"/>
      <w:bookmarkStart w:id="292" w:name="_Toc9138"/>
      <w:bookmarkEnd w:id="292"/>
      <w:bookmarkStart w:id="293" w:name="_Toc256000078"/>
      <w:bookmarkEnd w:id="293"/>
      <w:bookmarkStart w:id="294" w:name="_Toc29170"/>
      <w:bookmarkStart w:id="295" w:name="_Toc7426"/>
      <w:bookmarkStart w:id="296" w:name="_Toc11490"/>
      <w:bookmarkStart w:id="297" w:name="_Toc446"/>
      <w:bookmarkStart w:id="298" w:name="_Toc256000080"/>
      <w:bookmarkStart w:id="299" w:name="_Toc130305946"/>
      <w:r>
        <w:rPr>
          <w:rFonts w:hint="eastAsia" w:ascii="仿宋" w:hAnsi="仿宋" w:eastAsia="仿宋"/>
          <w:b/>
          <w:bCs/>
          <w:sz w:val="28"/>
          <w:szCs w:val="28"/>
        </w:rPr>
        <w:t>5、定标办法</w:t>
      </w:r>
      <w:bookmarkEnd w:id="294"/>
      <w:bookmarkEnd w:id="295"/>
      <w:bookmarkEnd w:id="296"/>
      <w:bookmarkEnd w:id="297"/>
      <w:bookmarkEnd w:id="298"/>
      <w:bookmarkEnd w:id="299"/>
    </w:p>
    <w:p w14:paraId="52DCCF6B">
      <w:pPr>
        <w:pStyle w:val="42"/>
        <w:widowControl/>
        <w:ind w:firstLine="581" w:firstLineChars="245"/>
        <w:rPr>
          <w:rFonts w:hint="eastAsia" w:ascii="仿宋" w:hAnsi="仿宋" w:eastAsia="仿宋"/>
          <w:color w:val="auto"/>
          <w:spacing w:val="14"/>
          <w:sz w:val="24"/>
          <w:szCs w:val="24"/>
        </w:rPr>
      </w:pPr>
      <w:r>
        <w:rPr>
          <w:rFonts w:hint="eastAsia" w:ascii="仿宋" w:hAnsi="仿宋" w:eastAsia="仿宋"/>
          <w:color w:val="auto"/>
          <w:spacing w:val="14"/>
          <w:sz w:val="24"/>
          <w:szCs w:val="24"/>
        </w:rPr>
        <w:t>1、本项目由采购人授权磋商小组推荐3名成交候选人，并确定第一名为成交人。</w:t>
      </w:r>
    </w:p>
    <w:p w14:paraId="5ED10076">
      <w:pPr>
        <w:pStyle w:val="42"/>
        <w:widowControl/>
        <w:ind w:firstLine="581" w:firstLineChars="245"/>
        <w:rPr>
          <w:rFonts w:hint="eastAsia" w:ascii="仿宋" w:hAnsi="仿宋" w:eastAsia="仿宋"/>
          <w:color w:val="auto"/>
          <w:sz w:val="24"/>
          <w:szCs w:val="24"/>
        </w:rPr>
      </w:pPr>
      <w:r>
        <w:rPr>
          <w:rFonts w:hint="eastAsia" w:ascii="仿宋" w:hAnsi="仿宋" w:eastAsia="仿宋"/>
          <w:color w:val="auto"/>
          <w:spacing w:val="14"/>
          <w:sz w:val="24"/>
          <w:szCs w:val="24"/>
        </w:rPr>
        <w:t>2、磋商小组严格按照采购文件的要求和条件进行评标和打分，按得分由高到低的顺序推荐前3名为成交候选人。如评审得分相同的，按最终报价由低到高顺序排列。得分且最终报价相同的，按技术标得分由高到低的顺序排列。得分、报价、技术标均相等，则由磋商小组投票决定成交人及成交候选人排名。</w:t>
      </w:r>
    </w:p>
    <w:bookmarkEnd w:id="2"/>
    <w:p w14:paraId="6E71AC94">
      <w:pPr>
        <w:rPr>
          <w:rFonts w:hint="eastAsia"/>
          <w:color w:val="000080"/>
          <w:sz w:val="20"/>
          <w:highlight w:val="white"/>
        </w:rPr>
      </w:pPr>
    </w:p>
    <w:p w14:paraId="673E0456">
      <w:pPr>
        <w:pStyle w:val="40"/>
        <w:rPr>
          <w:rFonts w:hint="eastAsia"/>
          <w:color w:val="000080"/>
          <w:sz w:val="20"/>
          <w:highlight w:val="white"/>
        </w:rPr>
      </w:pPr>
    </w:p>
    <w:p w14:paraId="79F00EF3">
      <w:pPr>
        <w:rPr>
          <w:rFonts w:hint="eastAsia"/>
          <w:color w:val="000080"/>
          <w:sz w:val="20"/>
          <w:highlight w:val="white"/>
        </w:rPr>
      </w:pPr>
    </w:p>
    <w:p w14:paraId="7AC56FAB">
      <w:pPr>
        <w:pStyle w:val="40"/>
        <w:rPr>
          <w:rFonts w:hint="eastAsia"/>
          <w:color w:val="000080"/>
          <w:sz w:val="20"/>
          <w:highlight w:val="white"/>
        </w:rPr>
      </w:pPr>
    </w:p>
    <w:p w14:paraId="125003BE">
      <w:pPr>
        <w:rPr>
          <w:rFonts w:hint="eastAsia"/>
          <w:color w:val="000080"/>
          <w:sz w:val="20"/>
          <w:highlight w:val="white"/>
        </w:rPr>
      </w:pPr>
    </w:p>
    <w:p w14:paraId="10796BB1">
      <w:pPr>
        <w:pStyle w:val="40"/>
        <w:rPr>
          <w:rFonts w:hint="eastAsia"/>
          <w:color w:val="000080"/>
          <w:sz w:val="20"/>
          <w:highlight w:val="white"/>
        </w:rPr>
      </w:pPr>
    </w:p>
    <w:p w14:paraId="5604D153">
      <w:pPr>
        <w:rPr>
          <w:rFonts w:hint="eastAsia"/>
          <w:color w:val="000080"/>
          <w:sz w:val="20"/>
          <w:highlight w:val="white"/>
        </w:rPr>
      </w:pPr>
    </w:p>
    <w:p w14:paraId="44D9590C">
      <w:pPr>
        <w:pStyle w:val="40"/>
        <w:rPr>
          <w:rFonts w:hint="eastAsia"/>
          <w:color w:val="000080"/>
          <w:sz w:val="20"/>
          <w:highlight w:val="white"/>
        </w:rPr>
      </w:pPr>
    </w:p>
    <w:p w14:paraId="21454649">
      <w:pPr>
        <w:rPr>
          <w:rFonts w:hint="eastAsia"/>
          <w:color w:val="000080"/>
          <w:sz w:val="20"/>
          <w:highlight w:val="white"/>
        </w:rPr>
      </w:pPr>
    </w:p>
    <w:p w14:paraId="630448CA">
      <w:pPr>
        <w:pStyle w:val="40"/>
        <w:rPr>
          <w:rFonts w:hint="eastAsia"/>
          <w:color w:val="000080"/>
          <w:sz w:val="20"/>
          <w:highlight w:val="white"/>
        </w:rPr>
      </w:pPr>
    </w:p>
    <w:p w14:paraId="12D8EB57">
      <w:pPr>
        <w:rPr>
          <w:rFonts w:hint="eastAsia"/>
          <w:color w:val="000080"/>
          <w:sz w:val="20"/>
          <w:highlight w:val="white"/>
        </w:rPr>
      </w:pPr>
    </w:p>
    <w:p w14:paraId="0DC900C9">
      <w:pPr>
        <w:pStyle w:val="40"/>
        <w:rPr>
          <w:rFonts w:hint="eastAsia"/>
          <w:color w:val="000080"/>
          <w:sz w:val="20"/>
          <w:highlight w:val="white"/>
        </w:rPr>
      </w:pPr>
    </w:p>
    <w:p w14:paraId="48403826">
      <w:pPr>
        <w:rPr>
          <w:rFonts w:hint="eastAsia"/>
          <w:color w:val="000080"/>
          <w:sz w:val="20"/>
          <w:highlight w:val="white"/>
        </w:rPr>
      </w:pPr>
    </w:p>
    <w:p w14:paraId="16EF3CA8">
      <w:pPr>
        <w:pStyle w:val="40"/>
        <w:rPr>
          <w:rFonts w:hint="eastAsia"/>
          <w:color w:val="000080"/>
          <w:sz w:val="20"/>
          <w:highlight w:val="white"/>
        </w:rPr>
      </w:pPr>
    </w:p>
    <w:p w14:paraId="5661A9A6">
      <w:pPr>
        <w:rPr>
          <w:rFonts w:hint="eastAsia"/>
          <w:color w:val="000080"/>
          <w:sz w:val="20"/>
          <w:highlight w:val="white"/>
        </w:rPr>
      </w:pPr>
    </w:p>
    <w:p w14:paraId="412E0EE4">
      <w:pPr>
        <w:pStyle w:val="40"/>
        <w:rPr>
          <w:rFonts w:hint="eastAsia"/>
        </w:rPr>
      </w:pPr>
    </w:p>
    <w:p w14:paraId="157D314E">
      <w:pPr>
        <w:pStyle w:val="5"/>
        <w:jc w:val="center"/>
        <w:rPr>
          <w:rFonts w:hint="eastAsia" w:ascii="仿宋" w:hAnsi="仿宋" w:eastAsia="仿宋"/>
          <w:color w:val="000000"/>
        </w:rPr>
      </w:pPr>
      <w:bookmarkStart w:id="300" w:name="_Toc22565"/>
      <w:r>
        <w:rPr>
          <w:rFonts w:hint="eastAsia" w:ascii="仿宋" w:hAnsi="仿宋" w:eastAsia="仿宋"/>
          <w:color w:val="000000"/>
        </w:rPr>
        <w:t>第六章   资格审查与评审标准</w:t>
      </w:r>
      <w:bookmarkEnd w:id="300"/>
    </w:p>
    <w:p w14:paraId="7AB74FA3">
      <w:pPr>
        <w:rPr>
          <w:rFonts w:hint="eastAsia"/>
          <w:color w:val="000080"/>
          <w:sz w:val="20"/>
          <w:highlight w:val="red"/>
        </w:rPr>
      </w:pPr>
      <w:bookmarkStart w:id="301" w:name="EBd6608c40daa648908bc3124326cc0b85"/>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3005"/>
        <w:gridCol w:w="4974"/>
      </w:tblGrid>
      <w:tr w14:paraId="3325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0176399">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初步条款</w:t>
            </w: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0E7102C">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评分点名称</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E53E603">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评审标准</w:t>
            </w:r>
          </w:p>
        </w:tc>
      </w:tr>
      <w:tr w14:paraId="16E6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599EC6A">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符合性评审</w:t>
            </w: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90D38BD">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供应商名称</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0D43FE2">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与营业执照或事业单位法人证书一致</w:t>
            </w:r>
          </w:p>
        </w:tc>
      </w:tr>
      <w:tr w14:paraId="74BA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F9FA17E">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0031615">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响应文件签字盖章</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6A6A6BF">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符合磋商文件要求</w:t>
            </w:r>
          </w:p>
        </w:tc>
      </w:tr>
      <w:tr w14:paraId="67AA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667D7E0">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526B82">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报价</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201892E">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只能有一个有效报价，且报价未超过预算控制价，并按规定填报报价表一览表、报价明细表</w:t>
            </w:r>
          </w:p>
        </w:tc>
      </w:tr>
      <w:tr w14:paraId="0C27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00DAD3F">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1E36F6D">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响应文件有效期</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9E1F8B6">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0792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A69FBC7">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44C9F2B">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实质性要求和条件</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12AAD48">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47B2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restart"/>
            <w:tcBorders>
              <w:top w:val="single" w:color="000000" w:sz="2" w:space="0"/>
              <w:left w:val="single" w:color="000000" w:sz="2" w:space="0"/>
              <w:right w:val="single" w:color="000000" w:sz="2" w:space="0"/>
            </w:tcBorders>
            <w:noWrap/>
            <w:tcMar>
              <w:top w:w="100" w:type="dxa"/>
              <w:bottom w:w="100" w:type="dxa"/>
            </w:tcMar>
            <w:vAlign w:val="center"/>
          </w:tcPr>
          <w:p w14:paraId="647CAAE2">
            <w:pPr>
              <w:widowControl/>
              <w:jc w:val="center"/>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资格评审</w:t>
            </w: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FF6B23C">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营业执照或</w:t>
            </w:r>
          </w:p>
          <w:p w14:paraId="406BD546">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事业单位法人证书</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346DF32">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具有有效的营业执照或事业单位法人证书</w:t>
            </w:r>
          </w:p>
        </w:tc>
      </w:tr>
      <w:tr w14:paraId="39F6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left w:val="single" w:color="000000" w:sz="2" w:space="0"/>
              <w:right w:val="single" w:color="000000" w:sz="2" w:space="0"/>
            </w:tcBorders>
            <w:noWrap/>
            <w:tcMar>
              <w:top w:w="100" w:type="dxa"/>
              <w:bottom w:w="100" w:type="dxa"/>
            </w:tcMar>
            <w:vAlign w:val="center"/>
          </w:tcPr>
          <w:p w14:paraId="55F6F12D">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3F3C25B">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信用承诺函</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65AF06A">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4B2E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left w:val="single" w:color="000000" w:sz="2" w:space="0"/>
              <w:right w:val="single" w:color="000000" w:sz="2" w:space="0"/>
            </w:tcBorders>
            <w:noWrap/>
            <w:tcMar>
              <w:top w:w="100" w:type="dxa"/>
              <w:bottom w:w="100" w:type="dxa"/>
            </w:tcMar>
            <w:vAlign w:val="center"/>
          </w:tcPr>
          <w:p w14:paraId="0D8A8FD1">
            <w:pPr>
              <w:widowControl/>
              <w:jc w:val="center"/>
              <w:rPr>
                <w:rFonts w:hint="eastAsia" w:ascii="仿宋" w:hAnsi="仿宋" w:eastAsia="仿宋" w:cs="仿宋"/>
                <w:kern w:val="0"/>
                <w:sz w:val="24"/>
                <w:szCs w:val="32"/>
                <w:lang w:val="en-US" w:eastAsia="en-US" w:bidi="ar-SA"/>
              </w:rPr>
            </w:pPr>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2588D2F">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联合体投标</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3D71D8B">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符合供应商须知前附表的规定</w:t>
            </w:r>
          </w:p>
        </w:tc>
      </w:tr>
      <w:tr w14:paraId="2EEF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Merge w:val="continue"/>
            <w:tcBorders>
              <w:left w:val="single" w:color="000000" w:sz="2" w:space="0"/>
              <w:bottom w:val="single" w:color="000000" w:sz="2" w:space="0"/>
              <w:right w:val="single" w:color="000000" w:sz="2" w:space="0"/>
            </w:tcBorders>
            <w:noWrap/>
            <w:tcMar>
              <w:top w:w="100" w:type="dxa"/>
              <w:bottom w:w="100" w:type="dxa"/>
            </w:tcMar>
            <w:vAlign w:val="center"/>
          </w:tcPr>
          <w:p w14:paraId="421BF38F">
            <w:pPr>
              <w:widowControl/>
              <w:jc w:val="center"/>
              <w:rPr>
                <w:rFonts w:hint="eastAsia" w:ascii="仿宋" w:hAnsi="仿宋" w:eastAsia="仿宋" w:cs="仿宋"/>
                <w:kern w:val="0"/>
                <w:sz w:val="24"/>
                <w:szCs w:val="32"/>
                <w:lang w:val="en-US" w:eastAsia="en-US" w:bidi="ar-SA"/>
              </w:rPr>
            </w:pPr>
            <w:bookmarkStart w:id="302" w:name="EB63a4bd099da54daaaed279f566efd0e1"/>
          </w:p>
        </w:tc>
        <w:tc>
          <w:tcPr>
            <w:tcW w:w="300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A527ED4">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不存在禁止投标的情形</w:t>
            </w:r>
          </w:p>
        </w:tc>
        <w:tc>
          <w:tcPr>
            <w:tcW w:w="497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B22155A">
            <w:pPr>
              <w:widowControl/>
              <w:jc w:val="left"/>
              <w:rPr>
                <w:rFonts w:hint="eastAsia" w:ascii="仿宋" w:hAnsi="仿宋" w:eastAsia="仿宋" w:cs="仿宋"/>
                <w:kern w:val="0"/>
                <w:sz w:val="24"/>
                <w:szCs w:val="32"/>
                <w:lang w:val="en-US" w:eastAsia="en-US" w:bidi="ar-SA"/>
              </w:rPr>
            </w:pPr>
            <w:r>
              <w:rPr>
                <w:rFonts w:hint="eastAsia" w:ascii="仿宋" w:hAnsi="仿宋" w:eastAsia="仿宋" w:cs="仿宋"/>
                <w:kern w:val="0"/>
                <w:sz w:val="24"/>
                <w:szCs w:val="32"/>
                <w:lang w:val="en-US" w:eastAsia="en-US" w:bidi="ar-SA"/>
              </w:rPr>
              <w:t>不存在第二章“供应商须知”第 1.4.3 项规定的任何一种情形</w:t>
            </w:r>
          </w:p>
        </w:tc>
      </w:tr>
      <w:bookmarkEnd w:id="301"/>
    </w:tbl>
    <w:p w14:paraId="1185BB73">
      <w:pPr>
        <w:rPr>
          <w:rFonts w:hint="eastAsia"/>
          <w:highlight w:val="red"/>
        </w:rPr>
      </w:pPr>
    </w:p>
    <w:p w14:paraId="06BB2E3F">
      <w:pPr>
        <w:rPr>
          <w:rFonts w:hint="eastAsia"/>
          <w:highlight w:val="red"/>
        </w:rPr>
      </w:pPr>
    </w:p>
    <w:p w14:paraId="7E757223">
      <w:pPr>
        <w:rPr>
          <w:rFonts w:hint="eastAsia"/>
          <w:highlight w:val="red"/>
        </w:rPr>
      </w:pPr>
    </w:p>
    <w:p w14:paraId="79E66E38">
      <w:pPr>
        <w:rPr>
          <w:rFonts w:hint="eastAsia"/>
          <w:highlight w:val="red"/>
        </w:rPr>
      </w:pPr>
    </w:p>
    <w:p w14:paraId="401CF381">
      <w:pPr>
        <w:rPr>
          <w:rFonts w:hint="eastAsia"/>
          <w:highlight w:val="red"/>
        </w:rPr>
      </w:pPr>
    </w:p>
    <w:p w14:paraId="41ABAF53">
      <w:pPr>
        <w:rPr>
          <w:rFonts w:hint="eastAsia"/>
          <w:highlight w:val="red"/>
        </w:rPr>
      </w:pPr>
    </w:p>
    <w:p w14:paraId="206F7713">
      <w:pPr>
        <w:rPr>
          <w:rFonts w:hint="eastAsia"/>
          <w:highlight w:val="red"/>
        </w:rPr>
      </w:pPr>
    </w:p>
    <w:p w14:paraId="78EFD625">
      <w:pPr>
        <w:rPr>
          <w:rFonts w:hint="eastAsia"/>
          <w:highlight w:val="red"/>
        </w:rPr>
      </w:pPr>
    </w:p>
    <w:p w14:paraId="459DD7C9">
      <w:pPr>
        <w:rPr>
          <w:rFonts w:hint="eastAsia"/>
          <w:highlight w:val="red"/>
        </w:rPr>
      </w:pPr>
    </w:p>
    <w:p w14:paraId="47F2A1E4">
      <w:pPr>
        <w:rPr>
          <w:rFonts w:hint="eastAsia"/>
          <w:highlight w:val="red"/>
        </w:rPr>
      </w:pP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924"/>
        <w:gridCol w:w="998"/>
        <w:gridCol w:w="1685"/>
        <w:gridCol w:w="4524"/>
      </w:tblGrid>
      <w:tr w14:paraId="2022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DEDD543">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详细条款</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5863821">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最低分</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4F8B93F">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最高分</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D1D65A3">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评分点名称</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82C6B59">
            <w:pPr>
              <w:widowControl/>
              <w:jc w:val="center"/>
              <w:rPr>
                <w:rFonts w:hint="eastAsia" w:ascii="仿宋" w:hAnsi="仿宋" w:eastAsia="仿宋" w:cs="仿宋"/>
                <w:kern w:val="0"/>
                <w:sz w:val="24"/>
                <w:szCs w:val="24"/>
                <w:lang w:val="en-US" w:eastAsia="en-US" w:bidi="ar-SA"/>
              </w:rPr>
            </w:pPr>
            <w:r>
              <w:rPr>
                <w:rFonts w:hint="eastAsia" w:ascii="仿宋" w:hAnsi="仿宋" w:eastAsia="仿宋" w:cs="仿宋"/>
                <w:kern w:val="0"/>
                <w:sz w:val="24"/>
                <w:szCs w:val="24"/>
                <w:lang w:val="en-US" w:eastAsia="en-US" w:bidi="ar-SA"/>
              </w:rPr>
              <w:t>评审标准</w:t>
            </w:r>
          </w:p>
        </w:tc>
      </w:tr>
      <w:tr w14:paraId="4B07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6A4CC6">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经济标评分参数</w:t>
            </w:r>
            <w:r>
              <w:rPr>
                <w:rFonts w:hint="eastAsia" w:ascii="仿宋" w:hAnsi="仿宋" w:eastAsia="仿宋" w:cs="仿宋"/>
                <w:b w:val="0"/>
                <w:bCs w:val="0"/>
                <w:spacing w:val="30"/>
                <w:sz w:val="24"/>
                <w:szCs w:val="24"/>
                <w:lang w:val="en-US" w:eastAsia="zh-CN"/>
              </w:rPr>
              <w:t>（30）</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871CC04">
            <w:pPr>
              <w:jc w:val="center"/>
              <w:rPr>
                <w:rFonts w:hint="default"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885AE14">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30</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66EEF64">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投标报价</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AF3A4F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价格分采用低价优先法计算，即满足磋商文件要求且评标报价最低的评标报价为评标基准价，其价格分为满分。其他供应商的价格分统一按照下列公式计算：报价得分=(评标基准价／评标报价)×报价权重</w:t>
            </w:r>
          </w:p>
        </w:tc>
      </w:tr>
      <w:tr w14:paraId="7D2A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F48642B">
            <w:pPr>
              <w:jc w:val="center"/>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en-US"/>
              </w:rPr>
              <w:t>技术标评分参数</w:t>
            </w:r>
            <w:r>
              <w:rPr>
                <w:rFonts w:hint="eastAsia" w:ascii="仿宋" w:hAnsi="仿宋" w:eastAsia="仿宋" w:cs="仿宋"/>
                <w:b w:val="0"/>
                <w:bCs w:val="0"/>
                <w:spacing w:val="30"/>
                <w:sz w:val="24"/>
                <w:szCs w:val="24"/>
                <w:highlight w:val="none"/>
                <w:lang w:val="en-US" w:eastAsia="zh-CN"/>
              </w:rPr>
              <w:t>（40）</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894ADAF">
            <w:pPr>
              <w:jc w:val="center"/>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6477750">
            <w:pPr>
              <w:jc w:val="center"/>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35.00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0B07F49">
            <w:pPr>
              <w:jc w:val="center"/>
              <w:rPr>
                <w:rFonts w:hint="eastAsia" w:ascii="仿宋" w:hAnsi="仿宋" w:eastAsia="仿宋" w:cs="仿宋"/>
                <w:b w:val="0"/>
                <w:bCs w:val="0"/>
                <w:color w:val="auto"/>
                <w:spacing w:val="30"/>
                <w:sz w:val="24"/>
                <w:szCs w:val="24"/>
                <w:highlight w:val="none"/>
                <w:lang w:val="en-US" w:eastAsia="en-US"/>
              </w:rPr>
            </w:pPr>
            <w:r>
              <w:rPr>
                <w:rFonts w:hint="eastAsia" w:ascii="仿宋" w:hAnsi="仿宋" w:eastAsia="仿宋" w:cs="仿宋"/>
                <w:b w:val="0"/>
                <w:bCs w:val="0"/>
                <w:color w:val="auto"/>
                <w:spacing w:val="30"/>
                <w:sz w:val="24"/>
                <w:szCs w:val="24"/>
                <w:highlight w:val="none"/>
                <w:lang w:val="en-US" w:eastAsia="zh-CN"/>
              </w:rPr>
              <w:t>技术参数</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E8EF3AF">
            <w:pPr>
              <w:jc w:val="left"/>
              <w:rPr>
                <w:rFonts w:hint="eastAsia" w:ascii="仿宋" w:hAnsi="仿宋" w:eastAsia="仿宋" w:cs="仿宋"/>
                <w:b w:val="0"/>
                <w:bCs w:val="0"/>
                <w:color w:val="auto"/>
                <w:spacing w:val="30"/>
                <w:sz w:val="24"/>
                <w:szCs w:val="24"/>
                <w:highlight w:val="none"/>
                <w:lang w:val="en-US" w:eastAsia="en-US"/>
              </w:rPr>
            </w:pPr>
            <w:r>
              <w:rPr>
                <w:rFonts w:hint="eastAsia" w:ascii="仿宋" w:hAnsi="仿宋" w:eastAsia="仿宋" w:cs="仿宋"/>
                <w:b w:val="0"/>
                <w:bCs w:val="0"/>
                <w:color w:val="auto"/>
                <w:spacing w:val="30"/>
                <w:sz w:val="24"/>
                <w:szCs w:val="24"/>
                <w:highlight w:val="none"/>
                <w:lang w:val="en-US" w:eastAsia="en-US"/>
              </w:rPr>
              <w:t>所供货物的技术参数、技术性能等均能满足招标文件文件要求得满分</w:t>
            </w:r>
            <w:r>
              <w:rPr>
                <w:rFonts w:hint="eastAsia" w:ascii="仿宋" w:hAnsi="仿宋" w:eastAsia="仿宋" w:cs="仿宋"/>
                <w:b w:val="0"/>
                <w:bCs w:val="0"/>
                <w:color w:val="auto"/>
                <w:spacing w:val="30"/>
                <w:sz w:val="24"/>
                <w:szCs w:val="24"/>
                <w:highlight w:val="none"/>
                <w:lang w:val="en-US" w:eastAsia="zh-CN"/>
              </w:rPr>
              <w:t>35</w:t>
            </w:r>
            <w:r>
              <w:rPr>
                <w:rFonts w:hint="eastAsia" w:ascii="仿宋" w:hAnsi="仿宋" w:eastAsia="仿宋" w:cs="仿宋"/>
                <w:b w:val="0"/>
                <w:bCs w:val="0"/>
                <w:color w:val="auto"/>
                <w:spacing w:val="30"/>
                <w:sz w:val="24"/>
                <w:szCs w:val="24"/>
                <w:highlight w:val="none"/>
                <w:lang w:val="en-US" w:eastAsia="en-US"/>
              </w:rPr>
              <w:t>分；加“▲”技术参数每有一项不满足扣2分，非加“▲”项技术参数每有一项不满足的扣1分，扣完为止。</w:t>
            </w:r>
          </w:p>
          <w:p w14:paraId="4E40F437">
            <w:pPr>
              <w:rPr>
                <w:rFonts w:hint="eastAsia" w:ascii="仿宋" w:hAnsi="仿宋" w:eastAsia="仿宋" w:cs="仿宋"/>
                <w:color w:val="auto"/>
                <w:spacing w:val="30"/>
                <w:sz w:val="24"/>
                <w:szCs w:val="24"/>
                <w:highlight w:val="none"/>
                <w:lang w:val="en-US" w:eastAsia="en-US"/>
              </w:rPr>
            </w:pPr>
            <w:r>
              <w:rPr>
                <w:rFonts w:hint="eastAsia" w:ascii="仿宋" w:hAnsi="仿宋" w:eastAsia="仿宋" w:cs="仿宋"/>
                <w:color w:val="auto"/>
                <w:spacing w:val="30"/>
                <w:sz w:val="24"/>
                <w:szCs w:val="24"/>
                <w:highlight w:val="none"/>
                <w:lang w:val="en-US" w:eastAsia="en-US"/>
              </w:rPr>
              <w:t>注：</w:t>
            </w:r>
          </w:p>
          <w:p w14:paraId="499135BB">
            <w:pPr>
              <w:rPr>
                <w:rFonts w:hint="eastAsia" w:ascii="仿宋" w:hAnsi="仿宋" w:eastAsia="仿宋" w:cs="仿宋"/>
                <w:color w:val="auto"/>
                <w:spacing w:val="30"/>
                <w:sz w:val="24"/>
                <w:szCs w:val="24"/>
                <w:highlight w:val="none"/>
                <w:lang w:val="en-US" w:eastAsia="en-US"/>
              </w:rPr>
            </w:pPr>
            <w:r>
              <w:rPr>
                <w:rFonts w:hint="eastAsia" w:ascii="仿宋" w:hAnsi="仿宋" w:eastAsia="仿宋" w:cs="仿宋"/>
                <w:color w:val="auto"/>
                <w:spacing w:val="30"/>
                <w:sz w:val="24"/>
                <w:szCs w:val="24"/>
                <w:highlight w:val="none"/>
                <w:lang w:val="en-US" w:eastAsia="zh-CN"/>
              </w:rPr>
              <w:t>1</w:t>
            </w:r>
            <w:r>
              <w:rPr>
                <w:rFonts w:hint="eastAsia" w:ascii="仿宋" w:hAnsi="仿宋" w:eastAsia="仿宋" w:cs="仿宋"/>
                <w:color w:val="auto"/>
                <w:spacing w:val="30"/>
                <w:sz w:val="24"/>
                <w:szCs w:val="24"/>
                <w:highlight w:val="none"/>
                <w:lang w:val="en-US" w:eastAsia="en-US"/>
              </w:rPr>
              <w:t>、建议各供应商投标文件中标注加</w:t>
            </w:r>
            <w:r>
              <w:rPr>
                <w:rFonts w:hint="eastAsia" w:ascii="仿宋" w:hAnsi="仿宋" w:eastAsia="仿宋" w:cs="仿宋"/>
                <w:b w:val="0"/>
                <w:bCs w:val="0"/>
                <w:color w:val="auto"/>
                <w:spacing w:val="30"/>
                <w:sz w:val="24"/>
                <w:szCs w:val="24"/>
                <w:highlight w:val="none"/>
                <w:lang w:val="en-US" w:eastAsia="en-US"/>
              </w:rPr>
              <w:t>“▲”</w:t>
            </w:r>
            <w:r>
              <w:rPr>
                <w:rFonts w:hint="eastAsia" w:ascii="仿宋" w:hAnsi="仿宋" w:eastAsia="仿宋" w:cs="仿宋"/>
                <w:color w:val="auto"/>
                <w:spacing w:val="30"/>
                <w:sz w:val="24"/>
                <w:szCs w:val="24"/>
                <w:highlight w:val="none"/>
                <w:lang w:val="en-US" w:eastAsia="en-US"/>
              </w:rPr>
              <w:t>技术参数及其他所需提供证明材料的页码，否则因此导致评委无法判断偏离情况的，后果投标人自负。</w:t>
            </w:r>
          </w:p>
          <w:p w14:paraId="60C2297D">
            <w:pPr>
              <w:rPr>
                <w:rFonts w:hint="eastAsia"/>
                <w:highlight w:val="none"/>
                <w:lang w:val="en-US" w:eastAsia="en-US"/>
              </w:rPr>
            </w:pPr>
            <w:r>
              <w:rPr>
                <w:rFonts w:hint="eastAsia" w:ascii="仿宋" w:hAnsi="仿宋" w:eastAsia="仿宋" w:cs="仿宋"/>
                <w:color w:val="auto"/>
                <w:spacing w:val="30"/>
                <w:sz w:val="24"/>
                <w:szCs w:val="24"/>
                <w:highlight w:val="none"/>
                <w:lang w:val="en-US" w:eastAsia="zh-CN"/>
              </w:rPr>
              <w:t>2</w:t>
            </w:r>
            <w:r>
              <w:rPr>
                <w:rFonts w:hint="eastAsia" w:ascii="仿宋" w:hAnsi="仿宋" w:eastAsia="仿宋" w:cs="仿宋"/>
                <w:color w:val="auto"/>
                <w:spacing w:val="30"/>
                <w:sz w:val="24"/>
                <w:szCs w:val="24"/>
                <w:highlight w:val="none"/>
                <w:lang w:val="en-US" w:eastAsia="en-US"/>
              </w:rPr>
              <w:t>、投标人应保证其资料的真实性、有效性，一经发现有虚假资料，招标人有权取消其中标资格，并上报监管部门处理，由此产生的损失，由投标人承担。</w:t>
            </w:r>
          </w:p>
        </w:tc>
      </w:tr>
      <w:tr w14:paraId="789F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785B6C7">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160003E">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17A8851">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1.00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E4D79F9">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节能环保</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F94C2C3">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1、节能产品:所投产品（除政府强制采购节能产品外）</w:t>
            </w:r>
            <w:r>
              <w:rPr>
                <w:rFonts w:hint="eastAsia" w:ascii="仿宋" w:hAnsi="仿宋" w:eastAsia="仿宋" w:cs="仿宋"/>
                <w:b w:val="0"/>
                <w:bCs w:val="0"/>
                <w:spacing w:val="30"/>
                <w:sz w:val="24"/>
                <w:szCs w:val="24"/>
                <w:lang w:val="en-US" w:eastAsia="zh-CN"/>
              </w:rPr>
              <w:t>有</w:t>
            </w:r>
            <w:r>
              <w:rPr>
                <w:rFonts w:hint="eastAsia" w:ascii="仿宋" w:hAnsi="仿宋" w:eastAsia="仿宋" w:cs="仿宋"/>
                <w:b w:val="0"/>
                <w:bCs w:val="0"/>
                <w:spacing w:val="30"/>
                <w:sz w:val="24"/>
                <w:szCs w:val="24"/>
                <w:lang w:val="en-US" w:eastAsia="en-US"/>
              </w:rPr>
              <w:t>《中国节能产品认证证书》的加0.5分（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14:paraId="62CC7795">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2、环境标志产品：所投产品为《中国环境标志产品认证证书》（有效期内）的加0.5分（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14:paraId="074CEBA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注:响应文件中附扫描件，否则不得分。</w:t>
            </w:r>
          </w:p>
        </w:tc>
      </w:tr>
      <w:tr w14:paraId="0F51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C2502B">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C7AD9E1">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B10FB24">
            <w:pPr>
              <w:jc w:val="center"/>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2.00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021D28D">
            <w:pPr>
              <w:jc w:val="center"/>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供应商提供备品备件、易损件</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859816E">
            <w:pPr>
              <w:jc w:val="left"/>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供应商承诺针对本项目提供原厂标准的备品备件、易损件，得2分；</w:t>
            </w:r>
          </w:p>
          <w:p w14:paraId="222069BE">
            <w:pPr>
              <w:jc w:val="left"/>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未提供不得分。</w:t>
            </w:r>
          </w:p>
        </w:tc>
      </w:tr>
      <w:tr w14:paraId="124A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23C740C">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937097">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745C22">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2.00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53C4D33">
            <w:pPr>
              <w:jc w:val="center"/>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质保期</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548FFC0">
            <w:pPr>
              <w:jc w:val="left"/>
              <w:rPr>
                <w:rFonts w:hint="eastAsia" w:ascii="仿宋" w:hAnsi="仿宋" w:eastAsia="仿宋" w:cs="仿宋"/>
                <w:b w:val="0"/>
                <w:bCs w:val="0"/>
                <w:spacing w:val="30"/>
                <w:sz w:val="24"/>
                <w:szCs w:val="24"/>
                <w:highlight w:val="none"/>
                <w:lang w:val="en-US" w:eastAsia="zh-CN"/>
              </w:rPr>
            </w:pPr>
            <w:r>
              <w:rPr>
                <w:rFonts w:hint="eastAsia" w:ascii="仿宋" w:hAnsi="仿宋" w:eastAsia="仿宋" w:cs="仿宋"/>
                <w:b w:val="0"/>
                <w:bCs w:val="0"/>
                <w:spacing w:val="30"/>
                <w:sz w:val="24"/>
                <w:szCs w:val="24"/>
                <w:highlight w:val="none"/>
                <w:lang w:val="en-US" w:eastAsia="zh-CN"/>
              </w:rPr>
              <w:t>质保期在招标文件要求的基础上，所有产品每增加一年质保期得1分，最多得2分;</w:t>
            </w:r>
          </w:p>
          <w:p w14:paraId="7D586864">
            <w:pPr>
              <w:jc w:val="left"/>
              <w:rPr>
                <w:rFonts w:hint="eastAsia" w:ascii="仿宋" w:hAnsi="仿宋" w:eastAsia="仿宋" w:cs="仿宋"/>
                <w:b w:val="0"/>
                <w:bCs w:val="0"/>
                <w:spacing w:val="30"/>
                <w:sz w:val="24"/>
                <w:szCs w:val="24"/>
                <w:highlight w:val="none"/>
                <w:lang w:val="en-US" w:eastAsia="en-US"/>
              </w:rPr>
            </w:pPr>
            <w:r>
              <w:rPr>
                <w:rFonts w:hint="eastAsia" w:ascii="仿宋" w:hAnsi="仿宋" w:eastAsia="仿宋" w:cs="仿宋"/>
                <w:b w:val="0"/>
                <w:bCs w:val="0"/>
                <w:spacing w:val="30"/>
                <w:sz w:val="24"/>
                <w:szCs w:val="24"/>
                <w:highlight w:val="none"/>
                <w:lang w:val="en-US" w:eastAsia="zh-CN"/>
              </w:rPr>
              <w:t>未提供不得分。（须提供承诺函，格式自拟）</w:t>
            </w:r>
          </w:p>
        </w:tc>
      </w:tr>
      <w:tr w14:paraId="4B0D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8" w:hRule="atLeast"/>
        </w:trPr>
        <w:tc>
          <w:tcPr>
            <w:tcW w:w="1326"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6B941AA">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综合标评分参数</w:t>
            </w:r>
            <w:r>
              <w:rPr>
                <w:rFonts w:hint="eastAsia" w:ascii="仿宋" w:hAnsi="仿宋" w:eastAsia="仿宋" w:cs="仿宋"/>
                <w:b w:val="0"/>
                <w:bCs w:val="0"/>
                <w:spacing w:val="30"/>
                <w:sz w:val="24"/>
                <w:szCs w:val="24"/>
                <w:lang w:val="en-US" w:eastAsia="zh-CN"/>
              </w:rPr>
              <w:t>（22）</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E14CCC0">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BB2B61E">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6</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E1CEB42">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安装调试及培训方案</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4181EE1">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针对本项目提供的安装调试及培训方案，内容全面完整、符合项目需求，得</w:t>
            </w:r>
            <w:r>
              <w:rPr>
                <w:rFonts w:hint="eastAsia" w:ascii="仿宋" w:hAnsi="仿宋" w:eastAsia="仿宋" w:cs="仿宋"/>
                <w:b w:val="0"/>
                <w:bCs w:val="0"/>
                <w:spacing w:val="30"/>
                <w:sz w:val="24"/>
                <w:szCs w:val="24"/>
                <w:lang w:val="en-US" w:eastAsia="zh-CN"/>
              </w:rPr>
              <w:t>6</w:t>
            </w:r>
            <w:r>
              <w:rPr>
                <w:rFonts w:hint="eastAsia" w:ascii="仿宋" w:hAnsi="仿宋" w:eastAsia="仿宋" w:cs="仿宋"/>
                <w:b w:val="0"/>
                <w:bCs w:val="0"/>
                <w:spacing w:val="30"/>
                <w:sz w:val="24"/>
                <w:szCs w:val="24"/>
                <w:lang w:val="en-US" w:eastAsia="en-US"/>
              </w:rPr>
              <w:t>分</w:t>
            </w:r>
            <w:r>
              <w:rPr>
                <w:rFonts w:hint="eastAsia" w:ascii="仿宋" w:hAnsi="仿宋" w:eastAsia="仿宋" w:cs="仿宋"/>
                <w:b w:val="0"/>
                <w:bCs w:val="0"/>
                <w:spacing w:val="30"/>
                <w:sz w:val="24"/>
                <w:szCs w:val="24"/>
                <w:lang w:val="en-US" w:eastAsia="zh-CN"/>
              </w:rPr>
              <w:t>；</w:t>
            </w:r>
          </w:p>
          <w:p w14:paraId="6526136F">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内容较为全面、比较切合项目需求，得</w:t>
            </w:r>
            <w:r>
              <w:rPr>
                <w:rFonts w:hint="eastAsia" w:ascii="仿宋" w:hAnsi="仿宋" w:eastAsia="仿宋" w:cs="仿宋"/>
                <w:b w:val="0"/>
                <w:bCs w:val="0"/>
                <w:spacing w:val="30"/>
                <w:sz w:val="24"/>
                <w:szCs w:val="24"/>
                <w:lang w:val="en-US" w:eastAsia="zh-CN"/>
              </w:rPr>
              <w:t>4</w:t>
            </w:r>
            <w:r>
              <w:rPr>
                <w:rFonts w:hint="eastAsia" w:ascii="仿宋" w:hAnsi="仿宋" w:eastAsia="仿宋" w:cs="仿宋"/>
                <w:b w:val="0"/>
                <w:bCs w:val="0"/>
                <w:spacing w:val="30"/>
                <w:sz w:val="24"/>
                <w:szCs w:val="24"/>
                <w:lang w:val="en-US" w:eastAsia="en-US"/>
              </w:rPr>
              <w:t>分；</w:t>
            </w:r>
          </w:p>
          <w:p w14:paraId="3B062F99">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内容基本切合项目需求的，得</w:t>
            </w:r>
            <w:r>
              <w:rPr>
                <w:rFonts w:hint="eastAsia" w:ascii="仿宋" w:hAnsi="仿宋" w:eastAsia="仿宋" w:cs="仿宋"/>
                <w:b w:val="0"/>
                <w:bCs w:val="0"/>
                <w:spacing w:val="30"/>
                <w:sz w:val="24"/>
                <w:szCs w:val="24"/>
                <w:lang w:val="en-US" w:eastAsia="zh-CN"/>
              </w:rPr>
              <w:t>2</w:t>
            </w:r>
            <w:r>
              <w:rPr>
                <w:rFonts w:hint="eastAsia" w:ascii="仿宋" w:hAnsi="仿宋" w:eastAsia="仿宋" w:cs="仿宋"/>
                <w:b w:val="0"/>
                <w:bCs w:val="0"/>
                <w:spacing w:val="30"/>
                <w:sz w:val="24"/>
                <w:szCs w:val="24"/>
                <w:lang w:val="en-US" w:eastAsia="en-US"/>
              </w:rPr>
              <w:t>分；</w:t>
            </w:r>
          </w:p>
          <w:p w14:paraId="3A145933">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内容笼统、不符合项目需求的，得</w:t>
            </w:r>
            <w:r>
              <w:rPr>
                <w:rFonts w:hint="eastAsia" w:ascii="仿宋" w:hAnsi="仿宋" w:eastAsia="仿宋" w:cs="仿宋"/>
                <w:b w:val="0"/>
                <w:bCs w:val="0"/>
                <w:spacing w:val="30"/>
                <w:sz w:val="24"/>
                <w:szCs w:val="24"/>
                <w:lang w:val="en-US" w:eastAsia="zh-CN"/>
              </w:rPr>
              <w:t>1</w:t>
            </w:r>
            <w:r>
              <w:rPr>
                <w:rFonts w:hint="eastAsia" w:ascii="仿宋" w:hAnsi="仿宋" w:eastAsia="仿宋" w:cs="仿宋"/>
                <w:b w:val="0"/>
                <w:bCs w:val="0"/>
                <w:spacing w:val="30"/>
                <w:sz w:val="24"/>
                <w:szCs w:val="24"/>
                <w:lang w:val="en-US" w:eastAsia="en-US"/>
              </w:rPr>
              <w:t>分；</w:t>
            </w:r>
          </w:p>
          <w:p w14:paraId="17E19C99">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未提供不得分。</w:t>
            </w:r>
          </w:p>
        </w:tc>
      </w:tr>
      <w:tr w14:paraId="1888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EB3832F">
            <w:pPr>
              <w:jc w:val="center"/>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E73F81D">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0.00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22DA46">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6.00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10626C9">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售后服务方案</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16D3C0C">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针对本项目的</w:t>
            </w:r>
            <w:r>
              <w:rPr>
                <w:rFonts w:hint="eastAsia" w:ascii="仿宋" w:hAnsi="仿宋" w:eastAsia="仿宋" w:cs="仿宋"/>
                <w:b w:val="0"/>
                <w:bCs w:val="0"/>
                <w:spacing w:val="30"/>
                <w:sz w:val="24"/>
                <w:szCs w:val="24"/>
                <w:lang w:val="en-US" w:eastAsia="en-US"/>
              </w:rPr>
              <w:t>售后服务方案</w:t>
            </w:r>
            <w:r>
              <w:rPr>
                <w:rFonts w:hint="eastAsia" w:ascii="仿宋" w:hAnsi="仿宋" w:eastAsia="仿宋" w:cs="仿宋"/>
                <w:b w:val="0"/>
                <w:bCs w:val="0"/>
                <w:spacing w:val="30"/>
                <w:sz w:val="24"/>
                <w:szCs w:val="24"/>
                <w:lang w:val="en-US" w:eastAsia="zh-CN"/>
              </w:rPr>
              <w:t>明确，内容完整、符合采购人需求，得6分；</w:t>
            </w:r>
          </w:p>
          <w:p w14:paraId="6F74C252">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方案内容较为全面、比较切合项目需求，得4分；</w:t>
            </w:r>
          </w:p>
          <w:p w14:paraId="6134E205">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方案</w:t>
            </w:r>
            <w:r>
              <w:rPr>
                <w:rFonts w:hint="eastAsia" w:ascii="仿宋" w:hAnsi="仿宋" w:eastAsia="仿宋" w:cs="仿宋"/>
                <w:b w:val="0"/>
                <w:bCs w:val="0"/>
                <w:spacing w:val="30"/>
                <w:sz w:val="24"/>
                <w:szCs w:val="24"/>
                <w:lang w:val="en-US" w:eastAsia="en-US"/>
              </w:rPr>
              <w:t>内容基本切合项目需求的，得</w:t>
            </w:r>
            <w:r>
              <w:rPr>
                <w:rFonts w:hint="eastAsia" w:ascii="仿宋" w:hAnsi="仿宋" w:eastAsia="仿宋" w:cs="仿宋"/>
                <w:b w:val="0"/>
                <w:bCs w:val="0"/>
                <w:spacing w:val="30"/>
                <w:sz w:val="24"/>
                <w:szCs w:val="24"/>
                <w:lang w:val="en-US" w:eastAsia="zh-CN"/>
              </w:rPr>
              <w:t>2</w:t>
            </w:r>
            <w:r>
              <w:rPr>
                <w:rFonts w:hint="eastAsia" w:ascii="仿宋" w:hAnsi="仿宋" w:eastAsia="仿宋" w:cs="仿宋"/>
                <w:b w:val="0"/>
                <w:bCs w:val="0"/>
                <w:spacing w:val="30"/>
                <w:sz w:val="24"/>
                <w:szCs w:val="24"/>
                <w:lang w:val="en-US" w:eastAsia="en-US"/>
              </w:rPr>
              <w:t>分；</w:t>
            </w:r>
          </w:p>
          <w:p w14:paraId="1AB42B0D">
            <w:pPr>
              <w:jc w:val="left"/>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方案内容笼统、不符合项目需求，得1分;</w:t>
            </w:r>
          </w:p>
          <w:p w14:paraId="4EEB8738">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zh-CN"/>
              </w:rPr>
              <w:t xml:space="preserve">未提供不得分。 </w:t>
            </w:r>
          </w:p>
        </w:tc>
      </w:tr>
      <w:tr w14:paraId="36E9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E5EAF08">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41F7355">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04BF50E">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3716921">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质量保证措施</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AB98802">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针对本项目提供的</w:t>
            </w:r>
            <w:r>
              <w:rPr>
                <w:rFonts w:hint="eastAsia" w:ascii="仿宋" w:hAnsi="仿宋" w:eastAsia="仿宋" w:cs="仿宋"/>
                <w:b w:val="0"/>
                <w:bCs w:val="0"/>
                <w:spacing w:val="30"/>
                <w:sz w:val="24"/>
                <w:szCs w:val="24"/>
                <w:lang w:val="en-US" w:eastAsia="zh-CN"/>
              </w:rPr>
              <w:t>质量</w:t>
            </w:r>
            <w:r>
              <w:rPr>
                <w:rFonts w:hint="eastAsia" w:ascii="仿宋" w:hAnsi="仿宋" w:eastAsia="仿宋" w:cs="仿宋"/>
                <w:b w:val="0"/>
                <w:bCs w:val="0"/>
                <w:spacing w:val="30"/>
                <w:sz w:val="24"/>
                <w:szCs w:val="24"/>
                <w:lang w:val="en-US" w:eastAsia="en-US"/>
              </w:rPr>
              <w:t>保证措施内容完整、清晰明确、合理得当的，得</w:t>
            </w: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分；</w:t>
            </w:r>
          </w:p>
          <w:p w14:paraId="1E13467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措施内容完整、基本清晰明确、基本合理的，得</w:t>
            </w:r>
            <w:r>
              <w:rPr>
                <w:rFonts w:hint="eastAsia" w:ascii="仿宋" w:hAnsi="仿宋" w:eastAsia="仿宋" w:cs="仿宋"/>
                <w:b w:val="0"/>
                <w:bCs w:val="0"/>
                <w:spacing w:val="30"/>
                <w:sz w:val="24"/>
                <w:szCs w:val="24"/>
                <w:lang w:val="en-US" w:eastAsia="zh-CN"/>
              </w:rPr>
              <w:t>3</w:t>
            </w:r>
            <w:r>
              <w:rPr>
                <w:rFonts w:hint="eastAsia" w:ascii="仿宋" w:hAnsi="仿宋" w:eastAsia="仿宋" w:cs="仿宋"/>
                <w:b w:val="0"/>
                <w:bCs w:val="0"/>
                <w:spacing w:val="30"/>
                <w:sz w:val="24"/>
                <w:szCs w:val="24"/>
                <w:lang w:val="en-US" w:eastAsia="en-US"/>
              </w:rPr>
              <w:t>分；措施内容基本完整、基本合理的，得</w:t>
            </w:r>
            <w:r>
              <w:rPr>
                <w:rFonts w:hint="eastAsia" w:ascii="仿宋" w:hAnsi="仿宋" w:eastAsia="仿宋" w:cs="仿宋"/>
                <w:b w:val="0"/>
                <w:bCs w:val="0"/>
                <w:spacing w:val="30"/>
                <w:sz w:val="24"/>
                <w:szCs w:val="24"/>
                <w:lang w:val="en-US" w:eastAsia="zh-CN"/>
              </w:rPr>
              <w:t>1</w:t>
            </w:r>
            <w:r>
              <w:rPr>
                <w:rFonts w:hint="eastAsia" w:ascii="仿宋" w:hAnsi="仿宋" w:eastAsia="仿宋" w:cs="仿宋"/>
                <w:b w:val="0"/>
                <w:bCs w:val="0"/>
                <w:spacing w:val="30"/>
                <w:sz w:val="24"/>
                <w:szCs w:val="24"/>
                <w:lang w:val="en-US" w:eastAsia="en-US"/>
              </w:rPr>
              <w:t xml:space="preserve">分； </w:t>
            </w:r>
          </w:p>
          <w:p w14:paraId="3E96D71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未提供不得分。</w:t>
            </w:r>
          </w:p>
        </w:tc>
      </w:tr>
      <w:tr w14:paraId="4FAF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1326"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2E23B06">
            <w:pPr>
              <w:jc w:val="left"/>
              <w:rPr>
                <w:rFonts w:hint="eastAsia" w:ascii="仿宋" w:hAnsi="仿宋" w:eastAsia="仿宋" w:cs="仿宋"/>
                <w:b w:val="0"/>
                <w:bCs w:val="0"/>
                <w:spacing w:val="30"/>
                <w:sz w:val="24"/>
                <w:szCs w:val="24"/>
                <w:lang w:val="en-US" w:eastAsia="en-US"/>
              </w:rPr>
            </w:pP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A559D67">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2CF92AA">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181E50B">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突发性故障处理及问题解决</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CE16CFC">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针对本项目提供的突发性故障处理及问题解决内容完整、清晰明确、合理得当的，得</w:t>
            </w:r>
            <w:r>
              <w:rPr>
                <w:rFonts w:hint="eastAsia" w:ascii="仿宋" w:hAnsi="仿宋" w:eastAsia="仿宋" w:cs="仿宋"/>
                <w:b w:val="0"/>
                <w:bCs w:val="0"/>
                <w:spacing w:val="30"/>
                <w:sz w:val="24"/>
                <w:szCs w:val="24"/>
                <w:lang w:val="en-US" w:eastAsia="zh-CN"/>
              </w:rPr>
              <w:t>5</w:t>
            </w:r>
            <w:r>
              <w:rPr>
                <w:rFonts w:hint="eastAsia" w:ascii="仿宋" w:hAnsi="仿宋" w:eastAsia="仿宋" w:cs="仿宋"/>
                <w:b w:val="0"/>
                <w:bCs w:val="0"/>
                <w:spacing w:val="30"/>
                <w:sz w:val="24"/>
                <w:szCs w:val="24"/>
                <w:lang w:val="en-US" w:eastAsia="en-US"/>
              </w:rPr>
              <w:t>分；</w:t>
            </w:r>
          </w:p>
          <w:p w14:paraId="423FC0BA">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措施内容完整、基本清晰明确、基本合理的，得</w:t>
            </w:r>
            <w:r>
              <w:rPr>
                <w:rFonts w:hint="eastAsia" w:ascii="仿宋" w:hAnsi="仿宋" w:eastAsia="仿宋" w:cs="仿宋"/>
                <w:b w:val="0"/>
                <w:bCs w:val="0"/>
                <w:spacing w:val="30"/>
                <w:sz w:val="24"/>
                <w:szCs w:val="24"/>
                <w:lang w:val="en-US" w:eastAsia="zh-CN"/>
              </w:rPr>
              <w:t>3</w:t>
            </w:r>
            <w:r>
              <w:rPr>
                <w:rFonts w:hint="eastAsia" w:ascii="仿宋" w:hAnsi="仿宋" w:eastAsia="仿宋" w:cs="仿宋"/>
                <w:b w:val="0"/>
                <w:bCs w:val="0"/>
                <w:spacing w:val="30"/>
                <w:sz w:val="24"/>
                <w:szCs w:val="24"/>
                <w:lang w:val="en-US" w:eastAsia="en-US"/>
              </w:rPr>
              <w:t>分；</w:t>
            </w:r>
          </w:p>
          <w:p w14:paraId="2B61F3C9">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措施内容基本完整、基本合理的，得</w:t>
            </w:r>
            <w:r>
              <w:rPr>
                <w:rFonts w:hint="eastAsia" w:ascii="仿宋" w:hAnsi="仿宋" w:eastAsia="仿宋" w:cs="仿宋"/>
                <w:b w:val="0"/>
                <w:bCs w:val="0"/>
                <w:spacing w:val="30"/>
                <w:sz w:val="24"/>
                <w:szCs w:val="24"/>
                <w:lang w:val="en-US" w:eastAsia="zh-CN"/>
              </w:rPr>
              <w:t>1</w:t>
            </w:r>
            <w:r>
              <w:rPr>
                <w:rFonts w:hint="eastAsia" w:ascii="仿宋" w:hAnsi="仿宋" w:eastAsia="仿宋" w:cs="仿宋"/>
                <w:b w:val="0"/>
                <w:bCs w:val="0"/>
                <w:spacing w:val="30"/>
                <w:sz w:val="24"/>
                <w:szCs w:val="24"/>
                <w:lang w:val="en-US" w:eastAsia="en-US"/>
              </w:rPr>
              <w:t xml:space="preserve">分； </w:t>
            </w:r>
          </w:p>
          <w:p w14:paraId="0B2C4A1B">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未提供不得分。</w:t>
            </w:r>
          </w:p>
        </w:tc>
      </w:tr>
      <w:tr w14:paraId="71CF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FF9AB86">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业绩信誉</w:t>
            </w:r>
            <w:r>
              <w:rPr>
                <w:rFonts w:hint="eastAsia" w:ascii="仿宋" w:hAnsi="仿宋" w:eastAsia="仿宋" w:cs="仿宋"/>
                <w:b w:val="0"/>
                <w:bCs w:val="0"/>
                <w:spacing w:val="30"/>
                <w:sz w:val="24"/>
                <w:szCs w:val="24"/>
                <w:lang w:val="en-US" w:eastAsia="zh-CN"/>
              </w:rPr>
              <w:t>（8）</w:t>
            </w:r>
          </w:p>
        </w:tc>
        <w:tc>
          <w:tcPr>
            <w:tcW w:w="9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72A0A51">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en-US"/>
              </w:rPr>
              <w:t>0.0</w:t>
            </w:r>
            <w:r>
              <w:rPr>
                <w:rFonts w:hint="eastAsia" w:ascii="仿宋" w:hAnsi="仿宋" w:eastAsia="仿宋" w:cs="仿宋"/>
                <w:b w:val="0"/>
                <w:bCs w:val="0"/>
                <w:spacing w:val="30"/>
                <w:sz w:val="24"/>
                <w:szCs w:val="24"/>
                <w:lang w:val="en-US" w:eastAsia="zh-CN"/>
              </w:rPr>
              <w:t>0</w:t>
            </w:r>
          </w:p>
        </w:tc>
        <w:tc>
          <w:tcPr>
            <w:tcW w:w="998"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8C2BAD8">
            <w:pPr>
              <w:jc w:val="center"/>
              <w:rPr>
                <w:rFonts w:hint="eastAsia" w:ascii="仿宋" w:hAnsi="仿宋" w:eastAsia="仿宋" w:cs="仿宋"/>
                <w:b w:val="0"/>
                <w:bCs w:val="0"/>
                <w:spacing w:val="30"/>
                <w:sz w:val="24"/>
                <w:szCs w:val="24"/>
                <w:lang w:val="en-US" w:eastAsia="zh-CN"/>
              </w:rPr>
            </w:pPr>
            <w:r>
              <w:rPr>
                <w:rFonts w:hint="eastAsia" w:ascii="仿宋" w:hAnsi="仿宋" w:eastAsia="仿宋" w:cs="仿宋"/>
                <w:b w:val="0"/>
                <w:bCs w:val="0"/>
                <w:spacing w:val="30"/>
                <w:sz w:val="24"/>
                <w:szCs w:val="24"/>
                <w:lang w:val="en-US" w:eastAsia="zh-CN"/>
              </w:rPr>
              <w:t>8</w:t>
            </w:r>
            <w:r>
              <w:rPr>
                <w:rFonts w:hint="eastAsia" w:ascii="仿宋" w:hAnsi="仿宋" w:eastAsia="仿宋" w:cs="仿宋"/>
                <w:b w:val="0"/>
                <w:bCs w:val="0"/>
                <w:spacing w:val="30"/>
                <w:sz w:val="24"/>
                <w:szCs w:val="24"/>
                <w:lang w:val="en-US" w:eastAsia="en-US"/>
              </w:rPr>
              <w:t>.0</w:t>
            </w:r>
            <w:r>
              <w:rPr>
                <w:rFonts w:hint="eastAsia" w:ascii="仿宋" w:hAnsi="仿宋" w:eastAsia="仿宋" w:cs="仿宋"/>
                <w:b w:val="0"/>
                <w:bCs w:val="0"/>
                <w:spacing w:val="30"/>
                <w:sz w:val="24"/>
                <w:szCs w:val="24"/>
                <w:lang w:val="en-US" w:eastAsia="zh-CN"/>
              </w:rPr>
              <w:t>0</w:t>
            </w:r>
          </w:p>
        </w:tc>
        <w:tc>
          <w:tcPr>
            <w:tcW w:w="16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0C024D2">
            <w:pPr>
              <w:jc w:val="center"/>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企业类似项目</w:t>
            </w:r>
          </w:p>
        </w:tc>
        <w:tc>
          <w:tcPr>
            <w:tcW w:w="4524"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F22164C">
            <w:pPr>
              <w:jc w:val="left"/>
              <w:rPr>
                <w:rFonts w:hint="eastAsia" w:ascii="仿宋" w:hAnsi="仿宋" w:eastAsia="仿宋" w:cs="仿宋"/>
                <w:b w:val="0"/>
                <w:bCs w:val="0"/>
                <w:spacing w:val="30"/>
                <w:sz w:val="24"/>
                <w:szCs w:val="24"/>
                <w:lang w:val="en-US" w:eastAsia="en-US"/>
              </w:rPr>
            </w:pPr>
            <w:r>
              <w:rPr>
                <w:rFonts w:hint="eastAsia" w:ascii="仿宋" w:hAnsi="仿宋" w:eastAsia="仿宋" w:cs="仿宋"/>
                <w:b w:val="0"/>
                <w:bCs w:val="0"/>
                <w:spacing w:val="30"/>
                <w:sz w:val="24"/>
                <w:szCs w:val="24"/>
                <w:lang w:val="en-US" w:eastAsia="en-US"/>
              </w:rPr>
              <w:t>供应商提供2021年1月以来（以合同签订时间为准）类似业绩，每提供一份得2分，最多得</w:t>
            </w:r>
            <w:r>
              <w:rPr>
                <w:rFonts w:hint="eastAsia" w:ascii="仿宋" w:hAnsi="仿宋" w:eastAsia="仿宋" w:cs="仿宋"/>
                <w:b w:val="0"/>
                <w:bCs w:val="0"/>
                <w:spacing w:val="30"/>
                <w:sz w:val="24"/>
                <w:szCs w:val="24"/>
                <w:lang w:val="en-US" w:eastAsia="zh-CN"/>
              </w:rPr>
              <w:t>8</w:t>
            </w:r>
            <w:r>
              <w:rPr>
                <w:rFonts w:hint="eastAsia" w:ascii="仿宋" w:hAnsi="仿宋" w:eastAsia="仿宋" w:cs="仿宋"/>
                <w:b w:val="0"/>
                <w:bCs w:val="0"/>
                <w:spacing w:val="30"/>
                <w:sz w:val="24"/>
                <w:szCs w:val="24"/>
                <w:lang w:val="en-US" w:eastAsia="en-US"/>
              </w:rPr>
              <w:t>分。（响应文件中附合同的扫描件、中标通知书否则不得分）。</w:t>
            </w:r>
          </w:p>
        </w:tc>
      </w:tr>
      <w:bookmarkEnd w:id="302"/>
    </w:tbl>
    <w:p w14:paraId="32C18A39">
      <w:pPr>
        <w:rPr>
          <w:rFonts w:ascii="仿宋" w:hAnsi="仿宋" w:eastAsia="仿宋"/>
          <w:color w:val="000000"/>
        </w:rPr>
      </w:pPr>
    </w:p>
    <w:p w14:paraId="362A33C6">
      <w:pPr>
        <w:jc w:val="center"/>
        <w:outlineLvl w:val="9"/>
        <w:rPr>
          <w:rFonts w:hint="eastAsia" w:ascii="仿宋" w:hAnsi="仿宋" w:eastAsia="仿宋"/>
          <w:b/>
          <w:bCs/>
          <w:color w:val="000000"/>
          <w:sz w:val="32"/>
          <w:szCs w:val="36"/>
        </w:rPr>
      </w:pPr>
      <w:bookmarkStart w:id="303" w:name="_Toc23591"/>
    </w:p>
    <w:p w14:paraId="0A88730D">
      <w:pPr>
        <w:jc w:val="center"/>
        <w:outlineLvl w:val="9"/>
        <w:rPr>
          <w:rFonts w:hint="eastAsia" w:ascii="仿宋" w:hAnsi="仿宋" w:eastAsia="仿宋"/>
          <w:b/>
          <w:bCs/>
          <w:color w:val="000000"/>
          <w:sz w:val="32"/>
          <w:szCs w:val="36"/>
        </w:rPr>
      </w:pPr>
    </w:p>
    <w:p w14:paraId="460B79A3">
      <w:pPr>
        <w:jc w:val="center"/>
        <w:outlineLvl w:val="9"/>
        <w:rPr>
          <w:rFonts w:hint="eastAsia" w:ascii="仿宋" w:hAnsi="仿宋" w:eastAsia="仿宋"/>
          <w:b/>
          <w:bCs/>
          <w:color w:val="000000"/>
          <w:sz w:val="32"/>
          <w:szCs w:val="36"/>
        </w:rPr>
      </w:pPr>
    </w:p>
    <w:p w14:paraId="003C02BA">
      <w:pPr>
        <w:pStyle w:val="2"/>
        <w:rPr>
          <w:rFonts w:hint="eastAsia"/>
        </w:rPr>
      </w:pPr>
    </w:p>
    <w:p w14:paraId="6BD16F20">
      <w:pPr>
        <w:pStyle w:val="2"/>
        <w:rPr>
          <w:rFonts w:hint="eastAsia"/>
        </w:rPr>
      </w:pPr>
    </w:p>
    <w:p w14:paraId="4832E4DB">
      <w:pPr>
        <w:pStyle w:val="2"/>
        <w:rPr>
          <w:rFonts w:hint="eastAsia"/>
        </w:rPr>
      </w:pPr>
    </w:p>
    <w:p w14:paraId="7C99267F">
      <w:pPr>
        <w:pStyle w:val="2"/>
        <w:rPr>
          <w:rFonts w:hint="eastAsia"/>
        </w:rPr>
      </w:pPr>
    </w:p>
    <w:p w14:paraId="1FDDAE2B">
      <w:pPr>
        <w:pStyle w:val="2"/>
        <w:rPr>
          <w:rFonts w:hint="eastAsia"/>
        </w:rPr>
      </w:pPr>
    </w:p>
    <w:p w14:paraId="00B859EC">
      <w:pPr>
        <w:pStyle w:val="2"/>
        <w:rPr>
          <w:rFonts w:hint="eastAsia"/>
        </w:rPr>
      </w:pPr>
    </w:p>
    <w:p w14:paraId="127BA160">
      <w:pPr>
        <w:pStyle w:val="2"/>
        <w:rPr>
          <w:rFonts w:hint="eastAsia"/>
        </w:rPr>
      </w:pPr>
    </w:p>
    <w:p w14:paraId="4D4E6E55">
      <w:pPr>
        <w:pStyle w:val="2"/>
        <w:rPr>
          <w:rFonts w:hint="eastAsia"/>
        </w:rPr>
      </w:pPr>
    </w:p>
    <w:p w14:paraId="20E7F246">
      <w:pPr>
        <w:pStyle w:val="2"/>
        <w:rPr>
          <w:rFonts w:hint="eastAsia"/>
        </w:rPr>
      </w:pPr>
    </w:p>
    <w:p w14:paraId="00B1FADA">
      <w:pPr>
        <w:pStyle w:val="2"/>
        <w:rPr>
          <w:rFonts w:hint="eastAsia"/>
        </w:rPr>
      </w:pPr>
    </w:p>
    <w:p w14:paraId="070054E4">
      <w:pPr>
        <w:pStyle w:val="2"/>
        <w:rPr>
          <w:rFonts w:hint="eastAsia"/>
        </w:rPr>
      </w:pPr>
    </w:p>
    <w:p w14:paraId="6504D54F">
      <w:pPr>
        <w:pStyle w:val="2"/>
        <w:rPr>
          <w:rFonts w:hint="eastAsia"/>
        </w:rPr>
      </w:pPr>
    </w:p>
    <w:p w14:paraId="70C3A779">
      <w:pPr>
        <w:pStyle w:val="2"/>
        <w:rPr>
          <w:rFonts w:hint="eastAsia"/>
        </w:rPr>
      </w:pPr>
    </w:p>
    <w:p w14:paraId="7420A032">
      <w:pPr>
        <w:pStyle w:val="2"/>
        <w:rPr>
          <w:rFonts w:hint="eastAsia"/>
        </w:rPr>
      </w:pPr>
    </w:p>
    <w:p w14:paraId="7F58426F">
      <w:pPr>
        <w:pStyle w:val="2"/>
        <w:rPr>
          <w:rFonts w:hint="eastAsia"/>
        </w:rPr>
      </w:pPr>
    </w:p>
    <w:p w14:paraId="6627B87D">
      <w:pPr>
        <w:pStyle w:val="2"/>
        <w:rPr>
          <w:rFonts w:hint="eastAsia"/>
        </w:rPr>
      </w:pPr>
    </w:p>
    <w:p w14:paraId="21DD7E3A">
      <w:pPr>
        <w:pStyle w:val="2"/>
        <w:rPr>
          <w:rFonts w:hint="eastAsia"/>
        </w:rPr>
      </w:pPr>
    </w:p>
    <w:p w14:paraId="27A0F5F4">
      <w:pPr>
        <w:pStyle w:val="2"/>
        <w:rPr>
          <w:rFonts w:hint="eastAsia"/>
        </w:rPr>
      </w:pPr>
    </w:p>
    <w:p w14:paraId="626BCA17">
      <w:pPr>
        <w:pStyle w:val="2"/>
        <w:rPr>
          <w:rFonts w:hint="eastAsia"/>
        </w:rPr>
      </w:pPr>
    </w:p>
    <w:p w14:paraId="730079C4">
      <w:pPr>
        <w:pStyle w:val="2"/>
        <w:rPr>
          <w:rFonts w:hint="eastAsia"/>
        </w:rPr>
      </w:pPr>
    </w:p>
    <w:p w14:paraId="6EA15438">
      <w:pPr>
        <w:pStyle w:val="2"/>
        <w:rPr>
          <w:rFonts w:hint="eastAsia"/>
        </w:rPr>
      </w:pPr>
    </w:p>
    <w:p w14:paraId="409018FF">
      <w:pPr>
        <w:pStyle w:val="2"/>
        <w:rPr>
          <w:rFonts w:hint="eastAsia"/>
        </w:rPr>
      </w:pPr>
    </w:p>
    <w:p w14:paraId="1ECB5E05">
      <w:pPr>
        <w:pStyle w:val="2"/>
        <w:rPr>
          <w:rFonts w:hint="eastAsia"/>
        </w:rPr>
      </w:pPr>
    </w:p>
    <w:p w14:paraId="41850AFA">
      <w:pPr>
        <w:pStyle w:val="2"/>
        <w:rPr>
          <w:rFonts w:hint="eastAsia"/>
        </w:rPr>
      </w:pPr>
    </w:p>
    <w:p w14:paraId="63302DF8">
      <w:pPr>
        <w:jc w:val="center"/>
        <w:outlineLvl w:val="9"/>
        <w:rPr>
          <w:rFonts w:hint="eastAsia" w:ascii="仿宋" w:hAnsi="仿宋" w:eastAsia="仿宋"/>
          <w:b/>
          <w:bCs/>
          <w:color w:val="000000"/>
          <w:sz w:val="32"/>
          <w:szCs w:val="36"/>
        </w:rPr>
      </w:pPr>
    </w:p>
    <w:p w14:paraId="39E51255">
      <w:pPr>
        <w:jc w:val="center"/>
        <w:outlineLvl w:val="0"/>
        <w:rPr>
          <w:rFonts w:ascii="仿宋" w:hAnsi="仿宋" w:eastAsia="仿宋"/>
          <w:b/>
          <w:bCs/>
          <w:color w:val="000000"/>
          <w:sz w:val="32"/>
          <w:szCs w:val="36"/>
        </w:rPr>
      </w:pPr>
      <w:r>
        <w:rPr>
          <w:rFonts w:hint="eastAsia" w:ascii="仿宋" w:hAnsi="仿宋" w:eastAsia="仿宋"/>
          <w:b/>
          <w:bCs/>
          <w:color w:val="000000"/>
          <w:sz w:val="32"/>
          <w:szCs w:val="36"/>
        </w:rPr>
        <w:t>第七章   投标文件格式</w:t>
      </w:r>
      <w:bookmarkEnd w:id="303"/>
    </w:p>
    <w:p w14:paraId="21F10860">
      <w:pPr>
        <w:rPr>
          <w:rFonts w:hint="eastAsia" w:ascii="仿宋" w:hAnsi="仿宋" w:eastAsia="仿宋"/>
          <w:color w:val="000000"/>
        </w:rPr>
      </w:pPr>
    </w:p>
    <w:p w14:paraId="574CCD5D">
      <w:pPr>
        <w:pStyle w:val="40"/>
        <w:rPr>
          <w:rFonts w:hint="eastAsia"/>
        </w:rPr>
      </w:pPr>
    </w:p>
    <w:p w14:paraId="620D9FE9">
      <w:pPr>
        <w:rPr>
          <w:rFonts w:hint="eastAsia" w:ascii="仿宋" w:hAnsi="仿宋" w:eastAsia="仿宋"/>
          <w:color w:val="000000"/>
        </w:rPr>
      </w:pPr>
    </w:p>
    <w:p w14:paraId="16420DB0">
      <w:pPr>
        <w:rPr>
          <w:rFonts w:hint="eastAsia"/>
          <w:highlight w:val="red"/>
        </w:rPr>
      </w:pPr>
      <w:r>
        <w:rPr>
          <w:highlight w:val="white"/>
        </w:rPr>
        <w:br w:type="page"/>
      </w:r>
      <w:bookmarkStart w:id="304" w:name="EBaf32a0e4ed3e42c6b16197a2eb8cfdef"/>
    </w:p>
    <w:p w14:paraId="3260D2AE">
      <w:pPr>
        <w:pStyle w:val="86"/>
        <w:rPr>
          <w:rFonts w:hint="eastAsia" w:ascii="仿宋" w:hAnsi="仿宋" w:eastAsia="仿宋"/>
          <w:color w:val="auto"/>
          <w:kern w:val="0"/>
          <w:sz w:val="20"/>
          <w:szCs w:val="20"/>
        </w:rPr>
      </w:pPr>
    </w:p>
    <w:p w14:paraId="7A9AE0E1">
      <w:pPr>
        <w:pStyle w:val="86"/>
        <w:widowControl/>
        <w:jc w:val="center"/>
        <w:rPr>
          <w:rFonts w:hint="eastAsia" w:ascii="仿宋" w:hAnsi="仿宋" w:eastAsia="仿宋"/>
          <w:b/>
          <w:color w:val="auto"/>
          <w:spacing w:val="14"/>
          <w:kern w:val="0"/>
          <w:sz w:val="84"/>
          <w:szCs w:val="84"/>
        </w:rPr>
      </w:pPr>
      <w:r>
        <w:rPr>
          <w:rFonts w:hint="eastAsia" w:ascii="仿宋" w:hAnsi="仿宋" w:eastAsia="仿宋"/>
          <w:b/>
          <w:color w:val="auto"/>
          <w:spacing w:val="14"/>
          <w:kern w:val="0"/>
          <w:sz w:val="84"/>
          <w:szCs w:val="84"/>
        </w:rPr>
        <w:t>响应文件</w:t>
      </w:r>
    </w:p>
    <w:p w14:paraId="36C0D209">
      <w:pPr>
        <w:pStyle w:val="86"/>
        <w:widowControl/>
        <w:jc w:val="center"/>
        <w:rPr>
          <w:rFonts w:hint="eastAsia" w:ascii="仿宋" w:hAnsi="仿宋" w:eastAsia="仿宋"/>
          <w:b/>
          <w:color w:val="auto"/>
          <w:spacing w:val="14"/>
          <w:kern w:val="0"/>
          <w:sz w:val="84"/>
          <w:szCs w:val="84"/>
        </w:rPr>
      </w:pPr>
    </w:p>
    <w:p w14:paraId="4B1E9763">
      <w:pPr>
        <w:pStyle w:val="86"/>
        <w:widowControl/>
        <w:ind w:firstLine="420"/>
        <w:rPr>
          <w:rFonts w:ascii="仿宋" w:hAnsi="仿宋" w:eastAsia="仿宋"/>
          <w:color w:val="auto"/>
          <w:spacing w:val="14"/>
          <w:kern w:val="0"/>
          <w:sz w:val="28"/>
          <w:szCs w:val="28"/>
        </w:rPr>
      </w:pPr>
      <w:r>
        <w:rPr>
          <w:rFonts w:hint="eastAsia" w:ascii="仿宋" w:hAnsi="仿宋" w:eastAsia="仿宋"/>
          <w:color w:val="auto"/>
          <w:spacing w:val="14"/>
          <w:kern w:val="0"/>
          <w:sz w:val="28"/>
          <w:szCs w:val="28"/>
        </w:rPr>
        <w:t>项目名称：</w:t>
      </w:r>
    </w:p>
    <w:p w14:paraId="21C6CC07">
      <w:pPr>
        <w:pStyle w:val="86"/>
        <w:widowControl/>
        <w:ind w:firstLine="420"/>
        <w:rPr>
          <w:rFonts w:ascii="仿宋" w:hAnsi="仿宋" w:eastAsia="仿宋"/>
          <w:color w:val="auto"/>
          <w:spacing w:val="14"/>
          <w:kern w:val="0"/>
          <w:sz w:val="28"/>
          <w:szCs w:val="28"/>
        </w:rPr>
      </w:pPr>
      <w:r>
        <w:rPr>
          <w:rFonts w:hint="eastAsia" w:ascii="仿宋" w:hAnsi="仿宋" w:eastAsia="仿宋"/>
          <w:color w:val="auto"/>
          <w:spacing w:val="14"/>
          <w:kern w:val="0"/>
          <w:sz w:val="28"/>
          <w:szCs w:val="28"/>
        </w:rPr>
        <w:t>项目编号：</w:t>
      </w:r>
    </w:p>
    <w:p w14:paraId="09641DCA">
      <w:pPr>
        <w:pStyle w:val="86"/>
        <w:widowControl/>
        <w:rPr>
          <w:rFonts w:ascii="仿宋" w:hAnsi="仿宋" w:eastAsia="仿宋"/>
          <w:color w:val="auto"/>
          <w:spacing w:val="14"/>
          <w:kern w:val="0"/>
          <w:sz w:val="28"/>
          <w:szCs w:val="28"/>
        </w:rPr>
      </w:pPr>
    </w:p>
    <w:p w14:paraId="3BBE7E45">
      <w:pPr>
        <w:pStyle w:val="86"/>
        <w:widowControl/>
        <w:rPr>
          <w:rFonts w:ascii="仿宋" w:hAnsi="仿宋" w:eastAsia="仿宋"/>
          <w:color w:val="auto"/>
          <w:spacing w:val="14"/>
          <w:kern w:val="0"/>
          <w:sz w:val="28"/>
          <w:szCs w:val="28"/>
        </w:rPr>
      </w:pPr>
    </w:p>
    <w:p w14:paraId="214F2259">
      <w:pPr>
        <w:pStyle w:val="86"/>
        <w:widowControl/>
        <w:rPr>
          <w:rFonts w:ascii="仿宋" w:hAnsi="仿宋" w:eastAsia="仿宋"/>
          <w:color w:val="auto"/>
          <w:spacing w:val="14"/>
          <w:kern w:val="0"/>
          <w:sz w:val="28"/>
          <w:szCs w:val="28"/>
        </w:rPr>
      </w:pPr>
    </w:p>
    <w:p w14:paraId="21A07127">
      <w:pPr>
        <w:pStyle w:val="86"/>
        <w:widowControl/>
        <w:rPr>
          <w:rFonts w:ascii="仿宋" w:hAnsi="仿宋" w:eastAsia="仿宋"/>
          <w:color w:val="auto"/>
          <w:spacing w:val="14"/>
          <w:kern w:val="0"/>
          <w:sz w:val="28"/>
          <w:szCs w:val="28"/>
        </w:rPr>
      </w:pPr>
    </w:p>
    <w:p w14:paraId="6F31EBF1">
      <w:pPr>
        <w:pStyle w:val="86"/>
        <w:widowControl/>
        <w:rPr>
          <w:rFonts w:ascii="仿宋" w:hAnsi="仿宋" w:eastAsia="仿宋"/>
          <w:color w:val="auto"/>
          <w:spacing w:val="14"/>
          <w:kern w:val="0"/>
          <w:sz w:val="28"/>
          <w:szCs w:val="28"/>
        </w:rPr>
      </w:pPr>
    </w:p>
    <w:p w14:paraId="27D0A708">
      <w:pPr>
        <w:pStyle w:val="86"/>
        <w:rPr>
          <w:rFonts w:ascii="仿宋" w:hAnsi="仿宋" w:eastAsia="仿宋"/>
          <w:color w:val="auto"/>
          <w:kern w:val="0"/>
          <w:sz w:val="28"/>
          <w:szCs w:val="28"/>
        </w:rPr>
      </w:pPr>
    </w:p>
    <w:p w14:paraId="5F90644B">
      <w:pPr>
        <w:pStyle w:val="86"/>
        <w:rPr>
          <w:rFonts w:ascii="仿宋" w:hAnsi="仿宋" w:eastAsia="仿宋"/>
          <w:color w:val="auto"/>
          <w:kern w:val="0"/>
          <w:sz w:val="28"/>
          <w:szCs w:val="28"/>
        </w:rPr>
      </w:pPr>
    </w:p>
    <w:p w14:paraId="0B2405C8">
      <w:pPr>
        <w:pStyle w:val="86"/>
        <w:widowControl/>
        <w:rPr>
          <w:rFonts w:ascii="仿宋" w:hAnsi="仿宋" w:eastAsia="仿宋"/>
          <w:color w:val="auto"/>
          <w:spacing w:val="14"/>
          <w:kern w:val="0"/>
          <w:sz w:val="28"/>
          <w:szCs w:val="28"/>
        </w:rPr>
      </w:pPr>
    </w:p>
    <w:p w14:paraId="354DDA01">
      <w:pPr>
        <w:pStyle w:val="86"/>
        <w:widowControl/>
        <w:rPr>
          <w:rFonts w:ascii="仿宋" w:hAnsi="仿宋" w:eastAsia="仿宋"/>
          <w:color w:val="auto"/>
          <w:spacing w:val="14"/>
          <w:kern w:val="0"/>
          <w:sz w:val="28"/>
          <w:szCs w:val="28"/>
        </w:rPr>
      </w:pPr>
    </w:p>
    <w:p w14:paraId="4F63FCF0">
      <w:pPr>
        <w:pStyle w:val="86"/>
        <w:widowControl/>
        <w:ind w:firstLine="420"/>
        <w:rPr>
          <w:rFonts w:hint="eastAsia" w:ascii="仿宋" w:hAnsi="仿宋" w:eastAsia="仿宋"/>
          <w:color w:val="auto"/>
          <w:spacing w:val="14"/>
          <w:kern w:val="0"/>
          <w:sz w:val="28"/>
          <w:szCs w:val="28"/>
        </w:rPr>
      </w:pPr>
      <w:r>
        <w:rPr>
          <w:rFonts w:hint="eastAsia" w:ascii="仿宋" w:hAnsi="仿宋" w:eastAsia="仿宋"/>
          <w:color w:val="auto"/>
          <w:spacing w:val="14"/>
          <w:kern w:val="0"/>
          <w:sz w:val="28"/>
          <w:szCs w:val="28"/>
        </w:rPr>
        <w:t>供应商名称：</w:t>
      </w:r>
    </w:p>
    <w:p w14:paraId="2C681AEB">
      <w:pPr>
        <w:pStyle w:val="86"/>
        <w:widowControl/>
        <w:ind w:right="2465" w:firstLine="420"/>
        <w:rPr>
          <w:rFonts w:ascii="仿宋" w:hAnsi="仿宋" w:eastAsia="仿宋"/>
          <w:color w:val="auto"/>
          <w:spacing w:val="14"/>
          <w:kern w:val="0"/>
          <w:sz w:val="28"/>
          <w:szCs w:val="28"/>
        </w:rPr>
      </w:pPr>
      <w:r>
        <w:rPr>
          <w:rFonts w:hint="eastAsia" w:ascii="仿宋" w:hAnsi="仿宋" w:eastAsia="仿宋"/>
          <w:color w:val="auto"/>
          <w:spacing w:val="14"/>
          <w:kern w:val="0"/>
          <w:sz w:val="28"/>
          <w:szCs w:val="28"/>
        </w:rPr>
        <w:t xml:space="preserve">日期：  </w:t>
      </w:r>
    </w:p>
    <w:p w14:paraId="24CB473C">
      <w:pPr>
        <w:pStyle w:val="86"/>
        <w:widowControl/>
        <w:ind w:right="2465" w:firstLine="420"/>
        <w:rPr>
          <w:rFonts w:ascii="仿宋" w:hAnsi="仿宋" w:eastAsia="仿宋"/>
          <w:color w:val="auto"/>
          <w:spacing w:val="14"/>
          <w:kern w:val="0"/>
          <w:sz w:val="28"/>
          <w:szCs w:val="28"/>
        </w:rPr>
      </w:pPr>
    </w:p>
    <w:p w14:paraId="40A30729">
      <w:pPr>
        <w:widowControl/>
        <w:ind w:firstLine="420"/>
        <w:rPr>
          <w:rFonts w:ascii="仿宋" w:hAnsi="仿宋" w:eastAsia="仿宋"/>
          <w:color w:val="000000"/>
          <w:spacing w:val="14"/>
          <w:sz w:val="30"/>
          <w:szCs w:val="30"/>
        </w:rPr>
      </w:pPr>
    </w:p>
    <w:p w14:paraId="23B44363">
      <w:pPr>
        <w:widowControl/>
        <w:jc w:val="left"/>
        <w:outlineLvl w:val="9"/>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附件1:投标函</w:t>
      </w:r>
    </w:p>
    <w:p w14:paraId="2F65E8E6">
      <w:pPr>
        <w:pStyle w:val="87"/>
        <w:ind w:firstLine="0"/>
        <w:jc w:val="center"/>
        <w:rPr>
          <w:rFonts w:ascii="仿宋" w:hAnsi="仿宋" w:eastAsia="仿宋"/>
          <w:color w:val="auto"/>
          <w:spacing w:val="14"/>
          <w:sz w:val="24"/>
          <w:szCs w:val="24"/>
        </w:rPr>
      </w:pPr>
      <w:r>
        <w:rPr>
          <w:rFonts w:hint="eastAsia" w:ascii="仿宋" w:hAnsi="仿宋" w:eastAsia="仿宋"/>
          <w:color w:val="auto"/>
          <w:spacing w:val="14"/>
          <w:sz w:val="24"/>
          <w:szCs w:val="24"/>
        </w:rPr>
        <w:t>响应函</w:t>
      </w:r>
    </w:p>
    <w:p w14:paraId="11370D77">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致：</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u w:val="single" w:color="000000"/>
        </w:rPr>
        <w:t xml:space="preserve">（采购人）       </w:t>
      </w:r>
    </w:p>
    <w:p w14:paraId="0AA4499C">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根据贵方项目编号为</w:t>
      </w:r>
      <w:r>
        <w:rPr>
          <w:rFonts w:hint="eastAsia" w:ascii="仿宋" w:hAnsi="仿宋" w:eastAsia="仿宋"/>
          <w:color w:val="auto"/>
          <w:spacing w:val="14"/>
          <w:sz w:val="24"/>
          <w:szCs w:val="24"/>
          <w:u w:val="single" w:color="000000"/>
        </w:rPr>
        <w:t xml:space="preserve">                </w:t>
      </w:r>
      <w:r>
        <w:rPr>
          <w:rFonts w:hint="eastAsia" w:ascii="仿宋" w:hAnsi="仿宋" w:eastAsia="仿宋"/>
          <w:color w:val="auto"/>
          <w:spacing w:val="14"/>
          <w:sz w:val="24"/>
          <w:szCs w:val="24"/>
        </w:rPr>
        <w:t>的采购公告，我方签字代表经正式授权并代表供应商提交响应文件及相关资料，并对之负法律责任。</w:t>
      </w:r>
    </w:p>
    <w:p w14:paraId="65899391">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据此函，签字代表宣布同意如下：</w:t>
      </w:r>
    </w:p>
    <w:p w14:paraId="1C9DBDF6">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1、依法依规、诚实守信、公平竞争参加本次采购活动。</w:t>
      </w:r>
    </w:p>
    <w:p w14:paraId="28AC1550">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2、我方保证响应文件中的所有资料均为真实、准确、完整、有效的，且不具有任何误导性，否则，我方承诺响应文件无效并自愿承担一切法律责任。</w:t>
      </w:r>
    </w:p>
    <w:p w14:paraId="2437899E">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3、我方的报价详见报价一览表。</w:t>
      </w:r>
    </w:p>
    <w:p w14:paraId="607B1E43">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4、我方承诺除服务要求响应与偏差表、商务要求响应与偏差表列出的偏差外，我方响应磋商文件的全部要求。</w:t>
      </w:r>
    </w:p>
    <w:p w14:paraId="35FE9C9A">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5、我方愿遵守《中华人民共和国政府采购法》及相关的政府采购法律法规，按《中华人民共和国民法典》履行我方的全部责任。</w:t>
      </w:r>
    </w:p>
    <w:p w14:paraId="78213897">
      <w:pPr>
        <w:pStyle w:val="87"/>
        <w:rPr>
          <w:rFonts w:hint="eastAsia" w:ascii="仿宋" w:hAnsi="仿宋" w:eastAsia="仿宋"/>
          <w:color w:val="auto"/>
          <w:spacing w:val="14"/>
          <w:kern w:val="2"/>
          <w:sz w:val="24"/>
          <w:szCs w:val="24"/>
        </w:rPr>
      </w:pPr>
      <w:r>
        <w:rPr>
          <w:rFonts w:hint="eastAsia" w:ascii="仿宋" w:hAnsi="仿宋" w:eastAsia="仿宋"/>
          <w:color w:val="auto"/>
          <w:spacing w:val="14"/>
          <w:kern w:val="2"/>
          <w:sz w:val="24"/>
          <w:szCs w:val="24"/>
        </w:rPr>
        <w:t>6、我方已认真仔细研究磋商文件全部内容，包括修改文件以及全部参考资料和有关附件。我们完全理解并同意放弃对这方面有不明及误解的权力。</w:t>
      </w:r>
    </w:p>
    <w:p w14:paraId="36BA95D2">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7、我方承诺响应文件有效期为提交响应文件截止时间后90天，并在磋商文件规定的有效期内不撤销响应文件。</w:t>
      </w:r>
    </w:p>
    <w:p w14:paraId="57CD4A9A">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8、如果我方的行为符合本磋商文件规定的磋商保证金不予退还情形的，我方同意不退还我方提交的磋商保证金。</w:t>
      </w:r>
    </w:p>
    <w:p w14:paraId="1051001E">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9、我方同意按照贵方的要求提供与采购活动有关的一切数据或资料，理解贵方不一定接受最低报价的响应文件或收到的任何响应文件。</w:t>
      </w:r>
    </w:p>
    <w:p w14:paraId="54C27DE6">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10、我方在此声明，所提交的响应文件及有关资料内容完整、真实和准确，且不存在第二章“供应商须知”第 1.4.3 项规定的任何一种情形。</w:t>
      </w:r>
    </w:p>
    <w:p w14:paraId="476E9B50">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11、如果我方被确定为成交供应商，我方愿意按磋商文件的规定交纳履约保证金。我方如无不可抗力，放弃成交资格，或者未履行磋商文件、响应文件和合同条款的，一经查实，我方愿意赔偿由此而造成的一切损失，并同意接受按相关法律法规和磋商文件的相关要求对我方进行的处罚。</w:t>
      </w:r>
    </w:p>
    <w:p w14:paraId="60543FB1">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12、采购人若需追加采购本项目磋商文件所列货物及相关伴随服务的，在不改变合同其他实质性条款的前提下，我方将按相同或更优惠的折扣率保证供货。</w:t>
      </w:r>
    </w:p>
    <w:p w14:paraId="06C3F6C8">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13、我公司保证所报产品来自合法的供货渠道，若成交，则有义务向采购人提供其要求的有效书面证明资料。如果提供非法渠道的商品，视为欺诈，并承担相关责任。</w:t>
      </w:r>
    </w:p>
    <w:p w14:paraId="7DCD04BF">
      <w:pPr>
        <w:pStyle w:val="87"/>
        <w:rPr>
          <w:rFonts w:hint="eastAsia" w:ascii="仿宋" w:hAnsi="仿宋" w:eastAsia="仿宋"/>
          <w:bCs/>
          <w:color w:val="auto"/>
          <w:spacing w:val="14"/>
          <w:sz w:val="24"/>
          <w:szCs w:val="24"/>
        </w:rPr>
      </w:pPr>
      <w:r>
        <w:rPr>
          <w:rFonts w:hint="eastAsia" w:ascii="仿宋" w:hAnsi="仿宋" w:eastAsia="仿宋"/>
          <w:bCs/>
          <w:color w:val="auto"/>
          <w:spacing w:val="14"/>
          <w:sz w:val="24"/>
          <w:szCs w:val="24"/>
        </w:rPr>
        <w:t>14、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76CFFD48">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15、与本采购活动有关的一切正式函件往来请寄：</w:t>
      </w:r>
    </w:p>
    <w:p w14:paraId="3BE76C2E">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地址：                邮政编码：</w:t>
      </w:r>
    </w:p>
    <w:p w14:paraId="05CD4B70">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电话：                传真：             电子信箱：</w:t>
      </w:r>
    </w:p>
    <w:p w14:paraId="68263780">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5D4F929F">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供应商（企业电子章）：</w:t>
      </w:r>
    </w:p>
    <w:p w14:paraId="3126A9B7">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5435B2FF">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法定代表人（签字或电子签章）：</w:t>
      </w:r>
    </w:p>
    <w:p w14:paraId="37905C91">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3D473018">
      <w:pPr>
        <w:pStyle w:val="87"/>
        <w:ind w:firstLine="0"/>
        <w:rPr>
          <w:rFonts w:hint="eastAsia" w:ascii="仿宋" w:hAnsi="仿宋" w:eastAsia="仿宋"/>
          <w:color w:val="auto"/>
          <w:spacing w:val="14"/>
          <w:sz w:val="24"/>
          <w:szCs w:val="24"/>
        </w:rPr>
      </w:pPr>
      <w:r>
        <w:rPr>
          <w:rFonts w:hint="eastAsia" w:ascii="仿宋" w:hAnsi="仿宋" w:eastAsia="仿宋"/>
          <w:color w:val="auto"/>
          <w:spacing w:val="14"/>
          <w:sz w:val="24"/>
          <w:szCs w:val="24"/>
        </w:rPr>
        <w:t>日期：</w:t>
      </w:r>
    </w:p>
    <w:p w14:paraId="19D1DA3B">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本供应商承诺：以上地址等信息为邮寄函件的真实有效准确信息，收件人为法定代表人或供应商代表。如我方对往来函件拒收，邮寄方可视为已送达，由此造成的一切后果由本供应商承担。</w:t>
      </w:r>
    </w:p>
    <w:p w14:paraId="73C95395">
      <w:pPr>
        <w:pStyle w:val="87"/>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39AE388D">
      <w:pPr>
        <w:pStyle w:val="89"/>
        <w:spacing w:line="360" w:lineRule="auto"/>
        <w:ind w:left="360"/>
        <w:jc w:val="left"/>
        <w:rPr>
          <w:rFonts w:ascii="Times New Roman" w:hAnsi="Times New Roman"/>
          <w:color w:val="auto"/>
          <w:sz w:val="24"/>
          <w:szCs w:val="24"/>
        </w:rPr>
      </w:pPr>
      <w:r>
        <w:rPr>
          <w:rFonts w:hint="eastAsia" w:ascii="仿宋" w:hAnsi="仿宋" w:eastAsia="仿宋"/>
          <w:color w:val="auto"/>
          <w:spacing w:val="14"/>
          <w:sz w:val="24"/>
          <w:szCs w:val="24"/>
        </w:rPr>
        <w:t>注：除可填报内容外，对本响应函内容的任何实质性修改将被视为非实质性响应，从而导致该响应文件被拒绝。</w:t>
      </w:r>
    </w:p>
    <w:p w14:paraId="24DBE802">
      <w:pPr>
        <w:widowControl/>
        <w:jc w:val="left"/>
        <w:outlineLvl w:val="9"/>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附件2:法定代表人授权书</w:t>
      </w:r>
    </w:p>
    <w:p w14:paraId="58E6140E">
      <w:pPr>
        <w:pStyle w:val="90"/>
        <w:ind w:firstLine="0"/>
        <w:jc w:val="center"/>
        <w:rPr>
          <w:rFonts w:ascii="仿宋" w:hAnsi="仿宋" w:eastAsia="仿宋"/>
          <w:color w:val="auto"/>
          <w:spacing w:val="14"/>
          <w:sz w:val="24"/>
          <w:szCs w:val="24"/>
        </w:rPr>
      </w:pPr>
      <w:r>
        <w:rPr>
          <w:rFonts w:hint="eastAsia" w:ascii="仿宋" w:hAnsi="仿宋" w:eastAsia="仿宋"/>
          <w:color w:val="auto"/>
          <w:spacing w:val="14"/>
          <w:sz w:val="24"/>
          <w:szCs w:val="24"/>
        </w:rPr>
        <w:t>法定代表人授权书</w:t>
      </w:r>
    </w:p>
    <w:p w14:paraId="79124926">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本人</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（姓名）系</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（供应商名称）的法定代表人，现授权委托本单位在职员工</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（姓名，职务）（身份证号码：</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、手机号码：</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）作为供应商代表以我方的名义参加贵单位组织的</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项目（项目编号：</w:t>
      </w:r>
      <w:r>
        <w:rPr>
          <w:rFonts w:hint="eastAsia" w:ascii="仿宋" w:hAnsi="仿宋" w:eastAsia="仿宋"/>
          <w:color w:val="auto"/>
          <w:spacing w:val="14"/>
          <w:sz w:val="24"/>
          <w:szCs w:val="24"/>
          <w:u w:val="single"/>
        </w:rPr>
        <w:t xml:space="preserve">           </w:t>
      </w:r>
      <w:r>
        <w:rPr>
          <w:rFonts w:hint="eastAsia" w:ascii="仿宋" w:hAnsi="仿宋" w:eastAsia="仿宋"/>
          <w:color w:val="auto"/>
          <w:spacing w:val="14"/>
          <w:sz w:val="24"/>
          <w:szCs w:val="24"/>
        </w:rPr>
        <w:t>）的采购活动，并代表我方全权处理一切与之有关的具体事务和签署相关文件，我均予以承认。</w:t>
      </w:r>
    </w:p>
    <w:p w14:paraId="6AE8672F">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代理人无权转让委托权。</w:t>
      </w:r>
    </w:p>
    <w:p w14:paraId="2DDAD1C9">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本授权书至响应文件有效期结束前始终有效。</w:t>
      </w:r>
    </w:p>
    <w:p w14:paraId="0DF751B8">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特此声明。</w:t>
      </w:r>
    </w:p>
    <w:p w14:paraId="02A69B23">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1DE44C8C">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6CE19A33">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供应商（企业电子章）：</w:t>
      </w:r>
    </w:p>
    <w:p w14:paraId="19EC70A9">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6C935057">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法定代表人（签字或电子签章）：</w:t>
      </w:r>
    </w:p>
    <w:p w14:paraId="604B2EEE">
      <w:pPr>
        <w:pStyle w:val="90"/>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5910BF47">
      <w:pPr>
        <w:pStyle w:val="90"/>
        <w:rPr>
          <w:rFonts w:hint="eastAsia" w:ascii="仿宋" w:hAnsi="仿宋" w:eastAsia="仿宋"/>
          <w:color w:val="auto"/>
          <w:sz w:val="24"/>
          <w:szCs w:val="24"/>
        </w:rPr>
      </w:pPr>
      <w:r>
        <w:rPr>
          <w:rFonts w:hint="eastAsia" w:ascii="仿宋" w:hAnsi="仿宋" w:eastAsia="仿宋"/>
          <w:color w:val="auto"/>
          <w:spacing w:val="14"/>
          <w:sz w:val="24"/>
          <w:szCs w:val="24"/>
        </w:rPr>
        <w:t>日期：</w:t>
      </w:r>
    </w:p>
    <w:p w14:paraId="041493B4">
      <w:pPr>
        <w:widowControl/>
        <w:jc w:val="left"/>
        <w:outlineLvl w:val="9"/>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附件3:法人被授权人身份证扫描件</w:t>
      </w:r>
    </w:p>
    <w:p w14:paraId="5BAB5989">
      <w:pPr>
        <w:widowControl/>
        <w:ind w:firstLine="0"/>
        <w:jc w:val="center"/>
        <w:rPr>
          <w:rFonts w:ascii="仿宋" w:hAnsi="仿宋" w:eastAsia="仿宋" w:cs="黑体"/>
          <w:color w:val="000000"/>
          <w:spacing w:val="14"/>
          <w:sz w:val="30"/>
          <w:szCs w:val="21"/>
        </w:rPr>
      </w:pPr>
    </w:p>
    <w:p w14:paraId="10E4692E">
      <w:pPr>
        <w:widowControl/>
        <w:ind w:firstLine="0"/>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1、法定代表人身份证正面和反面扫描件</w:t>
      </w:r>
    </w:p>
    <w:p w14:paraId="568C8DF7">
      <w:pPr>
        <w:widowControl/>
        <w:ind w:firstLine="482"/>
        <w:rPr>
          <w:rFonts w:ascii="仿宋" w:hAnsi="仿宋" w:eastAsia="仿宋" w:cs="黑体"/>
          <w:color w:val="000000"/>
          <w:spacing w:val="14"/>
          <w:sz w:val="24"/>
          <w:szCs w:val="24"/>
        </w:rPr>
      </w:pPr>
    </w:p>
    <w:p w14:paraId="15984062">
      <w:pPr>
        <w:widowControl/>
        <w:ind w:firstLine="482"/>
        <w:rPr>
          <w:rFonts w:ascii="仿宋" w:hAnsi="仿宋" w:eastAsia="仿宋" w:cs="黑体"/>
          <w:color w:val="000000"/>
          <w:spacing w:val="14"/>
          <w:sz w:val="24"/>
          <w:szCs w:val="24"/>
        </w:rPr>
      </w:pPr>
    </w:p>
    <w:p w14:paraId="72E45B34">
      <w:pPr>
        <w:widowControl/>
        <w:ind w:firstLine="482"/>
        <w:rPr>
          <w:rFonts w:ascii="仿宋" w:hAnsi="仿宋" w:eastAsia="仿宋" w:cs="黑体"/>
          <w:color w:val="000000"/>
          <w:spacing w:val="14"/>
          <w:sz w:val="24"/>
          <w:szCs w:val="24"/>
        </w:rPr>
      </w:pPr>
    </w:p>
    <w:p w14:paraId="1BB1D4D2">
      <w:pPr>
        <w:widowControl/>
        <w:ind w:firstLine="482"/>
        <w:rPr>
          <w:rFonts w:ascii="仿宋" w:hAnsi="仿宋" w:eastAsia="仿宋" w:cs="黑体"/>
          <w:color w:val="000000"/>
          <w:spacing w:val="14"/>
          <w:sz w:val="24"/>
          <w:szCs w:val="24"/>
        </w:rPr>
      </w:pPr>
    </w:p>
    <w:p w14:paraId="7D577545">
      <w:pPr>
        <w:widowControl/>
        <w:ind w:firstLine="482"/>
        <w:rPr>
          <w:rFonts w:ascii="仿宋" w:hAnsi="仿宋" w:eastAsia="仿宋" w:cs="黑体"/>
          <w:color w:val="000000"/>
          <w:spacing w:val="14"/>
          <w:sz w:val="24"/>
          <w:szCs w:val="24"/>
        </w:rPr>
      </w:pPr>
    </w:p>
    <w:p w14:paraId="202476AF">
      <w:pPr>
        <w:widowControl/>
        <w:ind w:firstLine="482"/>
        <w:rPr>
          <w:rFonts w:ascii="仿宋" w:hAnsi="仿宋" w:eastAsia="仿宋" w:cs="黑体"/>
          <w:color w:val="000000"/>
          <w:spacing w:val="14"/>
          <w:sz w:val="24"/>
          <w:szCs w:val="24"/>
        </w:rPr>
      </w:pPr>
    </w:p>
    <w:p w14:paraId="3B1803E8">
      <w:pPr>
        <w:widowControl/>
        <w:ind w:firstLine="0"/>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2、投标人代表（被授权人）身份证正面和反面扫描件</w:t>
      </w:r>
    </w:p>
    <w:p w14:paraId="1939B41C">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305" w:name="_Toc28143"/>
      <w:r>
        <w:rPr>
          <w:rFonts w:hint="eastAsia" w:ascii="仿宋" w:hAnsi="仿宋" w:eastAsia="仿宋" w:cs="仿宋"/>
          <w:b/>
          <w:kern w:val="0"/>
          <w:sz w:val="28"/>
          <w:szCs w:val="24"/>
          <w:lang w:eastAsia="en-US"/>
        </w:rPr>
        <w:t>附件4:资格证明材料</w:t>
      </w:r>
      <w:bookmarkEnd w:id="305"/>
    </w:p>
    <w:p w14:paraId="1FA953F1">
      <w:pPr>
        <w:pStyle w:val="91"/>
        <w:rPr>
          <w:rFonts w:hint="eastAsia" w:ascii="仿宋" w:hAnsi="仿宋" w:eastAsia="仿宋"/>
          <w:color w:val="auto"/>
        </w:rPr>
      </w:pPr>
    </w:p>
    <w:p w14:paraId="32192B7E">
      <w:pPr>
        <w:pStyle w:val="91"/>
        <w:rPr>
          <w:rFonts w:hint="eastAsia" w:ascii="仿宋" w:hAnsi="仿宋" w:eastAsia="仿宋"/>
          <w:color w:val="auto"/>
          <w:sz w:val="24"/>
          <w:szCs w:val="24"/>
        </w:rPr>
      </w:pPr>
      <w:r>
        <w:rPr>
          <w:rFonts w:hint="eastAsia" w:ascii="仿宋" w:hAnsi="仿宋" w:eastAsia="仿宋"/>
          <w:color w:val="auto"/>
          <w:sz w:val="24"/>
          <w:szCs w:val="24"/>
        </w:rPr>
        <w:t>包括但不限于营业执照等供应商身份证明材料等相关信息。</w:t>
      </w:r>
    </w:p>
    <w:p w14:paraId="6465FCCC">
      <w:pPr>
        <w:pStyle w:val="91"/>
        <w:rPr>
          <w:rFonts w:hint="eastAsia" w:ascii="仿宋" w:hAnsi="仿宋" w:eastAsia="仿宋"/>
          <w:color w:val="auto"/>
          <w:sz w:val="24"/>
          <w:szCs w:val="24"/>
        </w:rPr>
      </w:pPr>
      <w:r>
        <w:rPr>
          <w:rFonts w:hint="eastAsia" w:ascii="仿宋" w:hAnsi="仿宋" w:eastAsia="仿宋"/>
          <w:color w:val="auto"/>
          <w:sz w:val="24"/>
          <w:szCs w:val="24"/>
        </w:rPr>
        <w:t xml:space="preserve"> </w:t>
      </w:r>
    </w:p>
    <w:p w14:paraId="4F27BE5A">
      <w:pPr>
        <w:pStyle w:val="91"/>
        <w:rPr>
          <w:rFonts w:hint="eastAsia" w:ascii="仿宋" w:hAnsi="仿宋" w:eastAsia="仿宋"/>
          <w:color w:val="auto"/>
          <w:sz w:val="24"/>
          <w:szCs w:val="24"/>
        </w:rPr>
      </w:pPr>
      <w:r>
        <w:rPr>
          <w:rFonts w:hint="eastAsia" w:ascii="仿宋" w:hAnsi="仿宋" w:eastAsia="仿宋"/>
          <w:color w:val="auto"/>
          <w:sz w:val="24"/>
          <w:szCs w:val="24"/>
        </w:rPr>
        <w:t xml:space="preserve"> </w:t>
      </w:r>
    </w:p>
    <w:p w14:paraId="2115C895">
      <w:pPr>
        <w:pStyle w:val="91"/>
        <w:rPr>
          <w:rFonts w:hint="eastAsia" w:ascii="仿宋" w:hAnsi="仿宋" w:eastAsia="仿宋"/>
          <w:color w:val="auto"/>
          <w:sz w:val="24"/>
          <w:szCs w:val="24"/>
        </w:rPr>
      </w:pPr>
      <w:r>
        <w:rPr>
          <w:rFonts w:hint="eastAsia" w:ascii="仿宋" w:hAnsi="仿宋" w:eastAsia="仿宋"/>
          <w:color w:val="auto"/>
          <w:sz w:val="24"/>
          <w:szCs w:val="24"/>
        </w:rPr>
        <w:t>注：在响应文件中附扫描件</w:t>
      </w:r>
    </w:p>
    <w:p w14:paraId="51CC62FD">
      <w:pPr>
        <w:pStyle w:val="93"/>
        <w:adjustRightInd w:val="0"/>
        <w:snapToGrid w:val="0"/>
        <w:spacing w:before="233" w:beforeLines="50" w:line="360" w:lineRule="auto"/>
        <w:rPr>
          <w:rFonts w:hint="eastAsia" w:ascii="仿宋" w:hAnsi="仿宋" w:eastAsia="仿宋" w:cs="宋体"/>
          <w:color w:val="auto"/>
          <w:kern w:val="0"/>
          <w:sz w:val="24"/>
          <w:szCs w:val="24"/>
          <w:lang w:val="en-US" w:eastAsia="zh-CN"/>
        </w:rPr>
      </w:pPr>
      <w:r>
        <w:rPr>
          <w:color w:val="auto"/>
        </w:rPr>
        <w:br w:type="page"/>
      </w:r>
      <w:r>
        <w:rPr>
          <w:rFonts w:hint="eastAsia" w:ascii="仿宋" w:hAnsi="仿宋" w:eastAsia="仿宋" w:cs="宋体"/>
          <w:color w:val="auto"/>
          <w:kern w:val="0"/>
          <w:sz w:val="24"/>
          <w:szCs w:val="24"/>
          <w:lang w:val="en-US" w:eastAsia="zh-CN"/>
        </w:rPr>
        <w:t>附：洛阳市政府采购供应商信用承诺函</w:t>
      </w:r>
    </w:p>
    <w:p w14:paraId="5CD5D13D">
      <w:pPr>
        <w:pStyle w:val="93"/>
        <w:adjustRightInd w:val="0"/>
        <w:snapToGrid w:val="0"/>
        <w:spacing w:before="233" w:beforeLines="50" w:line="360" w:lineRule="auto"/>
        <w:rPr>
          <w:rFonts w:ascii="仿宋" w:hAnsi="仿宋" w:eastAsia="仿宋"/>
          <w:color w:val="auto"/>
          <w:sz w:val="24"/>
          <w:szCs w:val="24"/>
        </w:rPr>
      </w:pPr>
      <w:r>
        <w:rPr>
          <w:rFonts w:hint="eastAsia" w:ascii="仿宋" w:hAnsi="仿宋" w:eastAsia="仿宋"/>
          <w:color w:val="auto"/>
          <w:sz w:val="24"/>
          <w:szCs w:val="24"/>
        </w:rPr>
        <w:t>致</w:t>
      </w:r>
      <w:r>
        <w:rPr>
          <w:rFonts w:hint="eastAsia" w:ascii="仿宋" w:hAnsi="仿宋" w:eastAsia="仿宋"/>
          <w:color w:val="auto"/>
          <w:sz w:val="24"/>
          <w:szCs w:val="24"/>
          <w:u w:val="single"/>
        </w:rPr>
        <w:t xml:space="preserve">  （采购人或采购代理机构）  </w:t>
      </w:r>
      <w:r>
        <w:rPr>
          <w:rFonts w:hint="eastAsia" w:ascii="仿宋" w:hAnsi="仿宋" w:eastAsia="仿宋"/>
          <w:color w:val="auto"/>
          <w:sz w:val="24"/>
          <w:szCs w:val="24"/>
        </w:rPr>
        <w:t>：</w:t>
      </w:r>
    </w:p>
    <w:p w14:paraId="34658861">
      <w:pPr>
        <w:pStyle w:val="93"/>
        <w:adjustRightInd w:val="0"/>
        <w:snapToGrid w:val="0"/>
        <w:spacing w:before="233" w:beforeLines="50" w:line="360" w:lineRule="auto"/>
        <w:ind w:firstLine="418" w:firstLineChars="200"/>
        <w:rPr>
          <w:rFonts w:hint="eastAsia" w:ascii="仿宋" w:hAnsi="仿宋" w:eastAsia="仿宋"/>
          <w:color w:val="auto"/>
          <w:sz w:val="24"/>
          <w:szCs w:val="24"/>
          <w:u w:val="single"/>
        </w:rPr>
      </w:pPr>
      <w:r>
        <w:rPr>
          <w:rFonts w:hint="eastAsia" w:ascii="仿宋" w:hAnsi="仿宋" w:eastAsia="仿宋"/>
          <w:color w:val="auto"/>
          <w:sz w:val="24"/>
          <w:szCs w:val="24"/>
        </w:rPr>
        <w:t>单位名称（自然人姓名）：</w:t>
      </w:r>
      <w:r>
        <w:rPr>
          <w:rFonts w:hint="eastAsia" w:ascii="仿宋" w:hAnsi="仿宋" w:eastAsia="仿宋"/>
          <w:color w:val="auto"/>
          <w:sz w:val="24"/>
          <w:szCs w:val="24"/>
          <w:u w:val="single"/>
        </w:rPr>
        <w:t xml:space="preserve">                                  </w:t>
      </w:r>
    </w:p>
    <w:p w14:paraId="1E611C34">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统一社会信用代码（身份证号码）：</w:t>
      </w:r>
      <w:r>
        <w:rPr>
          <w:rFonts w:hint="eastAsia" w:ascii="仿宋" w:hAnsi="仿宋" w:eastAsia="仿宋"/>
          <w:color w:val="auto"/>
          <w:sz w:val="24"/>
          <w:szCs w:val="24"/>
          <w:u w:val="single"/>
        </w:rPr>
        <w:t xml:space="preserve">                          </w:t>
      </w:r>
    </w:p>
    <w:p w14:paraId="684CF8A1">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法定代表人（负责人）：</w:t>
      </w:r>
      <w:r>
        <w:rPr>
          <w:rFonts w:hint="eastAsia" w:ascii="仿宋" w:hAnsi="仿宋" w:eastAsia="仿宋"/>
          <w:color w:val="auto"/>
          <w:sz w:val="24"/>
          <w:szCs w:val="24"/>
          <w:u w:val="single"/>
        </w:rPr>
        <w:t xml:space="preserve">                                    </w:t>
      </w:r>
    </w:p>
    <w:p w14:paraId="5E436522">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联系地址和电话：</w:t>
      </w:r>
      <w:r>
        <w:rPr>
          <w:rFonts w:hint="eastAsia" w:ascii="仿宋" w:hAnsi="仿宋" w:eastAsia="仿宋"/>
          <w:color w:val="auto"/>
          <w:sz w:val="24"/>
          <w:szCs w:val="24"/>
          <w:u w:val="single"/>
        </w:rPr>
        <w:t xml:space="preserve">                                          </w:t>
      </w:r>
    </w:p>
    <w:p w14:paraId="6D776C60">
      <w:pPr>
        <w:pStyle w:val="93"/>
        <w:widowControl/>
        <w:spacing w:line="360" w:lineRule="auto"/>
        <w:ind w:firstLine="418" w:firstLineChars="2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为维护公平、公正、公开的政府采购市场秩序，树立诚实守信的政府采购供应商形象，我单位（本人）自愿作出以下承诺： </w:t>
      </w:r>
    </w:p>
    <w:p w14:paraId="3F005128">
      <w:pPr>
        <w:pStyle w:val="93"/>
        <w:widowControl/>
        <w:spacing w:line="360" w:lineRule="auto"/>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 </w:t>
      </w:r>
    </w:p>
    <w:p w14:paraId="2C27031A">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（一）具有独立承担民事责任的能力； </w:t>
      </w:r>
    </w:p>
    <w:p w14:paraId="5433AE60">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（二）具有良好的商业信誉和健全的财务会计制度； </w:t>
      </w:r>
    </w:p>
    <w:p w14:paraId="7F3336D0">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（三）具有履行合同所必需的设备和专业技术能力； </w:t>
      </w:r>
    </w:p>
    <w:p w14:paraId="15E883ED">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（四）有依法缴纳税收和社会保障资金的良好记录； </w:t>
      </w:r>
    </w:p>
    <w:p w14:paraId="768F9059">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（五）参加政府采购活动前三年内，在经营活动中没有重大违法记录； </w:t>
      </w:r>
    </w:p>
    <w:p w14:paraId="2992DBA6">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（六）未被列入经营异常名录或者严重违法失信名单、失信被执行人、重大税收违法案件当事人名单、政府采购严重违法失信行为记录名单； </w:t>
      </w:r>
    </w:p>
    <w:p w14:paraId="2D6D61CD">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（七）未被相关监管部门作出行政处罚且尚在处罚有效期内； </w:t>
      </w:r>
    </w:p>
    <w:p w14:paraId="6087034C">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（八）未曾作出虚假采购承诺； </w:t>
      </w:r>
    </w:p>
    <w:p w14:paraId="65CED1BD">
      <w:pPr>
        <w:pStyle w:val="93"/>
        <w:widowControl/>
        <w:spacing w:line="360" w:lineRule="auto"/>
        <w:ind w:firstLine="209" w:firstLineChars="100"/>
        <w:jc w:val="left"/>
        <w:rPr>
          <w:rFonts w:hint="eastAsia" w:ascii="仿宋" w:hAnsi="仿宋" w:eastAsia="仿宋"/>
          <w:color w:val="auto"/>
          <w:sz w:val="24"/>
          <w:szCs w:val="24"/>
        </w:rPr>
      </w:pPr>
      <w:r>
        <w:rPr>
          <w:rFonts w:hint="eastAsia" w:ascii="仿宋" w:hAnsi="仿宋" w:eastAsia="仿宋"/>
          <w:color w:val="auto"/>
          <w:kern w:val="0"/>
          <w:sz w:val="24"/>
          <w:szCs w:val="24"/>
        </w:rPr>
        <w:t xml:space="preserve">（九）符合法律、行政法规规定的其他条件。 </w:t>
      </w:r>
    </w:p>
    <w:p w14:paraId="4074C13F">
      <w:pPr>
        <w:pStyle w:val="93"/>
        <w:widowControl/>
        <w:spacing w:line="360" w:lineRule="auto"/>
        <w:jc w:val="left"/>
        <w:rPr>
          <w:rFonts w:hint="eastAsia" w:ascii="仿宋" w:hAnsi="仿宋" w:eastAsia="仿宋"/>
          <w:color w:val="auto"/>
          <w:sz w:val="24"/>
          <w:szCs w:val="24"/>
        </w:rPr>
      </w:pPr>
      <w:r>
        <w:rPr>
          <w:rFonts w:hint="eastAsia" w:ascii="仿宋" w:hAnsi="仿宋" w:eastAsia="仿宋"/>
          <w:color w:val="auto"/>
          <w:kern w:val="0"/>
          <w:sz w:val="24"/>
          <w:szCs w:val="24"/>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C2B0B2D">
      <w:pPr>
        <w:pStyle w:val="93"/>
        <w:adjustRightInd w:val="0"/>
        <w:snapToGrid w:val="0"/>
        <w:spacing w:before="233" w:beforeLines="50" w:line="360" w:lineRule="auto"/>
        <w:ind w:firstLine="418" w:firstLineChars="200"/>
        <w:rPr>
          <w:rFonts w:hint="eastAsia" w:ascii="仿宋" w:hAnsi="仿宋" w:eastAsia="仿宋"/>
          <w:color w:val="auto"/>
          <w:sz w:val="24"/>
          <w:szCs w:val="24"/>
        </w:rPr>
      </w:pPr>
      <w:r>
        <w:rPr>
          <w:rFonts w:hint="eastAsia" w:ascii="仿宋" w:hAnsi="仿宋" w:eastAsia="仿宋"/>
          <w:color w:val="auto"/>
          <w:sz w:val="24"/>
          <w:szCs w:val="24"/>
        </w:rPr>
        <w:t xml:space="preserve"> </w:t>
      </w:r>
    </w:p>
    <w:p w14:paraId="15504304">
      <w:pPr>
        <w:pStyle w:val="93"/>
        <w:adjustRightInd w:val="0"/>
        <w:snapToGrid w:val="0"/>
        <w:spacing w:before="233" w:beforeLines="50" w:line="360" w:lineRule="auto"/>
        <w:rPr>
          <w:rFonts w:hint="eastAsia" w:ascii="仿宋" w:hAnsi="仿宋" w:eastAsia="仿宋"/>
          <w:color w:val="auto"/>
          <w:sz w:val="24"/>
          <w:szCs w:val="24"/>
        </w:rPr>
      </w:pPr>
      <w:r>
        <w:rPr>
          <w:rFonts w:hint="eastAsia" w:ascii="仿宋" w:hAnsi="仿宋" w:eastAsia="仿宋"/>
          <w:color w:val="auto"/>
          <w:sz w:val="24"/>
          <w:szCs w:val="24"/>
        </w:rPr>
        <w:t xml:space="preserve">供应商（企业电子章）： </w:t>
      </w:r>
    </w:p>
    <w:p w14:paraId="1FE1F625">
      <w:pPr>
        <w:pStyle w:val="93"/>
        <w:adjustRightInd w:val="0"/>
        <w:snapToGrid w:val="0"/>
        <w:spacing w:before="233" w:beforeLines="50" w:line="360" w:lineRule="auto"/>
        <w:rPr>
          <w:rFonts w:hint="eastAsia" w:ascii="仿宋" w:hAnsi="仿宋" w:eastAsia="仿宋"/>
          <w:color w:val="auto"/>
          <w:sz w:val="24"/>
          <w:szCs w:val="24"/>
        </w:rPr>
      </w:pPr>
      <w:r>
        <w:rPr>
          <w:rFonts w:hint="eastAsia" w:ascii="仿宋" w:hAnsi="仿宋" w:eastAsia="仿宋"/>
          <w:color w:val="auto"/>
          <w:sz w:val="24"/>
          <w:szCs w:val="24"/>
        </w:rPr>
        <w:t xml:space="preserve">法定代表人或授权代表(签字或电子印章)： </w:t>
      </w:r>
    </w:p>
    <w:p w14:paraId="38E4D9FA">
      <w:pPr>
        <w:pStyle w:val="93"/>
        <w:adjustRightInd w:val="0"/>
        <w:snapToGrid w:val="0"/>
        <w:spacing w:before="233" w:beforeLines="50" w:line="360" w:lineRule="auto"/>
        <w:rPr>
          <w:rFonts w:hint="eastAsia" w:ascii="仿宋" w:hAnsi="仿宋" w:eastAsia="仿宋"/>
          <w:color w:val="auto"/>
          <w:sz w:val="24"/>
          <w:szCs w:val="24"/>
        </w:rPr>
      </w:pPr>
      <w:r>
        <w:rPr>
          <w:rFonts w:hint="eastAsia" w:ascii="仿宋" w:hAnsi="仿宋" w:eastAsia="仿宋"/>
          <w:color w:val="auto"/>
          <w:sz w:val="24"/>
          <w:szCs w:val="24"/>
        </w:rPr>
        <w:t xml:space="preserve">日期：       年    月    日 </w:t>
      </w:r>
    </w:p>
    <w:p w14:paraId="267853B4">
      <w:pPr>
        <w:pStyle w:val="93"/>
        <w:adjustRightInd w:val="0"/>
        <w:snapToGrid w:val="0"/>
        <w:spacing w:before="233" w:beforeLines="50" w:line="360" w:lineRule="auto"/>
        <w:rPr>
          <w:rFonts w:hint="eastAsia" w:ascii="仿宋" w:hAnsi="仿宋" w:eastAsia="仿宋"/>
          <w:bCs/>
          <w:color w:val="auto"/>
          <w:sz w:val="24"/>
          <w:szCs w:val="24"/>
        </w:rPr>
      </w:pPr>
      <w:r>
        <w:rPr>
          <w:rFonts w:hint="eastAsia" w:ascii="仿宋" w:hAnsi="仿宋" w:eastAsia="仿宋"/>
          <w:bCs/>
          <w:color w:val="auto"/>
          <w:sz w:val="24"/>
          <w:szCs w:val="24"/>
        </w:rPr>
        <w:t>注：1.</w:t>
      </w:r>
      <w:r>
        <w:rPr>
          <w:rFonts w:hint="eastAsia" w:ascii="仿宋" w:hAnsi="仿宋" w:eastAsia="仿宋"/>
          <w:color w:val="auto"/>
          <w:sz w:val="24"/>
          <w:szCs w:val="24"/>
        </w:rPr>
        <w:t>供应商</w:t>
      </w:r>
      <w:r>
        <w:rPr>
          <w:rFonts w:hint="eastAsia" w:ascii="仿宋" w:hAnsi="仿宋" w:eastAsia="仿宋"/>
          <w:bCs/>
          <w:color w:val="auto"/>
          <w:sz w:val="24"/>
          <w:szCs w:val="24"/>
        </w:rPr>
        <w:t>须在响应文件中按此模板提供承诺函，未提供视为未实质性响应磋商文件要求，按无效投标处理。</w:t>
      </w:r>
    </w:p>
    <w:p w14:paraId="2150301C">
      <w:pPr>
        <w:pStyle w:val="93"/>
        <w:adjustRightInd w:val="0"/>
        <w:snapToGrid w:val="0"/>
        <w:spacing w:before="233" w:beforeLines="50" w:line="360" w:lineRule="auto"/>
        <w:ind w:firstLine="418" w:firstLineChars="200"/>
        <w:rPr>
          <w:rFonts w:ascii="仿宋" w:hAnsi="仿宋" w:eastAsia="仿宋"/>
          <w:color w:val="auto"/>
          <w:sz w:val="24"/>
          <w:szCs w:val="24"/>
        </w:rPr>
      </w:pPr>
      <w:r>
        <w:rPr>
          <w:rFonts w:hint="eastAsia" w:ascii="仿宋" w:hAnsi="仿宋" w:eastAsia="仿宋"/>
          <w:color w:val="auto"/>
          <w:sz w:val="24"/>
          <w:szCs w:val="24"/>
        </w:rPr>
        <w:t>2.供应商</w:t>
      </w:r>
      <w:r>
        <w:rPr>
          <w:rFonts w:hint="eastAsia" w:ascii="仿宋" w:hAnsi="仿宋" w:eastAsia="仿宋"/>
          <w:bCs/>
          <w:color w:val="auto"/>
          <w:sz w:val="24"/>
          <w:szCs w:val="24"/>
        </w:rPr>
        <w:t>的法定代表人或者授权代表的签字或盖章应真实、有效，如由授权代表签字或盖章的，应提供“法定代表人授权书”。</w:t>
      </w:r>
    </w:p>
    <w:p w14:paraId="686352D7">
      <w:pPr>
        <w:widowControl/>
        <w:jc w:val="left"/>
        <w:outlineLvl w:val="9"/>
        <w:rPr>
          <w:rFonts w:ascii="Times New Roman" w:hAnsi="Times New Roman" w:eastAsia="Times New Roman"/>
          <w:kern w:val="0"/>
          <w:sz w:val="24"/>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附件5:开标一览表</w:t>
      </w:r>
    </w:p>
    <w:p w14:paraId="72AB7FF3">
      <w:pPr>
        <w:widowControl/>
        <w:spacing w:before="320" w:after="320"/>
        <w:jc w:val="center"/>
        <w:rPr>
          <w:rFonts w:hint="eastAsia" w:ascii="仿宋" w:hAnsi="仿宋" w:eastAsia="仿宋" w:cs="仿宋"/>
          <w:kern w:val="0"/>
          <w:sz w:val="24"/>
          <w:szCs w:val="24"/>
        </w:rPr>
      </w:pPr>
      <w:r>
        <w:rPr>
          <w:rFonts w:hint="eastAsia" w:ascii="仿宋" w:hAnsi="仿宋" w:eastAsia="仿宋" w:cs="仿宋"/>
          <w:b/>
          <w:bCs/>
          <w:kern w:val="0"/>
          <w:sz w:val="24"/>
          <w:szCs w:val="24"/>
        </w:rPr>
        <w:t>开  标 一 览  表</w:t>
      </w:r>
    </w:p>
    <w:p w14:paraId="66C4746A">
      <w:pPr>
        <w:widowControl/>
        <w:spacing w:before="240" w:after="240"/>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分包编号：    </w:t>
      </w:r>
    </w:p>
    <w:p w14:paraId="65ADF9E9">
      <w:pPr>
        <w:widowControl/>
        <w:spacing w:before="240" w:after="240"/>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        项目名称：    </w:t>
      </w:r>
    </w:p>
    <w:tbl>
      <w:tblPr>
        <w:tblStyle w:val="6"/>
        <w:tblW w:w="888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43"/>
        <w:gridCol w:w="4839"/>
      </w:tblGrid>
      <w:tr w14:paraId="35781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67C7DD09">
            <w:pPr>
              <w:pStyle w:val="95"/>
              <w:ind w:right="1610" w:firstLine="0" w:firstLineChars="0"/>
              <w:jc w:val="center"/>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投标报价</w:t>
            </w:r>
          </w:p>
        </w:tc>
        <w:tc>
          <w:tcPr>
            <w:tcW w:w="4839" w:type="dxa"/>
            <w:noWrap w:val="0"/>
            <w:vAlign w:val="center"/>
          </w:tcPr>
          <w:p w14:paraId="1FD99DB2">
            <w:pPr>
              <w:pStyle w:val="95"/>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元</w:t>
            </w:r>
          </w:p>
        </w:tc>
      </w:tr>
      <w:tr w14:paraId="418D7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jc w:val="center"/>
        </w:trPr>
        <w:tc>
          <w:tcPr>
            <w:tcW w:w="4043" w:type="dxa"/>
            <w:noWrap w:val="0"/>
            <w:vAlign w:val="center"/>
          </w:tcPr>
          <w:p w14:paraId="4164C5D1">
            <w:pPr>
              <w:pStyle w:val="95"/>
              <w:ind w:left="0" w:leftChars="0" w:right="269" w:rightChars="0" w:firstLine="0" w:firstLineChars="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合同履行期限（交货期）</w:t>
            </w:r>
          </w:p>
        </w:tc>
        <w:tc>
          <w:tcPr>
            <w:tcW w:w="4839" w:type="dxa"/>
            <w:noWrap w:val="0"/>
            <w:vAlign w:val="center"/>
          </w:tcPr>
          <w:p w14:paraId="41CBB549">
            <w:pPr>
              <w:pStyle w:val="95"/>
              <w:ind w:right="1610" w:firstLine="0" w:firstLineChars="0"/>
              <w:jc w:val="center"/>
              <w:rPr>
                <w:rFonts w:hint="eastAsia" w:ascii="仿宋" w:hAnsi="仿宋" w:eastAsia="仿宋" w:cs="仿宋"/>
                <w:sz w:val="24"/>
                <w:szCs w:val="24"/>
              </w:rPr>
            </w:pPr>
          </w:p>
        </w:tc>
      </w:tr>
      <w:tr w14:paraId="71737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0CF83FA1">
            <w:pPr>
              <w:pStyle w:val="95"/>
              <w:ind w:left="0" w:leftChars="0" w:right="161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质量</w:t>
            </w:r>
            <w:r>
              <w:rPr>
                <w:rFonts w:hint="eastAsia" w:ascii="仿宋" w:hAnsi="仿宋" w:eastAsia="仿宋" w:cs="仿宋"/>
                <w:spacing w:val="14"/>
                <w:sz w:val="24"/>
                <w:szCs w:val="24"/>
                <w:lang w:eastAsia="zh-CN"/>
              </w:rPr>
              <w:t>要求</w:t>
            </w:r>
          </w:p>
        </w:tc>
        <w:tc>
          <w:tcPr>
            <w:tcW w:w="4839" w:type="dxa"/>
            <w:noWrap w:val="0"/>
            <w:vAlign w:val="center"/>
          </w:tcPr>
          <w:p w14:paraId="2E05E536">
            <w:pPr>
              <w:pStyle w:val="95"/>
              <w:ind w:firstLine="418"/>
              <w:jc w:val="center"/>
              <w:rPr>
                <w:rFonts w:hint="eastAsia" w:ascii="仿宋" w:hAnsi="仿宋" w:eastAsia="仿宋" w:cs="仿宋"/>
                <w:sz w:val="24"/>
                <w:szCs w:val="24"/>
              </w:rPr>
            </w:pPr>
          </w:p>
        </w:tc>
      </w:tr>
      <w:tr w14:paraId="3ACC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5CAA0906">
            <w:pPr>
              <w:pStyle w:val="95"/>
              <w:ind w:left="0" w:leftChars="0" w:right="161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交货地点</w:t>
            </w:r>
          </w:p>
        </w:tc>
        <w:tc>
          <w:tcPr>
            <w:tcW w:w="4839" w:type="dxa"/>
            <w:noWrap w:val="0"/>
            <w:vAlign w:val="center"/>
          </w:tcPr>
          <w:p w14:paraId="07F96FA7">
            <w:pPr>
              <w:pStyle w:val="95"/>
              <w:ind w:firstLine="418"/>
              <w:jc w:val="center"/>
              <w:rPr>
                <w:rFonts w:hint="eastAsia" w:ascii="仿宋" w:hAnsi="仿宋" w:eastAsia="仿宋" w:cs="仿宋"/>
                <w:sz w:val="24"/>
                <w:szCs w:val="24"/>
              </w:rPr>
            </w:pPr>
          </w:p>
        </w:tc>
      </w:tr>
      <w:tr w14:paraId="576C1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jc w:val="center"/>
        </w:trPr>
        <w:tc>
          <w:tcPr>
            <w:tcW w:w="4043" w:type="dxa"/>
            <w:noWrap w:val="0"/>
            <w:vAlign w:val="center"/>
          </w:tcPr>
          <w:p w14:paraId="6BD303DB">
            <w:pPr>
              <w:pStyle w:val="95"/>
              <w:ind w:left="0" w:leftChars="0" w:right="161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质保期</w:t>
            </w:r>
          </w:p>
        </w:tc>
        <w:tc>
          <w:tcPr>
            <w:tcW w:w="4839" w:type="dxa"/>
            <w:noWrap w:val="0"/>
            <w:vAlign w:val="center"/>
          </w:tcPr>
          <w:p w14:paraId="2466217D">
            <w:pPr>
              <w:pStyle w:val="95"/>
              <w:ind w:firstLine="418"/>
              <w:jc w:val="center"/>
              <w:rPr>
                <w:rFonts w:hint="eastAsia" w:ascii="仿宋" w:hAnsi="仿宋" w:eastAsia="仿宋" w:cs="仿宋"/>
                <w:sz w:val="24"/>
                <w:szCs w:val="24"/>
              </w:rPr>
            </w:pPr>
          </w:p>
        </w:tc>
      </w:tr>
    </w:tbl>
    <w:p w14:paraId="648DCF38">
      <w:pPr>
        <w:widowControl/>
        <w:jc w:val="left"/>
        <w:outlineLvl w:val="9"/>
        <w:rPr>
          <w:rFonts w:ascii="宋体" w:hAnsi="宋体" w:cs="宋体"/>
          <w:b/>
          <w:kern w:val="0"/>
          <w:sz w:val="24"/>
          <w:szCs w:val="24"/>
          <w:lang w:eastAsia="en-US"/>
        </w:rPr>
      </w:pPr>
      <w:r>
        <w:rPr>
          <w:rFonts w:ascii="Times New Roman" w:hAnsi="Times New Roman" w:eastAsia="Times New Roman"/>
          <w:kern w:val="0"/>
          <w:sz w:val="24"/>
          <w:szCs w:val="24"/>
          <w:lang w:eastAsia="en-US"/>
        </w:rPr>
        <w:br w:type="page"/>
      </w:r>
      <w:r>
        <w:rPr>
          <w:rFonts w:hint="eastAsia" w:ascii="仿宋" w:hAnsi="仿宋" w:eastAsia="仿宋" w:cs="仿宋"/>
          <w:b/>
          <w:kern w:val="0"/>
          <w:sz w:val="28"/>
          <w:szCs w:val="24"/>
          <w:lang w:eastAsia="en-US"/>
        </w:rPr>
        <w:t>附件6:报价明细表</w:t>
      </w:r>
    </w:p>
    <w:p w14:paraId="32B845A5">
      <w:pPr>
        <w:pStyle w:val="96"/>
        <w:jc w:val="center"/>
        <w:rPr>
          <w:rFonts w:ascii="仿宋" w:hAnsi="仿宋" w:eastAsia="仿宋"/>
          <w:color w:val="auto"/>
          <w:spacing w:val="14"/>
          <w:sz w:val="24"/>
          <w:szCs w:val="24"/>
        </w:rPr>
      </w:pPr>
      <w:r>
        <w:rPr>
          <w:rFonts w:hint="eastAsia" w:ascii="仿宋" w:hAnsi="仿宋" w:eastAsia="仿宋"/>
          <w:color w:val="auto"/>
          <w:spacing w:val="14"/>
          <w:sz w:val="24"/>
          <w:szCs w:val="24"/>
        </w:rPr>
        <w:t>报价明细表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60"/>
        <w:gridCol w:w="1617"/>
        <w:gridCol w:w="1843"/>
        <w:gridCol w:w="1139"/>
        <w:gridCol w:w="845"/>
        <w:gridCol w:w="989"/>
        <w:gridCol w:w="989"/>
      </w:tblGrid>
      <w:tr w14:paraId="2018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75" w:type="dxa"/>
            <w:noWrap w:val="0"/>
            <w:vAlign w:val="center"/>
          </w:tcPr>
          <w:p w14:paraId="15CD2539">
            <w:pPr>
              <w:pStyle w:val="98"/>
              <w:widowControl/>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序号</w:t>
            </w:r>
          </w:p>
        </w:tc>
        <w:tc>
          <w:tcPr>
            <w:tcW w:w="1360" w:type="dxa"/>
            <w:noWrap w:val="0"/>
            <w:vAlign w:val="center"/>
          </w:tcPr>
          <w:p w14:paraId="1C8DB88B">
            <w:pPr>
              <w:pStyle w:val="98"/>
              <w:widowControl/>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名称</w:t>
            </w:r>
          </w:p>
        </w:tc>
        <w:tc>
          <w:tcPr>
            <w:tcW w:w="1617" w:type="dxa"/>
            <w:noWrap w:val="0"/>
            <w:vAlign w:val="center"/>
          </w:tcPr>
          <w:p w14:paraId="09AEB657">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品牌及制造商</w:t>
            </w:r>
          </w:p>
        </w:tc>
        <w:tc>
          <w:tcPr>
            <w:tcW w:w="1843" w:type="dxa"/>
            <w:noWrap w:val="0"/>
            <w:vAlign w:val="center"/>
          </w:tcPr>
          <w:p w14:paraId="6B496778">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是否属于小型微型（监狱、残疾人福利性单位）企业生产的产品</w:t>
            </w:r>
          </w:p>
        </w:tc>
        <w:tc>
          <w:tcPr>
            <w:tcW w:w="1139" w:type="dxa"/>
            <w:noWrap w:val="0"/>
            <w:vAlign w:val="center"/>
          </w:tcPr>
          <w:p w14:paraId="13C60647">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规格型号</w:t>
            </w:r>
          </w:p>
        </w:tc>
        <w:tc>
          <w:tcPr>
            <w:tcW w:w="845" w:type="dxa"/>
            <w:noWrap w:val="0"/>
            <w:vAlign w:val="center"/>
          </w:tcPr>
          <w:p w14:paraId="621D0DB5">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数量</w:t>
            </w:r>
          </w:p>
        </w:tc>
        <w:tc>
          <w:tcPr>
            <w:tcW w:w="989" w:type="dxa"/>
            <w:noWrap w:val="0"/>
            <w:vAlign w:val="center"/>
          </w:tcPr>
          <w:p w14:paraId="45DAE11C">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单价</w:t>
            </w:r>
          </w:p>
          <w:p w14:paraId="1A106B7B">
            <w:pPr>
              <w:pStyle w:val="98"/>
              <w:rPr>
                <w:rFonts w:hint="eastAsia" w:ascii="仿宋" w:hAnsi="仿宋" w:eastAsia="仿宋" w:cs="仿宋"/>
                <w:kern w:val="0"/>
                <w:sz w:val="24"/>
                <w:szCs w:val="24"/>
              </w:rPr>
            </w:pPr>
            <w:r>
              <w:rPr>
                <w:rFonts w:hint="eastAsia" w:ascii="仿宋" w:hAnsi="仿宋" w:eastAsia="仿宋" w:cs="仿宋"/>
                <w:kern w:val="0"/>
                <w:sz w:val="24"/>
                <w:szCs w:val="24"/>
              </w:rPr>
              <w:t>（元）</w:t>
            </w:r>
          </w:p>
        </w:tc>
        <w:tc>
          <w:tcPr>
            <w:tcW w:w="989" w:type="dxa"/>
            <w:noWrap w:val="0"/>
            <w:vAlign w:val="center"/>
          </w:tcPr>
          <w:p w14:paraId="34238275">
            <w:pPr>
              <w:pStyle w:val="98"/>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总价</w:t>
            </w:r>
          </w:p>
          <w:p w14:paraId="58E633C2">
            <w:pPr>
              <w:pStyle w:val="98"/>
              <w:rPr>
                <w:rFonts w:hint="eastAsia" w:ascii="仿宋" w:hAnsi="仿宋" w:eastAsia="仿宋" w:cs="仿宋"/>
                <w:kern w:val="0"/>
                <w:sz w:val="24"/>
                <w:szCs w:val="24"/>
              </w:rPr>
            </w:pPr>
            <w:r>
              <w:rPr>
                <w:rFonts w:hint="eastAsia" w:ascii="仿宋" w:hAnsi="仿宋" w:eastAsia="仿宋" w:cs="仿宋"/>
                <w:kern w:val="0"/>
                <w:sz w:val="24"/>
                <w:szCs w:val="24"/>
              </w:rPr>
              <w:t>（元）</w:t>
            </w:r>
          </w:p>
        </w:tc>
      </w:tr>
      <w:tr w14:paraId="68B0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68D5A9A3">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68EA5031">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37ED7016">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5A8EDB09">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7F3F16E5">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231909EB">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362214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231728C">
            <w:pPr>
              <w:pStyle w:val="98"/>
              <w:widowControl/>
              <w:ind w:firstLine="482"/>
              <w:rPr>
                <w:rFonts w:hint="eastAsia" w:ascii="仿宋" w:hAnsi="仿宋" w:eastAsia="仿宋" w:cs="仿宋"/>
                <w:spacing w:val="14"/>
                <w:kern w:val="0"/>
                <w:sz w:val="24"/>
                <w:szCs w:val="24"/>
              </w:rPr>
            </w:pPr>
          </w:p>
        </w:tc>
      </w:tr>
      <w:tr w14:paraId="1130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3A472224">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35D28F36">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09DD21D2">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22D7EF99">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5548CC3D">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6BE27E21">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411606E">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82DCE30">
            <w:pPr>
              <w:pStyle w:val="98"/>
              <w:widowControl/>
              <w:ind w:firstLine="482"/>
              <w:rPr>
                <w:rFonts w:hint="eastAsia" w:ascii="仿宋" w:hAnsi="仿宋" w:eastAsia="仿宋" w:cs="仿宋"/>
                <w:spacing w:val="14"/>
                <w:kern w:val="0"/>
                <w:sz w:val="24"/>
                <w:szCs w:val="24"/>
              </w:rPr>
            </w:pPr>
          </w:p>
        </w:tc>
      </w:tr>
      <w:tr w14:paraId="4462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41E0069E">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C966E00">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076DE9F6">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32382CC1">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472A5CA5">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2339D920">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6C286754">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043B207">
            <w:pPr>
              <w:pStyle w:val="98"/>
              <w:widowControl/>
              <w:ind w:firstLine="482"/>
              <w:rPr>
                <w:rFonts w:hint="eastAsia" w:ascii="仿宋" w:hAnsi="仿宋" w:eastAsia="仿宋" w:cs="仿宋"/>
                <w:spacing w:val="14"/>
                <w:kern w:val="0"/>
                <w:sz w:val="24"/>
                <w:szCs w:val="24"/>
              </w:rPr>
            </w:pPr>
          </w:p>
        </w:tc>
      </w:tr>
      <w:tr w14:paraId="1877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340C8BED">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5EAB83F2">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026DEA07">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45667DB9">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7920E7DD">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3D99A1A2">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3631D07C">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3E9302BE">
            <w:pPr>
              <w:pStyle w:val="98"/>
              <w:widowControl/>
              <w:ind w:firstLine="482"/>
              <w:rPr>
                <w:rFonts w:hint="eastAsia" w:ascii="仿宋" w:hAnsi="仿宋" w:eastAsia="仿宋" w:cs="仿宋"/>
                <w:spacing w:val="14"/>
                <w:kern w:val="0"/>
                <w:sz w:val="24"/>
                <w:szCs w:val="24"/>
              </w:rPr>
            </w:pPr>
          </w:p>
        </w:tc>
      </w:tr>
      <w:tr w14:paraId="093F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7D012114">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4D82929">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56E8C0AD">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1BB2CCFA">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4F294D45">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7A2BA15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5F4887D">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2C0243E6">
            <w:pPr>
              <w:pStyle w:val="98"/>
              <w:widowControl/>
              <w:ind w:firstLine="482"/>
              <w:rPr>
                <w:rFonts w:hint="eastAsia" w:ascii="仿宋" w:hAnsi="仿宋" w:eastAsia="仿宋" w:cs="仿宋"/>
                <w:spacing w:val="14"/>
                <w:kern w:val="0"/>
                <w:sz w:val="24"/>
                <w:szCs w:val="24"/>
              </w:rPr>
            </w:pPr>
          </w:p>
        </w:tc>
      </w:tr>
      <w:tr w14:paraId="6DB8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3CD6B321">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A293FB0">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6325B3DB">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334F1C3C">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4E31EFA9">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7AF2BF4C">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17BDFFE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6DF9B6AA">
            <w:pPr>
              <w:pStyle w:val="98"/>
              <w:widowControl/>
              <w:ind w:firstLine="482"/>
              <w:rPr>
                <w:rFonts w:hint="eastAsia" w:ascii="仿宋" w:hAnsi="仿宋" w:eastAsia="仿宋" w:cs="仿宋"/>
                <w:spacing w:val="14"/>
                <w:kern w:val="0"/>
                <w:sz w:val="24"/>
                <w:szCs w:val="24"/>
              </w:rPr>
            </w:pPr>
          </w:p>
        </w:tc>
      </w:tr>
      <w:tr w14:paraId="51D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45D142B8">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6176DE9D">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693353D7">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2C63849D">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68239946">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67FFBF41">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59B92C6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746D32B4">
            <w:pPr>
              <w:pStyle w:val="98"/>
              <w:widowControl/>
              <w:ind w:firstLine="482"/>
              <w:rPr>
                <w:rFonts w:hint="eastAsia" w:ascii="仿宋" w:hAnsi="仿宋" w:eastAsia="仿宋" w:cs="仿宋"/>
                <w:spacing w:val="14"/>
                <w:kern w:val="0"/>
                <w:sz w:val="24"/>
                <w:szCs w:val="24"/>
              </w:rPr>
            </w:pPr>
          </w:p>
        </w:tc>
      </w:tr>
      <w:tr w14:paraId="5830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45E212BA">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277B39A3">
            <w:pPr>
              <w:pStyle w:val="98"/>
              <w:widowControl/>
              <w:ind w:firstLine="482"/>
              <w:rPr>
                <w:rFonts w:hint="eastAsia" w:ascii="仿宋" w:hAnsi="仿宋" w:eastAsia="仿宋" w:cs="仿宋"/>
                <w:spacing w:val="14"/>
                <w:kern w:val="0"/>
                <w:sz w:val="24"/>
                <w:szCs w:val="24"/>
              </w:rPr>
            </w:pPr>
          </w:p>
        </w:tc>
        <w:tc>
          <w:tcPr>
            <w:tcW w:w="1617" w:type="dxa"/>
            <w:noWrap w:val="0"/>
            <w:vAlign w:val="center"/>
          </w:tcPr>
          <w:p w14:paraId="7517ABFA">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51E93938">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33469CA9">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135BD004">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46CFD8ED">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23BA93A1">
            <w:pPr>
              <w:pStyle w:val="98"/>
              <w:widowControl/>
              <w:ind w:firstLine="482"/>
              <w:rPr>
                <w:rFonts w:hint="eastAsia" w:ascii="仿宋" w:hAnsi="仿宋" w:eastAsia="仿宋" w:cs="仿宋"/>
                <w:spacing w:val="14"/>
                <w:kern w:val="0"/>
                <w:sz w:val="24"/>
                <w:szCs w:val="24"/>
              </w:rPr>
            </w:pPr>
          </w:p>
        </w:tc>
      </w:tr>
      <w:tr w14:paraId="0687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7947CD15">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326AA66E">
            <w:pPr>
              <w:pStyle w:val="98"/>
              <w:widowControl/>
              <w:ind w:firstLine="482"/>
              <w:rPr>
                <w:rFonts w:hint="eastAsia" w:ascii="仿宋" w:hAnsi="仿宋" w:eastAsia="仿宋" w:cs="仿宋"/>
                <w:spacing w:val="14"/>
                <w:kern w:val="0"/>
                <w:sz w:val="24"/>
                <w:szCs w:val="24"/>
                <w:highlight w:val="blue"/>
              </w:rPr>
            </w:pPr>
          </w:p>
        </w:tc>
        <w:tc>
          <w:tcPr>
            <w:tcW w:w="1617" w:type="dxa"/>
            <w:noWrap w:val="0"/>
            <w:vAlign w:val="center"/>
          </w:tcPr>
          <w:p w14:paraId="4DC80060">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6F0E5B92">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5D0342EC">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3AA9367D">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9BFE763">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44FA3FE9">
            <w:pPr>
              <w:pStyle w:val="98"/>
              <w:widowControl/>
              <w:ind w:firstLine="482"/>
              <w:rPr>
                <w:rFonts w:hint="eastAsia" w:ascii="仿宋" w:hAnsi="仿宋" w:eastAsia="仿宋" w:cs="仿宋"/>
                <w:spacing w:val="14"/>
                <w:kern w:val="0"/>
                <w:sz w:val="24"/>
                <w:szCs w:val="24"/>
              </w:rPr>
            </w:pPr>
          </w:p>
        </w:tc>
      </w:tr>
      <w:tr w14:paraId="297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5" w:type="dxa"/>
            <w:noWrap w:val="0"/>
            <w:vAlign w:val="center"/>
          </w:tcPr>
          <w:p w14:paraId="6EBAFA9A">
            <w:pPr>
              <w:pStyle w:val="98"/>
              <w:widowControl/>
              <w:ind w:firstLine="482"/>
              <w:rPr>
                <w:rFonts w:hint="eastAsia" w:ascii="仿宋" w:hAnsi="仿宋" w:eastAsia="仿宋" w:cs="仿宋"/>
                <w:spacing w:val="14"/>
                <w:kern w:val="0"/>
                <w:sz w:val="24"/>
                <w:szCs w:val="24"/>
              </w:rPr>
            </w:pPr>
          </w:p>
        </w:tc>
        <w:tc>
          <w:tcPr>
            <w:tcW w:w="1360" w:type="dxa"/>
            <w:noWrap w:val="0"/>
            <w:vAlign w:val="center"/>
          </w:tcPr>
          <w:p w14:paraId="1B885598">
            <w:pPr>
              <w:pStyle w:val="98"/>
              <w:widowControl/>
              <w:ind w:firstLine="482"/>
              <w:rPr>
                <w:rFonts w:hint="eastAsia" w:ascii="仿宋" w:hAnsi="仿宋" w:eastAsia="仿宋" w:cs="仿宋"/>
                <w:spacing w:val="14"/>
                <w:kern w:val="0"/>
                <w:sz w:val="24"/>
                <w:szCs w:val="24"/>
                <w:highlight w:val="blue"/>
              </w:rPr>
            </w:pPr>
          </w:p>
        </w:tc>
        <w:tc>
          <w:tcPr>
            <w:tcW w:w="1617" w:type="dxa"/>
            <w:noWrap w:val="0"/>
            <w:vAlign w:val="center"/>
          </w:tcPr>
          <w:p w14:paraId="71E24DCE">
            <w:pPr>
              <w:pStyle w:val="98"/>
              <w:widowControl/>
              <w:ind w:firstLine="482"/>
              <w:rPr>
                <w:rFonts w:hint="eastAsia" w:ascii="仿宋" w:hAnsi="仿宋" w:eastAsia="仿宋" w:cs="仿宋"/>
                <w:spacing w:val="14"/>
                <w:kern w:val="0"/>
                <w:sz w:val="24"/>
                <w:szCs w:val="24"/>
              </w:rPr>
            </w:pPr>
          </w:p>
        </w:tc>
        <w:tc>
          <w:tcPr>
            <w:tcW w:w="1843" w:type="dxa"/>
            <w:noWrap w:val="0"/>
            <w:vAlign w:val="center"/>
          </w:tcPr>
          <w:p w14:paraId="2637FFBA">
            <w:pPr>
              <w:pStyle w:val="98"/>
              <w:widowControl/>
              <w:ind w:firstLine="482"/>
              <w:rPr>
                <w:rFonts w:hint="eastAsia" w:ascii="仿宋" w:hAnsi="仿宋" w:eastAsia="仿宋" w:cs="仿宋"/>
                <w:spacing w:val="14"/>
                <w:kern w:val="0"/>
                <w:sz w:val="24"/>
                <w:szCs w:val="24"/>
              </w:rPr>
            </w:pPr>
          </w:p>
        </w:tc>
        <w:tc>
          <w:tcPr>
            <w:tcW w:w="1139" w:type="dxa"/>
            <w:noWrap w:val="0"/>
            <w:vAlign w:val="center"/>
          </w:tcPr>
          <w:p w14:paraId="77947468">
            <w:pPr>
              <w:pStyle w:val="98"/>
              <w:widowControl/>
              <w:ind w:firstLine="482"/>
              <w:rPr>
                <w:rFonts w:hint="eastAsia" w:ascii="仿宋" w:hAnsi="仿宋" w:eastAsia="仿宋" w:cs="仿宋"/>
                <w:spacing w:val="14"/>
                <w:kern w:val="0"/>
                <w:sz w:val="24"/>
                <w:szCs w:val="24"/>
              </w:rPr>
            </w:pPr>
          </w:p>
        </w:tc>
        <w:tc>
          <w:tcPr>
            <w:tcW w:w="845" w:type="dxa"/>
            <w:noWrap w:val="0"/>
            <w:vAlign w:val="center"/>
          </w:tcPr>
          <w:p w14:paraId="23A8ECAB">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04C6FAE9">
            <w:pPr>
              <w:pStyle w:val="98"/>
              <w:widowControl/>
              <w:ind w:firstLine="482"/>
              <w:rPr>
                <w:rFonts w:hint="eastAsia" w:ascii="仿宋" w:hAnsi="仿宋" w:eastAsia="仿宋" w:cs="仿宋"/>
                <w:spacing w:val="14"/>
                <w:kern w:val="0"/>
                <w:sz w:val="24"/>
                <w:szCs w:val="24"/>
              </w:rPr>
            </w:pPr>
          </w:p>
        </w:tc>
        <w:tc>
          <w:tcPr>
            <w:tcW w:w="989" w:type="dxa"/>
            <w:noWrap w:val="0"/>
            <w:vAlign w:val="center"/>
          </w:tcPr>
          <w:p w14:paraId="19B27BDB">
            <w:pPr>
              <w:pStyle w:val="98"/>
              <w:widowControl/>
              <w:ind w:firstLine="482"/>
              <w:rPr>
                <w:rFonts w:hint="eastAsia" w:ascii="仿宋" w:hAnsi="仿宋" w:eastAsia="仿宋" w:cs="仿宋"/>
                <w:spacing w:val="14"/>
                <w:kern w:val="0"/>
                <w:sz w:val="24"/>
                <w:szCs w:val="24"/>
              </w:rPr>
            </w:pPr>
          </w:p>
        </w:tc>
      </w:tr>
      <w:tr w14:paraId="180D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457" w:type="dxa"/>
            <w:gridSpan w:val="8"/>
            <w:noWrap w:val="0"/>
            <w:vAlign w:val="top"/>
          </w:tcPr>
          <w:p w14:paraId="6841BF1A">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投标报价人民币小写：</w:t>
            </w:r>
          </w:p>
          <w:p w14:paraId="5C3AD6BE">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投标报价人民币大写：</w:t>
            </w:r>
          </w:p>
        </w:tc>
      </w:tr>
    </w:tbl>
    <w:p w14:paraId="1D4C30BA">
      <w:pPr>
        <w:pStyle w:val="96"/>
        <w:jc w:val="center"/>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p w14:paraId="03FCBB38">
      <w:pPr>
        <w:pStyle w:val="99"/>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供应商（企业电子章）：                    </w:t>
      </w:r>
    </w:p>
    <w:p w14:paraId="78928B00">
      <w:pPr>
        <w:pStyle w:val="99"/>
        <w:rPr>
          <w:rFonts w:hint="eastAsia" w:ascii="仿宋" w:hAnsi="仿宋" w:eastAsia="仿宋"/>
          <w:color w:val="auto"/>
          <w:spacing w:val="14"/>
          <w:sz w:val="24"/>
          <w:szCs w:val="24"/>
        </w:rPr>
      </w:pPr>
      <w:r>
        <w:rPr>
          <w:rFonts w:hint="eastAsia" w:ascii="仿宋" w:hAnsi="仿宋" w:eastAsia="仿宋"/>
          <w:color w:val="auto"/>
          <w:spacing w:val="14"/>
          <w:sz w:val="24"/>
          <w:szCs w:val="24"/>
        </w:rPr>
        <w:t>注：</w:t>
      </w:r>
    </w:p>
    <w:p w14:paraId="36477092">
      <w:pPr>
        <w:pStyle w:val="99"/>
        <w:ind w:firstLine="474" w:firstLineChars="200"/>
        <w:rPr>
          <w:rFonts w:hint="eastAsia" w:ascii="仿宋" w:hAnsi="仿宋" w:eastAsia="仿宋"/>
          <w:color w:val="auto"/>
          <w:spacing w:val="14"/>
          <w:sz w:val="24"/>
          <w:szCs w:val="24"/>
        </w:rPr>
      </w:pPr>
      <w:r>
        <w:rPr>
          <w:rFonts w:hint="eastAsia" w:ascii="仿宋" w:hAnsi="仿宋" w:eastAsia="仿宋"/>
          <w:color w:val="auto"/>
          <w:spacing w:val="14"/>
          <w:sz w:val="24"/>
          <w:szCs w:val="24"/>
        </w:rPr>
        <w:t>1.除投标产品按上表规定格式列示外，供应商可根据本企业投标情况，在上表列示备品备件、专用工具、安装调试费、技术服务费、培训费、运输费和保险费等。</w:t>
      </w:r>
    </w:p>
    <w:p w14:paraId="4CC5929D">
      <w:pPr>
        <w:pStyle w:val="99"/>
        <w:ind w:firstLine="474" w:firstLineChars="200"/>
        <w:rPr>
          <w:rFonts w:hint="eastAsia" w:ascii="仿宋" w:hAnsi="仿宋" w:eastAsia="仿宋"/>
          <w:color w:val="auto"/>
          <w:spacing w:val="14"/>
          <w:sz w:val="24"/>
          <w:szCs w:val="24"/>
        </w:rPr>
      </w:pPr>
      <w:r>
        <w:rPr>
          <w:rFonts w:hint="eastAsia" w:ascii="仿宋" w:hAnsi="仿宋" w:eastAsia="仿宋"/>
          <w:color w:val="auto"/>
          <w:spacing w:val="14"/>
          <w:sz w:val="24"/>
          <w:szCs w:val="24"/>
          <w:lang w:val="en-US" w:eastAsia="zh-CN"/>
        </w:rPr>
        <w:t>2</w:t>
      </w:r>
      <w:r>
        <w:rPr>
          <w:rFonts w:hint="eastAsia" w:ascii="仿宋" w:hAnsi="仿宋" w:eastAsia="仿宋"/>
          <w:color w:val="auto"/>
          <w:spacing w:val="14"/>
          <w:sz w:val="24"/>
          <w:szCs w:val="24"/>
        </w:rPr>
        <w:t>、供应商可根据需要自行增减表格行数。</w:t>
      </w:r>
    </w:p>
    <w:p w14:paraId="3C347B96">
      <w:pPr>
        <w:pStyle w:val="99"/>
        <w:ind w:firstLine="474" w:firstLineChars="200"/>
        <w:rPr>
          <w:rFonts w:hint="eastAsia" w:ascii="仿宋" w:hAnsi="仿宋" w:eastAsia="仿宋"/>
          <w:color w:val="auto"/>
          <w:spacing w:val="14"/>
          <w:sz w:val="24"/>
          <w:szCs w:val="24"/>
        </w:rPr>
      </w:pPr>
      <w:r>
        <w:rPr>
          <w:rFonts w:hint="eastAsia" w:ascii="仿宋" w:hAnsi="仿宋" w:eastAsia="仿宋"/>
          <w:color w:val="auto"/>
          <w:spacing w:val="14"/>
          <w:sz w:val="24"/>
          <w:szCs w:val="24"/>
          <w:lang w:val="en-US" w:eastAsia="zh-CN"/>
        </w:rPr>
        <w:t>3</w:t>
      </w:r>
      <w:r>
        <w:rPr>
          <w:rFonts w:hint="eastAsia" w:ascii="仿宋" w:hAnsi="仿宋" w:eastAsia="仿宋"/>
          <w:color w:val="auto"/>
          <w:spacing w:val="14"/>
          <w:sz w:val="24"/>
          <w:szCs w:val="24"/>
        </w:rPr>
        <w:t>、供应商对所报相关内容的真实性负责，采购代理机构有权将相关内容进行公示，因弄虚作假导致的后果由供应商自行承担。</w:t>
      </w:r>
    </w:p>
    <w:p w14:paraId="722ACADC">
      <w:pPr>
        <w:pStyle w:val="99"/>
        <w:ind w:firstLine="474" w:firstLineChars="200"/>
        <w:rPr>
          <w:rFonts w:hint="eastAsia" w:ascii="仿宋" w:hAnsi="仿宋" w:eastAsia="仿宋"/>
          <w:color w:val="auto"/>
          <w:spacing w:val="14"/>
          <w:sz w:val="24"/>
          <w:szCs w:val="24"/>
        </w:rPr>
      </w:pPr>
    </w:p>
    <w:p w14:paraId="0A295A2D">
      <w:pPr>
        <w:pStyle w:val="99"/>
        <w:ind w:firstLine="0" w:firstLineChars="0"/>
        <w:rPr>
          <w:rFonts w:hint="eastAsia" w:ascii="仿宋" w:hAnsi="仿宋" w:eastAsia="仿宋" w:cs="仿宋"/>
          <w:b/>
          <w:bCs/>
          <w:sz w:val="28"/>
          <w:szCs w:val="28"/>
        </w:rPr>
      </w:pPr>
      <w:bookmarkStart w:id="306" w:name="_Toc256000165"/>
      <w:bookmarkStart w:id="307" w:name="_Toc1246"/>
      <w:bookmarkStart w:id="308" w:name="_Toc31815"/>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6-1：</w:t>
      </w:r>
      <w:r>
        <w:rPr>
          <w:rFonts w:hint="eastAsia" w:ascii="仿宋" w:hAnsi="仿宋" w:eastAsia="仿宋" w:cs="仿宋"/>
          <w:b/>
          <w:bCs/>
          <w:sz w:val="28"/>
          <w:szCs w:val="28"/>
        </w:rPr>
        <w:t>中小微企业声明函</w:t>
      </w:r>
      <w:bookmarkEnd w:id="306"/>
      <w:bookmarkEnd w:id="307"/>
      <w:bookmarkEnd w:id="308"/>
    </w:p>
    <w:p w14:paraId="2ACC1719">
      <w:pPr>
        <w:pStyle w:val="98"/>
        <w:widowControl/>
        <w:ind w:firstLine="482"/>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中小企业（监狱企业、残疾人福利性单位）说明</w:t>
      </w:r>
    </w:p>
    <w:p w14:paraId="0BE0E3BC">
      <w:pPr>
        <w:pStyle w:val="98"/>
        <w:widowControl/>
        <w:jc w:val="center"/>
        <w:rPr>
          <w:rFonts w:hint="eastAsia" w:ascii="仿宋" w:hAnsi="仿宋" w:eastAsia="仿宋" w:cs="仿宋"/>
          <w:spacing w:val="14"/>
          <w:kern w:val="0"/>
          <w:sz w:val="24"/>
          <w:szCs w:val="24"/>
        </w:rPr>
      </w:pPr>
    </w:p>
    <w:p w14:paraId="64106768">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1、</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须在</w:t>
      </w:r>
      <w:r>
        <w:rPr>
          <w:rFonts w:hint="eastAsia" w:ascii="仿宋" w:hAnsi="仿宋" w:eastAsia="仿宋" w:cs="仿宋"/>
          <w:spacing w:val="14"/>
          <w:kern w:val="0"/>
          <w:sz w:val="24"/>
          <w:szCs w:val="24"/>
          <w:lang w:eastAsia="zh-CN"/>
        </w:rPr>
        <w:t>响应文件</w:t>
      </w:r>
      <w:r>
        <w:rPr>
          <w:rFonts w:hint="eastAsia" w:ascii="仿宋" w:hAnsi="仿宋" w:eastAsia="仿宋" w:cs="仿宋"/>
          <w:spacing w:val="14"/>
          <w:kern w:val="0"/>
          <w:sz w:val="24"/>
          <w:szCs w:val="24"/>
        </w:rPr>
        <w:t>中提供《中小企业声明函》；如未按要求提供或相关内容表述不清的或内容不全的，将不予认可。</w:t>
      </w:r>
    </w:p>
    <w:p w14:paraId="028328F7">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2、根据财政部、司法部发布的《关于政府采购支持监狱企业发展有关问题的通知》（财库〔2014〕68号）规定，</w:t>
      </w:r>
      <w:r>
        <w:rPr>
          <w:rFonts w:hint="eastAsia" w:ascii="仿宋" w:hAnsi="仿宋" w:eastAsia="仿宋" w:cs="仿宋"/>
          <w:kern w:val="0"/>
          <w:sz w:val="24"/>
          <w:szCs w:val="24"/>
        </w:rPr>
        <w:t>本项目在评审中对监狱企业视同小型、微型企业，享受价格扣除政策</w:t>
      </w:r>
      <w:r>
        <w:rPr>
          <w:rFonts w:hint="eastAsia" w:ascii="仿宋" w:hAnsi="仿宋" w:eastAsia="仿宋" w:cs="仿宋"/>
          <w:spacing w:val="14"/>
          <w:kern w:val="0"/>
          <w:sz w:val="24"/>
          <w:szCs w:val="24"/>
        </w:rPr>
        <w:t>。监狱企业作为</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须提供由省级以上监狱管理局、戒毒管理局(含新疆生产建设兵团)出具的属于监狱企业的证明文件的扫描件，否则不予认定。</w:t>
      </w:r>
    </w:p>
    <w:p w14:paraId="0D343A9D">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3、根据财政部、民政部、中国残疾人联合会《关于促进残疾人就业政府采购政策的通知》（财库〔2017〕141号）规定，</w:t>
      </w:r>
      <w:r>
        <w:rPr>
          <w:rFonts w:hint="eastAsia" w:ascii="仿宋" w:hAnsi="仿宋" w:eastAsia="仿宋" w:cs="仿宋"/>
          <w:kern w:val="0"/>
          <w:sz w:val="24"/>
          <w:szCs w:val="24"/>
        </w:rPr>
        <w:t>本项目在评审中对残疾人福利性单位视同小型、微型企业，享受价格扣除政策。</w:t>
      </w:r>
      <w:r>
        <w:rPr>
          <w:rFonts w:hint="eastAsia" w:ascii="仿宋" w:hAnsi="仿宋" w:eastAsia="仿宋" w:cs="仿宋"/>
          <w:spacing w:val="14"/>
          <w:kern w:val="0"/>
          <w:sz w:val="24"/>
          <w:szCs w:val="24"/>
        </w:rPr>
        <w:t>残疾人福利性单位作为</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须提供《残疾人福利性单位声明函》，否则不予认定。</w:t>
      </w:r>
    </w:p>
    <w:p w14:paraId="7837FC42">
      <w:pPr>
        <w:pStyle w:val="98"/>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4、</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对所报相关内容的真实性负责，采购代理机构有权将相关内容进行公示，因弄虚作假导致的后果由</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自行承担。</w:t>
      </w:r>
    </w:p>
    <w:p w14:paraId="15CD4234">
      <w:pPr>
        <w:pStyle w:val="98"/>
        <w:widowControl/>
        <w:ind w:firstLine="482"/>
        <w:rPr>
          <w:rFonts w:hint="eastAsia" w:ascii="仿宋" w:hAnsi="仿宋" w:eastAsia="仿宋" w:cs="仿宋"/>
          <w:sz w:val="24"/>
          <w:szCs w:val="24"/>
        </w:rPr>
      </w:pPr>
      <w:r>
        <w:rPr>
          <w:rFonts w:hint="eastAsia" w:ascii="仿宋" w:hAnsi="仿宋" w:eastAsia="仿宋" w:cs="仿宋"/>
          <w:spacing w:val="14"/>
          <w:sz w:val="24"/>
          <w:szCs w:val="24"/>
        </w:rPr>
        <w:t>5、相关证明资料附后。</w:t>
      </w:r>
    </w:p>
    <w:p w14:paraId="060E2757">
      <w:pPr>
        <w:pStyle w:val="100"/>
        <w:outlineLvl w:val="9"/>
        <w:rPr>
          <w:rFonts w:hint="eastAsia" w:ascii="仿宋" w:hAnsi="仿宋" w:eastAsia="仿宋" w:cs="仿宋"/>
          <w:sz w:val="28"/>
          <w:szCs w:val="22"/>
        </w:rPr>
      </w:pPr>
    </w:p>
    <w:p w14:paraId="37C54011">
      <w:pPr>
        <w:pStyle w:val="100"/>
        <w:outlineLvl w:val="9"/>
        <w:rPr>
          <w:rFonts w:hint="eastAsia" w:ascii="仿宋" w:hAnsi="仿宋" w:eastAsia="仿宋" w:cs="仿宋"/>
          <w:sz w:val="28"/>
          <w:szCs w:val="22"/>
        </w:rPr>
      </w:pPr>
    </w:p>
    <w:p w14:paraId="3388B827">
      <w:pPr>
        <w:pStyle w:val="100"/>
        <w:outlineLvl w:val="9"/>
        <w:rPr>
          <w:rFonts w:hint="eastAsia" w:ascii="仿宋" w:hAnsi="仿宋" w:eastAsia="仿宋" w:cs="仿宋"/>
          <w:sz w:val="28"/>
          <w:szCs w:val="22"/>
        </w:rPr>
      </w:pPr>
    </w:p>
    <w:p w14:paraId="4AB8B78E">
      <w:pPr>
        <w:pStyle w:val="100"/>
        <w:outlineLvl w:val="9"/>
        <w:rPr>
          <w:rFonts w:hint="eastAsia" w:ascii="仿宋" w:hAnsi="仿宋" w:eastAsia="仿宋" w:cs="仿宋"/>
          <w:sz w:val="28"/>
          <w:szCs w:val="22"/>
        </w:rPr>
      </w:pPr>
    </w:p>
    <w:p w14:paraId="3335FC1D">
      <w:pPr>
        <w:pStyle w:val="100"/>
        <w:outlineLvl w:val="9"/>
        <w:rPr>
          <w:rFonts w:hint="eastAsia" w:ascii="仿宋" w:hAnsi="仿宋" w:eastAsia="仿宋" w:cs="仿宋"/>
          <w:sz w:val="28"/>
          <w:szCs w:val="22"/>
        </w:rPr>
      </w:pPr>
    </w:p>
    <w:p w14:paraId="041E843F">
      <w:pPr>
        <w:pStyle w:val="100"/>
        <w:outlineLvl w:val="9"/>
        <w:rPr>
          <w:rFonts w:hint="eastAsia" w:ascii="仿宋" w:hAnsi="仿宋" w:eastAsia="仿宋" w:cs="仿宋"/>
          <w:sz w:val="28"/>
          <w:szCs w:val="22"/>
        </w:rPr>
      </w:pPr>
    </w:p>
    <w:p w14:paraId="462F40FF">
      <w:pPr>
        <w:pStyle w:val="100"/>
        <w:outlineLvl w:val="9"/>
        <w:rPr>
          <w:rFonts w:hint="eastAsia" w:ascii="仿宋" w:hAnsi="仿宋" w:eastAsia="仿宋" w:cs="仿宋"/>
          <w:sz w:val="28"/>
          <w:szCs w:val="22"/>
        </w:rPr>
      </w:pPr>
    </w:p>
    <w:p w14:paraId="72C8FFC3">
      <w:pPr>
        <w:pStyle w:val="100"/>
        <w:outlineLvl w:val="9"/>
        <w:rPr>
          <w:rFonts w:hint="eastAsia" w:ascii="仿宋" w:hAnsi="仿宋" w:eastAsia="仿宋" w:cs="仿宋"/>
          <w:sz w:val="28"/>
          <w:szCs w:val="22"/>
        </w:rPr>
      </w:pPr>
    </w:p>
    <w:p w14:paraId="3B0422BD">
      <w:pPr>
        <w:pStyle w:val="100"/>
        <w:outlineLvl w:val="9"/>
        <w:rPr>
          <w:rFonts w:hint="eastAsia" w:ascii="仿宋" w:hAnsi="仿宋" w:eastAsia="仿宋" w:cs="仿宋"/>
          <w:sz w:val="28"/>
          <w:szCs w:val="22"/>
        </w:rPr>
      </w:pPr>
    </w:p>
    <w:p w14:paraId="450CDAD7">
      <w:pPr>
        <w:pStyle w:val="100"/>
        <w:outlineLvl w:val="9"/>
        <w:rPr>
          <w:rFonts w:hint="eastAsia" w:ascii="仿宋" w:hAnsi="仿宋" w:eastAsia="仿宋" w:cs="仿宋"/>
          <w:sz w:val="28"/>
          <w:szCs w:val="22"/>
        </w:rPr>
      </w:pPr>
    </w:p>
    <w:p w14:paraId="12313E02">
      <w:pPr>
        <w:pStyle w:val="100"/>
        <w:outlineLvl w:val="9"/>
        <w:rPr>
          <w:rFonts w:hint="eastAsia" w:ascii="仿宋" w:hAnsi="仿宋" w:eastAsia="仿宋" w:cs="仿宋"/>
          <w:sz w:val="28"/>
          <w:szCs w:val="22"/>
        </w:rPr>
      </w:pPr>
    </w:p>
    <w:p w14:paraId="5FF74EB1">
      <w:pPr>
        <w:pStyle w:val="100"/>
        <w:outlineLvl w:val="9"/>
        <w:rPr>
          <w:rFonts w:hint="eastAsia" w:ascii="仿宋" w:hAnsi="仿宋" w:eastAsia="仿宋" w:cs="仿宋"/>
          <w:sz w:val="28"/>
          <w:szCs w:val="22"/>
        </w:rPr>
      </w:pPr>
    </w:p>
    <w:p w14:paraId="3BACB49A">
      <w:pPr>
        <w:pStyle w:val="100"/>
        <w:outlineLvl w:val="9"/>
        <w:rPr>
          <w:rFonts w:hint="eastAsia" w:ascii="仿宋" w:hAnsi="仿宋" w:eastAsia="仿宋" w:cs="仿宋"/>
          <w:sz w:val="28"/>
          <w:szCs w:val="22"/>
        </w:rPr>
      </w:pPr>
    </w:p>
    <w:p w14:paraId="2DB6F638">
      <w:pPr>
        <w:pStyle w:val="100"/>
        <w:outlineLvl w:val="9"/>
        <w:rPr>
          <w:rFonts w:hint="eastAsia" w:ascii="仿宋" w:hAnsi="仿宋" w:eastAsia="仿宋" w:cs="仿宋"/>
          <w:sz w:val="28"/>
          <w:szCs w:val="22"/>
        </w:rPr>
      </w:pPr>
    </w:p>
    <w:p w14:paraId="6036049E">
      <w:pPr>
        <w:pStyle w:val="101"/>
        <w:jc w:val="center"/>
        <w:rPr>
          <w:rFonts w:hint="eastAsia" w:ascii="仿宋" w:hAnsi="仿宋" w:eastAsia="仿宋" w:cs="仿宋"/>
          <w:spacing w:val="14"/>
          <w:kern w:val="0"/>
          <w:sz w:val="24"/>
          <w:szCs w:val="24"/>
          <w:lang w:val="zh-CN"/>
        </w:rPr>
      </w:pPr>
      <w:r>
        <w:rPr>
          <w:rFonts w:hint="eastAsia" w:ascii="仿宋" w:hAnsi="仿宋" w:eastAsia="仿宋" w:cs="仿宋"/>
          <w:spacing w:val="14"/>
          <w:kern w:val="0"/>
          <w:sz w:val="24"/>
          <w:szCs w:val="24"/>
          <w:lang w:val="zh-CN"/>
        </w:rPr>
        <w:t>中小企业声明函（货物）</w:t>
      </w:r>
    </w:p>
    <w:p w14:paraId="26842DE6">
      <w:pPr>
        <w:pStyle w:val="101"/>
        <w:spacing w:line="240" w:lineRule="auto"/>
        <w:ind w:firstLine="495" w:firstLineChars="237"/>
        <w:rPr>
          <w:rFonts w:hint="eastAsia" w:ascii="仿宋" w:hAnsi="仿宋" w:eastAsia="仿宋" w:cs="仿宋"/>
          <w:sz w:val="24"/>
          <w:szCs w:val="24"/>
          <w:highlight w:val="none"/>
        </w:rPr>
      </w:pPr>
      <w:r>
        <w:rPr>
          <w:rFonts w:hint="eastAsia" w:ascii="仿宋" w:hAnsi="仿宋" w:eastAsia="仿宋" w:cs="仿宋"/>
          <w:sz w:val="24"/>
          <w:szCs w:val="24"/>
          <w:highlight w:val="none"/>
        </w:rPr>
        <w:t>本公司郑重声明，根据《政府采购促进中小企业发展管理办法》（财库﹝2020﹞46号）的规定，本公司参加</w:t>
      </w:r>
      <w:r>
        <w:rPr>
          <w:rFonts w:hint="eastAsia" w:ascii="仿宋" w:hAnsi="仿宋" w:eastAsia="仿宋" w:cs="仿宋"/>
          <w:sz w:val="24"/>
          <w:szCs w:val="24"/>
          <w:highlight w:val="none"/>
          <w:u w:val="single"/>
        </w:rPr>
        <w:t xml:space="preserve">     （采购人名称）</w:t>
      </w:r>
      <w:r>
        <w:rPr>
          <w:rFonts w:hint="eastAsia" w:ascii="仿宋" w:hAnsi="仿宋" w:eastAsia="仿宋" w:cs="仿宋"/>
          <w:sz w:val="24"/>
          <w:szCs w:val="24"/>
          <w:highlight w:val="none"/>
        </w:rPr>
        <w:t>的</w:t>
      </w:r>
      <w:r>
        <w:rPr>
          <w:rFonts w:hint="eastAsia" w:ascii="仿宋" w:hAnsi="仿宋" w:eastAsia="仿宋" w:cs="仿宋"/>
          <w:sz w:val="24"/>
          <w:szCs w:val="24"/>
          <w:highlight w:val="none"/>
          <w:u w:val="single"/>
        </w:rPr>
        <w:t xml:space="preserve">      （项目名称）</w:t>
      </w:r>
      <w:r>
        <w:rPr>
          <w:rFonts w:hint="eastAsia" w:ascii="仿宋" w:hAnsi="仿宋" w:eastAsia="仿宋" w:cs="仿宋"/>
          <w:sz w:val="24"/>
          <w:szCs w:val="24"/>
          <w:highlight w:val="none"/>
        </w:rPr>
        <w:t>采购活动，提供的货物全部由符合政策要求的中小企业</w:t>
      </w:r>
      <w:r>
        <w:rPr>
          <w:rFonts w:hint="eastAsia" w:ascii="仿宋" w:hAnsi="仿宋" w:eastAsia="仿宋" w:cs="仿宋"/>
          <w:sz w:val="24"/>
          <w:szCs w:val="24"/>
          <w:highlight w:val="none"/>
          <w:lang w:eastAsia="zh-CN"/>
        </w:rPr>
        <w:t>制造</w:t>
      </w:r>
      <w:r>
        <w:rPr>
          <w:rFonts w:hint="eastAsia" w:ascii="仿宋" w:hAnsi="仿宋" w:eastAsia="仿宋" w:cs="仿宋"/>
          <w:sz w:val="24"/>
          <w:szCs w:val="24"/>
          <w:highlight w:val="none"/>
        </w:rPr>
        <w:t>。相关企业的具体情况如下：</w:t>
      </w:r>
    </w:p>
    <w:p w14:paraId="23ADC11E">
      <w:pPr>
        <w:pStyle w:val="101"/>
        <w:spacing w:line="240" w:lineRule="auto"/>
        <w:ind w:left="89" w:firstLine="393" w:firstLineChars="188"/>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（标的名称）</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 xml:space="preserve"> </w:t>
      </w:r>
      <w:r>
        <w:rPr>
          <w:rFonts w:hint="eastAsia" w:ascii="仿宋" w:hAnsi="仿宋" w:eastAsia="仿宋" w:cs="仿宋"/>
          <w:spacing w:val="14"/>
          <w:kern w:val="0"/>
          <w:sz w:val="24"/>
          <w:szCs w:val="24"/>
          <w:highlight w:val="none"/>
          <w:u w:val="single"/>
        </w:rPr>
        <w:t>（采购文件中明确的所属行业）</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行业；</w:t>
      </w:r>
      <w:r>
        <w:rPr>
          <w:rFonts w:hint="eastAsia" w:ascii="仿宋" w:hAnsi="仿宋" w:eastAsia="仿宋" w:cs="仿宋"/>
          <w:sz w:val="24"/>
          <w:szCs w:val="24"/>
          <w:highlight w:val="none"/>
          <w:lang w:eastAsia="zh-CN"/>
        </w:rPr>
        <w:t>制造</w:t>
      </w:r>
      <w:r>
        <w:rPr>
          <w:rFonts w:hint="eastAsia" w:ascii="仿宋" w:hAnsi="仿宋" w:eastAsia="仿宋" w:cs="仿宋"/>
          <w:sz w:val="24"/>
          <w:szCs w:val="24"/>
          <w:highlight w:val="none"/>
        </w:rPr>
        <w:t>商为</w:t>
      </w:r>
      <w:r>
        <w:rPr>
          <w:rFonts w:hint="eastAsia" w:ascii="仿宋" w:hAnsi="仿宋" w:eastAsia="仿宋" w:cs="仿宋"/>
          <w:sz w:val="24"/>
          <w:szCs w:val="24"/>
          <w:highlight w:val="none"/>
          <w:u w:val="single"/>
        </w:rPr>
        <w:t xml:space="preserve"> （企业名称）</w:t>
      </w:r>
      <w:r>
        <w:rPr>
          <w:rFonts w:hint="eastAsia" w:ascii="仿宋" w:hAnsi="仿宋" w:eastAsia="仿宋" w:cs="仿宋"/>
          <w:sz w:val="24"/>
          <w:szCs w:val="24"/>
          <w:highlight w:val="none"/>
        </w:rPr>
        <w:t xml:space="preserve">，从业人员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人，营业收入为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（中型企业、小型企业、微型企业）</w:t>
      </w:r>
      <w:r>
        <w:rPr>
          <w:rFonts w:hint="eastAsia" w:ascii="仿宋" w:hAnsi="仿宋" w:eastAsia="仿宋" w:cs="仿宋"/>
          <w:sz w:val="24"/>
          <w:szCs w:val="24"/>
          <w:highlight w:val="none"/>
        </w:rPr>
        <w:t>。</w:t>
      </w:r>
    </w:p>
    <w:p w14:paraId="05818BCD">
      <w:pPr>
        <w:pStyle w:val="101"/>
        <w:spacing w:line="240" w:lineRule="auto"/>
        <w:ind w:left="89" w:firstLine="393" w:firstLineChars="188"/>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（标的名称）</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 xml:space="preserve"> </w:t>
      </w:r>
      <w:r>
        <w:rPr>
          <w:rFonts w:hint="eastAsia" w:ascii="仿宋" w:hAnsi="仿宋" w:eastAsia="仿宋" w:cs="仿宋"/>
          <w:spacing w:val="14"/>
          <w:kern w:val="0"/>
          <w:sz w:val="24"/>
          <w:szCs w:val="24"/>
          <w:highlight w:val="none"/>
          <w:u w:val="single"/>
        </w:rPr>
        <w:t>（采购文件中明确的所属行业）</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行业；</w:t>
      </w:r>
      <w:r>
        <w:rPr>
          <w:rFonts w:hint="eastAsia" w:ascii="仿宋" w:hAnsi="仿宋" w:eastAsia="仿宋" w:cs="仿宋"/>
          <w:sz w:val="24"/>
          <w:szCs w:val="24"/>
          <w:highlight w:val="none"/>
          <w:lang w:eastAsia="zh-CN"/>
        </w:rPr>
        <w:t>制造</w:t>
      </w:r>
      <w:r>
        <w:rPr>
          <w:rFonts w:hint="eastAsia" w:ascii="仿宋" w:hAnsi="仿宋" w:eastAsia="仿宋" w:cs="仿宋"/>
          <w:sz w:val="24"/>
          <w:szCs w:val="24"/>
          <w:highlight w:val="none"/>
        </w:rPr>
        <w:t>商为</w:t>
      </w:r>
      <w:r>
        <w:rPr>
          <w:rFonts w:hint="eastAsia" w:ascii="仿宋" w:hAnsi="仿宋" w:eastAsia="仿宋" w:cs="仿宋"/>
          <w:sz w:val="24"/>
          <w:szCs w:val="24"/>
          <w:highlight w:val="none"/>
          <w:u w:val="single"/>
        </w:rPr>
        <w:t>（企业名称）</w:t>
      </w:r>
      <w:r>
        <w:rPr>
          <w:rFonts w:hint="eastAsia" w:ascii="仿宋" w:hAnsi="仿宋" w:eastAsia="仿宋" w:cs="仿宋"/>
          <w:sz w:val="24"/>
          <w:szCs w:val="24"/>
          <w:highlight w:val="none"/>
        </w:rPr>
        <w:t xml:space="preserve">，从业人员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人，营业收入为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（中型企业、小型企业、微型企业）</w:t>
      </w:r>
      <w:r>
        <w:rPr>
          <w:rFonts w:hint="eastAsia" w:ascii="仿宋" w:hAnsi="仿宋" w:eastAsia="仿宋" w:cs="仿宋"/>
          <w:sz w:val="24"/>
          <w:szCs w:val="24"/>
          <w:highlight w:val="none"/>
        </w:rPr>
        <w:t>。</w:t>
      </w:r>
    </w:p>
    <w:p w14:paraId="4C18F073">
      <w:pPr>
        <w:pStyle w:val="101"/>
        <w:spacing w:line="240" w:lineRule="auto"/>
        <w:ind w:right="-58" w:firstLine="406" w:firstLineChars="200"/>
        <w:rPr>
          <w:rFonts w:hint="eastAsia" w:ascii="仿宋" w:hAnsi="仿宋" w:eastAsia="仿宋" w:cs="仿宋"/>
          <w:spacing w:val="-3"/>
          <w:sz w:val="24"/>
          <w:szCs w:val="24"/>
          <w:highlight w:val="none"/>
        </w:rPr>
      </w:pPr>
      <w:r>
        <w:rPr>
          <w:rFonts w:hint="eastAsia" w:ascii="仿宋" w:hAnsi="仿宋" w:eastAsia="仿宋" w:cs="仿宋"/>
          <w:spacing w:val="-3"/>
          <w:sz w:val="24"/>
          <w:szCs w:val="24"/>
          <w:highlight w:val="none"/>
        </w:rPr>
        <w:t>……</w:t>
      </w:r>
    </w:p>
    <w:p w14:paraId="73D82137">
      <w:pPr>
        <w:pStyle w:val="101"/>
        <w:spacing w:line="240" w:lineRule="auto"/>
        <w:ind w:firstLine="420"/>
        <w:rPr>
          <w:rFonts w:hint="eastAsia" w:ascii="仿宋" w:hAnsi="仿宋" w:eastAsia="仿宋" w:cs="仿宋"/>
          <w:spacing w:val="14"/>
          <w:kern w:val="0"/>
          <w:sz w:val="24"/>
          <w:szCs w:val="24"/>
          <w:highlight w:val="none"/>
          <w:lang w:val="zh-CN"/>
        </w:rPr>
      </w:pPr>
      <w:r>
        <w:rPr>
          <w:rFonts w:hint="eastAsia" w:ascii="仿宋" w:hAnsi="仿宋" w:eastAsia="仿宋" w:cs="仿宋"/>
          <w:spacing w:val="14"/>
          <w:kern w:val="0"/>
          <w:sz w:val="24"/>
          <w:szCs w:val="24"/>
          <w:highlight w:val="none"/>
          <w:lang w:val="zh-CN"/>
        </w:rPr>
        <w:t>以上企业，不属于大企业的分支机构，不存在控股股东为大企业的情形，也不存在与大企业的负责人为同一人的情形。</w:t>
      </w:r>
    </w:p>
    <w:p w14:paraId="4624337A">
      <w:pPr>
        <w:pStyle w:val="101"/>
        <w:spacing w:line="240" w:lineRule="auto"/>
        <w:ind w:firstLine="420"/>
        <w:rPr>
          <w:rFonts w:hint="eastAsia" w:ascii="仿宋" w:hAnsi="仿宋" w:eastAsia="仿宋" w:cs="仿宋"/>
          <w:spacing w:val="14"/>
          <w:kern w:val="0"/>
          <w:sz w:val="24"/>
          <w:szCs w:val="24"/>
          <w:lang w:val="zh-CN"/>
        </w:rPr>
      </w:pPr>
      <w:r>
        <w:rPr>
          <w:rFonts w:hint="eastAsia" w:ascii="仿宋" w:hAnsi="仿宋" w:eastAsia="仿宋" w:cs="仿宋"/>
          <w:spacing w:val="14"/>
          <w:kern w:val="0"/>
          <w:sz w:val="24"/>
          <w:szCs w:val="24"/>
          <w:highlight w:val="none"/>
          <w:lang w:val="zh-CN"/>
        </w:rPr>
        <w:t>本企业对上述声明内容的真实性负责。如有虚假，将依法承担相应责任</w:t>
      </w:r>
      <w:r>
        <w:rPr>
          <w:rFonts w:hint="eastAsia" w:ascii="仿宋" w:hAnsi="仿宋" w:eastAsia="仿宋" w:cs="仿宋"/>
          <w:spacing w:val="14"/>
          <w:kern w:val="0"/>
          <w:sz w:val="24"/>
          <w:szCs w:val="24"/>
          <w:lang w:val="zh-CN"/>
        </w:rPr>
        <w:t>。</w:t>
      </w:r>
    </w:p>
    <w:p w14:paraId="18F31D52">
      <w:pPr>
        <w:pStyle w:val="101"/>
        <w:spacing w:line="240" w:lineRule="auto"/>
        <w:ind w:firstLine="474" w:firstLineChars="200"/>
        <w:rPr>
          <w:rFonts w:hint="eastAsia" w:ascii="仿宋" w:hAnsi="仿宋" w:eastAsia="仿宋" w:cs="仿宋"/>
          <w:spacing w:val="14"/>
          <w:sz w:val="24"/>
          <w:szCs w:val="24"/>
          <w:lang w:val="zh-CN"/>
        </w:rPr>
      </w:pPr>
    </w:p>
    <w:p w14:paraId="18E6FB60">
      <w:pPr>
        <w:pStyle w:val="101"/>
        <w:spacing w:line="240" w:lineRule="auto"/>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供应商（企业电子章）：</w:t>
      </w:r>
    </w:p>
    <w:p w14:paraId="0E65CDDD">
      <w:pPr>
        <w:pStyle w:val="101"/>
        <w:spacing w:line="240" w:lineRule="auto"/>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日期：</w:t>
      </w:r>
    </w:p>
    <w:p w14:paraId="4B24EB02">
      <w:pPr>
        <w:pStyle w:val="101"/>
        <w:spacing w:line="240" w:lineRule="auto"/>
        <w:ind w:firstLine="474" w:firstLineChars="200"/>
        <w:rPr>
          <w:rFonts w:hint="eastAsia" w:ascii="仿宋" w:hAnsi="仿宋" w:eastAsia="仿宋" w:cs="仿宋"/>
          <w:spacing w:val="14"/>
          <w:sz w:val="24"/>
          <w:szCs w:val="24"/>
          <w:lang w:val="zh-CN"/>
        </w:rPr>
      </w:pPr>
    </w:p>
    <w:p w14:paraId="21790FEF">
      <w:pPr>
        <w:pStyle w:val="101"/>
        <w:spacing w:line="240" w:lineRule="auto"/>
        <w:ind w:firstLine="474" w:firstLineChars="200"/>
        <w:rPr>
          <w:rFonts w:hint="eastAsia" w:ascii="仿宋" w:hAnsi="仿宋" w:eastAsia="仿宋" w:cs="仿宋"/>
          <w:spacing w:val="14"/>
          <w:sz w:val="24"/>
          <w:szCs w:val="24"/>
          <w:lang w:val="zh-CN"/>
        </w:rPr>
      </w:pPr>
    </w:p>
    <w:p w14:paraId="7DBF5AFA">
      <w:pPr>
        <w:pStyle w:val="101"/>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注：1、从业人员、营业收入、资产总额填报上一年度数据，无上一年度数据的新成立企业可不填报。</w:t>
      </w:r>
    </w:p>
    <w:p w14:paraId="2A6638C2">
      <w:pPr>
        <w:pStyle w:val="101"/>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en-US" w:eastAsia="zh-CN"/>
        </w:rPr>
        <w:t>2、</w:t>
      </w:r>
      <w:r>
        <w:rPr>
          <w:rFonts w:hint="eastAsia" w:ascii="仿宋" w:hAnsi="仿宋" w:eastAsia="仿宋" w:cs="仿宋"/>
          <w:spacing w:val="14"/>
          <w:sz w:val="24"/>
          <w:szCs w:val="24"/>
          <w:lang w:val="zh-CN"/>
        </w:rPr>
        <w:t>中小企业划分标准见工业和信息化部国家统计局国家发展和改革委员财政部《关于印发中小企业划型标准规定的通知》（工信部联企业〔2011〕300号)。</w:t>
      </w:r>
    </w:p>
    <w:p w14:paraId="7A5532B4">
      <w:pPr>
        <w:pStyle w:val="101"/>
        <w:ind w:firstLine="474" w:firstLineChars="200"/>
        <w:rPr>
          <w:rFonts w:hint="eastAsia" w:ascii="仿宋" w:hAnsi="仿宋" w:eastAsia="仿宋" w:cs="仿宋"/>
          <w:spacing w:val="14"/>
          <w:sz w:val="24"/>
          <w:szCs w:val="24"/>
          <w:lang w:val="zh-CN"/>
        </w:rPr>
      </w:pPr>
      <w:r>
        <w:rPr>
          <w:rFonts w:hint="eastAsia" w:ascii="仿宋" w:hAnsi="仿宋" w:eastAsia="仿宋" w:cs="仿宋"/>
          <w:spacing w:val="14"/>
          <w:sz w:val="24"/>
          <w:szCs w:val="24"/>
          <w:lang w:val="zh-CN"/>
        </w:rPr>
        <w:t>3、供应商应按采购货物清单中所列标的名称逐一列明所属行业。如多个标的名称属于同一个行业且为同一制造商的，可合并到一条中列明，但必须将可合并的标的名称全部列明，不得进行省略或简写。未按要求填写的将不予认可。</w:t>
      </w:r>
    </w:p>
    <w:p w14:paraId="42CDC80E">
      <w:pPr>
        <w:widowControl/>
        <w:jc w:val="left"/>
        <w:outlineLvl w:val="9"/>
        <w:rPr>
          <w:rFonts w:hint="eastAsia" w:ascii="仿宋" w:hAnsi="仿宋" w:eastAsia="仿宋" w:cs="仿宋"/>
          <w:b/>
          <w:kern w:val="0"/>
          <w:sz w:val="28"/>
          <w:szCs w:val="24"/>
          <w:lang w:eastAsia="en-US"/>
        </w:rPr>
      </w:pPr>
    </w:p>
    <w:p w14:paraId="72DDB416">
      <w:pPr>
        <w:widowControl/>
        <w:jc w:val="left"/>
        <w:outlineLvl w:val="9"/>
        <w:rPr>
          <w:rFonts w:hint="eastAsia" w:ascii="仿宋" w:hAnsi="仿宋" w:eastAsia="仿宋" w:cs="仿宋"/>
          <w:b/>
          <w:kern w:val="0"/>
          <w:sz w:val="28"/>
          <w:szCs w:val="24"/>
          <w:lang w:eastAsia="en-US"/>
        </w:rPr>
      </w:pPr>
    </w:p>
    <w:p w14:paraId="08304E64">
      <w:pPr>
        <w:pStyle w:val="2"/>
        <w:rPr>
          <w:rFonts w:hint="eastAsia" w:ascii="仿宋" w:hAnsi="仿宋" w:eastAsia="仿宋" w:cs="仿宋"/>
          <w:b/>
          <w:kern w:val="0"/>
          <w:sz w:val="28"/>
          <w:szCs w:val="24"/>
          <w:lang w:eastAsia="en-US"/>
        </w:rPr>
      </w:pPr>
    </w:p>
    <w:p w14:paraId="3210B071">
      <w:pPr>
        <w:pStyle w:val="2"/>
        <w:rPr>
          <w:rFonts w:hint="eastAsia" w:ascii="仿宋" w:hAnsi="仿宋" w:eastAsia="仿宋" w:cs="仿宋"/>
          <w:b/>
          <w:kern w:val="0"/>
          <w:sz w:val="28"/>
          <w:szCs w:val="24"/>
          <w:lang w:eastAsia="en-US"/>
        </w:rPr>
      </w:pPr>
    </w:p>
    <w:p w14:paraId="498C36BE">
      <w:pPr>
        <w:widowControl/>
        <w:jc w:val="left"/>
        <w:outlineLvl w:val="9"/>
        <w:rPr>
          <w:rFonts w:ascii="宋体" w:hAnsi="宋体" w:cs="宋体"/>
          <w:b/>
          <w:color w:val="auto"/>
          <w:kern w:val="0"/>
          <w:sz w:val="28"/>
          <w:szCs w:val="24"/>
          <w:lang w:eastAsia="en-US"/>
        </w:rPr>
      </w:pPr>
      <w:r>
        <w:rPr>
          <w:rFonts w:hint="eastAsia" w:ascii="仿宋" w:hAnsi="仿宋" w:eastAsia="仿宋" w:cs="仿宋"/>
          <w:b/>
          <w:color w:val="auto"/>
          <w:kern w:val="0"/>
          <w:sz w:val="28"/>
          <w:szCs w:val="24"/>
          <w:lang w:eastAsia="en-US"/>
        </w:rPr>
        <w:t>附件</w:t>
      </w:r>
      <w:r>
        <w:rPr>
          <w:rFonts w:hint="eastAsia" w:ascii="仿宋" w:hAnsi="仿宋" w:eastAsia="仿宋" w:cs="仿宋"/>
          <w:b/>
          <w:color w:val="auto"/>
          <w:kern w:val="0"/>
          <w:sz w:val="28"/>
          <w:szCs w:val="24"/>
          <w:lang w:val="en-US" w:eastAsia="zh-CN"/>
        </w:rPr>
        <w:t>6-2</w:t>
      </w:r>
      <w:r>
        <w:rPr>
          <w:rFonts w:hint="eastAsia" w:ascii="仿宋" w:hAnsi="仿宋" w:eastAsia="仿宋" w:cs="仿宋"/>
          <w:b/>
          <w:color w:val="auto"/>
          <w:kern w:val="0"/>
          <w:sz w:val="28"/>
          <w:szCs w:val="24"/>
          <w:lang w:eastAsia="en-US"/>
        </w:rPr>
        <w:t>:残疾人福利性单位声明函</w:t>
      </w:r>
    </w:p>
    <w:p w14:paraId="35799348">
      <w:pPr>
        <w:jc w:val="center"/>
        <w:rPr>
          <w:rFonts w:ascii="仿宋" w:hAnsi="仿宋" w:eastAsia="仿宋" w:cs="宋体"/>
          <w:spacing w:val="14"/>
          <w:sz w:val="24"/>
          <w:szCs w:val="24"/>
        </w:rPr>
      </w:pPr>
      <w:r>
        <w:rPr>
          <w:rFonts w:hint="eastAsia" w:ascii="仿宋" w:hAnsi="仿宋" w:eastAsia="仿宋" w:cs="宋体"/>
          <w:spacing w:val="14"/>
          <w:sz w:val="24"/>
          <w:szCs w:val="24"/>
        </w:rPr>
        <w:t>残疾人福利性单位声明函</w:t>
      </w:r>
    </w:p>
    <w:p w14:paraId="41E8FC59">
      <w:pPr>
        <w:jc w:val="cente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014218D1">
      <w:pPr>
        <w:ind w:firstLine="420"/>
        <w:rPr>
          <w:rFonts w:hint="eastAsia" w:ascii="仿宋" w:hAnsi="仿宋" w:eastAsia="仿宋" w:cs="宋体"/>
          <w:spacing w:val="14"/>
          <w:sz w:val="24"/>
          <w:szCs w:val="24"/>
        </w:rPr>
      </w:pPr>
      <w:r>
        <w:rPr>
          <w:rFonts w:hint="eastAsia" w:ascii="仿宋" w:hAnsi="仿宋" w:eastAsia="仿宋" w:cs="宋体"/>
          <w:spacing w:val="14"/>
          <w:sz w:val="24"/>
          <w:szCs w:val="24"/>
        </w:rPr>
        <w:t>本单位郑重声明，根据《财政部 民政部 中国残疾人联合会关于促进残疾人就业政府采购政策的通知》（财库〔2017〕 141号）的规定，本单位为</w:t>
      </w:r>
      <w:r>
        <w:rPr>
          <w:rFonts w:hint="eastAsia" w:ascii="仿宋" w:hAnsi="仿宋" w:eastAsia="仿宋" w:cs="宋体"/>
          <w:spacing w:val="14"/>
          <w:sz w:val="24"/>
          <w:szCs w:val="24"/>
          <w:u w:val="single"/>
          <w:lang w:val="en-US" w:eastAsia="zh-CN"/>
        </w:rPr>
        <w:t xml:space="preserve">     </w:t>
      </w:r>
      <w:r>
        <w:rPr>
          <w:rFonts w:hint="eastAsia" w:ascii="仿宋" w:hAnsi="仿宋" w:eastAsia="仿宋" w:cs="宋体"/>
          <w:spacing w:val="14"/>
          <w:sz w:val="24"/>
          <w:szCs w:val="24"/>
        </w:rPr>
        <w:t>条件的残疾人福利性单位，且本单位参加______单位的______项目采购活动提供本单位的服务。</w:t>
      </w:r>
    </w:p>
    <w:p w14:paraId="345F6E7A">
      <w:pPr>
        <w:ind w:firstLine="420"/>
        <w:rPr>
          <w:rFonts w:hint="eastAsia" w:ascii="仿宋" w:hAnsi="仿宋" w:eastAsia="仿宋" w:cs="宋体"/>
          <w:spacing w:val="14"/>
          <w:sz w:val="24"/>
          <w:szCs w:val="24"/>
        </w:rPr>
      </w:pPr>
      <w:r>
        <w:rPr>
          <w:rFonts w:hint="eastAsia" w:ascii="仿宋" w:hAnsi="仿宋" w:eastAsia="仿宋" w:cs="宋体"/>
          <w:spacing w:val="14"/>
          <w:sz w:val="24"/>
          <w:szCs w:val="24"/>
        </w:rPr>
        <w:t>本单位对上述声明的真实性负责。如有虚假，将依法承担相应责任。</w:t>
      </w:r>
    </w:p>
    <w:p w14:paraId="56720D97">
      <w:pP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3E4286FC">
      <w:pPr>
        <w:rPr>
          <w:rFonts w:hint="eastAsia" w:ascii="仿宋" w:hAnsi="仿宋" w:eastAsia="仿宋"/>
          <w:spacing w:val="14"/>
          <w:sz w:val="24"/>
          <w:szCs w:val="24"/>
        </w:rPr>
      </w:pPr>
      <w:r>
        <w:rPr>
          <w:rFonts w:hint="eastAsia" w:ascii="仿宋" w:hAnsi="仿宋" w:eastAsia="仿宋"/>
          <w:spacing w:val="14"/>
          <w:sz w:val="24"/>
          <w:szCs w:val="24"/>
        </w:rPr>
        <w:t xml:space="preserve">                                      </w:t>
      </w:r>
    </w:p>
    <w:p w14:paraId="4787C287">
      <w:pPr>
        <w:jc w:val="right"/>
        <w:rPr>
          <w:rFonts w:hint="eastAsia"/>
          <w:sz w:val="24"/>
          <w:szCs w:val="24"/>
        </w:rPr>
      </w:pPr>
      <w:r>
        <w:rPr>
          <w:rFonts w:hint="eastAsia" w:ascii="仿宋" w:hAnsi="仿宋" w:eastAsia="仿宋"/>
          <w:spacing w:val="14"/>
          <w:sz w:val="24"/>
          <w:szCs w:val="24"/>
        </w:rPr>
        <w:t xml:space="preserve">       供应商（企业电子章）：</w:t>
      </w:r>
    </w:p>
    <w:p w14:paraId="3E2BB738">
      <w:pP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1D6DC916">
      <w:pPr>
        <w:ind w:firstLine="237" w:firstLineChars="100"/>
        <w:rPr>
          <w:rFonts w:hint="eastAsia" w:ascii="仿宋" w:hAnsi="仿宋" w:eastAsia="仿宋" w:cs="宋体"/>
          <w:spacing w:val="14"/>
          <w:sz w:val="24"/>
          <w:szCs w:val="24"/>
          <w:lang w:eastAsia="zh-CN"/>
        </w:rPr>
      </w:pPr>
    </w:p>
    <w:p w14:paraId="24385B05">
      <w:pPr>
        <w:ind w:firstLine="237" w:firstLineChars="100"/>
        <w:rPr>
          <w:rFonts w:hint="eastAsia" w:ascii="仿宋" w:hAnsi="仿宋" w:eastAsia="仿宋" w:cs="宋体"/>
          <w:spacing w:val="14"/>
          <w:sz w:val="24"/>
          <w:szCs w:val="24"/>
          <w:lang w:eastAsia="zh-CN"/>
        </w:rPr>
      </w:pPr>
      <w:r>
        <w:rPr>
          <w:rFonts w:hint="eastAsia" w:ascii="仿宋" w:hAnsi="仿宋" w:eastAsia="仿宋" w:cs="宋体"/>
          <w:spacing w:val="14"/>
          <w:sz w:val="24"/>
          <w:szCs w:val="24"/>
          <w:lang w:eastAsia="zh-CN"/>
        </w:rPr>
        <w:t>（不符合可不填写）</w:t>
      </w:r>
    </w:p>
    <w:p w14:paraId="2ADCC97E">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309" w:name="_Toc10796"/>
      <w:r>
        <w:rPr>
          <w:rFonts w:hint="eastAsia" w:ascii="仿宋" w:hAnsi="仿宋" w:eastAsia="仿宋" w:cs="仿宋"/>
          <w:b/>
          <w:color w:val="auto"/>
          <w:kern w:val="0"/>
          <w:sz w:val="28"/>
          <w:szCs w:val="24"/>
          <w:lang w:eastAsia="en-US"/>
        </w:rPr>
        <w:t>附件</w:t>
      </w:r>
      <w:r>
        <w:rPr>
          <w:rFonts w:hint="eastAsia" w:ascii="仿宋" w:hAnsi="仿宋" w:eastAsia="仿宋" w:cs="仿宋"/>
          <w:b/>
          <w:color w:val="auto"/>
          <w:kern w:val="0"/>
          <w:sz w:val="28"/>
          <w:szCs w:val="24"/>
          <w:lang w:val="en-US" w:eastAsia="zh-CN"/>
        </w:rPr>
        <w:t>6-3</w:t>
      </w:r>
      <w:r>
        <w:rPr>
          <w:rFonts w:hint="eastAsia" w:ascii="仿宋" w:hAnsi="仿宋" w:eastAsia="仿宋" w:cs="仿宋"/>
          <w:b/>
          <w:color w:val="auto"/>
          <w:kern w:val="0"/>
          <w:sz w:val="28"/>
          <w:szCs w:val="24"/>
          <w:lang w:eastAsia="en-US"/>
        </w:rPr>
        <w:t>:监狱企业证明文件</w:t>
      </w:r>
      <w:bookmarkEnd w:id="309"/>
    </w:p>
    <w:p w14:paraId="6E3EEB9A">
      <w:pPr>
        <w:jc w:val="center"/>
        <w:rPr>
          <w:rFonts w:ascii="仿宋" w:hAnsi="仿宋" w:eastAsia="仿宋" w:cs="宋体"/>
          <w:spacing w:val="14"/>
          <w:sz w:val="24"/>
          <w:szCs w:val="24"/>
        </w:rPr>
      </w:pPr>
      <w:r>
        <w:rPr>
          <w:rFonts w:hint="eastAsia" w:ascii="仿宋" w:hAnsi="仿宋" w:eastAsia="仿宋" w:cs="宋体"/>
          <w:spacing w:val="14"/>
          <w:sz w:val="24"/>
          <w:szCs w:val="24"/>
        </w:rPr>
        <w:t>监狱企业证明文件</w:t>
      </w:r>
    </w:p>
    <w:p w14:paraId="12B508EA">
      <w:pPr>
        <w:jc w:val="cente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228125CA">
      <w:pPr>
        <w:ind w:firstLine="420"/>
        <w:rPr>
          <w:rFonts w:hint="eastAsia" w:ascii="仿宋" w:hAnsi="仿宋" w:eastAsia="仿宋" w:cs="宋体"/>
          <w:spacing w:val="14"/>
          <w:sz w:val="24"/>
          <w:szCs w:val="24"/>
        </w:rPr>
      </w:pPr>
      <w:r>
        <w:rPr>
          <w:rFonts w:hint="eastAsia" w:ascii="仿宋" w:hAnsi="仿宋" w:eastAsia="仿宋" w:cs="宋体"/>
          <w:spacing w:val="14"/>
          <w:sz w:val="24"/>
          <w:szCs w:val="24"/>
        </w:rPr>
        <w:t>（监狱企业参加政府采购活动时，应当提供由省级以上监狱管理局、戒毒管理局(含新疆生产建设兵团)出具的属于监狱企业的证明文件。</w:t>
      </w:r>
    </w:p>
    <w:p w14:paraId="0FE7C80E">
      <w:pPr>
        <w:rPr>
          <w:rFonts w:hint="eastAsia" w:ascii="仿宋" w:hAnsi="仿宋" w:eastAsia="仿宋" w:cs="宋体"/>
          <w:spacing w:val="14"/>
          <w:sz w:val="24"/>
          <w:szCs w:val="24"/>
        </w:rPr>
      </w:pPr>
      <w:r>
        <w:rPr>
          <w:rFonts w:hint="eastAsia" w:ascii="仿宋" w:hAnsi="仿宋" w:eastAsia="仿宋" w:cs="宋体"/>
          <w:spacing w:val="14"/>
          <w:sz w:val="24"/>
          <w:szCs w:val="24"/>
        </w:rPr>
        <w:t xml:space="preserve"> </w:t>
      </w:r>
    </w:p>
    <w:p w14:paraId="77B256EF">
      <w:pPr>
        <w:rPr>
          <w:rFonts w:hint="eastAsia" w:ascii="仿宋" w:hAnsi="仿宋" w:eastAsia="仿宋" w:cs="宋体"/>
          <w:spacing w:val="14"/>
          <w:sz w:val="24"/>
          <w:szCs w:val="24"/>
        </w:rPr>
      </w:pPr>
    </w:p>
    <w:p w14:paraId="05E9D6F9">
      <w:pPr>
        <w:rPr>
          <w:rFonts w:hint="eastAsia" w:ascii="仿宋" w:hAnsi="仿宋" w:eastAsia="仿宋" w:cs="宋体"/>
          <w:spacing w:val="14"/>
          <w:sz w:val="24"/>
          <w:szCs w:val="24"/>
        </w:rPr>
      </w:pPr>
      <w:r>
        <w:rPr>
          <w:rFonts w:hint="eastAsia" w:ascii="仿宋" w:hAnsi="仿宋" w:eastAsia="仿宋" w:cs="宋体"/>
          <w:spacing w:val="14"/>
          <w:sz w:val="24"/>
          <w:szCs w:val="24"/>
        </w:rPr>
        <w:t>注：在响应文件中附扫描件</w:t>
      </w:r>
    </w:p>
    <w:p w14:paraId="4EDAECD8">
      <w:pPr>
        <w:rPr>
          <w:rFonts w:hint="eastAsia" w:ascii="仿宋" w:hAnsi="仿宋" w:eastAsia="仿宋" w:cs="宋体"/>
          <w:spacing w:val="14"/>
          <w:sz w:val="24"/>
          <w:szCs w:val="24"/>
        </w:rPr>
      </w:pPr>
    </w:p>
    <w:p w14:paraId="20D50A59">
      <w:pPr>
        <w:rPr>
          <w:rFonts w:hint="eastAsia" w:ascii="仿宋" w:hAnsi="仿宋" w:eastAsia="仿宋" w:cs="宋体"/>
          <w:spacing w:val="14"/>
          <w:sz w:val="24"/>
          <w:szCs w:val="24"/>
        </w:rPr>
      </w:pPr>
    </w:p>
    <w:p w14:paraId="4A449A5A">
      <w:pPr>
        <w:rPr>
          <w:rFonts w:hint="eastAsia" w:ascii="仿宋" w:hAnsi="仿宋" w:eastAsia="仿宋" w:cs="宋体"/>
          <w:spacing w:val="14"/>
          <w:sz w:val="24"/>
          <w:szCs w:val="24"/>
          <w:lang w:eastAsia="zh-CN"/>
        </w:rPr>
      </w:pPr>
      <w:r>
        <w:rPr>
          <w:rFonts w:hint="eastAsia" w:ascii="仿宋" w:hAnsi="仿宋" w:eastAsia="仿宋" w:cs="宋体"/>
          <w:spacing w:val="14"/>
          <w:sz w:val="24"/>
          <w:szCs w:val="24"/>
        </w:rPr>
        <w:t xml:space="preserve"> </w:t>
      </w:r>
      <w:r>
        <w:rPr>
          <w:rFonts w:hint="eastAsia" w:ascii="仿宋" w:hAnsi="仿宋" w:eastAsia="仿宋" w:cs="宋体"/>
          <w:spacing w:val="14"/>
          <w:sz w:val="24"/>
          <w:szCs w:val="24"/>
          <w:lang w:eastAsia="zh-CN"/>
        </w:rPr>
        <w:t>（不符合可不填写）</w:t>
      </w:r>
    </w:p>
    <w:p w14:paraId="4D67E538">
      <w:pPr>
        <w:pStyle w:val="103"/>
        <w:outlineLvl w:val="2"/>
        <w:rPr>
          <w:rFonts w:hint="eastAsia" w:ascii="仿宋" w:hAnsi="仿宋" w:eastAsia="仿宋" w:cs="仿宋"/>
        </w:rPr>
      </w:pPr>
      <w:r>
        <w:rPr>
          <w:rFonts w:ascii="Times New Roman" w:hAnsi="Times New Roman" w:eastAsia="Times New Roman"/>
          <w:kern w:val="0"/>
          <w:sz w:val="24"/>
          <w:szCs w:val="24"/>
          <w:lang w:eastAsia="en-US"/>
        </w:rPr>
        <w:br w:type="page"/>
      </w:r>
      <w:bookmarkStart w:id="310" w:name="_Toc256000168"/>
      <w:bookmarkStart w:id="311" w:name="_Toc20256"/>
      <w:bookmarkStart w:id="312" w:name="_Toc4963"/>
      <w:r>
        <w:rPr>
          <w:rFonts w:hint="eastAsia" w:ascii="仿宋" w:hAnsi="仿宋" w:eastAsia="仿宋" w:cs="仿宋"/>
          <w:sz w:val="28"/>
          <w:szCs w:val="22"/>
          <w:lang w:eastAsia="zh-CN"/>
        </w:rPr>
        <w:t>附件</w:t>
      </w:r>
      <w:r>
        <w:rPr>
          <w:rFonts w:hint="eastAsia" w:ascii="仿宋" w:hAnsi="仿宋" w:eastAsia="仿宋" w:cs="仿宋"/>
          <w:sz w:val="28"/>
          <w:szCs w:val="22"/>
          <w:lang w:val="en-US" w:eastAsia="zh-CN"/>
        </w:rPr>
        <w:t>7：</w:t>
      </w:r>
      <w:r>
        <w:rPr>
          <w:rFonts w:hint="eastAsia" w:ascii="仿宋" w:hAnsi="仿宋" w:eastAsia="仿宋" w:cs="仿宋"/>
          <w:sz w:val="28"/>
          <w:szCs w:val="22"/>
        </w:rPr>
        <w:t>技术要求响应与偏差表</w:t>
      </w:r>
      <w:bookmarkEnd w:id="310"/>
      <w:bookmarkEnd w:id="311"/>
      <w:bookmarkEnd w:id="312"/>
    </w:p>
    <w:p w14:paraId="66298036">
      <w:pPr>
        <w:pStyle w:val="104"/>
        <w:jc w:val="center"/>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技术要求响应与偏差表</w:t>
      </w:r>
    </w:p>
    <w:p w14:paraId="618B9BA9">
      <w:pPr>
        <w:pStyle w:val="104"/>
        <w:widowControl/>
        <w:jc w:val="center"/>
        <w:rPr>
          <w:rFonts w:hint="eastAsia" w:ascii="仿宋" w:hAnsi="仿宋" w:eastAsia="仿宋" w:cs="仿宋"/>
          <w:spacing w:val="14"/>
          <w:kern w:val="0"/>
          <w:sz w:val="24"/>
          <w:szCs w:val="24"/>
        </w:rPr>
      </w:pPr>
    </w:p>
    <w:tbl>
      <w:tblPr>
        <w:tblStyle w:val="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174"/>
        <w:gridCol w:w="1134"/>
        <w:gridCol w:w="993"/>
        <w:gridCol w:w="850"/>
        <w:gridCol w:w="2126"/>
        <w:gridCol w:w="1418"/>
        <w:gridCol w:w="850"/>
      </w:tblGrid>
      <w:tr w14:paraId="1616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noWrap w:val="0"/>
            <w:vAlign w:val="center"/>
          </w:tcPr>
          <w:p w14:paraId="08DEC6AF">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174" w:type="dxa"/>
            <w:vMerge w:val="restart"/>
            <w:noWrap w:val="0"/>
            <w:vAlign w:val="center"/>
          </w:tcPr>
          <w:p w14:paraId="466D9C8A">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1134" w:type="dxa"/>
            <w:vMerge w:val="restart"/>
            <w:noWrap w:val="0"/>
            <w:vAlign w:val="center"/>
          </w:tcPr>
          <w:p w14:paraId="6063D33A">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招标文件技术要求技术参数</w:t>
            </w:r>
          </w:p>
        </w:tc>
        <w:tc>
          <w:tcPr>
            <w:tcW w:w="3969" w:type="dxa"/>
            <w:gridSpan w:val="3"/>
            <w:noWrap w:val="0"/>
            <w:vAlign w:val="center"/>
          </w:tcPr>
          <w:p w14:paraId="60A37688">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投标产品</w:t>
            </w:r>
          </w:p>
        </w:tc>
        <w:tc>
          <w:tcPr>
            <w:tcW w:w="1418" w:type="dxa"/>
            <w:vMerge w:val="restart"/>
            <w:noWrap w:val="0"/>
            <w:vAlign w:val="center"/>
          </w:tcPr>
          <w:p w14:paraId="1807504A">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偏差描述</w:t>
            </w:r>
          </w:p>
        </w:tc>
        <w:tc>
          <w:tcPr>
            <w:tcW w:w="850" w:type="dxa"/>
            <w:vMerge w:val="restart"/>
            <w:noWrap w:val="0"/>
            <w:vAlign w:val="center"/>
          </w:tcPr>
          <w:p w14:paraId="459C9B7C">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结论</w:t>
            </w:r>
          </w:p>
        </w:tc>
      </w:tr>
      <w:tr w14:paraId="46E2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noWrap w:val="0"/>
            <w:vAlign w:val="center"/>
          </w:tcPr>
          <w:p w14:paraId="64A51F37">
            <w:pPr>
              <w:pStyle w:val="104"/>
              <w:jc w:val="center"/>
              <w:rPr>
                <w:rFonts w:hint="eastAsia" w:ascii="仿宋" w:hAnsi="仿宋" w:eastAsia="仿宋" w:cs="仿宋"/>
                <w:kern w:val="0"/>
                <w:sz w:val="24"/>
                <w:szCs w:val="24"/>
              </w:rPr>
            </w:pPr>
          </w:p>
        </w:tc>
        <w:tc>
          <w:tcPr>
            <w:tcW w:w="1174" w:type="dxa"/>
            <w:vMerge w:val="continue"/>
            <w:noWrap w:val="0"/>
            <w:vAlign w:val="center"/>
          </w:tcPr>
          <w:p w14:paraId="7E087B1E">
            <w:pPr>
              <w:pStyle w:val="104"/>
              <w:jc w:val="center"/>
              <w:rPr>
                <w:rFonts w:hint="eastAsia" w:ascii="仿宋" w:hAnsi="仿宋" w:eastAsia="仿宋" w:cs="仿宋"/>
                <w:kern w:val="0"/>
                <w:sz w:val="24"/>
                <w:szCs w:val="24"/>
              </w:rPr>
            </w:pPr>
          </w:p>
        </w:tc>
        <w:tc>
          <w:tcPr>
            <w:tcW w:w="1134" w:type="dxa"/>
            <w:vMerge w:val="continue"/>
            <w:noWrap w:val="0"/>
            <w:vAlign w:val="center"/>
          </w:tcPr>
          <w:p w14:paraId="1792EAE2">
            <w:pPr>
              <w:pStyle w:val="104"/>
              <w:jc w:val="center"/>
              <w:rPr>
                <w:rFonts w:hint="eastAsia" w:ascii="仿宋" w:hAnsi="仿宋" w:eastAsia="仿宋" w:cs="仿宋"/>
                <w:kern w:val="0"/>
                <w:sz w:val="24"/>
                <w:szCs w:val="24"/>
              </w:rPr>
            </w:pPr>
          </w:p>
        </w:tc>
        <w:tc>
          <w:tcPr>
            <w:tcW w:w="993" w:type="dxa"/>
            <w:noWrap w:val="0"/>
            <w:vAlign w:val="center"/>
          </w:tcPr>
          <w:p w14:paraId="5084581C">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制造商名称</w:t>
            </w:r>
          </w:p>
        </w:tc>
        <w:tc>
          <w:tcPr>
            <w:tcW w:w="850" w:type="dxa"/>
            <w:noWrap w:val="0"/>
            <w:vAlign w:val="center"/>
          </w:tcPr>
          <w:p w14:paraId="0E99DC00">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品牌规格型号</w:t>
            </w:r>
          </w:p>
        </w:tc>
        <w:tc>
          <w:tcPr>
            <w:tcW w:w="2126" w:type="dxa"/>
            <w:noWrap w:val="0"/>
            <w:vAlign w:val="center"/>
          </w:tcPr>
          <w:p w14:paraId="131BDE9F">
            <w:pPr>
              <w:pStyle w:val="104"/>
              <w:jc w:val="center"/>
              <w:rPr>
                <w:rFonts w:hint="eastAsia" w:ascii="仿宋" w:hAnsi="仿宋" w:eastAsia="仿宋" w:cs="仿宋"/>
                <w:kern w:val="0"/>
                <w:sz w:val="24"/>
                <w:szCs w:val="24"/>
              </w:rPr>
            </w:pPr>
            <w:r>
              <w:rPr>
                <w:rFonts w:hint="eastAsia" w:ascii="仿宋" w:hAnsi="仿宋" w:eastAsia="仿宋" w:cs="仿宋"/>
                <w:kern w:val="0"/>
                <w:sz w:val="24"/>
                <w:szCs w:val="24"/>
              </w:rPr>
              <w:t>产品实际技术参数</w:t>
            </w:r>
          </w:p>
        </w:tc>
        <w:tc>
          <w:tcPr>
            <w:tcW w:w="1418" w:type="dxa"/>
            <w:vMerge w:val="continue"/>
            <w:noWrap w:val="0"/>
            <w:vAlign w:val="center"/>
          </w:tcPr>
          <w:p w14:paraId="5CBABFB1">
            <w:pPr>
              <w:pStyle w:val="104"/>
              <w:jc w:val="center"/>
              <w:rPr>
                <w:rFonts w:hint="eastAsia" w:ascii="仿宋" w:hAnsi="仿宋" w:eastAsia="仿宋" w:cs="仿宋"/>
                <w:kern w:val="0"/>
                <w:sz w:val="24"/>
                <w:szCs w:val="24"/>
              </w:rPr>
            </w:pPr>
          </w:p>
        </w:tc>
        <w:tc>
          <w:tcPr>
            <w:tcW w:w="850" w:type="dxa"/>
            <w:vMerge w:val="continue"/>
            <w:noWrap w:val="0"/>
            <w:vAlign w:val="center"/>
          </w:tcPr>
          <w:p w14:paraId="19C006DF">
            <w:pPr>
              <w:pStyle w:val="104"/>
              <w:jc w:val="center"/>
              <w:rPr>
                <w:rFonts w:hint="eastAsia" w:ascii="仿宋" w:hAnsi="仿宋" w:eastAsia="仿宋" w:cs="仿宋"/>
                <w:kern w:val="0"/>
                <w:sz w:val="24"/>
                <w:szCs w:val="24"/>
              </w:rPr>
            </w:pPr>
          </w:p>
        </w:tc>
      </w:tr>
      <w:tr w14:paraId="094C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6F85DE29">
            <w:pPr>
              <w:pStyle w:val="104"/>
              <w:rPr>
                <w:rFonts w:hint="eastAsia" w:ascii="仿宋" w:hAnsi="仿宋" w:eastAsia="仿宋" w:cs="仿宋"/>
                <w:kern w:val="0"/>
                <w:sz w:val="24"/>
                <w:szCs w:val="24"/>
              </w:rPr>
            </w:pPr>
          </w:p>
        </w:tc>
        <w:tc>
          <w:tcPr>
            <w:tcW w:w="1174" w:type="dxa"/>
            <w:noWrap w:val="0"/>
            <w:vAlign w:val="top"/>
          </w:tcPr>
          <w:p w14:paraId="0C61D9F9">
            <w:pPr>
              <w:pStyle w:val="104"/>
              <w:rPr>
                <w:rFonts w:hint="eastAsia" w:ascii="仿宋" w:hAnsi="仿宋" w:eastAsia="仿宋" w:cs="仿宋"/>
                <w:kern w:val="0"/>
                <w:sz w:val="24"/>
                <w:szCs w:val="24"/>
              </w:rPr>
            </w:pPr>
          </w:p>
        </w:tc>
        <w:tc>
          <w:tcPr>
            <w:tcW w:w="1134" w:type="dxa"/>
            <w:noWrap w:val="0"/>
            <w:vAlign w:val="top"/>
          </w:tcPr>
          <w:p w14:paraId="7E648D11">
            <w:pPr>
              <w:pStyle w:val="104"/>
              <w:rPr>
                <w:rFonts w:hint="eastAsia" w:ascii="仿宋" w:hAnsi="仿宋" w:eastAsia="仿宋" w:cs="仿宋"/>
                <w:kern w:val="0"/>
                <w:sz w:val="24"/>
                <w:szCs w:val="24"/>
              </w:rPr>
            </w:pPr>
          </w:p>
        </w:tc>
        <w:tc>
          <w:tcPr>
            <w:tcW w:w="993" w:type="dxa"/>
            <w:noWrap w:val="0"/>
            <w:vAlign w:val="top"/>
          </w:tcPr>
          <w:p w14:paraId="4123679B">
            <w:pPr>
              <w:pStyle w:val="104"/>
              <w:rPr>
                <w:rFonts w:hint="eastAsia" w:ascii="仿宋" w:hAnsi="仿宋" w:eastAsia="仿宋" w:cs="仿宋"/>
                <w:kern w:val="0"/>
                <w:sz w:val="24"/>
                <w:szCs w:val="24"/>
              </w:rPr>
            </w:pPr>
          </w:p>
        </w:tc>
        <w:tc>
          <w:tcPr>
            <w:tcW w:w="850" w:type="dxa"/>
            <w:noWrap w:val="0"/>
            <w:vAlign w:val="top"/>
          </w:tcPr>
          <w:p w14:paraId="4673C209">
            <w:pPr>
              <w:pStyle w:val="104"/>
              <w:rPr>
                <w:rFonts w:hint="eastAsia" w:ascii="仿宋" w:hAnsi="仿宋" w:eastAsia="仿宋" w:cs="仿宋"/>
                <w:kern w:val="0"/>
                <w:sz w:val="24"/>
                <w:szCs w:val="24"/>
              </w:rPr>
            </w:pPr>
          </w:p>
        </w:tc>
        <w:tc>
          <w:tcPr>
            <w:tcW w:w="2126" w:type="dxa"/>
            <w:noWrap w:val="0"/>
            <w:vAlign w:val="top"/>
          </w:tcPr>
          <w:p w14:paraId="26583DA2">
            <w:pPr>
              <w:pStyle w:val="104"/>
              <w:rPr>
                <w:rFonts w:hint="eastAsia" w:ascii="仿宋" w:hAnsi="仿宋" w:eastAsia="仿宋" w:cs="仿宋"/>
                <w:kern w:val="0"/>
                <w:sz w:val="24"/>
                <w:szCs w:val="24"/>
              </w:rPr>
            </w:pPr>
          </w:p>
        </w:tc>
        <w:tc>
          <w:tcPr>
            <w:tcW w:w="1418" w:type="dxa"/>
            <w:noWrap w:val="0"/>
            <w:vAlign w:val="top"/>
          </w:tcPr>
          <w:p w14:paraId="6CE64DFA">
            <w:pPr>
              <w:pStyle w:val="104"/>
              <w:rPr>
                <w:rFonts w:hint="eastAsia" w:ascii="仿宋" w:hAnsi="仿宋" w:eastAsia="仿宋" w:cs="仿宋"/>
                <w:kern w:val="0"/>
                <w:sz w:val="24"/>
                <w:szCs w:val="24"/>
              </w:rPr>
            </w:pPr>
          </w:p>
        </w:tc>
        <w:tc>
          <w:tcPr>
            <w:tcW w:w="850" w:type="dxa"/>
            <w:noWrap w:val="0"/>
            <w:vAlign w:val="top"/>
          </w:tcPr>
          <w:p w14:paraId="5F3EDFC4">
            <w:pPr>
              <w:pStyle w:val="104"/>
              <w:rPr>
                <w:rFonts w:hint="eastAsia" w:ascii="仿宋" w:hAnsi="仿宋" w:eastAsia="仿宋" w:cs="仿宋"/>
                <w:kern w:val="0"/>
                <w:sz w:val="24"/>
                <w:szCs w:val="24"/>
              </w:rPr>
            </w:pPr>
          </w:p>
        </w:tc>
      </w:tr>
      <w:tr w14:paraId="0B9B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12D402EE">
            <w:pPr>
              <w:pStyle w:val="104"/>
              <w:rPr>
                <w:rFonts w:hint="eastAsia" w:ascii="仿宋" w:hAnsi="仿宋" w:eastAsia="仿宋" w:cs="仿宋"/>
                <w:kern w:val="0"/>
                <w:sz w:val="24"/>
                <w:szCs w:val="24"/>
              </w:rPr>
            </w:pPr>
          </w:p>
        </w:tc>
        <w:tc>
          <w:tcPr>
            <w:tcW w:w="1174" w:type="dxa"/>
            <w:noWrap w:val="0"/>
            <w:vAlign w:val="top"/>
          </w:tcPr>
          <w:p w14:paraId="278CE0CB">
            <w:pPr>
              <w:pStyle w:val="104"/>
              <w:rPr>
                <w:rFonts w:hint="eastAsia" w:ascii="仿宋" w:hAnsi="仿宋" w:eastAsia="仿宋" w:cs="仿宋"/>
                <w:kern w:val="0"/>
                <w:sz w:val="24"/>
                <w:szCs w:val="24"/>
              </w:rPr>
            </w:pPr>
          </w:p>
        </w:tc>
        <w:tc>
          <w:tcPr>
            <w:tcW w:w="1134" w:type="dxa"/>
            <w:noWrap w:val="0"/>
            <w:vAlign w:val="top"/>
          </w:tcPr>
          <w:p w14:paraId="136D213D">
            <w:pPr>
              <w:pStyle w:val="104"/>
              <w:rPr>
                <w:rFonts w:hint="eastAsia" w:ascii="仿宋" w:hAnsi="仿宋" w:eastAsia="仿宋" w:cs="仿宋"/>
                <w:kern w:val="0"/>
                <w:sz w:val="24"/>
                <w:szCs w:val="24"/>
              </w:rPr>
            </w:pPr>
          </w:p>
        </w:tc>
        <w:tc>
          <w:tcPr>
            <w:tcW w:w="993" w:type="dxa"/>
            <w:noWrap w:val="0"/>
            <w:vAlign w:val="top"/>
          </w:tcPr>
          <w:p w14:paraId="595026CB">
            <w:pPr>
              <w:pStyle w:val="104"/>
              <w:rPr>
                <w:rFonts w:hint="eastAsia" w:ascii="仿宋" w:hAnsi="仿宋" w:eastAsia="仿宋" w:cs="仿宋"/>
                <w:kern w:val="0"/>
                <w:sz w:val="24"/>
                <w:szCs w:val="24"/>
              </w:rPr>
            </w:pPr>
          </w:p>
        </w:tc>
        <w:tc>
          <w:tcPr>
            <w:tcW w:w="850" w:type="dxa"/>
            <w:noWrap w:val="0"/>
            <w:vAlign w:val="top"/>
          </w:tcPr>
          <w:p w14:paraId="1A06CF8B">
            <w:pPr>
              <w:pStyle w:val="104"/>
              <w:rPr>
                <w:rFonts w:hint="eastAsia" w:ascii="仿宋" w:hAnsi="仿宋" w:eastAsia="仿宋" w:cs="仿宋"/>
                <w:kern w:val="0"/>
                <w:sz w:val="24"/>
                <w:szCs w:val="24"/>
              </w:rPr>
            </w:pPr>
          </w:p>
        </w:tc>
        <w:tc>
          <w:tcPr>
            <w:tcW w:w="2126" w:type="dxa"/>
            <w:noWrap w:val="0"/>
            <w:vAlign w:val="top"/>
          </w:tcPr>
          <w:p w14:paraId="7C67D8B6">
            <w:pPr>
              <w:pStyle w:val="104"/>
              <w:rPr>
                <w:rFonts w:hint="eastAsia" w:ascii="仿宋" w:hAnsi="仿宋" w:eastAsia="仿宋" w:cs="仿宋"/>
                <w:kern w:val="0"/>
                <w:sz w:val="24"/>
                <w:szCs w:val="24"/>
              </w:rPr>
            </w:pPr>
          </w:p>
        </w:tc>
        <w:tc>
          <w:tcPr>
            <w:tcW w:w="1418" w:type="dxa"/>
            <w:noWrap w:val="0"/>
            <w:vAlign w:val="top"/>
          </w:tcPr>
          <w:p w14:paraId="6A3B6B21">
            <w:pPr>
              <w:pStyle w:val="104"/>
              <w:rPr>
                <w:rFonts w:hint="eastAsia" w:ascii="仿宋" w:hAnsi="仿宋" w:eastAsia="仿宋" w:cs="仿宋"/>
                <w:kern w:val="0"/>
                <w:sz w:val="24"/>
                <w:szCs w:val="24"/>
              </w:rPr>
            </w:pPr>
          </w:p>
        </w:tc>
        <w:tc>
          <w:tcPr>
            <w:tcW w:w="850" w:type="dxa"/>
            <w:noWrap w:val="0"/>
            <w:vAlign w:val="top"/>
          </w:tcPr>
          <w:p w14:paraId="6E37D281">
            <w:pPr>
              <w:pStyle w:val="104"/>
              <w:rPr>
                <w:rFonts w:hint="eastAsia" w:ascii="仿宋" w:hAnsi="仿宋" w:eastAsia="仿宋" w:cs="仿宋"/>
                <w:kern w:val="0"/>
                <w:sz w:val="24"/>
                <w:szCs w:val="24"/>
              </w:rPr>
            </w:pPr>
          </w:p>
        </w:tc>
      </w:tr>
      <w:tr w14:paraId="6392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2BA36DDB">
            <w:pPr>
              <w:pStyle w:val="104"/>
              <w:rPr>
                <w:rFonts w:hint="eastAsia" w:ascii="仿宋" w:hAnsi="仿宋" w:eastAsia="仿宋" w:cs="仿宋"/>
                <w:kern w:val="0"/>
                <w:sz w:val="24"/>
                <w:szCs w:val="24"/>
              </w:rPr>
            </w:pPr>
          </w:p>
        </w:tc>
        <w:tc>
          <w:tcPr>
            <w:tcW w:w="1174" w:type="dxa"/>
            <w:noWrap w:val="0"/>
            <w:vAlign w:val="top"/>
          </w:tcPr>
          <w:p w14:paraId="79DF46AD">
            <w:pPr>
              <w:pStyle w:val="104"/>
              <w:rPr>
                <w:rFonts w:hint="eastAsia" w:ascii="仿宋" w:hAnsi="仿宋" w:eastAsia="仿宋" w:cs="仿宋"/>
                <w:kern w:val="0"/>
                <w:sz w:val="24"/>
                <w:szCs w:val="24"/>
              </w:rPr>
            </w:pPr>
          </w:p>
        </w:tc>
        <w:tc>
          <w:tcPr>
            <w:tcW w:w="1134" w:type="dxa"/>
            <w:noWrap w:val="0"/>
            <w:vAlign w:val="top"/>
          </w:tcPr>
          <w:p w14:paraId="2DEE910C">
            <w:pPr>
              <w:pStyle w:val="104"/>
              <w:rPr>
                <w:rFonts w:hint="eastAsia" w:ascii="仿宋" w:hAnsi="仿宋" w:eastAsia="仿宋" w:cs="仿宋"/>
                <w:kern w:val="0"/>
                <w:sz w:val="24"/>
                <w:szCs w:val="24"/>
              </w:rPr>
            </w:pPr>
          </w:p>
        </w:tc>
        <w:tc>
          <w:tcPr>
            <w:tcW w:w="993" w:type="dxa"/>
            <w:noWrap w:val="0"/>
            <w:vAlign w:val="top"/>
          </w:tcPr>
          <w:p w14:paraId="745FD9B1">
            <w:pPr>
              <w:pStyle w:val="104"/>
              <w:rPr>
                <w:rFonts w:hint="eastAsia" w:ascii="仿宋" w:hAnsi="仿宋" w:eastAsia="仿宋" w:cs="仿宋"/>
                <w:kern w:val="0"/>
                <w:sz w:val="24"/>
                <w:szCs w:val="24"/>
              </w:rPr>
            </w:pPr>
          </w:p>
        </w:tc>
        <w:tc>
          <w:tcPr>
            <w:tcW w:w="850" w:type="dxa"/>
            <w:noWrap w:val="0"/>
            <w:vAlign w:val="top"/>
          </w:tcPr>
          <w:p w14:paraId="2640A338">
            <w:pPr>
              <w:pStyle w:val="104"/>
              <w:rPr>
                <w:rFonts w:hint="eastAsia" w:ascii="仿宋" w:hAnsi="仿宋" w:eastAsia="仿宋" w:cs="仿宋"/>
                <w:kern w:val="0"/>
                <w:sz w:val="24"/>
                <w:szCs w:val="24"/>
              </w:rPr>
            </w:pPr>
          </w:p>
        </w:tc>
        <w:tc>
          <w:tcPr>
            <w:tcW w:w="2126" w:type="dxa"/>
            <w:noWrap w:val="0"/>
            <w:vAlign w:val="top"/>
          </w:tcPr>
          <w:p w14:paraId="6D53B0F7">
            <w:pPr>
              <w:pStyle w:val="104"/>
              <w:rPr>
                <w:rFonts w:hint="eastAsia" w:ascii="仿宋" w:hAnsi="仿宋" w:eastAsia="仿宋" w:cs="仿宋"/>
                <w:kern w:val="0"/>
                <w:sz w:val="24"/>
                <w:szCs w:val="24"/>
              </w:rPr>
            </w:pPr>
          </w:p>
        </w:tc>
        <w:tc>
          <w:tcPr>
            <w:tcW w:w="1418" w:type="dxa"/>
            <w:noWrap w:val="0"/>
            <w:vAlign w:val="top"/>
          </w:tcPr>
          <w:p w14:paraId="503ADC07">
            <w:pPr>
              <w:pStyle w:val="104"/>
              <w:rPr>
                <w:rFonts w:hint="eastAsia" w:ascii="仿宋" w:hAnsi="仿宋" w:eastAsia="仿宋" w:cs="仿宋"/>
                <w:kern w:val="0"/>
                <w:sz w:val="24"/>
                <w:szCs w:val="24"/>
              </w:rPr>
            </w:pPr>
          </w:p>
        </w:tc>
        <w:tc>
          <w:tcPr>
            <w:tcW w:w="850" w:type="dxa"/>
            <w:noWrap w:val="0"/>
            <w:vAlign w:val="top"/>
          </w:tcPr>
          <w:p w14:paraId="468C3E0E">
            <w:pPr>
              <w:pStyle w:val="104"/>
              <w:rPr>
                <w:rFonts w:hint="eastAsia" w:ascii="仿宋" w:hAnsi="仿宋" w:eastAsia="仿宋" w:cs="仿宋"/>
                <w:kern w:val="0"/>
                <w:sz w:val="24"/>
                <w:szCs w:val="24"/>
              </w:rPr>
            </w:pPr>
          </w:p>
        </w:tc>
      </w:tr>
      <w:tr w14:paraId="283E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noWrap w:val="0"/>
            <w:vAlign w:val="top"/>
          </w:tcPr>
          <w:p w14:paraId="15517911">
            <w:pPr>
              <w:pStyle w:val="104"/>
              <w:rPr>
                <w:rFonts w:hint="eastAsia" w:ascii="仿宋" w:hAnsi="仿宋" w:eastAsia="仿宋" w:cs="仿宋"/>
                <w:kern w:val="0"/>
                <w:sz w:val="24"/>
                <w:szCs w:val="24"/>
              </w:rPr>
            </w:pPr>
          </w:p>
        </w:tc>
        <w:tc>
          <w:tcPr>
            <w:tcW w:w="1174" w:type="dxa"/>
            <w:noWrap w:val="0"/>
            <w:vAlign w:val="top"/>
          </w:tcPr>
          <w:p w14:paraId="45181E94">
            <w:pPr>
              <w:pStyle w:val="104"/>
              <w:rPr>
                <w:rFonts w:hint="eastAsia" w:ascii="仿宋" w:hAnsi="仿宋" w:eastAsia="仿宋" w:cs="仿宋"/>
                <w:kern w:val="0"/>
                <w:sz w:val="24"/>
                <w:szCs w:val="24"/>
              </w:rPr>
            </w:pPr>
          </w:p>
        </w:tc>
        <w:tc>
          <w:tcPr>
            <w:tcW w:w="1134" w:type="dxa"/>
            <w:noWrap w:val="0"/>
            <w:vAlign w:val="top"/>
          </w:tcPr>
          <w:p w14:paraId="251561E6">
            <w:pPr>
              <w:pStyle w:val="104"/>
              <w:rPr>
                <w:rFonts w:hint="eastAsia" w:ascii="仿宋" w:hAnsi="仿宋" w:eastAsia="仿宋" w:cs="仿宋"/>
                <w:kern w:val="0"/>
                <w:sz w:val="24"/>
                <w:szCs w:val="24"/>
              </w:rPr>
            </w:pPr>
          </w:p>
        </w:tc>
        <w:tc>
          <w:tcPr>
            <w:tcW w:w="993" w:type="dxa"/>
            <w:noWrap w:val="0"/>
            <w:vAlign w:val="top"/>
          </w:tcPr>
          <w:p w14:paraId="572E583D">
            <w:pPr>
              <w:pStyle w:val="104"/>
              <w:rPr>
                <w:rFonts w:hint="eastAsia" w:ascii="仿宋" w:hAnsi="仿宋" w:eastAsia="仿宋" w:cs="仿宋"/>
                <w:kern w:val="0"/>
                <w:sz w:val="24"/>
                <w:szCs w:val="24"/>
              </w:rPr>
            </w:pPr>
          </w:p>
        </w:tc>
        <w:tc>
          <w:tcPr>
            <w:tcW w:w="850" w:type="dxa"/>
            <w:noWrap w:val="0"/>
            <w:vAlign w:val="top"/>
          </w:tcPr>
          <w:p w14:paraId="067CC877">
            <w:pPr>
              <w:pStyle w:val="104"/>
              <w:rPr>
                <w:rFonts w:hint="eastAsia" w:ascii="仿宋" w:hAnsi="仿宋" w:eastAsia="仿宋" w:cs="仿宋"/>
                <w:kern w:val="0"/>
                <w:sz w:val="24"/>
                <w:szCs w:val="24"/>
              </w:rPr>
            </w:pPr>
          </w:p>
        </w:tc>
        <w:tc>
          <w:tcPr>
            <w:tcW w:w="2126" w:type="dxa"/>
            <w:noWrap w:val="0"/>
            <w:vAlign w:val="top"/>
          </w:tcPr>
          <w:p w14:paraId="02FB5274">
            <w:pPr>
              <w:pStyle w:val="104"/>
              <w:rPr>
                <w:rFonts w:hint="eastAsia" w:ascii="仿宋" w:hAnsi="仿宋" w:eastAsia="仿宋" w:cs="仿宋"/>
                <w:kern w:val="0"/>
                <w:sz w:val="24"/>
                <w:szCs w:val="24"/>
              </w:rPr>
            </w:pPr>
          </w:p>
        </w:tc>
        <w:tc>
          <w:tcPr>
            <w:tcW w:w="1418" w:type="dxa"/>
            <w:noWrap w:val="0"/>
            <w:vAlign w:val="top"/>
          </w:tcPr>
          <w:p w14:paraId="1FD859B2">
            <w:pPr>
              <w:pStyle w:val="104"/>
              <w:rPr>
                <w:rFonts w:hint="eastAsia" w:ascii="仿宋" w:hAnsi="仿宋" w:eastAsia="仿宋" w:cs="仿宋"/>
                <w:kern w:val="0"/>
                <w:sz w:val="24"/>
                <w:szCs w:val="24"/>
              </w:rPr>
            </w:pPr>
          </w:p>
        </w:tc>
        <w:tc>
          <w:tcPr>
            <w:tcW w:w="850" w:type="dxa"/>
            <w:noWrap w:val="0"/>
            <w:vAlign w:val="top"/>
          </w:tcPr>
          <w:p w14:paraId="0C9BE036">
            <w:pPr>
              <w:pStyle w:val="104"/>
              <w:rPr>
                <w:rFonts w:hint="eastAsia" w:ascii="仿宋" w:hAnsi="仿宋" w:eastAsia="仿宋" w:cs="仿宋"/>
                <w:kern w:val="0"/>
                <w:sz w:val="24"/>
                <w:szCs w:val="24"/>
              </w:rPr>
            </w:pPr>
          </w:p>
        </w:tc>
      </w:tr>
    </w:tbl>
    <w:p w14:paraId="1DF53B94">
      <w:pPr>
        <w:pStyle w:val="104"/>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 xml:space="preserve">（企业电子章）：                                           </w:t>
      </w:r>
    </w:p>
    <w:p w14:paraId="296AF15C">
      <w:pPr>
        <w:pStyle w:val="104"/>
        <w:widowControl/>
        <w:rPr>
          <w:rFonts w:hint="eastAsia" w:ascii="仿宋" w:hAnsi="仿宋" w:eastAsia="仿宋" w:cs="仿宋"/>
          <w:spacing w:val="14"/>
          <w:kern w:val="0"/>
          <w:sz w:val="24"/>
          <w:szCs w:val="24"/>
        </w:rPr>
      </w:pPr>
    </w:p>
    <w:p w14:paraId="5BB4BE27">
      <w:pPr>
        <w:pStyle w:val="104"/>
        <w:widowControl/>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注：</w:t>
      </w:r>
    </w:p>
    <w:p w14:paraId="222B47BE">
      <w:pPr>
        <w:pStyle w:val="104"/>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1、</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应根据招标要求逐条逐项表述说明投标响应情况。</w:t>
      </w:r>
    </w:p>
    <w:p w14:paraId="74619BC0">
      <w:pPr>
        <w:pStyle w:val="104"/>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2、</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提交的</w:t>
      </w:r>
      <w:r>
        <w:rPr>
          <w:rFonts w:hint="eastAsia" w:ascii="仿宋" w:hAnsi="仿宋" w:eastAsia="仿宋" w:cs="仿宋"/>
          <w:spacing w:val="14"/>
          <w:kern w:val="0"/>
          <w:sz w:val="24"/>
          <w:szCs w:val="24"/>
          <w:lang w:eastAsia="zh-CN"/>
        </w:rPr>
        <w:t>响应文件</w:t>
      </w:r>
      <w:r>
        <w:rPr>
          <w:rFonts w:hint="eastAsia" w:ascii="仿宋" w:hAnsi="仿宋" w:eastAsia="仿宋" w:cs="仿宋"/>
          <w:spacing w:val="14"/>
          <w:kern w:val="0"/>
          <w:sz w:val="24"/>
          <w:szCs w:val="24"/>
        </w:rPr>
        <w:t>中的技术参数与招标文件的技术要求、技术参数不同时，应逐条逐项如实填列在偏离表中。</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不如实填写偏离情况、存在弄虚作假行为的，将依法承担相应的法律责任。</w:t>
      </w:r>
    </w:p>
    <w:p w14:paraId="461E327C">
      <w:pPr>
        <w:pStyle w:val="104"/>
        <w:widowControl/>
        <w:ind w:firstLine="482"/>
        <w:rPr>
          <w:rFonts w:hint="eastAsia" w:ascii="仿宋" w:hAnsi="仿宋" w:eastAsia="仿宋" w:cs="仿宋"/>
          <w:spacing w:val="14"/>
          <w:kern w:val="0"/>
          <w:sz w:val="24"/>
          <w:szCs w:val="24"/>
        </w:rPr>
      </w:pPr>
      <w:r>
        <w:rPr>
          <w:rFonts w:hint="eastAsia" w:ascii="仿宋" w:hAnsi="仿宋" w:eastAsia="仿宋" w:cs="仿宋"/>
          <w:spacing w:val="14"/>
          <w:kern w:val="0"/>
          <w:sz w:val="24"/>
          <w:szCs w:val="24"/>
        </w:rPr>
        <w:t>3、</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应结合所投产品说明或描述其实际技术参数和性能。如果完全复制粘贴本招标文件《招标货物清单及技术要求》之技术参数和性能描述，或者只注明“符合”、“满足”等类似无具体内容的表述，因此而产生的不利于</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的评审风险由</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自行承担。</w:t>
      </w:r>
    </w:p>
    <w:p w14:paraId="6375B943">
      <w:pPr>
        <w:pStyle w:val="104"/>
        <w:widowControl/>
        <w:ind w:firstLine="420"/>
        <w:rPr>
          <w:rFonts w:hint="eastAsia" w:ascii="仿宋" w:hAnsi="仿宋" w:eastAsia="仿宋" w:cs="仿宋"/>
          <w:b/>
          <w:bCs/>
          <w:kern w:val="0"/>
          <w:sz w:val="24"/>
          <w:szCs w:val="24"/>
        </w:rPr>
      </w:pPr>
      <w:r>
        <w:rPr>
          <w:rFonts w:hint="eastAsia" w:ascii="仿宋" w:hAnsi="仿宋" w:eastAsia="仿宋" w:cs="仿宋"/>
          <w:spacing w:val="14"/>
          <w:kern w:val="0"/>
          <w:sz w:val="24"/>
          <w:szCs w:val="24"/>
        </w:rPr>
        <w:t>4、</w:t>
      </w:r>
      <w:r>
        <w:rPr>
          <w:rFonts w:hint="eastAsia" w:ascii="仿宋" w:hAnsi="仿宋" w:eastAsia="仿宋" w:cs="仿宋"/>
          <w:spacing w:val="14"/>
          <w:kern w:val="0"/>
          <w:sz w:val="24"/>
          <w:szCs w:val="24"/>
          <w:lang w:eastAsia="zh-CN"/>
        </w:rPr>
        <w:t>供应商</w:t>
      </w:r>
      <w:r>
        <w:rPr>
          <w:rFonts w:hint="eastAsia" w:ascii="仿宋" w:hAnsi="仿宋" w:eastAsia="仿宋" w:cs="仿宋"/>
          <w:spacing w:val="14"/>
          <w:kern w:val="0"/>
          <w:sz w:val="24"/>
          <w:szCs w:val="24"/>
        </w:rPr>
        <w:t>可根据需要自行增减表格行数。</w:t>
      </w:r>
    </w:p>
    <w:p w14:paraId="3DCC3AE6">
      <w:pPr>
        <w:widowControl/>
        <w:ind w:firstLine="420"/>
        <w:rPr>
          <w:rFonts w:hint="eastAsia" w:ascii="仿宋" w:hAnsi="仿宋" w:eastAsia="仿宋" w:cs="宋体"/>
          <w:kern w:val="0"/>
          <w:szCs w:val="21"/>
        </w:rPr>
      </w:pPr>
    </w:p>
    <w:p w14:paraId="3764BF2F">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bookmarkStart w:id="313" w:name="_Toc26650"/>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8：</w:t>
      </w:r>
      <w:r>
        <w:rPr>
          <w:rFonts w:hint="eastAsia" w:ascii="仿宋" w:hAnsi="仿宋" w:eastAsia="仿宋" w:cs="仿宋"/>
          <w:b/>
          <w:kern w:val="0"/>
          <w:sz w:val="28"/>
          <w:szCs w:val="24"/>
          <w:lang w:eastAsia="en-US"/>
        </w:rPr>
        <w:t>商务要求响应与偏差表</w:t>
      </w:r>
      <w:bookmarkEnd w:id="313"/>
    </w:p>
    <w:p w14:paraId="49E7211D">
      <w:pPr>
        <w:pStyle w:val="105"/>
        <w:jc w:val="center"/>
        <w:rPr>
          <w:rFonts w:ascii="仿宋" w:hAnsi="仿宋" w:eastAsia="仿宋"/>
          <w:color w:val="auto"/>
          <w:spacing w:val="14"/>
          <w:sz w:val="24"/>
          <w:szCs w:val="24"/>
        </w:rPr>
      </w:pPr>
      <w:r>
        <w:rPr>
          <w:rFonts w:hint="eastAsia" w:ascii="仿宋" w:hAnsi="仿宋" w:eastAsia="仿宋"/>
          <w:color w:val="auto"/>
          <w:spacing w:val="14"/>
          <w:sz w:val="24"/>
          <w:szCs w:val="24"/>
        </w:rPr>
        <w:t>商务要求响应与偏差表</w:t>
      </w:r>
    </w:p>
    <w:p w14:paraId="037C4752">
      <w:pPr>
        <w:pStyle w:val="105"/>
        <w:jc w:val="center"/>
        <w:rPr>
          <w:rFonts w:hint="eastAsia" w:ascii="仿宋" w:hAnsi="仿宋" w:eastAsia="仿宋"/>
          <w:color w:val="auto"/>
          <w:spacing w:val="14"/>
          <w:sz w:val="24"/>
          <w:szCs w:val="24"/>
        </w:rPr>
      </w:pPr>
      <w:r>
        <w:rPr>
          <w:rFonts w:hint="eastAsia" w:ascii="仿宋" w:hAnsi="仿宋" w:eastAsia="仿宋"/>
          <w:color w:val="auto"/>
          <w:spacing w:val="14"/>
          <w:sz w:val="24"/>
          <w:szCs w:val="24"/>
        </w:rPr>
        <w:t xml:space="preserve"> </w:t>
      </w:r>
    </w:p>
    <w:tbl>
      <w:tblPr>
        <w:tblStyle w:val="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742"/>
        <w:gridCol w:w="3260"/>
        <w:gridCol w:w="1199"/>
      </w:tblGrid>
      <w:tr w14:paraId="30A9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A63395D">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序号</w:t>
            </w:r>
          </w:p>
        </w:tc>
        <w:tc>
          <w:tcPr>
            <w:tcW w:w="3742" w:type="dxa"/>
            <w:tcBorders>
              <w:top w:val="single" w:color="auto" w:sz="4" w:space="0"/>
              <w:left w:val="single" w:color="auto" w:sz="4" w:space="0"/>
              <w:bottom w:val="single" w:color="auto" w:sz="4" w:space="0"/>
              <w:right w:val="single" w:color="auto" w:sz="4" w:space="0"/>
            </w:tcBorders>
            <w:noWrap w:val="0"/>
            <w:vAlign w:val="center"/>
          </w:tcPr>
          <w:p w14:paraId="3461D3C2">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磋商文件商务要求</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131CB101">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供应商响应具体内容</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CE08288">
            <w:pPr>
              <w:pStyle w:val="107"/>
              <w:widowControl/>
              <w:ind w:firstLine="0"/>
              <w:jc w:val="left"/>
              <w:rPr>
                <w:rFonts w:ascii="仿宋" w:hAnsi="仿宋" w:eastAsia="仿宋" w:cs="宋体"/>
                <w:color w:val="auto"/>
                <w:kern w:val="0"/>
                <w:sz w:val="24"/>
                <w:szCs w:val="24"/>
                <w:lang w:val="en-US" w:eastAsia="zh-CN" w:bidi="ar-SA"/>
              </w:rPr>
            </w:pPr>
            <w:r>
              <w:rPr>
                <w:rFonts w:hint="eastAsia" w:ascii="仿宋" w:hAnsi="仿宋" w:eastAsia="仿宋" w:cs="宋体"/>
                <w:color w:val="auto"/>
                <w:kern w:val="0"/>
                <w:sz w:val="24"/>
                <w:szCs w:val="24"/>
                <w:lang w:val="en-US" w:eastAsia="zh-CN" w:bidi="ar-SA"/>
              </w:rPr>
              <w:t>偏差说明</w:t>
            </w:r>
          </w:p>
        </w:tc>
      </w:tr>
      <w:tr w14:paraId="0C6E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39055091">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F93E075">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0BE052C2">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9959E74">
            <w:pPr>
              <w:pStyle w:val="107"/>
              <w:widowControl/>
              <w:ind w:firstLine="0"/>
              <w:jc w:val="left"/>
              <w:rPr>
                <w:rFonts w:ascii="仿宋" w:hAnsi="仿宋" w:eastAsia="仿宋" w:cs="宋体"/>
                <w:color w:val="auto"/>
                <w:kern w:val="0"/>
                <w:sz w:val="24"/>
                <w:szCs w:val="24"/>
                <w:lang w:val="en-US" w:eastAsia="zh-CN" w:bidi="ar-SA"/>
              </w:rPr>
            </w:pPr>
          </w:p>
        </w:tc>
      </w:tr>
      <w:tr w14:paraId="0CEF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3CAA5996">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5BC251B">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58BEAE11">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57A2AFB">
            <w:pPr>
              <w:pStyle w:val="107"/>
              <w:widowControl/>
              <w:ind w:firstLine="0"/>
              <w:jc w:val="left"/>
              <w:rPr>
                <w:rFonts w:ascii="仿宋" w:hAnsi="仿宋" w:eastAsia="仿宋" w:cs="宋体"/>
                <w:color w:val="auto"/>
                <w:kern w:val="0"/>
                <w:sz w:val="24"/>
                <w:szCs w:val="24"/>
                <w:lang w:val="en-US" w:eastAsia="zh-CN" w:bidi="ar-SA"/>
              </w:rPr>
            </w:pPr>
          </w:p>
        </w:tc>
      </w:tr>
      <w:tr w14:paraId="6E6B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E5FE2BB">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0C388EC1">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7767CC6C">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CFD5B91">
            <w:pPr>
              <w:pStyle w:val="107"/>
              <w:widowControl/>
              <w:ind w:firstLine="0"/>
              <w:jc w:val="left"/>
              <w:rPr>
                <w:rFonts w:ascii="仿宋" w:hAnsi="仿宋" w:eastAsia="仿宋" w:cs="宋体"/>
                <w:color w:val="auto"/>
                <w:kern w:val="0"/>
                <w:sz w:val="24"/>
                <w:szCs w:val="24"/>
                <w:lang w:val="en-US" w:eastAsia="zh-CN" w:bidi="ar-SA"/>
              </w:rPr>
            </w:pPr>
          </w:p>
        </w:tc>
      </w:tr>
      <w:tr w14:paraId="5D50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502A0D35">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2F22FFC0">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388E570B">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0204B4">
            <w:pPr>
              <w:pStyle w:val="107"/>
              <w:widowControl/>
              <w:ind w:firstLine="0"/>
              <w:jc w:val="left"/>
              <w:rPr>
                <w:rFonts w:ascii="仿宋" w:hAnsi="仿宋" w:eastAsia="仿宋" w:cs="宋体"/>
                <w:color w:val="auto"/>
                <w:kern w:val="0"/>
                <w:sz w:val="24"/>
                <w:szCs w:val="24"/>
                <w:lang w:val="en-US" w:eastAsia="zh-CN" w:bidi="ar-SA"/>
              </w:rPr>
            </w:pPr>
          </w:p>
        </w:tc>
      </w:tr>
      <w:tr w14:paraId="5C6C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6F9B854B">
            <w:pPr>
              <w:pStyle w:val="107"/>
              <w:widowControl/>
              <w:ind w:firstLine="0"/>
              <w:jc w:val="center"/>
              <w:rPr>
                <w:rFonts w:ascii="仿宋" w:hAnsi="仿宋" w:eastAsia="仿宋" w:cs="宋体"/>
                <w:color w:val="auto"/>
                <w:kern w:val="0"/>
                <w:sz w:val="24"/>
                <w:szCs w:val="24"/>
                <w:lang w:val="en-US" w:eastAsia="zh-CN" w:bidi="ar-SA"/>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E8178D3">
            <w:pPr>
              <w:pStyle w:val="107"/>
              <w:widowControl/>
              <w:ind w:firstLine="0"/>
              <w:jc w:val="left"/>
              <w:rPr>
                <w:rFonts w:ascii="仿宋" w:hAnsi="仿宋" w:eastAsia="仿宋" w:cs="宋体"/>
                <w:color w:val="auto"/>
                <w:kern w:val="0"/>
                <w:sz w:val="24"/>
                <w:szCs w:val="24"/>
                <w:lang w:val="en-US" w:eastAsia="zh-CN" w:bidi="ar-SA"/>
              </w:rPr>
            </w:pPr>
          </w:p>
        </w:tc>
        <w:tc>
          <w:tcPr>
            <w:tcW w:w="3260" w:type="dxa"/>
            <w:tcBorders>
              <w:top w:val="single" w:color="auto" w:sz="4" w:space="0"/>
              <w:left w:val="single" w:color="auto" w:sz="4" w:space="0"/>
              <w:bottom w:val="single" w:color="auto" w:sz="4" w:space="0"/>
              <w:right w:val="single" w:color="auto" w:sz="4" w:space="0"/>
            </w:tcBorders>
            <w:noWrap w:val="0"/>
            <w:vAlign w:val="center"/>
          </w:tcPr>
          <w:p w14:paraId="5818F85A">
            <w:pPr>
              <w:pStyle w:val="107"/>
              <w:widowControl/>
              <w:ind w:firstLine="0"/>
              <w:jc w:val="left"/>
              <w:rPr>
                <w:rFonts w:ascii="仿宋" w:hAnsi="仿宋" w:eastAsia="仿宋" w:cs="宋体"/>
                <w:color w:val="auto"/>
                <w:kern w:val="0"/>
                <w:sz w:val="24"/>
                <w:szCs w:val="24"/>
                <w:lang w:val="en-US" w:eastAsia="zh-CN" w:bidi="ar-SA"/>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B15C2E9">
            <w:pPr>
              <w:pStyle w:val="107"/>
              <w:widowControl/>
              <w:ind w:firstLine="0"/>
              <w:jc w:val="left"/>
              <w:rPr>
                <w:rFonts w:ascii="仿宋" w:hAnsi="仿宋" w:eastAsia="仿宋" w:cs="宋体"/>
                <w:color w:val="auto"/>
                <w:kern w:val="0"/>
                <w:sz w:val="24"/>
                <w:szCs w:val="24"/>
                <w:lang w:val="en-US" w:eastAsia="zh-CN" w:bidi="ar-SA"/>
              </w:rPr>
            </w:pPr>
          </w:p>
        </w:tc>
      </w:tr>
    </w:tbl>
    <w:p w14:paraId="6E1EAA25">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 </w:t>
      </w:r>
    </w:p>
    <w:p w14:paraId="5FFA22FC">
      <w:pPr>
        <w:pStyle w:val="107"/>
        <w:ind w:firstLine="0"/>
        <w:rPr>
          <w:rFonts w:hint="eastAsia" w:ascii="仿宋" w:hAnsi="仿宋" w:eastAsia="仿宋"/>
          <w:color w:val="auto"/>
          <w:sz w:val="24"/>
          <w:szCs w:val="24"/>
        </w:rPr>
      </w:pPr>
      <w:r>
        <w:rPr>
          <w:rFonts w:hint="eastAsia" w:ascii="仿宋" w:hAnsi="仿宋" w:eastAsia="仿宋"/>
          <w:color w:val="auto"/>
          <w:sz w:val="24"/>
          <w:szCs w:val="24"/>
        </w:rPr>
        <w:t>供应商保证：除本表列出的商务偏差外，供应商响应磋商文件的全部商务要求。</w:t>
      </w:r>
    </w:p>
    <w:p w14:paraId="353FD6E0">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 </w:t>
      </w:r>
    </w:p>
    <w:p w14:paraId="0C82C71E">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供应商（企业电子章）：                                            </w:t>
      </w:r>
    </w:p>
    <w:p w14:paraId="0ACEE38A">
      <w:pPr>
        <w:pStyle w:val="107"/>
        <w:ind w:firstLine="0"/>
        <w:rPr>
          <w:rFonts w:hint="eastAsia" w:ascii="仿宋" w:hAnsi="仿宋" w:eastAsia="仿宋"/>
          <w:color w:val="auto"/>
          <w:sz w:val="24"/>
          <w:szCs w:val="24"/>
        </w:rPr>
      </w:pPr>
      <w:r>
        <w:rPr>
          <w:rFonts w:hint="eastAsia" w:ascii="仿宋" w:hAnsi="仿宋" w:eastAsia="仿宋"/>
          <w:color w:val="auto"/>
          <w:sz w:val="24"/>
          <w:szCs w:val="24"/>
        </w:rPr>
        <w:t xml:space="preserve"> </w:t>
      </w:r>
    </w:p>
    <w:p w14:paraId="121FD0BE">
      <w:pPr>
        <w:pStyle w:val="107"/>
        <w:ind w:firstLine="0"/>
        <w:rPr>
          <w:rFonts w:hint="eastAsia" w:ascii="仿宋" w:hAnsi="仿宋" w:eastAsia="仿宋"/>
          <w:color w:val="auto"/>
          <w:sz w:val="24"/>
          <w:szCs w:val="24"/>
        </w:rPr>
      </w:pPr>
      <w:r>
        <w:rPr>
          <w:rFonts w:hint="eastAsia" w:ascii="仿宋" w:hAnsi="仿宋" w:eastAsia="仿宋"/>
          <w:color w:val="auto"/>
          <w:sz w:val="24"/>
          <w:szCs w:val="24"/>
        </w:rPr>
        <w:t>注：供应商可根据需要自行增减表格行数。</w:t>
      </w:r>
    </w:p>
    <w:p w14:paraId="416006C4">
      <w:pPr>
        <w:pStyle w:val="108"/>
        <w:outlineLvl w:val="2"/>
        <w:rPr>
          <w:rFonts w:hint="eastAsia" w:ascii="仿宋" w:hAnsi="仿宋" w:eastAsia="仿宋" w:cs="仿宋"/>
        </w:rPr>
      </w:pPr>
      <w:r>
        <w:rPr>
          <w:rFonts w:ascii="Times New Roman" w:hAnsi="Times New Roman" w:eastAsia="Times New Roman"/>
          <w:kern w:val="0"/>
          <w:sz w:val="24"/>
          <w:szCs w:val="24"/>
          <w:lang w:eastAsia="en-US"/>
        </w:rPr>
        <w:br w:type="page"/>
      </w:r>
      <w:bookmarkStart w:id="314" w:name="_Toc31994"/>
      <w:bookmarkStart w:id="315" w:name="_Toc29281"/>
      <w:bookmarkStart w:id="316" w:name="_Toc256000170"/>
      <w:r>
        <w:rPr>
          <w:rFonts w:hint="eastAsia" w:ascii="仿宋" w:hAnsi="仿宋" w:eastAsia="仿宋" w:cs="仿宋"/>
          <w:sz w:val="28"/>
          <w:szCs w:val="22"/>
          <w:lang w:eastAsia="zh-CN"/>
        </w:rPr>
        <w:t>附件</w:t>
      </w:r>
      <w:r>
        <w:rPr>
          <w:rFonts w:hint="eastAsia" w:ascii="仿宋" w:hAnsi="仿宋" w:eastAsia="仿宋" w:cs="仿宋"/>
          <w:sz w:val="28"/>
          <w:szCs w:val="22"/>
          <w:lang w:val="en-US" w:eastAsia="zh-CN"/>
        </w:rPr>
        <w:t>9：</w:t>
      </w:r>
      <w:r>
        <w:rPr>
          <w:rFonts w:hint="eastAsia" w:ascii="仿宋" w:hAnsi="仿宋" w:eastAsia="仿宋" w:cs="仿宋"/>
          <w:sz w:val="28"/>
          <w:szCs w:val="22"/>
        </w:rPr>
        <w:t>节能产品、环境标志产品明细表</w:t>
      </w:r>
      <w:bookmarkEnd w:id="314"/>
      <w:bookmarkEnd w:id="315"/>
      <w:bookmarkEnd w:id="316"/>
    </w:p>
    <w:p w14:paraId="58146B51">
      <w:pPr>
        <w:pStyle w:val="109"/>
        <w:jc w:val="center"/>
        <w:rPr>
          <w:rFonts w:hint="eastAsia" w:ascii="仿宋" w:hAnsi="仿宋" w:eastAsia="仿宋" w:cs="仿宋"/>
          <w:sz w:val="24"/>
          <w:szCs w:val="24"/>
        </w:rPr>
      </w:pPr>
      <w:r>
        <w:rPr>
          <w:rFonts w:hint="eastAsia" w:ascii="仿宋" w:hAnsi="仿宋" w:eastAsia="仿宋" w:cs="仿宋"/>
          <w:spacing w:val="14"/>
          <w:sz w:val="24"/>
          <w:szCs w:val="24"/>
        </w:rPr>
        <w:t>节能产品、环境标志产品明细表</w:t>
      </w:r>
    </w:p>
    <w:tbl>
      <w:tblPr>
        <w:tblStyle w:val="6"/>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250"/>
        <w:gridCol w:w="1602"/>
        <w:gridCol w:w="1874"/>
        <w:gridCol w:w="1749"/>
        <w:gridCol w:w="1721"/>
      </w:tblGrid>
      <w:tr w14:paraId="0704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2" w:hRule="atLeast"/>
          <w:jc w:val="center"/>
        </w:trPr>
        <w:tc>
          <w:tcPr>
            <w:tcW w:w="442" w:type="dxa"/>
            <w:noWrap w:val="0"/>
            <w:vAlign w:val="center"/>
          </w:tcPr>
          <w:p w14:paraId="6EE7AF3B">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序号</w:t>
            </w:r>
          </w:p>
        </w:tc>
        <w:tc>
          <w:tcPr>
            <w:tcW w:w="1250" w:type="dxa"/>
            <w:noWrap w:val="0"/>
            <w:vAlign w:val="center"/>
          </w:tcPr>
          <w:p w14:paraId="66C36B12">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货物名称</w:t>
            </w:r>
          </w:p>
        </w:tc>
        <w:tc>
          <w:tcPr>
            <w:tcW w:w="1602" w:type="dxa"/>
            <w:noWrap w:val="0"/>
            <w:vAlign w:val="center"/>
          </w:tcPr>
          <w:p w14:paraId="77B0AC2C">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品牌及制造商</w:t>
            </w:r>
          </w:p>
        </w:tc>
        <w:tc>
          <w:tcPr>
            <w:tcW w:w="1874" w:type="dxa"/>
            <w:noWrap w:val="0"/>
            <w:vAlign w:val="center"/>
          </w:tcPr>
          <w:p w14:paraId="46356D3F">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规格型号</w:t>
            </w:r>
          </w:p>
        </w:tc>
        <w:tc>
          <w:tcPr>
            <w:tcW w:w="1749" w:type="dxa"/>
            <w:noWrap w:val="0"/>
            <w:vAlign w:val="center"/>
          </w:tcPr>
          <w:p w14:paraId="62986601">
            <w:pPr>
              <w:pStyle w:val="109"/>
              <w:jc w:val="center"/>
              <w:rPr>
                <w:rFonts w:hint="eastAsia" w:ascii="仿宋" w:hAnsi="仿宋" w:eastAsia="仿宋" w:cs="仿宋"/>
                <w:sz w:val="24"/>
                <w:szCs w:val="24"/>
              </w:rPr>
            </w:pPr>
            <w:r>
              <w:rPr>
                <w:rFonts w:hint="eastAsia" w:ascii="仿宋" w:hAnsi="仿宋" w:eastAsia="仿宋" w:cs="仿宋"/>
                <w:sz w:val="24"/>
                <w:szCs w:val="24"/>
              </w:rPr>
              <w:t>中国节能产品认证证书编号</w:t>
            </w:r>
          </w:p>
        </w:tc>
        <w:tc>
          <w:tcPr>
            <w:tcW w:w="1721" w:type="dxa"/>
            <w:noWrap w:val="0"/>
            <w:vAlign w:val="center"/>
          </w:tcPr>
          <w:p w14:paraId="239E18DA">
            <w:pPr>
              <w:pStyle w:val="109"/>
              <w:widowControl/>
              <w:jc w:val="center"/>
              <w:rPr>
                <w:rFonts w:hint="eastAsia" w:ascii="仿宋" w:hAnsi="仿宋" w:eastAsia="仿宋" w:cs="仿宋"/>
                <w:strike/>
                <w:kern w:val="0"/>
                <w:sz w:val="24"/>
                <w:szCs w:val="24"/>
                <w:lang w:val="zh-CN"/>
              </w:rPr>
            </w:pPr>
            <w:r>
              <w:rPr>
                <w:rFonts w:hint="eastAsia" w:ascii="仿宋" w:hAnsi="仿宋" w:eastAsia="仿宋" w:cs="仿宋"/>
                <w:kern w:val="0"/>
                <w:sz w:val="24"/>
                <w:szCs w:val="24"/>
                <w:lang w:val="zh-CN"/>
              </w:rPr>
              <w:t>中国节能产品认证证书有效截止日期</w:t>
            </w:r>
          </w:p>
        </w:tc>
      </w:tr>
      <w:tr w14:paraId="64C4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 w:type="dxa"/>
            <w:noWrap w:val="0"/>
            <w:vAlign w:val="center"/>
          </w:tcPr>
          <w:p w14:paraId="4500E759">
            <w:pPr>
              <w:pStyle w:val="109"/>
              <w:widowControl/>
              <w:jc w:val="left"/>
              <w:rPr>
                <w:rFonts w:hint="eastAsia" w:ascii="仿宋" w:hAnsi="仿宋" w:eastAsia="仿宋" w:cs="仿宋"/>
                <w:kern w:val="0"/>
                <w:sz w:val="24"/>
                <w:szCs w:val="24"/>
                <w:lang w:val="zh-CN"/>
              </w:rPr>
            </w:pPr>
          </w:p>
        </w:tc>
        <w:tc>
          <w:tcPr>
            <w:tcW w:w="1250" w:type="dxa"/>
            <w:noWrap w:val="0"/>
            <w:vAlign w:val="center"/>
          </w:tcPr>
          <w:p w14:paraId="362039FB">
            <w:pPr>
              <w:pStyle w:val="109"/>
              <w:widowControl/>
              <w:ind w:firstLine="482"/>
              <w:jc w:val="left"/>
              <w:rPr>
                <w:rFonts w:hint="eastAsia" w:ascii="仿宋" w:hAnsi="仿宋" w:eastAsia="仿宋" w:cs="仿宋"/>
                <w:kern w:val="0"/>
                <w:sz w:val="24"/>
                <w:szCs w:val="24"/>
                <w:lang w:val="zh-CN"/>
              </w:rPr>
            </w:pPr>
          </w:p>
        </w:tc>
        <w:tc>
          <w:tcPr>
            <w:tcW w:w="1602" w:type="dxa"/>
            <w:noWrap w:val="0"/>
            <w:vAlign w:val="center"/>
          </w:tcPr>
          <w:p w14:paraId="13ECEA7E">
            <w:pPr>
              <w:pStyle w:val="109"/>
              <w:widowControl/>
              <w:ind w:firstLine="482"/>
              <w:jc w:val="left"/>
              <w:rPr>
                <w:rFonts w:hint="eastAsia" w:ascii="仿宋" w:hAnsi="仿宋" w:eastAsia="仿宋" w:cs="仿宋"/>
                <w:kern w:val="0"/>
                <w:sz w:val="24"/>
                <w:szCs w:val="24"/>
                <w:lang w:val="zh-CN"/>
              </w:rPr>
            </w:pPr>
          </w:p>
        </w:tc>
        <w:tc>
          <w:tcPr>
            <w:tcW w:w="1874" w:type="dxa"/>
            <w:noWrap w:val="0"/>
            <w:vAlign w:val="center"/>
          </w:tcPr>
          <w:p w14:paraId="694C4D9D">
            <w:pPr>
              <w:pStyle w:val="109"/>
              <w:widowControl/>
              <w:ind w:firstLine="482"/>
              <w:jc w:val="left"/>
              <w:rPr>
                <w:rFonts w:hint="eastAsia" w:ascii="仿宋" w:hAnsi="仿宋" w:eastAsia="仿宋" w:cs="仿宋"/>
                <w:kern w:val="0"/>
                <w:sz w:val="24"/>
                <w:szCs w:val="24"/>
                <w:lang w:val="zh-CN"/>
              </w:rPr>
            </w:pPr>
          </w:p>
        </w:tc>
        <w:tc>
          <w:tcPr>
            <w:tcW w:w="1749" w:type="dxa"/>
            <w:noWrap w:val="0"/>
            <w:vAlign w:val="center"/>
          </w:tcPr>
          <w:p w14:paraId="1142F527">
            <w:pPr>
              <w:pStyle w:val="109"/>
              <w:widowControl/>
              <w:ind w:firstLine="482"/>
              <w:jc w:val="left"/>
              <w:rPr>
                <w:rFonts w:hint="eastAsia" w:ascii="仿宋" w:hAnsi="仿宋" w:eastAsia="仿宋" w:cs="仿宋"/>
                <w:kern w:val="0"/>
                <w:sz w:val="24"/>
                <w:szCs w:val="24"/>
                <w:lang w:val="zh-CN"/>
              </w:rPr>
            </w:pPr>
          </w:p>
        </w:tc>
        <w:tc>
          <w:tcPr>
            <w:tcW w:w="1721" w:type="dxa"/>
            <w:noWrap w:val="0"/>
            <w:vAlign w:val="center"/>
          </w:tcPr>
          <w:p w14:paraId="61D78F5E">
            <w:pPr>
              <w:pStyle w:val="109"/>
              <w:widowControl/>
              <w:ind w:firstLine="482"/>
              <w:jc w:val="left"/>
              <w:rPr>
                <w:rFonts w:hint="eastAsia" w:ascii="仿宋" w:hAnsi="仿宋" w:eastAsia="仿宋" w:cs="仿宋"/>
                <w:kern w:val="0"/>
                <w:sz w:val="24"/>
                <w:szCs w:val="24"/>
                <w:lang w:val="zh-CN"/>
              </w:rPr>
            </w:pPr>
          </w:p>
        </w:tc>
      </w:tr>
      <w:tr w14:paraId="4FF6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42" w:type="dxa"/>
            <w:noWrap w:val="0"/>
            <w:vAlign w:val="top"/>
          </w:tcPr>
          <w:p w14:paraId="3C15181C">
            <w:pPr>
              <w:pStyle w:val="109"/>
              <w:widowControl/>
              <w:jc w:val="left"/>
              <w:rPr>
                <w:rFonts w:hint="eastAsia" w:ascii="仿宋" w:hAnsi="仿宋" w:eastAsia="仿宋" w:cs="仿宋"/>
                <w:kern w:val="0"/>
                <w:sz w:val="24"/>
                <w:szCs w:val="24"/>
                <w:lang w:val="zh-CN"/>
              </w:rPr>
            </w:pPr>
          </w:p>
        </w:tc>
        <w:tc>
          <w:tcPr>
            <w:tcW w:w="1250" w:type="dxa"/>
            <w:noWrap w:val="0"/>
            <w:vAlign w:val="top"/>
          </w:tcPr>
          <w:p w14:paraId="3E6B0A1F">
            <w:pPr>
              <w:pStyle w:val="109"/>
              <w:widowControl/>
              <w:ind w:firstLine="482"/>
              <w:jc w:val="left"/>
              <w:rPr>
                <w:rFonts w:hint="eastAsia" w:ascii="仿宋" w:hAnsi="仿宋" w:eastAsia="仿宋" w:cs="仿宋"/>
                <w:kern w:val="0"/>
                <w:sz w:val="24"/>
                <w:szCs w:val="24"/>
                <w:lang w:val="zh-CN"/>
              </w:rPr>
            </w:pPr>
          </w:p>
        </w:tc>
        <w:tc>
          <w:tcPr>
            <w:tcW w:w="1602" w:type="dxa"/>
            <w:noWrap w:val="0"/>
            <w:vAlign w:val="top"/>
          </w:tcPr>
          <w:p w14:paraId="42C8D12C">
            <w:pPr>
              <w:pStyle w:val="109"/>
              <w:widowControl/>
              <w:ind w:firstLine="482"/>
              <w:jc w:val="left"/>
              <w:rPr>
                <w:rFonts w:hint="eastAsia" w:ascii="仿宋" w:hAnsi="仿宋" w:eastAsia="仿宋" w:cs="仿宋"/>
                <w:kern w:val="0"/>
                <w:sz w:val="24"/>
                <w:szCs w:val="24"/>
                <w:lang w:val="zh-CN"/>
              </w:rPr>
            </w:pPr>
          </w:p>
        </w:tc>
        <w:tc>
          <w:tcPr>
            <w:tcW w:w="1874" w:type="dxa"/>
            <w:noWrap w:val="0"/>
            <w:vAlign w:val="top"/>
          </w:tcPr>
          <w:p w14:paraId="0C7FBCFD">
            <w:pPr>
              <w:pStyle w:val="109"/>
              <w:widowControl/>
              <w:ind w:firstLine="482"/>
              <w:jc w:val="left"/>
              <w:rPr>
                <w:rFonts w:hint="eastAsia" w:ascii="仿宋" w:hAnsi="仿宋" w:eastAsia="仿宋" w:cs="仿宋"/>
                <w:kern w:val="0"/>
                <w:sz w:val="24"/>
                <w:szCs w:val="24"/>
                <w:lang w:val="zh-CN"/>
              </w:rPr>
            </w:pPr>
          </w:p>
        </w:tc>
        <w:tc>
          <w:tcPr>
            <w:tcW w:w="1749" w:type="dxa"/>
            <w:noWrap w:val="0"/>
            <w:vAlign w:val="top"/>
          </w:tcPr>
          <w:p w14:paraId="0F33C79A">
            <w:pPr>
              <w:pStyle w:val="109"/>
              <w:widowControl/>
              <w:ind w:firstLine="482"/>
              <w:jc w:val="left"/>
              <w:rPr>
                <w:rFonts w:hint="eastAsia" w:ascii="仿宋" w:hAnsi="仿宋" w:eastAsia="仿宋" w:cs="仿宋"/>
                <w:kern w:val="0"/>
                <w:sz w:val="24"/>
                <w:szCs w:val="24"/>
                <w:lang w:val="zh-CN"/>
              </w:rPr>
            </w:pPr>
          </w:p>
        </w:tc>
        <w:tc>
          <w:tcPr>
            <w:tcW w:w="1721" w:type="dxa"/>
            <w:noWrap w:val="0"/>
            <w:vAlign w:val="top"/>
          </w:tcPr>
          <w:p w14:paraId="430037E1">
            <w:pPr>
              <w:pStyle w:val="109"/>
              <w:widowControl/>
              <w:ind w:firstLine="482"/>
              <w:jc w:val="left"/>
              <w:rPr>
                <w:rFonts w:hint="eastAsia" w:ascii="仿宋" w:hAnsi="仿宋" w:eastAsia="仿宋" w:cs="仿宋"/>
                <w:kern w:val="0"/>
                <w:sz w:val="24"/>
                <w:szCs w:val="24"/>
                <w:lang w:val="zh-CN"/>
              </w:rPr>
            </w:pPr>
          </w:p>
        </w:tc>
      </w:tr>
      <w:tr w14:paraId="15CB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2" w:type="dxa"/>
            <w:noWrap w:val="0"/>
            <w:vAlign w:val="top"/>
          </w:tcPr>
          <w:p w14:paraId="77535A94">
            <w:pPr>
              <w:pStyle w:val="109"/>
              <w:widowControl/>
              <w:jc w:val="left"/>
              <w:rPr>
                <w:rFonts w:hint="eastAsia" w:ascii="仿宋" w:hAnsi="仿宋" w:eastAsia="仿宋" w:cs="仿宋"/>
                <w:kern w:val="0"/>
                <w:sz w:val="24"/>
                <w:szCs w:val="24"/>
                <w:lang w:val="zh-CN"/>
              </w:rPr>
            </w:pPr>
          </w:p>
        </w:tc>
        <w:tc>
          <w:tcPr>
            <w:tcW w:w="1250" w:type="dxa"/>
            <w:noWrap w:val="0"/>
            <w:vAlign w:val="top"/>
          </w:tcPr>
          <w:p w14:paraId="243E5FA9">
            <w:pPr>
              <w:pStyle w:val="109"/>
              <w:widowControl/>
              <w:ind w:firstLine="482"/>
              <w:jc w:val="left"/>
              <w:rPr>
                <w:rFonts w:hint="eastAsia" w:ascii="仿宋" w:hAnsi="仿宋" w:eastAsia="仿宋" w:cs="仿宋"/>
                <w:kern w:val="0"/>
                <w:sz w:val="24"/>
                <w:szCs w:val="24"/>
                <w:lang w:val="zh-CN"/>
              </w:rPr>
            </w:pPr>
          </w:p>
        </w:tc>
        <w:tc>
          <w:tcPr>
            <w:tcW w:w="1602" w:type="dxa"/>
            <w:noWrap w:val="0"/>
            <w:vAlign w:val="top"/>
          </w:tcPr>
          <w:p w14:paraId="31E304F2">
            <w:pPr>
              <w:pStyle w:val="109"/>
              <w:widowControl/>
              <w:ind w:firstLine="482"/>
              <w:jc w:val="left"/>
              <w:rPr>
                <w:rFonts w:hint="eastAsia" w:ascii="仿宋" w:hAnsi="仿宋" w:eastAsia="仿宋" w:cs="仿宋"/>
                <w:kern w:val="0"/>
                <w:sz w:val="24"/>
                <w:szCs w:val="24"/>
                <w:lang w:val="zh-CN"/>
              </w:rPr>
            </w:pPr>
          </w:p>
        </w:tc>
        <w:tc>
          <w:tcPr>
            <w:tcW w:w="1874" w:type="dxa"/>
            <w:noWrap w:val="0"/>
            <w:vAlign w:val="top"/>
          </w:tcPr>
          <w:p w14:paraId="1158A736">
            <w:pPr>
              <w:pStyle w:val="109"/>
              <w:widowControl/>
              <w:ind w:firstLine="482"/>
              <w:jc w:val="left"/>
              <w:rPr>
                <w:rFonts w:hint="eastAsia" w:ascii="仿宋" w:hAnsi="仿宋" w:eastAsia="仿宋" w:cs="仿宋"/>
                <w:kern w:val="0"/>
                <w:sz w:val="24"/>
                <w:szCs w:val="24"/>
                <w:lang w:val="zh-CN"/>
              </w:rPr>
            </w:pPr>
          </w:p>
        </w:tc>
        <w:tc>
          <w:tcPr>
            <w:tcW w:w="1749" w:type="dxa"/>
            <w:noWrap w:val="0"/>
            <w:vAlign w:val="top"/>
          </w:tcPr>
          <w:p w14:paraId="2872EB16">
            <w:pPr>
              <w:pStyle w:val="109"/>
              <w:widowControl/>
              <w:ind w:firstLine="482"/>
              <w:jc w:val="left"/>
              <w:rPr>
                <w:rFonts w:hint="eastAsia" w:ascii="仿宋" w:hAnsi="仿宋" w:eastAsia="仿宋" w:cs="仿宋"/>
                <w:kern w:val="0"/>
                <w:sz w:val="24"/>
                <w:szCs w:val="24"/>
                <w:lang w:val="zh-CN"/>
              </w:rPr>
            </w:pPr>
          </w:p>
        </w:tc>
        <w:tc>
          <w:tcPr>
            <w:tcW w:w="1721" w:type="dxa"/>
            <w:noWrap w:val="0"/>
            <w:vAlign w:val="top"/>
          </w:tcPr>
          <w:p w14:paraId="0BF35427">
            <w:pPr>
              <w:pStyle w:val="109"/>
              <w:widowControl/>
              <w:ind w:firstLine="482"/>
              <w:jc w:val="left"/>
              <w:rPr>
                <w:rFonts w:hint="eastAsia" w:ascii="仿宋" w:hAnsi="仿宋" w:eastAsia="仿宋" w:cs="仿宋"/>
                <w:kern w:val="0"/>
                <w:sz w:val="24"/>
                <w:szCs w:val="24"/>
                <w:lang w:val="zh-CN"/>
              </w:rPr>
            </w:pPr>
          </w:p>
        </w:tc>
      </w:tr>
    </w:tbl>
    <w:p w14:paraId="5BE26988">
      <w:pPr>
        <w:pStyle w:val="109"/>
        <w:widowControl/>
        <w:rPr>
          <w:rFonts w:hint="eastAsia" w:ascii="仿宋" w:hAnsi="仿宋" w:eastAsia="仿宋" w:cs="仿宋"/>
          <w:kern w:val="0"/>
          <w:sz w:val="24"/>
          <w:szCs w:val="24"/>
          <w:lang w:val="zh-CN"/>
        </w:rPr>
      </w:pPr>
    </w:p>
    <w:tbl>
      <w:tblPr>
        <w:tblStyle w:val="6"/>
        <w:tblW w:w="8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292"/>
        <w:gridCol w:w="1578"/>
        <w:gridCol w:w="1883"/>
        <w:gridCol w:w="1750"/>
        <w:gridCol w:w="1681"/>
      </w:tblGrid>
      <w:tr w14:paraId="50B3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47" w:type="dxa"/>
            <w:noWrap w:val="0"/>
            <w:vAlign w:val="center"/>
          </w:tcPr>
          <w:p w14:paraId="4B860B0C">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序号</w:t>
            </w:r>
          </w:p>
        </w:tc>
        <w:tc>
          <w:tcPr>
            <w:tcW w:w="1292" w:type="dxa"/>
            <w:noWrap w:val="0"/>
            <w:vAlign w:val="center"/>
          </w:tcPr>
          <w:p w14:paraId="34867AA4">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货物名称</w:t>
            </w:r>
          </w:p>
        </w:tc>
        <w:tc>
          <w:tcPr>
            <w:tcW w:w="1578" w:type="dxa"/>
            <w:noWrap w:val="0"/>
            <w:vAlign w:val="center"/>
          </w:tcPr>
          <w:p w14:paraId="2C9C9278">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品牌及制造商</w:t>
            </w:r>
          </w:p>
        </w:tc>
        <w:tc>
          <w:tcPr>
            <w:tcW w:w="1883" w:type="dxa"/>
            <w:noWrap w:val="0"/>
            <w:vAlign w:val="center"/>
          </w:tcPr>
          <w:p w14:paraId="0B92DC08">
            <w:pPr>
              <w:pStyle w:val="109"/>
              <w:widowControl/>
              <w:jc w:val="center"/>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规格型号</w:t>
            </w:r>
          </w:p>
        </w:tc>
        <w:tc>
          <w:tcPr>
            <w:tcW w:w="1750" w:type="dxa"/>
            <w:noWrap w:val="0"/>
            <w:vAlign w:val="center"/>
          </w:tcPr>
          <w:p w14:paraId="4A9B3B97">
            <w:pPr>
              <w:pStyle w:val="109"/>
              <w:jc w:val="center"/>
              <w:rPr>
                <w:rFonts w:hint="eastAsia" w:ascii="仿宋" w:hAnsi="仿宋" w:eastAsia="仿宋" w:cs="仿宋"/>
                <w:sz w:val="24"/>
                <w:szCs w:val="24"/>
              </w:rPr>
            </w:pPr>
            <w:r>
              <w:rPr>
                <w:rFonts w:hint="eastAsia" w:ascii="仿宋" w:hAnsi="仿宋" w:eastAsia="仿宋" w:cs="仿宋"/>
                <w:sz w:val="24"/>
                <w:szCs w:val="24"/>
              </w:rPr>
              <w:t>中国环境标志认证证书编号</w:t>
            </w:r>
          </w:p>
        </w:tc>
        <w:tc>
          <w:tcPr>
            <w:tcW w:w="1681" w:type="dxa"/>
            <w:noWrap w:val="0"/>
            <w:vAlign w:val="center"/>
          </w:tcPr>
          <w:p w14:paraId="2C0A09ED">
            <w:pPr>
              <w:pStyle w:val="109"/>
              <w:widowControl/>
              <w:jc w:val="center"/>
              <w:rPr>
                <w:rFonts w:hint="eastAsia" w:ascii="仿宋" w:hAnsi="仿宋" w:eastAsia="仿宋" w:cs="仿宋"/>
                <w:strike/>
                <w:kern w:val="0"/>
                <w:sz w:val="24"/>
                <w:szCs w:val="24"/>
                <w:lang w:val="zh-CN"/>
              </w:rPr>
            </w:pPr>
            <w:r>
              <w:rPr>
                <w:rFonts w:hint="eastAsia" w:ascii="仿宋" w:hAnsi="仿宋" w:eastAsia="仿宋" w:cs="仿宋"/>
                <w:kern w:val="0"/>
                <w:sz w:val="24"/>
                <w:szCs w:val="24"/>
                <w:lang w:val="zh-CN"/>
              </w:rPr>
              <w:t>中国环境标志认证证书有效截止日期</w:t>
            </w:r>
          </w:p>
        </w:tc>
      </w:tr>
      <w:tr w14:paraId="08AF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47" w:type="dxa"/>
            <w:noWrap w:val="0"/>
            <w:vAlign w:val="center"/>
          </w:tcPr>
          <w:p w14:paraId="7D5D35D3">
            <w:pPr>
              <w:pStyle w:val="109"/>
              <w:widowControl/>
              <w:jc w:val="left"/>
              <w:rPr>
                <w:rFonts w:hint="eastAsia" w:ascii="仿宋" w:hAnsi="仿宋" w:eastAsia="仿宋" w:cs="仿宋"/>
                <w:kern w:val="0"/>
                <w:sz w:val="24"/>
                <w:szCs w:val="24"/>
                <w:lang w:val="zh-CN"/>
              </w:rPr>
            </w:pPr>
          </w:p>
        </w:tc>
        <w:tc>
          <w:tcPr>
            <w:tcW w:w="1292" w:type="dxa"/>
            <w:noWrap w:val="0"/>
            <w:vAlign w:val="center"/>
          </w:tcPr>
          <w:p w14:paraId="491132D2">
            <w:pPr>
              <w:pStyle w:val="109"/>
              <w:widowControl/>
              <w:ind w:firstLine="482"/>
              <w:jc w:val="left"/>
              <w:rPr>
                <w:rFonts w:hint="eastAsia" w:ascii="仿宋" w:hAnsi="仿宋" w:eastAsia="仿宋" w:cs="仿宋"/>
                <w:kern w:val="0"/>
                <w:sz w:val="24"/>
                <w:szCs w:val="24"/>
                <w:lang w:val="zh-CN"/>
              </w:rPr>
            </w:pPr>
          </w:p>
        </w:tc>
        <w:tc>
          <w:tcPr>
            <w:tcW w:w="1578" w:type="dxa"/>
            <w:noWrap w:val="0"/>
            <w:vAlign w:val="center"/>
          </w:tcPr>
          <w:p w14:paraId="3D6B96B8">
            <w:pPr>
              <w:pStyle w:val="109"/>
              <w:widowControl/>
              <w:ind w:firstLine="482"/>
              <w:jc w:val="left"/>
              <w:rPr>
                <w:rFonts w:hint="eastAsia" w:ascii="仿宋" w:hAnsi="仿宋" w:eastAsia="仿宋" w:cs="仿宋"/>
                <w:kern w:val="0"/>
                <w:sz w:val="24"/>
                <w:szCs w:val="24"/>
                <w:lang w:val="zh-CN"/>
              </w:rPr>
            </w:pPr>
          </w:p>
        </w:tc>
        <w:tc>
          <w:tcPr>
            <w:tcW w:w="1883" w:type="dxa"/>
            <w:noWrap w:val="0"/>
            <w:vAlign w:val="center"/>
          </w:tcPr>
          <w:p w14:paraId="4256DFFE">
            <w:pPr>
              <w:pStyle w:val="109"/>
              <w:widowControl/>
              <w:ind w:firstLine="482"/>
              <w:jc w:val="left"/>
              <w:rPr>
                <w:rFonts w:hint="eastAsia" w:ascii="仿宋" w:hAnsi="仿宋" w:eastAsia="仿宋" w:cs="仿宋"/>
                <w:kern w:val="0"/>
                <w:sz w:val="24"/>
                <w:szCs w:val="24"/>
                <w:lang w:val="zh-CN"/>
              </w:rPr>
            </w:pPr>
          </w:p>
        </w:tc>
        <w:tc>
          <w:tcPr>
            <w:tcW w:w="1750" w:type="dxa"/>
            <w:noWrap w:val="0"/>
            <w:vAlign w:val="center"/>
          </w:tcPr>
          <w:p w14:paraId="685AF64E">
            <w:pPr>
              <w:pStyle w:val="109"/>
              <w:widowControl/>
              <w:ind w:firstLine="482"/>
              <w:jc w:val="left"/>
              <w:rPr>
                <w:rFonts w:hint="eastAsia" w:ascii="仿宋" w:hAnsi="仿宋" w:eastAsia="仿宋" w:cs="仿宋"/>
                <w:kern w:val="0"/>
                <w:sz w:val="24"/>
                <w:szCs w:val="24"/>
                <w:lang w:val="zh-CN"/>
              </w:rPr>
            </w:pPr>
          </w:p>
        </w:tc>
        <w:tc>
          <w:tcPr>
            <w:tcW w:w="1681" w:type="dxa"/>
            <w:noWrap w:val="0"/>
            <w:vAlign w:val="center"/>
          </w:tcPr>
          <w:p w14:paraId="7F6A2831">
            <w:pPr>
              <w:pStyle w:val="109"/>
              <w:widowControl/>
              <w:ind w:firstLine="482"/>
              <w:jc w:val="left"/>
              <w:rPr>
                <w:rFonts w:hint="eastAsia" w:ascii="仿宋" w:hAnsi="仿宋" w:eastAsia="仿宋" w:cs="仿宋"/>
                <w:kern w:val="0"/>
                <w:sz w:val="24"/>
                <w:szCs w:val="24"/>
                <w:lang w:val="zh-CN"/>
              </w:rPr>
            </w:pPr>
          </w:p>
        </w:tc>
      </w:tr>
      <w:tr w14:paraId="62A2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jc w:val="center"/>
        </w:trPr>
        <w:tc>
          <w:tcPr>
            <w:tcW w:w="447" w:type="dxa"/>
            <w:noWrap w:val="0"/>
            <w:vAlign w:val="center"/>
          </w:tcPr>
          <w:p w14:paraId="729FD24D">
            <w:pPr>
              <w:pStyle w:val="109"/>
              <w:widowControl/>
              <w:jc w:val="left"/>
              <w:rPr>
                <w:rFonts w:hint="eastAsia" w:ascii="仿宋" w:hAnsi="仿宋" w:eastAsia="仿宋" w:cs="仿宋"/>
                <w:kern w:val="0"/>
                <w:sz w:val="24"/>
                <w:szCs w:val="24"/>
                <w:lang w:val="zh-CN"/>
              </w:rPr>
            </w:pPr>
          </w:p>
        </w:tc>
        <w:tc>
          <w:tcPr>
            <w:tcW w:w="1292" w:type="dxa"/>
            <w:noWrap w:val="0"/>
            <w:vAlign w:val="center"/>
          </w:tcPr>
          <w:p w14:paraId="1CE94770">
            <w:pPr>
              <w:pStyle w:val="109"/>
              <w:widowControl/>
              <w:ind w:firstLine="482"/>
              <w:jc w:val="left"/>
              <w:rPr>
                <w:rFonts w:hint="eastAsia" w:ascii="仿宋" w:hAnsi="仿宋" w:eastAsia="仿宋" w:cs="仿宋"/>
                <w:kern w:val="0"/>
                <w:sz w:val="24"/>
                <w:szCs w:val="24"/>
                <w:lang w:val="zh-CN"/>
              </w:rPr>
            </w:pPr>
          </w:p>
        </w:tc>
        <w:tc>
          <w:tcPr>
            <w:tcW w:w="1578" w:type="dxa"/>
            <w:noWrap w:val="0"/>
            <w:vAlign w:val="center"/>
          </w:tcPr>
          <w:p w14:paraId="50046598">
            <w:pPr>
              <w:pStyle w:val="109"/>
              <w:widowControl/>
              <w:ind w:firstLine="482"/>
              <w:jc w:val="left"/>
              <w:rPr>
                <w:rFonts w:hint="eastAsia" w:ascii="仿宋" w:hAnsi="仿宋" w:eastAsia="仿宋" w:cs="仿宋"/>
                <w:kern w:val="0"/>
                <w:sz w:val="24"/>
                <w:szCs w:val="24"/>
                <w:lang w:val="zh-CN"/>
              </w:rPr>
            </w:pPr>
          </w:p>
        </w:tc>
        <w:tc>
          <w:tcPr>
            <w:tcW w:w="1883" w:type="dxa"/>
            <w:noWrap w:val="0"/>
            <w:vAlign w:val="center"/>
          </w:tcPr>
          <w:p w14:paraId="35725782">
            <w:pPr>
              <w:pStyle w:val="109"/>
              <w:widowControl/>
              <w:ind w:firstLine="482"/>
              <w:jc w:val="left"/>
              <w:rPr>
                <w:rFonts w:hint="eastAsia" w:ascii="仿宋" w:hAnsi="仿宋" w:eastAsia="仿宋" w:cs="仿宋"/>
                <w:kern w:val="0"/>
                <w:sz w:val="24"/>
                <w:szCs w:val="24"/>
                <w:lang w:val="zh-CN"/>
              </w:rPr>
            </w:pPr>
          </w:p>
        </w:tc>
        <w:tc>
          <w:tcPr>
            <w:tcW w:w="1750" w:type="dxa"/>
            <w:noWrap w:val="0"/>
            <w:vAlign w:val="center"/>
          </w:tcPr>
          <w:p w14:paraId="55C5372F">
            <w:pPr>
              <w:pStyle w:val="109"/>
              <w:widowControl/>
              <w:ind w:firstLine="482"/>
              <w:jc w:val="left"/>
              <w:rPr>
                <w:rFonts w:hint="eastAsia" w:ascii="仿宋" w:hAnsi="仿宋" w:eastAsia="仿宋" w:cs="仿宋"/>
                <w:kern w:val="0"/>
                <w:sz w:val="24"/>
                <w:szCs w:val="24"/>
                <w:lang w:val="zh-CN"/>
              </w:rPr>
            </w:pPr>
          </w:p>
        </w:tc>
        <w:tc>
          <w:tcPr>
            <w:tcW w:w="1681" w:type="dxa"/>
            <w:noWrap w:val="0"/>
            <w:vAlign w:val="center"/>
          </w:tcPr>
          <w:p w14:paraId="5F356F18">
            <w:pPr>
              <w:pStyle w:val="109"/>
              <w:widowControl/>
              <w:ind w:firstLine="482"/>
              <w:jc w:val="left"/>
              <w:rPr>
                <w:rFonts w:hint="eastAsia" w:ascii="仿宋" w:hAnsi="仿宋" w:eastAsia="仿宋" w:cs="仿宋"/>
                <w:kern w:val="0"/>
                <w:sz w:val="24"/>
                <w:szCs w:val="24"/>
                <w:lang w:val="zh-CN"/>
              </w:rPr>
            </w:pPr>
          </w:p>
        </w:tc>
      </w:tr>
      <w:tr w14:paraId="178F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jc w:val="center"/>
        </w:trPr>
        <w:tc>
          <w:tcPr>
            <w:tcW w:w="447" w:type="dxa"/>
            <w:noWrap w:val="0"/>
            <w:vAlign w:val="center"/>
          </w:tcPr>
          <w:p w14:paraId="1AE27CEC">
            <w:pPr>
              <w:pStyle w:val="109"/>
              <w:widowControl/>
              <w:jc w:val="left"/>
              <w:rPr>
                <w:rFonts w:hint="eastAsia" w:ascii="仿宋" w:hAnsi="仿宋" w:eastAsia="仿宋" w:cs="仿宋"/>
                <w:kern w:val="0"/>
                <w:sz w:val="24"/>
                <w:szCs w:val="24"/>
                <w:lang w:val="zh-CN"/>
              </w:rPr>
            </w:pPr>
          </w:p>
        </w:tc>
        <w:tc>
          <w:tcPr>
            <w:tcW w:w="1292" w:type="dxa"/>
            <w:noWrap w:val="0"/>
            <w:vAlign w:val="center"/>
          </w:tcPr>
          <w:p w14:paraId="79FD4F4A">
            <w:pPr>
              <w:pStyle w:val="109"/>
              <w:widowControl/>
              <w:ind w:firstLine="482"/>
              <w:jc w:val="left"/>
              <w:rPr>
                <w:rFonts w:hint="eastAsia" w:ascii="仿宋" w:hAnsi="仿宋" w:eastAsia="仿宋" w:cs="仿宋"/>
                <w:kern w:val="0"/>
                <w:sz w:val="24"/>
                <w:szCs w:val="24"/>
                <w:lang w:val="zh-CN"/>
              </w:rPr>
            </w:pPr>
          </w:p>
        </w:tc>
        <w:tc>
          <w:tcPr>
            <w:tcW w:w="1578" w:type="dxa"/>
            <w:noWrap w:val="0"/>
            <w:vAlign w:val="center"/>
          </w:tcPr>
          <w:p w14:paraId="3F0961C6">
            <w:pPr>
              <w:pStyle w:val="109"/>
              <w:widowControl/>
              <w:ind w:firstLine="482"/>
              <w:jc w:val="left"/>
              <w:rPr>
                <w:rFonts w:hint="eastAsia" w:ascii="仿宋" w:hAnsi="仿宋" w:eastAsia="仿宋" w:cs="仿宋"/>
                <w:kern w:val="0"/>
                <w:sz w:val="24"/>
                <w:szCs w:val="24"/>
                <w:lang w:val="zh-CN"/>
              </w:rPr>
            </w:pPr>
          </w:p>
        </w:tc>
        <w:tc>
          <w:tcPr>
            <w:tcW w:w="1883" w:type="dxa"/>
            <w:noWrap w:val="0"/>
            <w:vAlign w:val="center"/>
          </w:tcPr>
          <w:p w14:paraId="0FF8784D">
            <w:pPr>
              <w:pStyle w:val="109"/>
              <w:widowControl/>
              <w:ind w:firstLine="482"/>
              <w:jc w:val="left"/>
              <w:rPr>
                <w:rFonts w:hint="eastAsia" w:ascii="仿宋" w:hAnsi="仿宋" w:eastAsia="仿宋" w:cs="仿宋"/>
                <w:kern w:val="0"/>
                <w:sz w:val="24"/>
                <w:szCs w:val="24"/>
                <w:lang w:val="zh-CN"/>
              </w:rPr>
            </w:pPr>
          </w:p>
        </w:tc>
        <w:tc>
          <w:tcPr>
            <w:tcW w:w="1750" w:type="dxa"/>
            <w:noWrap w:val="0"/>
            <w:vAlign w:val="center"/>
          </w:tcPr>
          <w:p w14:paraId="6F13B88C">
            <w:pPr>
              <w:pStyle w:val="109"/>
              <w:widowControl/>
              <w:ind w:firstLine="482"/>
              <w:jc w:val="left"/>
              <w:rPr>
                <w:rFonts w:hint="eastAsia" w:ascii="仿宋" w:hAnsi="仿宋" w:eastAsia="仿宋" w:cs="仿宋"/>
                <w:kern w:val="0"/>
                <w:sz w:val="24"/>
                <w:szCs w:val="24"/>
                <w:lang w:val="zh-CN"/>
              </w:rPr>
            </w:pPr>
          </w:p>
        </w:tc>
        <w:tc>
          <w:tcPr>
            <w:tcW w:w="1681" w:type="dxa"/>
            <w:noWrap w:val="0"/>
            <w:vAlign w:val="center"/>
          </w:tcPr>
          <w:p w14:paraId="0167184B">
            <w:pPr>
              <w:pStyle w:val="109"/>
              <w:widowControl/>
              <w:ind w:firstLine="482"/>
              <w:jc w:val="left"/>
              <w:rPr>
                <w:rFonts w:hint="eastAsia" w:ascii="仿宋" w:hAnsi="仿宋" w:eastAsia="仿宋" w:cs="仿宋"/>
                <w:kern w:val="0"/>
                <w:sz w:val="24"/>
                <w:szCs w:val="24"/>
                <w:lang w:val="zh-CN"/>
              </w:rPr>
            </w:pPr>
          </w:p>
        </w:tc>
      </w:tr>
    </w:tbl>
    <w:p w14:paraId="527143FC">
      <w:pPr>
        <w:pStyle w:val="109"/>
        <w:widowControl/>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xml:space="preserve">供应商（企业电子章）：                                      </w:t>
      </w:r>
    </w:p>
    <w:p w14:paraId="492836DA">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注：</w:t>
      </w:r>
    </w:p>
    <w:p w14:paraId="774791B0">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1、供应商提供的产品属于节能产品、环境标志产品的，应提供相关证明资料(上述节能产品、环境标志产品认证证书复印件)，并如实填写本表，未按此要求提供证明资料或填写本表的，评审时不予认可、不予加分。</w:t>
      </w:r>
    </w:p>
    <w:p w14:paraId="40A32560">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2、证书应是由《市场监管总局关于发布参与实施政府采购节能产品、环境标志产品认证机构名录的公告》的认证机构出具的、处于有效期之内的。</w:t>
      </w:r>
    </w:p>
    <w:p w14:paraId="42DA9820">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3、供应商可根据需要自行增减表格行数。</w:t>
      </w:r>
    </w:p>
    <w:p w14:paraId="172F8B8C">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4、相关证明资料附后。</w:t>
      </w:r>
    </w:p>
    <w:p w14:paraId="661F594A">
      <w:pPr>
        <w:pStyle w:val="109"/>
        <w:widowControl/>
        <w:jc w:val="left"/>
        <w:rPr>
          <w:rFonts w:hint="eastAsia" w:ascii="仿宋" w:hAnsi="仿宋" w:eastAsia="仿宋" w:cs="仿宋"/>
          <w:bCs/>
          <w:kern w:val="0"/>
          <w:sz w:val="24"/>
          <w:szCs w:val="24"/>
          <w:lang w:val="zh-CN"/>
        </w:rPr>
      </w:pPr>
    </w:p>
    <w:p w14:paraId="0C603417">
      <w:pPr>
        <w:pStyle w:val="109"/>
        <w:widowControl/>
        <w:jc w:val="left"/>
        <w:rPr>
          <w:rFonts w:hint="eastAsia" w:ascii="仿宋" w:hAnsi="仿宋" w:eastAsia="仿宋" w:cs="仿宋"/>
          <w:bCs/>
          <w:kern w:val="0"/>
          <w:sz w:val="24"/>
          <w:szCs w:val="24"/>
          <w:lang w:val="zh-CN"/>
        </w:rPr>
      </w:pPr>
      <w:r>
        <w:rPr>
          <w:rFonts w:hint="eastAsia" w:ascii="仿宋" w:hAnsi="仿宋" w:eastAsia="仿宋" w:cs="仿宋"/>
          <w:bCs/>
          <w:kern w:val="0"/>
          <w:sz w:val="24"/>
          <w:szCs w:val="24"/>
          <w:lang w:val="zh-CN"/>
        </w:rPr>
        <w:t>附：</w:t>
      </w:r>
    </w:p>
    <w:p w14:paraId="08C4034D">
      <w:pPr>
        <w:pStyle w:val="109"/>
        <w:widowControl/>
        <w:jc w:val="left"/>
        <w:rPr>
          <w:rFonts w:hint="eastAsia" w:ascii="仿宋" w:hAnsi="仿宋" w:eastAsia="仿宋" w:cs="仿宋"/>
          <w:spacing w:val="14"/>
          <w:kern w:val="0"/>
          <w:sz w:val="24"/>
          <w:szCs w:val="24"/>
          <w:lang w:val="zh-CN"/>
        </w:rPr>
      </w:pPr>
      <w:r>
        <w:rPr>
          <w:rFonts w:hint="eastAsia" w:ascii="仿宋" w:hAnsi="仿宋" w:eastAsia="仿宋" w:cs="仿宋"/>
          <w:bCs/>
          <w:kern w:val="0"/>
          <w:sz w:val="24"/>
          <w:szCs w:val="24"/>
          <w:lang w:val="zh-CN"/>
        </w:rPr>
        <w:t>1、投标产品的《中国节能产品认证证书》</w:t>
      </w:r>
      <w:r>
        <w:rPr>
          <w:rFonts w:hint="eastAsia" w:ascii="仿宋" w:hAnsi="仿宋" w:eastAsia="仿宋" w:cs="仿宋"/>
          <w:spacing w:val="14"/>
          <w:kern w:val="0"/>
          <w:sz w:val="24"/>
          <w:szCs w:val="24"/>
          <w:lang w:val="zh-CN"/>
        </w:rPr>
        <w:t>（应明显标画出对应的产品型号）</w:t>
      </w:r>
    </w:p>
    <w:p w14:paraId="050669F6">
      <w:pPr>
        <w:widowControl/>
        <w:jc w:val="left"/>
        <w:outlineLvl w:val="9"/>
        <w:rPr>
          <w:rFonts w:hint="eastAsia" w:ascii="仿宋" w:hAnsi="仿宋" w:eastAsia="仿宋" w:cs="仿宋"/>
          <w:bCs/>
          <w:sz w:val="24"/>
          <w:szCs w:val="24"/>
        </w:rPr>
      </w:pPr>
    </w:p>
    <w:p w14:paraId="10BFDB28">
      <w:pPr>
        <w:widowControl/>
        <w:jc w:val="left"/>
        <w:outlineLvl w:val="1"/>
        <w:rPr>
          <w:rFonts w:hint="eastAsia" w:ascii="仿宋" w:hAnsi="仿宋" w:eastAsia="仿宋" w:cs="仿宋"/>
          <w:kern w:val="0"/>
          <w:sz w:val="24"/>
          <w:szCs w:val="24"/>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bookmarkStart w:id="317" w:name="_Toc19929"/>
      <w:r>
        <w:rPr>
          <w:rFonts w:hint="eastAsia" w:ascii="仿宋" w:hAnsi="仿宋" w:eastAsia="仿宋" w:cs="仿宋"/>
          <w:bCs/>
          <w:sz w:val="24"/>
          <w:szCs w:val="24"/>
        </w:rPr>
        <w:t>2、投标产品的《中国环境标志产品认证证书》</w:t>
      </w:r>
      <w:r>
        <w:rPr>
          <w:rFonts w:hint="eastAsia" w:ascii="仿宋" w:hAnsi="仿宋" w:eastAsia="仿宋" w:cs="仿宋"/>
          <w:spacing w:val="14"/>
          <w:sz w:val="24"/>
          <w:szCs w:val="24"/>
        </w:rPr>
        <w:t>（应明显标画出对应的产品型号）</w:t>
      </w:r>
      <w:bookmarkEnd w:id="317"/>
    </w:p>
    <w:p w14:paraId="7D15F644">
      <w:pPr>
        <w:widowControl/>
        <w:jc w:val="left"/>
        <w:outlineLvl w:val="1"/>
        <w:rPr>
          <w:rFonts w:hint="eastAsia" w:ascii="仿宋" w:hAnsi="仿宋" w:eastAsia="仿宋" w:cs="仿宋"/>
          <w:b/>
          <w:kern w:val="0"/>
          <w:sz w:val="28"/>
          <w:szCs w:val="24"/>
          <w:lang w:eastAsia="en-US"/>
        </w:rPr>
      </w:pPr>
      <w:bookmarkStart w:id="318" w:name="_Toc7862"/>
      <w:r>
        <w:rPr>
          <w:rFonts w:hint="eastAsia" w:ascii="仿宋" w:hAnsi="仿宋" w:eastAsia="仿宋" w:cs="仿宋"/>
          <w:b/>
          <w:kern w:val="0"/>
          <w:sz w:val="28"/>
          <w:szCs w:val="24"/>
          <w:lang w:eastAsia="en-US"/>
        </w:rPr>
        <w:t>附件10:实质性技术要求的支持资料</w:t>
      </w:r>
    </w:p>
    <w:p w14:paraId="716FE185">
      <w:pPr>
        <w:widowControl/>
        <w:jc w:val="center"/>
        <w:outlineLvl w:val="1"/>
        <w:rPr>
          <w:rFonts w:hint="eastAsia" w:ascii="仿宋" w:hAnsi="仿宋" w:eastAsia="仿宋" w:cs="仿宋"/>
          <w:bCs/>
          <w:kern w:val="0"/>
          <w:sz w:val="24"/>
          <w:szCs w:val="22"/>
          <w:lang w:eastAsia="en-US"/>
        </w:rPr>
      </w:pPr>
      <w:bookmarkStart w:id="319" w:name="_Toc256000393"/>
      <w:bookmarkStart w:id="320" w:name="_Toc27363"/>
      <w:r>
        <w:rPr>
          <w:rFonts w:hint="eastAsia" w:ascii="仿宋" w:hAnsi="仿宋" w:eastAsia="仿宋" w:cs="仿宋"/>
          <w:bCs/>
          <w:kern w:val="0"/>
          <w:sz w:val="24"/>
          <w:szCs w:val="22"/>
          <w:lang w:eastAsia="en-US"/>
        </w:rPr>
        <w:t>技术要求的支持资料</w:t>
      </w:r>
      <w:bookmarkEnd w:id="319"/>
      <w:bookmarkEnd w:id="320"/>
    </w:p>
    <w:p w14:paraId="6894CB1F">
      <w:pPr>
        <w:widowControl/>
        <w:rPr>
          <w:rFonts w:hint="eastAsia" w:ascii="仿宋" w:hAnsi="仿宋" w:eastAsia="仿宋" w:cs="仿宋"/>
          <w:kern w:val="0"/>
          <w:szCs w:val="21"/>
        </w:rPr>
      </w:pPr>
    </w:p>
    <w:p w14:paraId="413017BE">
      <w:pPr>
        <w:widowControl/>
        <w:jc w:val="center"/>
        <w:rPr>
          <w:rFonts w:hint="eastAsia" w:ascii="仿宋" w:hAnsi="仿宋" w:eastAsia="仿宋" w:cs="仿宋"/>
          <w:kern w:val="0"/>
          <w:szCs w:val="21"/>
        </w:rPr>
      </w:pPr>
    </w:p>
    <w:p w14:paraId="7C66A011">
      <w:pPr>
        <w:rPr>
          <w:rFonts w:hint="eastAsia" w:ascii="仿宋" w:hAnsi="仿宋" w:eastAsia="仿宋" w:cs="仿宋"/>
          <w:kern w:val="0"/>
          <w:sz w:val="24"/>
          <w:szCs w:val="20"/>
        </w:rPr>
      </w:pPr>
    </w:p>
    <w:p w14:paraId="4F228D25">
      <w:pPr>
        <w:widowControl/>
        <w:rPr>
          <w:rFonts w:hint="eastAsia" w:ascii="仿宋" w:hAnsi="仿宋" w:eastAsia="仿宋" w:cs="仿宋"/>
          <w:kern w:val="0"/>
          <w:szCs w:val="21"/>
        </w:rPr>
      </w:pPr>
    </w:p>
    <w:p w14:paraId="6633AFE7">
      <w:pPr>
        <w:widowControl/>
        <w:rPr>
          <w:rFonts w:hint="eastAsia" w:ascii="仿宋" w:hAnsi="仿宋" w:eastAsia="仿宋" w:cs="仿宋"/>
          <w:kern w:val="0"/>
          <w:szCs w:val="21"/>
        </w:rPr>
      </w:pPr>
    </w:p>
    <w:p w14:paraId="67FACB84">
      <w:pPr>
        <w:widowControl/>
        <w:rPr>
          <w:rFonts w:hint="eastAsia" w:ascii="仿宋" w:hAnsi="仿宋" w:eastAsia="仿宋" w:cs="仿宋"/>
          <w:kern w:val="0"/>
          <w:szCs w:val="21"/>
        </w:rPr>
      </w:pPr>
    </w:p>
    <w:p w14:paraId="7B8C3E7A">
      <w:pPr>
        <w:widowControl/>
        <w:rPr>
          <w:rFonts w:hint="eastAsia" w:ascii="仿宋" w:hAnsi="仿宋" w:eastAsia="仿宋" w:cs="仿宋"/>
          <w:kern w:val="0"/>
          <w:szCs w:val="21"/>
        </w:rPr>
      </w:pPr>
    </w:p>
    <w:p w14:paraId="162070E6">
      <w:pPr>
        <w:widowControl/>
        <w:rPr>
          <w:rFonts w:hint="eastAsia" w:ascii="仿宋" w:hAnsi="仿宋" w:eastAsia="仿宋" w:cs="仿宋"/>
          <w:kern w:val="0"/>
          <w:szCs w:val="21"/>
        </w:rPr>
      </w:pPr>
    </w:p>
    <w:p w14:paraId="6E0A610E">
      <w:pPr>
        <w:widowControl/>
        <w:rPr>
          <w:rFonts w:hint="eastAsia" w:ascii="仿宋" w:hAnsi="仿宋" w:eastAsia="仿宋" w:cs="仿宋"/>
          <w:kern w:val="0"/>
          <w:szCs w:val="21"/>
        </w:rPr>
      </w:pPr>
      <w:r>
        <w:rPr>
          <w:rFonts w:hint="eastAsia" w:ascii="仿宋" w:hAnsi="仿宋" w:eastAsia="仿宋" w:cs="仿宋"/>
          <w:kern w:val="0"/>
          <w:szCs w:val="21"/>
        </w:rPr>
        <w:t>注：在</w:t>
      </w:r>
      <w:r>
        <w:rPr>
          <w:rFonts w:hint="eastAsia" w:ascii="仿宋" w:hAnsi="仿宋" w:eastAsia="仿宋" w:cs="仿宋"/>
          <w:kern w:val="0"/>
          <w:szCs w:val="21"/>
          <w:lang w:eastAsia="zh-CN"/>
        </w:rPr>
        <w:t>响应</w:t>
      </w:r>
      <w:r>
        <w:rPr>
          <w:rFonts w:hint="eastAsia" w:ascii="仿宋" w:hAnsi="仿宋" w:eastAsia="仿宋" w:cs="仿宋"/>
          <w:kern w:val="0"/>
          <w:szCs w:val="21"/>
        </w:rPr>
        <w:t>文件中附扫描件</w:t>
      </w:r>
    </w:p>
    <w:p w14:paraId="3628016D">
      <w:pPr>
        <w:widowControl/>
        <w:jc w:val="left"/>
        <w:outlineLvl w:val="1"/>
        <w:rPr>
          <w:rFonts w:hint="eastAsia" w:ascii="仿宋" w:hAnsi="仿宋" w:eastAsia="仿宋" w:cs="仿宋"/>
          <w:b/>
          <w:kern w:val="0"/>
          <w:sz w:val="28"/>
          <w:szCs w:val="24"/>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1B11B4F1">
      <w:pPr>
        <w:widowControl/>
        <w:jc w:val="left"/>
        <w:outlineLvl w:val="1"/>
        <w:rPr>
          <w:rFonts w:hint="eastAsia" w:ascii="仿宋" w:hAnsi="仿宋" w:eastAsia="仿宋" w:cs="仿宋"/>
          <w:b/>
          <w:kern w:val="0"/>
          <w:sz w:val="28"/>
          <w:szCs w:val="24"/>
          <w:lang w:eastAsia="en-US"/>
        </w:rPr>
      </w:pPr>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11：</w:t>
      </w:r>
      <w:r>
        <w:rPr>
          <w:rFonts w:hint="eastAsia" w:ascii="仿宋" w:hAnsi="仿宋" w:eastAsia="仿宋" w:cs="仿宋"/>
          <w:b/>
          <w:kern w:val="0"/>
          <w:sz w:val="28"/>
          <w:szCs w:val="24"/>
          <w:lang w:eastAsia="en-US"/>
        </w:rPr>
        <w:t>项目实施方案</w:t>
      </w:r>
      <w:bookmarkEnd w:id="318"/>
    </w:p>
    <w:p w14:paraId="14AE8AAB">
      <w:pPr>
        <w:jc w:val="center"/>
        <w:rPr>
          <w:rFonts w:ascii="仿宋" w:hAnsi="仿宋" w:eastAsia="仿宋"/>
          <w:bCs/>
          <w:color w:val="000000"/>
          <w:spacing w:val="10"/>
          <w:kern w:val="0"/>
          <w:sz w:val="20"/>
          <w:szCs w:val="20"/>
        </w:rPr>
      </w:pPr>
    </w:p>
    <w:p w14:paraId="58F2DABC">
      <w:pPr>
        <w:jc w:val="center"/>
        <w:rPr>
          <w:rFonts w:ascii="仿宋" w:hAnsi="仿宋" w:eastAsia="仿宋"/>
          <w:bCs/>
          <w:color w:val="000000"/>
          <w:spacing w:val="10"/>
          <w:kern w:val="0"/>
          <w:sz w:val="24"/>
          <w:szCs w:val="24"/>
        </w:rPr>
      </w:pPr>
      <w:r>
        <w:rPr>
          <w:rFonts w:hint="eastAsia" w:ascii="仿宋" w:hAnsi="仿宋" w:eastAsia="仿宋"/>
          <w:bCs/>
          <w:color w:val="000000"/>
          <w:spacing w:val="10"/>
          <w:kern w:val="0"/>
          <w:sz w:val="24"/>
          <w:szCs w:val="24"/>
        </w:rPr>
        <w:t>项目实施方案</w:t>
      </w:r>
    </w:p>
    <w:p w14:paraId="4E073927">
      <w:pPr>
        <w:jc w:val="center"/>
        <w:rPr>
          <w:rFonts w:ascii="仿宋" w:hAnsi="仿宋" w:eastAsia="仿宋"/>
          <w:bCs/>
          <w:color w:val="000000"/>
          <w:spacing w:val="10"/>
          <w:kern w:val="0"/>
          <w:sz w:val="24"/>
          <w:szCs w:val="24"/>
        </w:rPr>
      </w:pPr>
    </w:p>
    <w:p w14:paraId="1763C4D4">
      <w:pPr>
        <w:ind w:firstLine="418" w:firstLineChars="200"/>
        <w:jc w:val="left"/>
        <w:rPr>
          <w:rFonts w:hint="eastAsia" w:ascii="仿宋" w:hAnsi="仿宋" w:eastAsia="仿宋" w:cs="仿宋"/>
          <w:sz w:val="24"/>
          <w:szCs w:val="24"/>
        </w:rPr>
      </w:pPr>
      <w:r>
        <w:rPr>
          <w:rFonts w:hint="eastAsia" w:ascii="仿宋" w:hAnsi="仿宋" w:eastAsia="仿宋" w:cs="仿宋"/>
          <w:sz w:val="24"/>
          <w:szCs w:val="24"/>
        </w:rPr>
        <w:t>投标人根据招标项目要求及自身情况自行填报。</w:t>
      </w:r>
    </w:p>
    <w:p w14:paraId="73FB97C2">
      <w:pPr>
        <w:wordWrap w:val="0"/>
        <w:ind w:firstLine="418" w:firstLineChars="200"/>
        <w:jc w:val="left"/>
        <w:rPr>
          <w:rFonts w:hint="eastAsia" w:ascii="仿宋" w:hAnsi="仿宋" w:eastAsia="仿宋" w:cs="仿宋"/>
          <w:sz w:val="24"/>
          <w:szCs w:val="24"/>
        </w:rPr>
      </w:pPr>
      <w:r>
        <w:rPr>
          <w:rFonts w:hint="eastAsia" w:ascii="仿宋" w:hAnsi="仿宋" w:eastAsia="仿宋" w:cs="仿宋"/>
          <w:sz w:val="24"/>
          <w:szCs w:val="24"/>
        </w:rPr>
        <w:t>如本项目为暗标，则投标人需要严格按照暗标规则填报，具体的暗标规则详见：https://lyggzyjy.ly.gov.cn/bszn/005002/005002001/20240725/be3be1b7-8ffc-4ee1-aa3f-f82f3b5cc33b.html。</w:t>
      </w:r>
    </w:p>
    <w:p w14:paraId="110C54BD">
      <w:pPr>
        <w:pStyle w:val="110"/>
        <w:rPr>
          <w:rFonts w:hint="eastAsia" w:ascii="仿宋" w:hAnsi="仿宋" w:eastAsia="仿宋" w:cs="仿宋"/>
          <w:bCs/>
          <w:spacing w:val="10"/>
          <w:kern w:val="0"/>
          <w:sz w:val="24"/>
          <w:szCs w:val="24"/>
        </w:rPr>
      </w:pPr>
    </w:p>
    <w:p w14:paraId="2B445892">
      <w:pPr>
        <w:pStyle w:val="110"/>
        <w:rPr>
          <w:rFonts w:hint="eastAsia" w:ascii="仿宋" w:hAnsi="仿宋" w:eastAsia="仿宋" w:cs="仿宋"/>
          <w:bCs/>
          <w:spacing w:val="10"/>
          <w:kern w:val="0"/>
          <w:sz w:val="24"/>
          <w:szCs w:val="24"/>
        </w:rPr>
      </w:pPr>
    </w:p>
    <w:p w14:paraId="715FD15D">
      <w:pPr>
        <w:pStyle w:val="111"/>
        <w:outlineLvl w:val="2"/>
        <w:rPr>
          <w:rFonts w:ascii="Times New Roman" w:hAnsi="Times New Roman" w:eastAsia="Times New Roman"/>
          <w:kern w:val="0"/>
          <w:sz w:val="24"/>
          <w:szCs w:val="24"/>
          <w:lang w:eastAsia="en-US"/>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36D1A07B">
      <w:pPr>
        <w:widowControl/>
        <w:jc w:val="left"/>
        <w:outlineLvl w:val="1"/>
        <w:rPr>
          <w:rFonts w:hint="eastAsia" w:ascii="仿宋" w:hAnsi="仿宋" w:eastAsia="仿宋" w:cs="仿宋"/>
          <w:b/>
          <w:kern w:val="0"/>
          <w:sz w:val="28"/>
          <w:szCs w:val="24"/>
          <w:lang w:eastAsia="en-US"/>
        </w:rPr>
      </w:pPr>
      <w:bookmarkStart w:id="321" w:name="_Toc18781"/>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12</w:t>
      </w:r>
      <w:r>
        <w:rPr>
          <w:rFonts w:hint="eastAsia" w:ascii="仿宋" w:hAnsi="仿宋" w:eastAsia="仿宋" w:cs="仿宋"/>
          <w:b/>
          <w:kern w:val="0"/>
          <w:sz w:val="28"/>
          <w:szCs w:val="24"/>
          <w:lang w:eastAsia="en-US"/>
        </w:rPr>
        <w:t>:其他需要提供的资料</w:t>
      </w:r>
      <w:bookmarkEnd w:id="321"/>
    </w:p>
    <w:p w14:paraId="5E62D14B">
      <w:pPr>
        <w:jc w:val="center"/>
        <w:rPr>
          <w:rFonts w:hint="eastAsia" w:ascii="仿宋" w:hAnsi="仿宋" w:eastAsia="仿宋"/>
          <w:bCs/>
          <w:spacing w:val="10"/>
          <w:kern w:val="0"/>
          <w:sz w:val="24"/>
          <w:szCs w:val="24"/>
        </w:rPr>
      </w:pPr>
      <w:r>
        <w:rPr>
          <w:rFonts w:hint="eastAsia" w:ascii="仿宋" w:hAnsi="仿宋" w:eastAsia="仿宋"/>
          <w:bCs/>
          <w:spacing w:val="10"/>
          <w:kern w:val="0"/>
          <w:sz w:val="24"/>
          <w:szCs w:val="24"/>
        </w:rPr>
        <w:t>其他需要提供的资料</w:t>
      </w:r>
    </w:p>
    <w:p w14:paraId="74483C9C">
      <w:pPr>
        <w:jc w:val="center"/>
        <w:rPr>
          <w:rFonts w:ascii="仿宋" w:hAnsi="仿宋" w:eastAsia="仿宋"/>
          <w:bCs/>
          <w:spacing w:val="10"/>
          <w:kern w:val="0"/>
          <w:sz w:val="24"/>
          <w:szCs w:val="24"/>
        </w:rPr>
      </w:pPr>
    </w:p>
    <w:p w14:paraId="6469144C">
      <w:pPr>
        <w:rPr>
          <w:rFonts w:hint="eastAsia" w:ascii="仿宋" w:hAnsi="仿宋" w:eastAsia="仿宋" w:cs="宋体"/>
          <w:sz w:val="24"/>
          <w:szCs w:val="24"/>
        </w:rPr>
      </w:pPr>
      <w:r>
        <w:rPr>
          <w:rFonts w:hint="eastAsia" w:ascii="仿宋" w:hAnsi="仿宋" w:eastAsia="仿宋" w:cs="宋体"/>
          <w:bCs/>
          <w:spacing w:val="10"/>
          <w:sz w:val="24"/>
          <w:szCs w:val="24"/>
        </w:rPr>
        <w:t>供应商根据采购项目要求及自身情况自行填报。</w:t>
      </w:r>
    </w:p>
    <w:p w14:paraId="2D992C91">
      <w:pPr>
        <w:rPr>
          <w:rFonts w:ascii="仿宋" w:hAnsi="仿宋" w:eastAsia="仿宋"/>
          <w:kern w:val="0"/>
          <w:szCs w:val="21"/>
        </w:rPr>
      </w:pPr>
    </w:p>
    <w:p w14:paraId="1B1FEFD0">
      <w:pPr>
        <w:rPr>
          <w:rFonts w:hint="eastAsia" w:ascii="仿宋" w:hAnsi="仿宋" w:eastAsia="仿宋"/>
          <w:kern w:val="0"/>
          <w:szCs w:val="21"/>
        </w:rPr>
      </w:pPr>
    </w:p>
    <w:p w14:paraId="5987E1E8">
      <w:pPr>
        <w:widowControl/>
        <w:jc w:val="left"/>
        <w:outlineLvl w:val="1"/>
        <w:rPr>
          <w:rFonts w:hint="eastAsia" w:ascii="仿宋" w:hAnsi="仿宋" w:eastAsia="仿宋" w:cs="仿宋"/>
          <w:b/>
          <w:kern w:val="0"/>
          <w:sz w:val="28"/>
          <w:szCs w:val="24"/>
          <w:lang w:eastAsia="en-US"/>
        </w:rPr>
      </w:pPr>
      <w:r>
        <w:rPr>
          <w:rFonts w:ascii="Times New Roman" w:hAnsi="Times New Roman" w:eastAsia="Times New Roman"/>
          <w:kern w:val="0"/>
          <w:sz w:val="24"/>
          <w:szCs w:val="24"/>
          <w:lang w:eastAsia="en-US"/>
        </w:rPr>
        <w:br w:type="page"/>
      </w:r>
      <w:bookmarkStart w:id="322" w:name="_Toc17725"/>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13</w:t>
      </w:r>
      <w:r>
        <w:rPr>
          <w:rFonts w:hint="eastAsia" w:ascii="仿宋" w:hAnsi="仿宋" w:eastAsia="仿宋" w:cs="仿宋"/>
          <w:b/>
          <w:kern w:val="0"/>
          <w:sz w:val="28"/>
          <w:szCs w:val="24"/>
          <w:lang w:eastAsia="en-US"/>
        </w:rPr>
        <w:t>:参与评审打分的合同业绩一览表</w:t>
      </w:r>
      <w:bookmarkEnd w:id="322"/>
    </w:p>
    <w:p w14:paraId="59972DB5">
      <w:pPr>
        <w:widowControl/>
        <w:ind w:firstLine="0"/>
        <w:jc w:val="center"/>
        <w:rPr>
          <w:rFonts w:hint="eastAsia" w:ascii="仿宋" w:hAnsi="仿宋" w:eastAsia="仿宋" w:cs="仿宋"/>
          <w:kern w:val="0"/>
          <w:sz w:val="24"/>
          <w:szCs w:val="24"/>
        </w:rPr>
      </w:pPr>
      <w:r>
        <w:rPr>
          <w:rFonts w:hint="eastAsia" w:ascii="仿宋" w:hAnsi="仿宋" w:eastAsia="仿宋" w:cs="仿宋"/>
          <w:kern w:val="0"/>
          <w:sz w:val="24"/>
          <w:szCs w:val="24"/>
        </w:rPr>
        <w:t>参与评审打分的合同业绩一览表</w:t>
      </w:r>
    </w:p>
    <w:p w14:paraId="31F3D1A6">
      <w:pPr>
        <w:widowControl/>
        <w:ind w:firstLine="0"/>
        <w:jc w:val="center"/>
        <w:rPr>
          <w:rFonts w:hint="eastAsia" w:ascii="仿宋" w:hAnsi="仿宋" w:eastAsia="仿宋" w:cs="仿宋"/>
          <w:kern w:val="0"/>
          <w:sz w:val="24"/>
          <w:szCs w:val="24"/>
        </w:rPr>
      </w:pPr>
      <w:r>
        <w:rPr>
          <w:rFonts w:hint="eastAsia" w:ascii="仿宋" w:hAnsi="仿宋" w:eastAsia="仿宋" w:cs="仿宋"/>
          <w:kern w:val="0"/>
          <w:sz w:val="24"/>
          <w:szCs w:val="24"/>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5E49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C853B1F">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序号</w:t>
            </w: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560EA31">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项目名称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260C76E">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采购单位（甲方）名称</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DF449A5">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合同金额（元）</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E5D0F12">
            <w:pPr>
              <w:widowControl/>
              <w:ind w:firstLine="0"/>
              <w:jc w:val="both"/>
              <w:rPr>
                <w:rFonts w:hint="eastAsia" w:ascii="仿宋" w:hAnsi="仿宋" w:eastAsia="仿宋" w:cs="仿宋"/>
                <w:bCs/>
                <w:kern w:val="0"/>
                <w:sz w:val="24"/>
                <w:szCs w:val="24"/>
                <w:lang w:val="en-US" w:eastAsia="zh-CN" w:bidi="ar-SA"/>
              </w:rPr>
            </w:pPr>
            <w:r>
              <w:rPr>
                <w:rFonts w:hint="eastAsia" w:ascii="仿宋" w:hAnsi="仿宋" w:eastAsia="仿宋" w:cs="仿宋"/>
                <w:bCs/>
                <w:kern w:val="0"/>
                <w:sz w:val="24"/>
                <w:szCs w:val="24"/>
                <w:lang w:val="en-US" w:eastAsia="zh-CN" w:bidi="ar-SA"/>
              </w:rPr>
              <w:t>签订时间</w:t>
            </w:r>
          </w:p>
        </w:tc>
      </w:tr>
      <w:tr w14:paraId="420D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4534471">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52D8E24">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BE04957">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676D89E">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5DEDD3C">
            <w:pPr>
              <w:widowControl/>
              <w:ind w:firstLine="0"/>
              <w:jc w:val="left"/>
              <w:rPr>
                <w:rFonts w:hint="eastAsia" w:ascii="仿宋" w:hAnsi="仿宋" w:eastAsia="仿宋" w:cs="仿宋"/>
                <w:bCs/>
                <w:kern w:val="0"/>
                <w:sz w:val="24"/>
                <w:szCs w:val="24"/>
                <w:lang w:val="en-US" w:eastAsia="zh-CN" w:bidi="ar-SA"/>
              </w:rPr>
            </w:pPr>
          </w:p>
        </w:tc>
      </w:tr>
      <w:tr w14:paraId="4617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299BB38">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FF83F1E">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4A07834">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072A0AB">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322C80D">
            <w:pPr>
              <w:widowControl/>
              <w:ind w:firstLine="0"/>
              <w:jc w:val="left"/>
              <w:rPr>
                <w:rFonts w:hint="eastAsia" w:ascii="仿宋" w:hAnsi="仿宋" w:eastAsia="仿宋" w:cs="仿宋"/>
                <w:bCs/>
                <w:kern w:val="0"/>
                <w:sz w:val="24"/>
                <w:szCs w:val="24"/>
                <w:lang w:val="en-US" w:eastAsia="zh-CN" w:bidi="ar-SA"/>
              </w:rPr>
            </w:pPr>
          </w:p>
        </w:tc>
      </w:tr>
      <w:tr w14:paraId="77BF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303457FD">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DAFBF2E">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19D4777">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68526A9">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94AEF4D">
            <w:pPr>
              <w:widowControl/>
              <w:ind w:firstLine="0"/>
              <w:jc w:val="left"/>
              <w:rPr>
                <w:rFonts w:hint="eastAsia" w:ascii="仿宋" w:hAnsi="仿宋" w:eastAsia="仿宋" w:cs="仿宋"/>
                <w:bCs/>
                <w:kern w:val="0"/>
                <w:sz w:val="24"/>
                <w:szCs w:val="24"/>
                <w:lang w:val="en-US" w:eastAsia="zh-CN" w:bidi="ar-SA"/>
              </w:rPr>
            </w:pPr>
          </w:p>
        </w:tc>
      </w:tr>
      <w:tr w14:paraId="3B0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451D877E">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6AAD10C8">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32A9A12">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A75109A">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FE3CD36">
            <w:pPr>
              <w:widowControl/>
              <w:ind w:firstLine="0"/>
              <w:jc w:val="left"/>
              <w:rPr>
                <w:rFonts w:hint="eastAsia" w:ascii="仿宋" w:hAnsi="仿宋" w:eastAsia="仿宋" w:cs="仿宋"/>
                <w:bCs/>
                <w:kern w:val="0"/>
                <w:sz w:val="24"/>
                <w:szCs w:val="24"/>
                <w:lang w:val="en-US" w:eastAsia="zh-CN" w:bidi="ar-SA"/>
              </w:rPr>
            </w:pPr>
          </w:p>
        </w:tc>
      </w:tr>
      <w:tr w14:paraId="6B02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58BBDF12">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76FEAD8">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C4BCF53">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3DB78CD">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A214493">
            <w:pPr>
              <w:widowControl/>
              <w:ind w:firstLine="0"/>
              <w:jc w:val="left"/>
              <w:rPr>
                <w:rFonts w:hint="eastAsia" w:ascii="仿宋" w:hAnsi="仿宋" w:eastAsia="仿宋" w:cs="仿宋"/>
                <w:bCs/>
                <w:kern w:val="0"/>
                <w:sz w:val="24"/>
                <w:szCs w:val="24"/>
                <w:lang w:val="en-US" w:eastAsia="zh-CN" w:bidi="ar-SA"/>
              </w:rPr>
            </w:pPr>
          </w:p>
        </w:tc>
      </w:tr>
      <w:tr w14:paraId="238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1AD7C476">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6F6F26C">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F65FFB1">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ED41061">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6B6B726">
            <w:pPr>
              <w:widowControl/>
              <w:ind w:firstLine="0"/>
              <w:jc w:val="left"/>
              <w:rPr>
                <w:rFonts w:hint="eastAsia" w:ascii="仿宋" w:hAnsi="仿宋" w:eastAsia="仿宋" w:cs="仿宋"/>
                <w:bCs/>
                <w:kern w:val="0"/>
                <w:sz w:val="24"/>
                <w:szCs w:val="24"/>
                <w:lang w:val="en-US" w:eastAsia="zh-CN" w:bidi="ar-SA"/>
              </w:rPr>
            </w:pPr>
          </w:p>
        </w:tc>
      </w:tr>
      <w:tr w14:paraId="46B9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14:paraId="23BFDD72">
            <w:pPr>
              <w:widowControl/>
              <w:ind w:firstLine="0"/>
              <w:jc w:val="center"/>
              <w:rPr>
                <w:rFonts w:hint="eastAsia" w:ascii="仿宋" w:hAnsi="仿宋" w:eastAsia="仿宋" w:cs="仿宋"/>
                <w:bCs/>
                <w:kern w:val="0"/>
                <w:sz w:val="24"/>
                <w:szCs w:val="24"/>
                <w:lang w:val="en-US" w:eastAsia="zh-CN" w:bidi="ar-SA"/>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24C7B56">
            <w:pPr>
              <w:widowControl/>
              <w:ind w:firstLine="0"/>
              <w:jc w:val="left"/>
              <w:rPr>
                <w:rFonts w:hint="eastAsia" w:ascii="仿宋" w:hAnsi="仿宋" w:eastAsia="仿宋" w:cs="仿宋"/>
                <w:bCs/>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83515B0">
            <w:pPr>
              <w:widowControl/>
              <w:ind w:firstLine="0"/>
              <w:jc w:val="left"/>
              <w:rPr>
                <w:rFonts w:hint="eastAsia" w:ascii="仿宋" w:hAnsi="仿宋" w:eastAsia="仿宋" w:cs="仿宋"/>
                <w:bCs/>
                <w:kern w:val="0"/>
                <w:sz w:val="24"/>
                <w:szCs w:val="24"/>
                <w:lang w:val="en-US" w:eastAsia="zh-CN" w:bidi="ar-SA"/>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FD88426">
            <w:pPr>
              <w:widowControl/>
              <w:ind w:firstLine="0"/>
              <w:jc w:val="left"/>
              <w:rPr>
                <w:rFonts w:hint="eastAsia" w:ascii="仿宋" w:hAnsi="仿宋" w:eastAsia="仿宋" w:cs="仿宋"/>
                <w:bCs/>
                <w:kern w:val="0"/>
                <w:sz w:val="24"/>
                <w:szCs w:val="24"/>
                <w:lang w:val="en-US" w:eastAsia="zh-CN" w:bidi="ar-SA"/>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4FA9456">
            <w:pPr>
              <w:widowControl/>
              <w:ind w:firstLine="0"/>
              <w:jc w:val="left"/>
              <w:rPr>
                <w:rFonts w:hint="eastAsia" w:ascii="仿宋" w:hAnsi="仿宋" w:eastAsia="仿宋" w:cs="仿宋"/>
                <w:bCs/>
                <w:kern w:val="0"/>
                <w:sz w:val="24"/>
                <w:szCs w:val="24"/>
                <w:lang w:val="en-US" w:eastAsia="zh-CN" w:bidi="ar-SA"/>
              </w:rPr>
            </w:pPr>
          </w:p>
        </w:tc>
      </w:tr>
    </w:tbl>
    <w:p w14:paraId="16024F0F">
      <w:pPr>
        <w:widowControl/>
        <w:ind w:firstLine="0"/>
        <w:rPr>
          <w:rFonts w:hint="eastAsia" w:ascii="仿宋" w:hAnsi="仿宋" w:eastAsia="仿宋" w:cs="仿宋"/>
          <w:kern w:val="0"/>
          <w:sz w:val="24"/>
          <w:szCs w:val="24"/>
        </w:rPr>
      </w:pPr>
      <w:r>
        <w:rPr>
          <w:rFonts w:hint="eastAsia" w:ascii="仿宋" w:hAnsi="仿宋" w:eastAsia="仿宋" w:cs="仿宋"/>
          <w:kern w:val="0"/>
          <w:sz w:val="24"/>
          <w:szCs w:val="24"/>
        </w:rPr>
        <w:t>供应商（企业电子章）：</w:t>
      </w:r>
    </w:p>
    <w:p w14:paraId="1940E35E">
      <w:pPr>
        <w:widowControl/>
        <w:ind w:firstLine="0"/>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1FBCC544">
      <w:pPr>
        <w:widowControl/>
        <w:ind w:firstLine="0"/>
        <w:rPr>
          <w:rFonts w:hint="eastAsia" w:ascii="仿宋" w:hAnsi="仿宋" w:eastAsia="仿宋" w:cs="仿宋"/>
          <w:kern w:val="0"/>
          <w:sz w:val="24"/>
          <w:szCs w:val="24"/>
        </w:rPr>
      </w:pPr>
      <w:r>
        <w:rPr>
          <w:rFonts w:hint="eastAsia" w:ascii="仿宋" w:hAnsi="仿宋" w:eastAsia="仿宋" w:cs="仿宋"/>
          <w:kern w:val="0"/>
          <w:sz w:val="24"/>
          <w:szCs w:val="24"/>
        </w:rPr>
        <w:t xml:space="preserve"> </w:t>
      </w:r>
    </w:p>
    <w:p w14:paraId="40CBBE9F">
      <w:pPr>
        <w:widowControl/>
        <w:ind w:firstLine="0"/>
        <w:rPr>
          <w:rFonts w:hint="eastAsia" w:ascii="仿宋" w:hAnsi="仿宋" w:eastAsia="仿宋" w:cs="仿宋"/>
          <w:bCs/>
          <w:spacing w:val="10"/>
          <w:kern w:val="0"/>
          <w:sz w:val="24"/>
          <w:szCs w:val="24"/>
        </w:rPr>
      </w:pPr>
      <w:r>
        <w:rPr>
          <w:rFonts w:hint="eastAsia" w:ascii="仿宋" w:hAnsi="仿宋" w:eastAsia="仿宋" w:cs="仿宋"/>
          <w:bCs/>
          <w:spacing w:val="10"/>
          <w:kern w:val="0"/>
          <w:sz w:val="24"/>
          <w:szCs w:val="24"/>
        </w:rPr>
        <w:t>注：1.</w:t>
      </w:r>
      <w:r>
        <w:rPr>
          <w:rFonts w:hint="eastAsia" w:ascii="仿宋" w:hAnsi="仿宋" w:eastAsia="仿宋" w:cs="仿宋"/>
          <w:kern w:val="0"/>
          <w:sz w:val="24"/>
          <w:szCs w:val="24"/>
        </w:rPr>
        <w:t>供应商</w:t>
      </w:r>
      <w:r>
        <w:rPr>
          <w:rFonts w:hint="eastAsia" w:ascii="仿宋" w:hAnsi="仿宋" w:eastAsia="仿宋" w:cs="仿宋"/>
          <w:bCs/>
          <w:spacing w:val="10"/>
          <w:kern w:val="0"/>
          <w:sz w:val="24"/>
          <w:szCs w:val="24"/>
        </w:rPr>
        <w:t>可根据需要自行增减表格行数。</w:t>
      </w:r>
    </w:p>
    <w:p w14:paraId="168D216E">
      <w:pPr>
        <w:ind w:firstLine="458" w:firstLineChars="200"/>
        <w:rPr>
          <w:rFonts w:hint="eastAsia" w:ascii="仿宋" w:hAnsi="仿宋" w:eastAsia="仿宋" w:cs="仿宋"/>
          <w:sz w:val="24"/>
          <w:szCs w:val="24"/>
        </w:rPr>
      </w:pPr>
      <w:r>
        <w:rPr>
          <w:rFonts w:hint="eastAsia" w:ascii="仿宋" w:hAnsi="仿宋" w:eastAsia="仿宋" w:cs="仿宋"/>
          <w:bCs/>
          <w:spacing w:val="10"/>
          <w:sz w:val="24"/>
          <w:szCs w:val="24"/>
        </w:rPr>
        <w:t>2.</w:t>
      </w:r>
      <w:r>
        <w:rPr>
          <w:rFonts w:hint="eastAsia" w:ascii="仿宋" w:hAnsi="仿宋" w:eastAsia="仿宋" w:cs="仿宋"/>
          <w:sz w:val="24"/>
          <w:szCs w:val="24"/>
        </w:rPr>
        <w:t>供应商对所报相关内容的真实性负责，采购代理机构有权将相关内容进行公示，因弄虚作假导致的后果由自行承担。</w:t>
      </w:r>
    </w:p>
    <w:p w14:paraId="619C5379">
      <w:pPr>
        <w:widowControl/>
        <w:jc w:val="left"/>
        <w:outlineLvl w:val="1"/>
        <w:rPr>
          <w:rFonts w:hint="eastAsia" w:ascii="仿宋" w:hAnsi="仿宋" w:eastAsia="仿宋" w:cs="仿宋"/>
          <w:b/>
          <w:kern w:val="0"/>
          <w:sz w:val="28"/>
          <w:szCs w:val="24"/>
          <w:lang w:eastAsia="en-US"/>
        </w:rPr>
      </w:pPr>
      <w:r>
        <w:rPr>
          <w:rFonts w:ascii="Times New Roman" w:hAnsi="Times New Roman" w:eastAsia="Times New Roman"/>
          <w:kern w:val="0"/>
          <w:sz w:val="24"/>
          <w:szCs w:val="24"/>
          <w:lang w:eastAsia="en-US"/>
        </w:rPr>
        <w:br w:type="page"/>
      </w:r>
      <w:bookmarkStart w:id="323" w:name="_Toc29035"/>
      <w:r>
        <w:rPr>
          <w:rFonts w:hint="eastAsia" w:ascii="仿宋" w:hAnsi="仿宋" w:eastAsia="仿宋" w:cs="仿宋"/>
          <w:b/>
          <w:kern w:val="0"/>
          <w:sz w:val="28"/>
          <w:szCs w:val="24"/>
          <w:lang w:eastAsia="en-US"/>
        </w:rPr>
        <w:t>附件</w:t>
      </w:r>
      <w:r>
        <w:rPr>
          <w:rFonts w:hint="eastAsia" w:ascii="仿宋" w:hAnsi="仿宋" w:eastAsia="仿宋" w:cs="仿宋"/>
          <w:b/>
          <w:kern w:val="0"/>
          <w:sz w:val="28"/>
          <w:szCs w:val="24"/>
          <w:lang w:val="en-US" w:eastAsia="zh-CN"/>
        </w:rPr>
        <w:t>13-1</w:t>
      </w:r>
      <w:r>
        <w:rPr>
          <w:rFonts w:hint="eastAsia" w:ascii="仿宋" w:hAnsi="仿宋" w:eastAsia="仿宋" w:cs="仿宋"/>
          <w:b/>
          <w:kern w:val="0"/>
          <w:sz w:val="28"/>
          <w:szCs w:val="24"/>
          <w:lang w:eastAsia="en-US"/>
        </w:rPr>
        <w:t>:参与评审打分的合同业绩扫描件</w:t>
      </w:r>
      <w:bookmarkEnd w:id="323"/>
    </w:p>
    <w:p w14:paraId="47E76F3A">
      <w:pPr>
        <w:widowControl/>
        <w:jc w:val="left"/>
        <w:outlineLvl w:val="1"/>
        <w:rPr>
          <w:rFonts w:hint="eastAsia" w:ascii="仿宋" w:hAnsi="仿宋" w:eastAsia="仿宋" w:cs="仿宋"/>
          <w:b/>
          <w:kern w:val="0"/>
          <w:sz w:val="28"/>
          <w:szCs w:val="24"/>
          <w:lang w:eastAsia="en-US"/>
        </w:rPr>
      </w:pPr>
    </w:p>
    <w:bookmarkEnd w:id="304"/>
    <w:p w14:paraId="7C1F599B">
      <w:pPr>
        <w:rPr>
          <w:rFonts w:hint="eastAsia"/>
          <w:color w:val="000080"/>
          <w:sz w:val="20"/>
          <w:highlight w:val="white"/>
        </w:rPr>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pPr>
    </w:p>
    <w:p w14:paraId="6EAA245F">
      <w:pPr>
        <w:pStyle w:val="40"/>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14：其他材料</w:t>
      </w:r>
    </w:p>
    <w:p w14:paraId="5C8E9B89">
      <w:pPr>
        <w:pStyle w:val="40"/>
        <w:rPr>
          <w:rFonts w:hint="eastAsia"/>
        </w:rPr>
      </w:pPr>
    </w:p>
    <w:p w14:paraId="3AFDC180"/>
    <w:sectPr>
      <w:pgSz w:w="11906" w:h="16838"/>
      <w:pgMar w:top="1418" w:right="1247" w:bottom="1418" w:left="1418" w:header="680" w:footer="680" w:gutter="0"/>
      <w:pgBorders>
        <w:top w:val="none" w:sz="0" w:space="0"/>
        <w:left w:val="none" w:sz="0" w:space="0"/>
        <w:bottom w:val="none" w:sz="0" w:space="0"/>
        <w:right w:val="none" w:sz="0" w:space="0"/>
      </w:pgBorders>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S Sans Serif">
    <w:altName w:val="Arial"/>
    <w:panose1 w:val="00000000000000000000"/>
    <w:charset w:val="00"/>
    <w:family w:val="swiss"/>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panose1 w:val="02020609040205080304"/>
    <w:charset w:val="80"/>
    <w:family w:val="roma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5C019">
    <w:pPr>
      <w:pStyle w:val="2"/>
      <w:framePr w:wrap="around" w:vAnchor="text" w:hAnchor="margin" w:xAlign="center" w:y="1"/>
      <w:rPr>
        <w:rStyle w:val="8"/>
      </w:rPr>
    </w:pPr>
    <w:r>
      <w:fldChar w:fldCharType="begin"/>
    </w:r>
    <w:r>
      <w:rPr>
        <w:rStyle w:val="8"/>
        <w:highlight w:val="white"/>
      </w:rPr>
      <w:instrText xml:space="preserve">PAGE  </w:instrText>
    </w:r>
    <w:r>
      <w:fldChar w:fldCharType="separate"/>
    </w:r>
    <w:r>
      <w:rPr>
        <w:rStyle w:val="8"/>
        <w:highlight w:val="white"/>
      </w:rPr>
      <w:t>89</w:t>
    </w:r>
    <w:r>
      <w:fldChar w:fldCharType="end"/>
    </w:r>
  </w:p>
  <w:p w14:paraId="7F023B50">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AF2B3">
    <w:pPr>
      <w:pStyle w:val="2"/>
      <w:framePr w:wrap="around" w:vAnchor="text" w:hAnchor="margin" w:xAlign="center" w:y="1"/>
      <w:rPr>
        <w:rStyle w:val="8"/>
      </w:rPr>
    </w:pPr>
    <w:r>
      <w:fldChar w:fldCharType="begin"/>
    </w:r>
    <w:r>
      <w:rPr>
        <w:rStyle w:val="8"/>
        <w:highlight w:val="white"/>
      </w:rPr>
      <w:instrText xml:space="preserve">PAGE  </w:instrText>
    </w:r>
    <w:r>
      <w:fldChar w:fldCharType="separate"/>
    </w:r>
    <w:r>
      <w:fldChar w:fldCharType="end"/>
    </w:r>
  </w:p>
  <w:p w14:paraId="454587E4">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8B0AF">
    <w:pPr>
      <w:pStyle w:val="2"/>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D6C05">
    <w:pPr>
      <w:pStyle w:val="3"/>
      <w:jc w:val="left"/>
      <w:rPr>
        <w:rFonts w:eastAsia="楷体_GB2312"/>
        <w:color w:val="auto"/>
        <w:sz w:val="21"/>
        <w:highlight w:val="none"/>
        <w:shd w:val="pct10" w:color="auto" w:fill="FFFFFF"/>
      </w:rPr>
    </w:pPr>
    <w:r>
      <w:rPr>
        <w:rFonts w:hint="eastAsia" w:eastAsia="楷体_GB2312"/>
        <w:color w:val="auto"/>
        <w:sz w:val="21"/>
        <w:highlight w:val="none"/>
        <w:shd w:val="pct10" w:color="auto" w:fill="FFFFFF"/>
      </w:rPr>
      <w:t>公开 公平 公正 诚信                                            河南城发工程管理有限公司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2963">
    <w:pPr>
      <w:pStyle w:val="3"/>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11FEA1"/>
    <w:multiLevelType w:val="singleLevel"/>
    <w:tmpl w:val="B111FEA1"/>
    <w:lvl w:ilvl="0" w:tentative="0">
      <w:start w:val="1"/>
      <w:numFmt w:val="decimal"/>
      <w:lvlText w:val="%1."/>
      <w:lvlJc w:val="left"/>
      <w:pPr>
        <w:tabs>
          <w:tab w:val="left" w:pos="312"/>
        </w:tabs>
      </w:pPr>
    </w:lvl>
  </w:abstractNum>
  <w:abstractNum w:abstractNumId="1">
    <w:nsid w:val="DAECECC4"/>
    <w:multiLevelType w:val="singleLevel"/>
    <w:tmpl w:val="DAECECC4"/>
    <w:lvl w:ilvl="0" w:tentative="0">
      <w:start w:val="1"/>
      <w:numFmt w:val="chineseCounting"/>
      <w:suff w:val="nothing"/>
      <w:lvlText w:val="%1、"/>
      <w:lvlJc w:val="left"/>
      <w:rPr>
        <w:rFonts w:hint="eastAsia"/>
      </w:rPr>
    </w:lvl>
  </w:abstractNum>
  <w:abstractNum w:abstractNumId="2">
    <w:nsid w:val="2A9E38DE"/>
    <w:multiLevelType w:val="multilevel"/>
    <w:tmpl w:val="2A9E38DE"/>
    <w:lvl w:ilvl="0" w:tentative="0">
      <w:start w:val="1"/>
      <w:numFmt w:val="japaneseCounting"/>
      <w:lvlText w:val="%1、"/>
      <w:lvlJc w:val="left"/>
      <w:pPr>
        <w:ind w:left="420" w:hanging="420"/>
      </w:pPr>
      <w:rPr>
        <w:rFonts w:hint="default"/>
      </w:rPr>
    </w:lvl>
    <w:lvl w:ilvl="1" w:tentative="0">
      <w:start w:val="3"/>
      <w:numFmt w:val="decimal"/>
      <w:lvlText w:val="%2、"/>
      <w:lvlJc w:val="left"/>
      <w:pPr>
        <w:ind w:left="780" w:hanging="360"/>
      </w:pPr>
      <w:rPr>
        <w:rFonts w:hint="default"/>
      </w:rPr>
    </w:lvl>
    <w:lvl w:ilvl="2" w:tentative="0">
      <w:start w:val="2"/>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691F65"/>
    <w:multiLevelType w:val="multilevel"/>
    <w:tmpl w:val="3A691F6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505C1565"/>
    <w:multiLevelType w:val="multilevel"/>
    <w:tmpl w:val="505C156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E991451"/>
    <w:multiLevelType w:val="singleLevel"/>
    <w:tmpl w:val="5E991451"/>
    <w:lvl w:ilvl="0" w:tentative="0">
      <w:start w:val="1"/>
      <w:numFmt w:val="decimal"/>
      <w:suff w:val="nothing"/>
      <w:lvlText w:val="%1、"/>
      <w:lvlJc w:val="left"/>
    </w:lvl>
  </w:abstractNum>
  <w:abstractNum w:abstractNumId="6">
    <w:nsid w:val="5E99328E"/>
    <w:multiLevelType w:val="singleLevel"/>
    <w:tmpl w:val="5E99328E"/>
    <w:lvl w:ilvl="0" w:tentative="0">
      <w:start w:val="4"/>
      <w:numFmt w:val="decimal"/>
      <w:suff w:val="nothing"/>
      <w:lvlText w:val="%1、"/>
      <w:lvlJc w:val="left"/>
    </w:lvl>
  </w:abstractNum>
  <w:abstractNum w:abstractNumId="7">
    <w:nsid w:val="5E9E56EA"/>
    <w:multiLevelType w:val="singleLevel"/>
    <w:tmpl w:val="5E9E56EA"/>
    <w:lvl w:ilvl="0" w:tentative="0">
      <w:start w:val="1"/>
      <w:numFmt w:val="chineseCounting"/>
      <w:suff w:val="nothing"/>
      <w:lvlText w:val="%1、"/>
      <w:lvlJc w:val="left"/>
    </w:lvl>
  </w:abstractNum>
  <w:abstractNum w:abstractNumId="8">
    <w:nsid w:val="5E9E57EB"/>
    <w:multiLevelType w:val="singleLevel"/>
    <w:tmpl w:val="5E9E57EB"/>
    <w:lvl w:ilvl="0" w:tentative="0">
      <w:start w:val="1"/>
      <w:numFmt w:val="decimal"/>
      <w:suff w:val="nothing"/>
      <w:lvlText w:val="%1、"/>
      <w:lvlJc w:val="left"/>
    </w:lvl>
  </w:abstractNum>
  <w:abstractNum w:abstractNumId="9">
    <w:nsid w:val="5E9E6891"/>
    <w:multiLevelType w:val="singleLevel"/>
    <w:tmpl w:val="5E9E6891"/>
    <w:lvl w:ilvl="0" w:tentative="0">
      <w:start w:val="2"/>
      <w:numFmt w:val="decimal"/>
      <w:suff w:val="nothing"/>
      <w:lvlText w:val="%1、"/>
      <w:lvlJc w:val="left"/>
    </w:lvl>
  </w:abstractNum>
  <w:abstractNum w:abstractNumId="10">
    <w:nsid w:val="715B8A92"/>
    <w:multiLevelType w:val="singleLevel"/>
    <w:tmpl w:val="715B8A92"/>
    <w:lvl w:ilvl="0" w:tentative="0">
      <w:start w:val="3"/>
      <w:numFmt w:val="chineseCounting"/>
      <w:suff w:val="space"/>
      <w:lvlText w:val="第%1章"/>
      <w:lvlJc w:val="left"/>
      <w:rPr>
        <w:rFonts w:hint="eastAsia"/>
      </w:rPr>
    </w:lvl>
  </w:abstractNum>
  <w:num w:numId="1">
    <w:abstractNumId w:val="0"/>
  </w:num>
  <w:num w:numId="2">
    <w:abstractNumId w:val="10"/>
  </w:num>
  <w:num w:numId="3">
    <w:abstractNumId w:val="1"/>
  </w:num>
  <w:num w:numId="4">
    <w:abstractNumId w:val="6"/>
  </w:num>
  <w:num w:numId="5">
    <w:abstractNumId w:val="5"/>
  </w:num>
  <w:num w:numId="6">
    <w:abstractNumId w:val="7"/>
  </w:num>
  <w:num w:numId="7">
    <w:abstractNumId w:val="8"/>
  </w:num>
  <w:num w:numId="8">
    <w:abstractNumId w:val="2"/>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6178F6"/>
    <w:rsid w:val="00D4514A"/>
    <w:rsid w:val="0110404B"/>
    <w:rsid w:val="03D87C35"/>
    <w:rsid w:val="088210FD"/>
    <w:rsid w:val="0AA20101"/>
    <w:rsid w:val="0DD62559"/>
    <w:rsid w:val="10764247"/>
    <w:rsid w:val="108A0B1E"/>
    <w:rsid w:val="162C0B76"/>
    <w:rsid w:val="1A116732"/>
    <w:rsid w:val="1A651406"/>
    <w:rsid w:val="1A6A3B28"/>
    <w:rsid w:val="1AF0520D"/>
    <w:rsid w:val="1CAC14C7"/>
    <w:rsid w:val="1ECE40D2"/>
    <w:rsid w:val="273E6358"/>
    <w:rsid w:val="28737F7F"/>
    <w:rsid w:val="2A2B5331"/>
    <w:rsid w:val="2B51714B"/>
    <w:rsid w:val="2C5A3F68"/>
    <w:rsid w:val="2FBE7AFB"/>
    <w:rsid w:val="33C70135"/>
    <w:rsid w:val="34A735C8"/>
    <w:rsid w:val="369736CA"/>
    <w:rsid w:val="38CE6EED"/>
    <w:rsid w:val="3A417094"/>
    <w:rsid w:val="3DC51DB1"/>
    <w:rsid w:val="3EB76FF8"/>
    <w:rsid w:val="3EB92D70"/>
    <w:rsid w:val="3F655406"/>
    <w:rsid w:val="3FBC655D"/>
    <w:rsid w:val="4488775E"/>
    <w:rsid w:val="47C4007E"/>
    <w:rsid w:val="484836D3"/>
    <w:rsid w:val="494227D6"/>
    <w:rsid w:val="4B3F432F"/>
    <w:rsid w:val="504B2268"/>
    <w:rsid w:val="526F612D"/>
    <w:rsid w:val="57312F78"/>
    <w:rsid w:val="5D7468E5"/>
    <w:rsid w:val="5F2F6368"/>
    <w:rsid w:val="5F465B03"/>
    <w:rsid w:val="60E81785"/>
    <w:rsid w:val="622F1001"/>
    <w:rsid w:val="69B560BB"/>
    <w:rsid w:val="6F9603E0"/>
    <w:rsid w:val="6FF4738B"/>
    <w:rsid w:val="739F415B"/>
    <w:rsid w:val="741868DB"/>
    <w:rsid w:val="79BE0C60"/>
    <w:rsid w:val="79CA60EB"/>
    <w:rsid w:val="7C6178F6"/>
    <w:rsid w:val="7E1B08D1"/>
    <w:rsid w:val="7E930C54"/>
    <w:rsid w:val="7F0911B9"/>
    <w:rsid w:val="7FBA1C10"/>
    <w:rsid w:val="7FCA0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4">
    <w:name w:val="toc 1"/>
    <w:basedOn w:val="1"/>
    <w:next w:val="1"/>
    <w:qFormat/>
    <w:uiPriority w:val="0"/>
    <w:pPr>
      <w:spacing w:before="60" w:line="400" w:lineRule="exact"/>
    </w:pPr>
    <w:rPr>
      <w:rFonts w:eastAsia="黑体"/>
    </w:rPr>
  </w:style>
  <w:style w:type="paragraph" w:styleId="5">
    <w:name w:val="Title"/>
    <w:basedOn w:val="1"/>
    <w:next w:val="1"/>
    <w:qFormat/>
    <w:uiPriority w:val="0"/>
    <w:pPr>
      <w:spacing w:before="240" w:after="60"/>
      <w:jc w:val="center"/>
      <w:outlineLvl w:val="0"/>
    </w:pPr>
    <w:rPr>
      <w:rFonts w:ascii="Cambria" w:hAnsi="Cambria"/>
      <w:b/>
      <w:bCs/>
      <w:sz w:val="32"/>
      <w:szCs w:val="32"/>
    </w:rPr>
  </w:style>
  <w:style w:type="character" w:styleId="8">
    <w:name w:val="page number"/>
    <w:qFormat/>
    <w:uiPriority w:val="0"/>
  </w:style>
  <w:style w:type="paragraph" w:customStyle="1" w:styleId="9">
    <w:name w:val="正文文本_0_0"/>
    <w:basedOn w:val="10"/>
    <w:next w:val="11"/>
    <w:unhideWhenUsed/>
    <w:qFormat/>
    <w:uiPriority w:val="99"/>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0">
    <w:name w:val="正文_0_0"/>
    <w:next w:val="9"/>
    <w:qFormat/>
    <w:uiPriority w:val="0"/>
    <w:pPr>
      <w:widowControl w:val="0"/>
      <w:jc w:val="both"/>
    </w:pPr>
    <w:rPr>
      <w:rFonts w:ascii="Calibri" w:hAnsi="Calibri" w:eastAsia="宋体" w:cs="Times New Roman"/>
      <w:kern w:val="2"/>
      <w:sz w:val="21"/>
      <w:szCs w:val="22"/>
    </w:rPr>
  </w:style>
  <w:style w:type="paragraph" w:customStyle="1" w:styleId="11">
    <w:name w:val="Default_0"/>
    <w:qFormat/>
    <w:uiPriority w:val="0"/>
    <w:pPr>
      <w:widowControl w:val="0"/>
      <w:autoSpaceDE w:val="0"/>
      <w:autoSpaceDN w:val="0"/>
      <w:adjustRightInd w:val="0"/>
    </w:pPr>
    <w:rPr>
      <w:rFonts w:ascii="Times New Roman" w:hAnsi="Times New Roman" w:eastAsia="宋体" w:cs="Times New Roman"/>
      <w:color w:val="000000"/>
      <w:sz w:val="24"/>
      <w:szCs w:val="24"/>
    </w:rPr>
  </w:style>
  <w:style w:type="paragraph" w:customStyle="1" w:styleId="12">
    <w:name w:val="*正文_0"/>
    <w:basedOn w:val="10"/>
    <w:next w:val="10"/>
    <w:qFormat/>
    <w:uiPriority w:val="0"/>
    <w:pPr>
      <w:widowControl/>
      <w:ind w:firstLine="482"/>
    </w:pPr>
    <w:rPr>
      <w:rFonts w:ascii="微软雅黑" w:hAnsi="微软雅黑" w:eastAsia="微软雅黑"/>
      <w:kern w:val="0"/>
      <w:szCs w:val="20"/>
    </w:rPr>
  </w:style>
  <w:style w:type="paragraph" w:customStyle="1" w:styleId="13">
    <w:name w:val="*正文_1"/>
    <w:basedOn w:val="14"/>
    <w:next w:val="14"/>
    <w:qFormat/>
    <w:uiPriority w:val="0"/>
    <w:pPr>
      <w:ind w:firstLine="482"/>
      <w:jc w:val="both"/>
    </w:pPr>
    <w:rPr>
      <w:rFonts w:ascii="微软雅黑" w:hAnsi="微软雅黑" w:eastAsia="微软雅黑" w:cs="宋体"/>
      <w:szCs w:val="21"/>
    </w:rPr>
  </w:style>
  <w:style w:type="paragraph" w:customStyle="1" w:styleId="14">
    <w:name w:val="正文_1"/>
    <w:next w:val="15"/>
    <w:qFormat/>
    <w:uiPriority w:val="0"/>
    <w:rPr>
      <w:rFonts w:ascii="Times New Roman" w:hAnsi="Times New Roman" w:eastAsia="宋体" w:cs="Times New Roman"/>
      <w:sz w:val="21"/>
      <w:szCs w:val="22"/>
      <w:lang w:val="en-US" w:eastAsia="zh-CN" w:bidi="ar-SA"/>
    </w:rPr>
  </w:style>
  <w:style w:type="paragraph" w:customStyle="1" w:styleId="15">
    <w:name w:val="Default_1"/>
    <w:basedOn w:val="16"/>
    <w:next w:val="20"/>
    <w:qFormat/>
    <w:uiPriority w:val="0"/>
    <w:pPr>
      <w:autoSpaceDE w:val="0"/>
      <w:autoSpaceDN w:val="0"/>
      <w:adjustRightInd w:val="0"/>
      <w:jc w:val="left"/>
    </w:pPr>
    <w:rPr>
      <w:rFonts w:cs="宋体"/>
      <w:color w:val="000000"/>
      <w:kern w:val="0"/>
      <w:sz w:val="24"/>
      <w:szCs w:val="24"/>
    </w:rPr>
  </w:style>
  <w:style w:type="paragraph" w:customStyle="1" w:styleId="16">
    <w:name w:val="正文_2"/>
    <w:next w:val="17"/>
    <w:qFormat/>
    <w:uiPriority w:val="0"/>
    <w:pPr>
      <w:widowControl w:val="0"/>
      <w:jc w:val="both"/>
    </w:pPr>
    <w:rPr>
      <w:rFonts w:ascii="Calibri" w:hAnsi="Calibri" w:eastAsia="宋体" w:cs="Times New Roman"/>
      <w:kern w:val="2"/>
      <w:sz w:val="21"/>
      <w:szCs w:val="22"/>
    </w:rPr>
  </w:style>
  <w:style w:type="paragraph" w:customStyle="1" w:styleId="17">
    <w:name w:val="标题 2_0"/>
    <w:basedOn w:val="18"/>
    <w:next w:val="16"/>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18">
    <w:name w:val="正文_2_0"/>
    <w:basedOn w:val="16"/>
    <w:next w:val="19"/>
    <w:qFormat/>
    <w:uiPriority w:val="0"/>
    <w:rPr>
      <w:rFonts w:ascii="Times New Roman" w:hAnsi="Times New Roman"/>
      <w:szCs w:val="21"/>
    </w:rPr>
  </w:style>
  <w:style w:type="paragraph" w:customStyle="1" w:styleId="19">
    <w:name w:val="正文文本_1"/>
    <w:basedOn w:val="14"/>
    <w:next w:val="16"/>
    <w:semiHidden/>
    <w:qFormat/>
    <w:uiPriority w:val="0"/>
    <w:pPr>
      <w:widowControl/>
      <w:adjustRightInd w:val="0"/>
      <w:spacing w:before="100" w:beforeAutospacing="1" w:after="60" w:line="360" w:lineRule="atLeast"/>
      <w:ind w:left="72" w:leftChars="30" w:right="30" w:rightChars="30" w:firstLine="200" w:firstLineChars="200"/>
      <w:jc w:val="center"/>
    </w:pPr>
    <w:rPr>
      <w:kern w:val="0"/>
      <w:sz w:val="20"/>
      <w:szCs w:val="20"/>
    </w:rPr>
  </w:style>
  <w:style w:type="paragraph" w:customStyle="1" w:styleId="20">
    <w:name w:val="大标题_1"/>
    <w:basedOn w:val="14"/>
    <w:next w:val="21"/>
    <w:qFormat/>
    <w:uiPriority w:val="0"/>
    <w:pPr>
      <w:jc w:val="center"/>
    </w:pPr>
    <w:rPr>
      <w:rFonts w:ascii="Arial" w:hAnsi="Arial" w:eastAsia="宋体"/>
      <w:b/>
      <w:sz w:val="28"/>
      <w:szCs w:val="24"/>
    </w:rPr>
  </w:style>
  <w:style w:type="paragraph" w:customStyle="1" w:styleId="21">
    <w:name w:val="正文首行缩进 2_1"/>
    <w:basedOn w:val="22"/>
    <w:next w:val="14"/>
    <w:qFormat/>
    <w:uiPriority w:val="99"/>
    <w:pPr>
      <w:spacing w:after="120" w:line="240" w:lineRule="auto"/>
      <w:ind w:left="200" w:leftChars="200"/>
    </w:pPr>
    <w:rPr>
      <w:rFonts w:ascii="Calibri" w:hAnsi="Calibri"/>
    </w:rPr>
  </w:style>
  <w:style w:type="paragraph" w:customStyle="1" w:styleId="22">
    <w:name w:val="正文文本缩进_1"/>
    <w:basedOn w:val="23"/>
    <w:unhideWhenUsed/>
    <w:qFormat/>
    <w:uiPriority w:val="0"/>
    <w:pPr>
      <w:overflowPunct w:val="0"/>
      <w:autoSpaceDE w:val="0"/>
      <w:autoSpaceDN w:val="0"/>
      <w:adjustRightInd w:val="0"/>
      <w:spacing w:line="360" w:lineRule="auto"/>
      <w:ind w:firstLine="540"/>
      <w:jc w:val="both"/>
    </w:pPr>
    <w:rPr>
      <w:rFonts w:ascii="宋体" w:hAnsi="MS Sans Serif" w:cs="宋体"/>
      <w:spacing w:val="12"/>
      <w:sz w:val="24"/>
      <w:szCs w:val="20"/>
    </w:rPr>
  </w:style>
  <w:style w:type="paragraph" w:customStyle="1" w:styleId="23">
    <w:name w:val="正文_1_1"/>
    <w:next w:val="24"/>
    <w:qFormat/>
    <w:uiPriority w:val="0"/>
    <w:pPr>
      <w:widowControl w:val="0"/>
      <w:jc w:val="both"/>
    </w:pPr>
    <w:rPr>
      <w:rFonts w:ascii="Calibri" w:hAnsi="Calibri" w:eastAsia="宋体" w:cs="Times New Roman"/>
      <w:kern w:val="2"/>
      <w:sz w:val="21"/>
      <w:szCs w:val="22"/>
    </w:rPr>
  </w:style>
  <w:style w:type="paragraph" w:customStyle="1" w:styleId="24">
    <w:name w:val="正文文本缩进 2_1_1"/>
    <w:basedOn w:val="23"/>
    <w:unhideWhenUsed/>
    <w:qFormat/>
    <w:uiPriority w:val="0"/>
    <w:pPr>
      <w:spacing w:line="500" w:lineRule="exact"/>
      <w:ind w:firstLine="540" w:firstLineChars="200"/>
    </w:pPr>
    <w:rPr>
      <w:rFonts w:ascii="宋体" w:hAnsi="宋体"/>
      <w:sz w:val="27"/>
      <w:szCs w:val="27"/>
    </w:rPr>
  </w:style>
  <w:style w:type="paragraph" w:customStyle="1" w:styleId="25">
    <w:name w:val="*正文_1_0"/>
    <w:basedOn w:val="26"/>
    <w:next w:val="26"/>
    <w:qFormat/>
    <w:uiPriority w:val="0"/>
    <w:pPr>
      <w:widowControl/>
      <w:ind w:firstLine="482"/>
    </w:pPr>
    <w:rPr>
      <w:rFonts w:ascii="微软雅黑" w:hAnsi="微软雅黑" w:eastAsia="微软雅黑"/>
      <w:kern w:val="0"/>
    </w:rPr>
  </w:style>
  <w:style w:type="paragraph" w:customStyle="1" w:styleId="26">
    <w:name w:val="正文_1_0"/>
    <w:basedOn w:val="27"/>
    <w:next w:val="33"/>
    <w:qFormat/>
    <w:uiPriority w:val="0"/>
  </w:style>
  <w:style w:type="paragraph" w:customStyle="1" w:styleId="27">
    <w:name w:val="正文_2_0_0"/>
    <w:basedOn w:val="16"/>
    <w:next w:val="28"/>
    <w:qFormat/>
    <w:uiPriority w:val="0"/>
    <w:rPr>
      <w:rFonts w:cs="宋体"/>
      <w:szCs w:val="21"/>
    </w:rPr>
  </w:style>
  <w:style w:type="paragraph" w:customStyle="1" w:styleId="28">
    <w:name w:val="Default_2_0_0"/>
    <w:basedOn w:val="29"/>
    <w:qFormat/>
    <w:uiPriority w:val="0"/>
    <w:pPr>
      <w:autoSpaceDE w:val="0"/>
      <w:autoSpaceDN w:val="0"/>
      <w:adjustRightInd w:val="0"/>
    </w:pPr>
    <w:rPr>
      <w:color w:val="000000"/>
      <w:sz w:val="24"/>
      <w:szCs w:val="24"/>
    </w:rPr>
  </w:style>
  <w:style w:type="paragraph" w:customStyle="1" w:styleId="29">
    <w:name w:val="正文_3_1_0_0"/>
    <w:next w:val="30"/>
    <w:qFormat/>
    <w:uiPriority w:val="0"/>
    <w:pPr>
      <w:widowControl w:val="0"/>
      <w:jc w:val="both"/>
    </w:pPr>
    <w:rPr>
      <w:rFonts w:ascii="Times New Roman" w:hAnsi="Times New Roman" w:eastAsia="宋体" w:cs="Times New Roman"/>
    </w:rPr>
  </w:style>
  <w:style w:type="paragraph" w:customStyle="1" w:styleId="30">
    <w:name w:val="正文文本_1_1_0_0"/>
    <w:basedOn w:val="31"/>
    <w:next w:val="32"/>
    <w:qFormat/>
    <w:uiPriority w:val="0"/>
    <w:rPr>
      <w:rFonts w:eastAsia="仿宋_GB2312"/>
      <w:kern w:val="2"/>
      <w:sz w:val="28"/>
      <w:szCs w:val="28"/>
    </w:rPr>
  </w:style>
  <w:style w:type="paragraph" w:customStyle="1" w:styleId="31">
    <w:name w:val="正文_2_3_1"/>
    <w:next w:val="29"/>
    <w:qFormat/>
    <w:uiPriority w:val="0"/>
    <w:pPr>
      <w:widowControl w:val="0"/>
      <w:jc w:val="both"/>
    </w:pPr>
    <w:rPr>
      <w:rFonts w:ascii="Times New Roman" w:hAnsi="Times New Roman" w:eastAsia="宋体" w:cs="Times New Roman"/>
    </w:rPr>
  </w:style>
  <w:style w:type="paragraph" w:customStyle="1" w:styleId="32">
    <w:name w:val="Default_1_1_0_0"/>
    <w:basedOn w:val="31"/>
    <w:next w:val="29"/>
    <w:qFormat/>
    <w:uiPriority w:val="0"/>
    <w:pPr>
      <w:autoSpaceDE w:val="0"/>
      <w:autoSpaceDN w:val="0"/>
      <w:adjustRightInd w:val="0"/>
      <w:jc w:val="left"/>
    </w:pPr>
    <w:rPr>
      <w:rFonts w:ascii="Calibri" w:hAnsi="Calibri" w:cs="宋体"/>
      <w:color w:val="000000"/>
      <w:sz w:val="24"/>
      <w:szCs w:val="24"/>
    </w:rPr>
  </w:style>
  <w:style w:type="paragraph" w:customStyle="1" w:styleId="33">
    <w:name w:val="表格文字_0"/>
    <w:basedOn w:val="34"/>
    <w:next w:val="19"/>
    <w:qFormat/>
    <w:uiPriority w:val="0"/>
    <w:pPr>
      <w:adjustRightInd w:val="0"/>
      <w:spacing w:line="420" w:lineRule="atLeast"/>
      <w:jc w:val="left"/>
    </w:pPr>
    <w:rPr>
      <w:rFonts w:ascii="Times New Roman" w:hAnsi="Times New Roman"/>
      <w:kern w:val="0"/>
      <w:szCs w:val="20"/>
    </w:rPr>
  </w:style>
  <w:style w:type="paragraph" w:customStyle="1" w:styleId="34">
    <w:name w:val="Tabletext_0"/>
    <w:basedOn w:val="26"/>
    <w:qFormat/>
    <w:uiPriority w:val="0"/>
    <w:pPr>
      <w:keepLines/>
      <w:spacing w:beforeLines="20" w:line="360" w:lineRule="auto"/>
      <w:jc w:val="center"/>
    </w:pPr>
    <w:rPr>
      <w:rFonts w:ascii="宋体" w:hAnsi="宋体"/>
      <w:snapToGrid w:val="0"/>
      <w:color w:val="000000"/>
      <w:kern w:val="0"/>
      <w:szCs w:val="21"/>
      <w:lang w:val="zh-CN"/>
    </w:rPr>
  </w:style>
  <w:style w:type="paragraph" w:customStyle="1" w:styleId="35">
    <w:name w:val="*正文_2"/>
    <w:basedOn w:val="16"/>
    <w:next w:val="16"/>
    <w:qFormat/>
    <w:uiPriority w:val="0"/>
    <w:pPr>
      <w:widowControl/>
      <w:ind w:firstLine="482"/>
    </w:pPr>
    <w:rPr>
      <w:rFonts w:ascii="微软雅黑" w:hAnsi="微软雅黑" w:eastAsia="微软雅黑" w:cs="宋体"/>
      <w:kern w:val="0"/>
    </w:rPr>
  </w:style>
  <w:style w:type="paragraph" w:customStyle="1" w:styleId="36">
    <w:name w:val="普通(网站)_0"/>
    <w:basedOn w:val="27"/>
    <w:semiHidden/>
    <w:qFormat/>
    <w:uiPriority w:val="0"/>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37">
    <w:name w:val="普通(网站)_1"/>
    <w:basedOn w:val="38"/>
    <w:semiHidden/>
    <w:qFormat/>
    <w:uiPriority w:val="0"/>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38">
    <w:name w:val="正文_0_3"/>
    <w:basedOn w:val="16"/>
    <w:next w:val="39"/>
    <w:qFormat/>
    <w:uiPriority w:val="0"/>
    <w:rPr>
      <w:rFonts w:cs="宋体"/>
      <w:szCs w:val="21"/>
    </w:rPr>
  </w:style>
  <w:style w:type="paragraph" w:customStyle="1" w:styleId="39">
    <w:name w:val="正文文本_0_1"/>
    <w:basedOn w:val="38"/>
    <w:semiHidden/>
    <w:qFormat/>
    <w:uiPriority w:val="0"/>
    <w:pPr>
      <w:widowControl/>
      <w:adjustRightInd w:val="0"/>
      <w:spacing w:before="100" w:beforeAutospacing="1" w:after="60" w:line="360" w:lineRule="atLeast"/>
      <w:ind w:left="72" w:leftChars="30" w:right="30" w:rightChars="30" w:firstLine="200" w:firstLineChars="200"/>
      <w:jc w:val="center"/>
    </w:pPr>
    <w:rPr>
      <w:kern w:val="0"/>
      <w:sz w:val="20"/>
      <w:szCs w:val="20"/>
    </w:rPr>
  </w:style>
  <w:style w:type="paragraph" w:customStyle="1" w:styleId="40">
    <w:name w:val="Default"/>
    <w:next w:val="1"/>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1">
    <w:name w:val="*正文"/>
    <w:basedOn w:val="1"/>
    <w:next w:val="1"/>
    <w:qFormat/>
    <w:uiPriority w:val="0"/>
    <w:pPr>
      <w:widowControl/>
      <w:ind w:firstLine="482"/>
    </w:pPr>
    <w:rPr>
      <w:rFonts w:ascii="微软雅黑" w:hAnsi="微软雅黑" w:eastAsia="微软雅黑"/>
      <w:sz w:val="21"/>
    </w:rPr>
  </w:style>
  <w:style w:type="paragraph" w:customStyle="1" w:styleId="42">
    <w:name w:val="正文_1_0_0"/>
    <w:basedOn w:val="43"/>
    <w:next w:val="78"/>
    <w:qFormat/>
    <w:uiPriority w:val="0"/>
    <w:rPr>
      <w:rFonts w:ascii="Calibri" w:hAnsi="Calibri" w:cs="宋体"/>
      <w:szCs w:val="21"/>
    </w:rPr>
  </w:style>
  <w:style w:type="paragraph" w:customStyle="1" w:styleId="43">
    <w:name w:val="正文_2_0_0_0_0"/>
    <w:next w:val="44"/>
    <w:qFormat/>
    <w:uiPriority w:val="0"/>
    <w:pPr>
      <w:widowControl w:val="0"/>
      <w:jc w:val="both"/>
    </w:pPr>
    <w:rPr>
      <w:rFonts w:ascii="Times New Roman" w:hAnsi="Times New Roman" w:eastAsia="宋体" w:cs="Times New Roman"/>
      <w:kern w:val="2"/>
      <w:sz w:val="21"/>
      <w:szCs w:val="22"/>
    </w:rPr>
  </w:style>
  <w:style w:type="paragraph" w:customStyle="1" w:styleId="44">
    <w:name w:val="正文_3_0_0_0"/>
    <w:basedOn w:val="45"/>
    <w:next w:val="46"/>
    <w:qFormat/>
    <w:uiPriority w:val="0"/>
  </w:style>
  <w:style w:type="paragraph" w:customStyle="1" w:styleId="45">
    <w:name w:val="正文_4_0_0"/>
    <w:basedOn w:val="16"/>
    <w:qFormat/>
    <w:uiPriority w:val="0"/>
    <w:rPr>
      <w:rFonts w:cs="宋体"/>
      <w:szCs w:val="21"/>
    </w:rPr>
  </w:style>
  <w:style w:type="paragraph" w:customStyle="1" w:styleId="46">
    <w:name w:val="正文文本_1_0_0_0"/>
    <w:basedOn w:val="47"/>
    <w:next w:val="60"/>
    <w:qFormat/>
    <w:uiPriority w:val="0"/>
    <w:rPr>
      <w:sz w:val="24"/>
    </w:rPr>
  </w:style>
  <w:style w:type="paragraph" w:customStyle="1" w:styleId="47">
    <w:name w:val="正文_1_0_0_0"/>
    <w:basedOn w:val="27"/>
    <w:next w:val="48"/>
    <w:qFormat/>
    <w:uiPriority w:val="0"/>
  </w:style>
  <w:style w:type="paragraph" w:customStyle="1" w:styleId="48">
    <w:name w:val="正文文本_2_0"/>
    <w:basedOn w:val="49"/>
    <w:next w:val="56"/>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49">
    <w:name w:val="正文_13_0"/>
    <w:basedOn w:val="50"/>
    <w:next w:val="51"/>
    <w:qFormat/>
    <w:uiPriority w:val="0"/>
    <w:rPr>
      <w:rFonts w:cs="宋体"/>
      <w:szCs w:val="21"/>
    </w:rPr>
  </w:style>
  <w:style w:type="paragraph" w:customStyle="1" w:styleId="50">
    <w:name w:val="正文_12_0"/>
    <w:qFormat/>
    <w:uiPriority w:val="0"/>
    <w:pPr>
      <w:widowControl w:val="0"/>
      <w:jc w:val="both"/>
    </w:pPr>
    <w:rPr>
      <w:rFonts w:ascii="Calibri" w:hAnsi="Calibri" w:eastAsia="宋体" w:cs="Times New Roman"/>
      <w:kern w:val="2"/>
      <w:sz w:val="21"/>
      <w:szCs w:val="22"/>
    </w:rPr>
  </w:style>
  <w:style w:type="paragraph" w:customStyle="1" w:styleId="51">
    <w:name w:val="Default_12"/>
    <w:next w:val="52"/>
    <w:qFormat/>
    <w:uiPriority w:val="0"/>
    <w:pPr>
      <w:widowControl w:val="0"/>
      <w:autoSpaceDE w:val="0"/>
      <w:autoSpaceDN w:val="0"/>
      <w:adjustRightInd w:val="0"/>
    </w:pPr>
    <w:rPr>
      <w:rFonts w:ascii="Times New Roman" w:hAnsi="Times New Roman" w:eastAsia="宋体" w:cs="Times New Roman"/>
      <w:color w:val="000000"/>
      <w:sz w:val="24"/>
      <w:szCs w:val="24"/>
    </w:rPr>
  </w:style>
  <w:style w:type="paragraph" w:customStyle="1" w:styleId="52">
    <w:name w:val="正文_15_0"/>
    <w:basedOn w:val="53"/>
    <w:next w:val="54"/>
    <w:qFormat/>
    <w:uiPriority w:val="0"/>
    <w:rPr>
      <w:rFonts w:cs="宋体"/>
      <w:szCs w:val="21"/>
    </w:rPr>
  </w:style>
  <w:style w:type="paragraph" w:customStyle="1" w:styleId="53">
    <w:name w:val="正文_11_0"/>
    <w:qFormat/>
    <w:uiPriority w:val="0"/>
    <w:pPr>
      <w:widowControl w:val="0"/>
      <w:jc w:val="both"/>
    </w:pPr>
    <w:rPr>
      <w:rFonts w:ascii="Calibri" w:hAnsi="Calibri" w:eastAsia="宋体" w:cs="Times New Roman"/>
      <w:kern w:val="2"/>
      <w:sz w:val="21"/>
      <w:szCs w:val="22"/>
    </w:rPr>
  </w:style>
  <w:style w:type="paragraph" w:customStyle="1" w:styleId="54">
    <w:name w:val="正文文本_12"/>
    <w:basedOn w:val="55"/>
    <w:next w:val="51"/>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5">
    <w:name w:val="正文_13"/>
    <w:next w:val="54"/>
    <w:qFormat/>
    <w:uiPriority w:val="0"/>
    <w:pPr>
      <w:widowControl w:val="0"/>
      <w:jc w:val="both"/>
    </w:pPr>
    <w:rPr>
      <w:rFonts w:ascii="Calibri" w:hAnsi="Calibri" w:eastAsia="宋体" w:cs="Times New Roman"/>
      <w:kern w:val="2"/>
      <w:sz w:val="21"/>
      <w:szCs w:val="22"/>
    </w:rPr>
  </w:style>
  <w:style w:type="paragraph" w:customStyle="1" w:styleId="56">
    <w:name w:val="Default_4_0"/>
    <w:basedOn w:val="57"/>
    <w:next w:val="49"/>
    <w:qFormat/>
    <w:uiPriority w:val="0"/>
    <w:pPr>
      <w:autoSpaceDE w:val="0"/>
      <w:autoSpaceDN w:val="0"/>
      <w:adjustRightInd w:val="0"/>
      <w:jc w:val="left"/>
    </w:pPr>
    <w:rPr>
      <w:color w:val="000000"/>
      <w:kern w:val="0"/>
      <w:sz w:val="24"/>
      <w:szCs w:val="24"/>
    </w:rPr>
  </w:style>
  <w:style w:type="paragraph" w:customStyle="1" w:styleId="57">
    <w:name w:val="正文_9_0"/>
    <w:basedOn w:val="58"/>
    <w:next w:val="59"/>
    <w:qFormat/>
    <w:uiPriority w:val="0"/>
    <w:rPr>
      <w:rFonts w:cs="宋体"/>
      <w:szCs w:val="21"/>
    </w:rPr>
  </w:style>
  <w:style w:type="paragraph" w:customStyle="1" w:styleId="58">
    <w:name w:val="正文_8_1"/>
    <w:qFormat/>
    <w:uiPriority w:val="0"/>
    <w:pPr>
      <w:widowControl w:val="0"/>
      <w:jc w:val="both"/>
    </w:pPr>
    <w:rPr>
      <w:rFonts w:ascii="Calibri" w:hAnsi="Calibri" w:eastAsia="宋体" w:cs="Times New Roman"/>
      <w:kern w:val="2"/>
      <w:sz w:val="21"/>
      <w:szCs w:val="22"/>
    </w:rPr>
  </w:style>
  <w:style w:type="paragraph" w:customStyle="1" w:styleId="59">
    <w:name w:val="Default_8_0"/>
    <w:qFormat/>
    <w:uiPriority w:val="0"/>
    <w:pPr>
      <w:widowControl w:val="0"/>
      <w:autoSpaceDE w:val="0"/>
      <w:autoSpaceDN w:val="0"/>
      <w:adjustRightInd w:val="0"/>
    </w:pPr>
    <w:rPr>
      <w:rFonts w:ascii="Times New Roman" w:hAnsi="Times New Roman" w:eastAsia="宋体" w:cs="Times New Roman"/>
      <w:color w:val="000000"/>
      <w:sz w:val="24"/>
      <w:szCs w:val="24"/>
    </w:rPr>
  </w:style>
  <w:style w:type="paragraph" w:customStyle="1" w:styleId="60">
    <w:name w:val="Default_1_0_0_0"/>
    <w:basedOn w:val="61"/>
    <w:next w:val="64"/>
    <w:qFormat/>
    <w:uiPriority w:val="0"/>
    <w:pPr>
      <w:autoSpaceDE w:val="0"/>
      <w:autoSpaceDN w:val="0"/>
      <w:adjustRightInd w:val="0"/>
    </w:pPr>
    <w:rPr>
      <w:color w:val="000000"/>
      <w:sz w:val="24"/>
      <w:szCs w:val="24"/>
    </w:rPr>
  </w:style>
  <w:style w:type="paragraph" w:customStyle="1" w:styleId="61">
    <w:name w:val="正文_2_0_0_0"/>
    <w:basedOn w:val="44"/>
    <w:next w:val="62"/>
    <w:qFormat/>
    <w:uiPriority w:val="0"/>
  </w:style>
  <w:style w:type="paragraph" w:customStyle="1" w:styleId="62">
    <w:name w:val="Default_2_0_0_0"/>
    <w:basedOn w:val="29"/>
    <w:next w:val="63"/>
    <w:qFormat/>
    <w:uiPriority w:val="0"/>
    <w:pPr>
      <w:autoSpaceDE w:val="0"/>
      <w:autoSpaceDN w:val="0"/>
      <w:adjustRightInd w:val="0"/>
      <w:jc w:val="left"/>
    </w:pPr>
    <w:rPr>
      <w:rFonts w:ascii="Calibri" w:hAnsi="Calibri" w:cs="宋体"/>
      <w:color w:val="000000"/>
      <w:sz w:val="24"/>
      <w:szCs w:val="24"/>
    </w:rPr>
  </w:style>
  <w:style w:type="paragraph" w:customStyle="1" w:styleId="63">
    <w:name w:val="正文_14_0_0_0_0"/>
    <w:next w:val="62"/>
    <w:qFormat/>
    <w:uiPriority w:val="0"/>
    <w:pPr>
      <w:widowControl w:val="0"/>
      <w:jc w:val="both"/>
    </w:pPr>
    <w:rPr>
      <w:rFonts w:ascii="Calibri" w:hAnsi="Calibri" w:eastAsia="宋体" w:cs="Times New Roman"/>
      <w:kern w:val="2"/>
      <w:sz w:val="21"/>
      <w:szCs w:val="22"/>
    </w:rPr>
  </w:style>
  <w:style w:type="paragraph" w:customStyle="1" w:styleId="64">
    <w:name w:val="正文_2_1_0_0"/>
    <w:next w:val="65"/>
    <w:qFormat/>
    <w:uiPriority w:val="0"/>
    <w:pPr>
      <w:widowControl w:val="0"/>
      <w:jc w:val="both"/>
    </w:pPr>
    <w:rPr>
      <w:rFonts w:ascii="Times New Roman" w:hAnsi="Times New Roman" w:eastAsia="宋体" w:cs="Times New Roman"/>
      <w:kern w:val="2"/>
      <w:sz w:val="21"/>
      <w:szCs w:val="22"/>
    </w:rPr>
  </w:style>
  <w:style w:type="paragraph" w:customStyle="1" w:styleId="65">
    <w:name w:val="正文文本_1_0_1_0"/>
    <w:basedOn w:val="66"/>
    <w:next w:val="67"/>
    <w:unhideWhenUsed/>
    <w:qFormat/>
    <w:uiPriority w:val="0"/>
    <w:pPr>
      <w:widowControl/>
      <w:adjustRightInd w:val="0"/>
      <w:spacing w:after="60" w:line="360" w:lineRule="atLeast"/>
      <w:ind w:left="72" w:leftChars="30" w:right="30" w:rightChars="30" w:firstLine="200" w:firstLineChars="200"/>
      <w:jc w:val="center"/>
    </w:pPr>
  </w:style>
  <w:style w:type="paragraph" w:customStyle="1" w:styleId="66">
    <w:name w:val="正文_2_2_0"/>
    <w:next w:val="65"/>
    <w:qFormat/>
    <w:uiPriority w:val="0"/>
    <w:pPr>
      <w:widowControl w:val="0"/>
      <w:jc w:val="both"/>
    </w:pPr>
    <w:rPr>
      <w:rFonts w:ascii="Times New Roman" w:hAnsi="Times New Roman" w:eastAsia="宋体" w:cs="Times New Roman"/>
    </w:rPr>
  </w:style>
  <w:style w:type="paragraph" w:customStyle="1" w:styleId="67">
    <w:name w:val="Default_1_0_1_0"/>
    <w:basedOn w:val="68"/>
    <w:next w:val="64"/>
    <w:qFormat/>
    <w:uiPriority w:val="0"/>
    <w:pPr>
      <w:autoSpaceDE w:val="0"/>
      <w:autoSpaceDN w:val="0"/>
      <w:adjustRightInd w:val="0"/>
    </w:pPr>
    <w:rPr>
      <w:color w:val="000000"/>
      <w:sz w:val="24"/>
      <w:szCs w:val="24"/>
    </w:rPr>
  </w:style>
  <w:style w:type="paragraph" w:customStyle="1" w:styleId="68">
    <w:name w:val="正文_2_0_1_0"/>
    <w:basedOn w:val="69"/>
    <w:next w:val="77"/>
    <w:qFormat/>
    <w:uiPriority w:val="0"/>
    <w:rPr>
      <w:kern w:val="2"/>
      <w:sz w:val="21"/>
      <w:szCs w:val="22"/>
    </w:rPr>
  </w:style>
  <w:style w:type="paragraph" w:customStyle="1" w:styleId="69">
    <w:name w:val="正文_3_1_1"/>
    <w:next w:val="70"/>
    <w:qFormat/>
    <w:uiPriority w:val="0"/>
    <w:pPr>
      <w:widowControl w:val="0"/>
      <w:jc w:val="both"/>
    </w:pPr>
    <w:rPr>
      <w:rFonts w:ascii="Times New Roman" w:hAnsi="Times New Roman" w:eastAsia="宋体" w:cs="Times New Roman"/>
    </w:rPr>
  </w:style>
  <w:style w:type="paragraph" w:customStyle="1" w:styleId="70">
    <w:name w:val="正文文本_1_1_1"/>
    <w:basedOn w:val="71"/>
    <w:next w:val="76"/>
    <w:qFormat/>
    <w:uiPriority w:val="0"/>
    <w:rPr>
      <w:rFonts w:eastAsia="仿宋_GB2312"/>
      <w:kern w:val="2"/>
      <w:sz w:val="28"/>
      <w:szCs w:val="28"/>
    </w:rPr>
  </w:style>
  <w:style w:type="paragraph" w:customStyle="1" w:styleId="71">
    <w:name w:val="正文_2_3_0"/>
    <w:next w:val="72"/>
    <w:qFormat/>
    <w:uiPriority w:val="0"/>
    <w:pPr>
      <w:widowControl w:val="0"/>
      <w:jc w:val="both"/>
    </w:pPr>
    <w:rPr>
      <w:rFonts w:ascii="Times New Roman" w:hAnsi="Times New Roman" w:eastAsia="宋体" w:cs="Times New Roman"/>
    </w:rPr>
  </w:style>
  <w:style w:type="paragraph" w:customStyle="1" w:styleId="72">
    <w:name w:val="正文_3_1_0"/>
    <w:next w:val="73"/>
    <w:qFormat/>
    <w:uiPriority w:val="0"/>
    <w:pPr>
      <w:widowControl w:val="0"/>
      <w:jc w:val="both"/>
    </w:pPr>
    <w:rPr>
      <w:rFonts w:ascii="Times New Roman" w:hAnsi="Times New Roman" w:eastAsia="宋体" w:cs="Times New Roman"/>
    </w:rPr>
  </w:style>
  <w:style w:type="paragraph" w:customStyle="1" w:styleId="73">
    <w:name w:val="正文文本_1_1_0"/>
    <w:basedOn w:val="74"/>
    <w:next w:val="75"/>
    <w:qFormat/>
    <w:uiPriority w:val="0"/>
    <w:rPr>
      <w:rFonts w:eastAsia="仿宋_GB2312"/>
      <w:kern w:val="2"/>
      <w:sz w:val="28"/>
      <w:szCs w:val="28"/>
    </w:rPr>
  </w:style>
  <w:style w:type="paragraph" w:customStyle="1" w:styleId="74">
    <w:name w:val="正文_2_3"/>
    <w:next w:val="72"/>
    <w:qFormat/>
    <w:uiPriority w:val="0"/>
    <w:pPr>
      <w:widowControl w:val="0"/>
      <w:jc w:val="both"/>
    </w:pPr>
    <w:rPr>
      <w:rFonts w:ascii="Times New Roman" w:hAnsi="Times New Roman" w:eastAsia="宋体" w:cs="Times New Roman"/>
    </w:rPr>
  </w:style>
  <w:style w:type="paragraph" w:customStyle="1" w:styleId="75">
    <w:name w:val="Default_1_1_0"/>
    <w:basedOn w:val="74"/>
    <w:next w:val="72"/>
    <w:qFormat/>
    <w:uiPriority w:val="0"/>
    <w:pPr>
      <w:autoSpaceDE w:val="0"/>
      <w:autoSpaceDN w:val="0"/>
      <w:adjustRightInd w:val="0"/>
      <w:jc w:val="left"/>
    </w:pPr>
    <w:rPr>
      <w:rFonts w:ascii="Calibri" w:hAnsi="Calibri" w:cs="宋体"/>
      <w:color w:val="000000"/>
      <w:sz w:val="24"/>
      <w:szCs w:val="24"/>
    </w:rPr>
  </w:style>
  <w:style w:type="paragraph" w:customStyle="1" w:styleId="76">
    <w:name w:val="Default_1_1_1"/>
    <w:basedOn w:val="71"/>
    <w:next w:val="69"/>
    <w:qFormat/>
    <w:uiPriority w:val="0"/>
    <w:pPr>
      <w:autoSpaceDE w:val="0"/>
      <w:autoSpaceDN w:val="0"/>
      <w:adjustRightInd w:val="0"/>
      <w:jc w:val="left"/>
    </w:pPr>
    <w:rPr>
      <w:rFonts w:ascii="Calibri" w:hAnsi="Calibri" w:cs="宋体"/>
      <w:color w:val="000000"/>
      <w:sz w:val="24"/>
      <w:szCs w:val="24"/>
    </w:rPr>
  </w:style>
  <w:style w:type="paragraph" w:customStyle="1" w:styleId="77">
    <w:name w:val="正文_3_0_1_0"/>
    <w:next w:val="65"/>
    <w:qFormat/>
    <w:uiPriority w:val="0"/>
    <w:pPr>
      <w:widowControl w:val="0"/>
      <w:jc w:val="both"/>
    </w:pPr>
    <w:rPr>
      <w:rFonts w:ascii="Times New Roman" w:hAnsi="Times New Roman" w:eastAsia="宋体" w:cs="Times New Roman"/>
    </w:rPr>
  </w:style>
  <w:style w:type="paragraph" w:customStyle="1" w:styleId="78">
    <w:name w:val="Default_1_0_3"/>
    <w:basedOn w:val="79"/>
    <w:next w:val="80"/>
    <w:qFormat/>
    <w:uiPriority w:val="0"/>
    <w:pPr>
      <w:autoSpaceDE w:val="0"/>
      <w:autoSpaceDN w:val="0"/>
      <w:adjustRightInd w:val="0"/>
      <w:jc w:val="left"/>
    </w:pPr>
    <w:rPr>
      <w:color w:val="000000"/>
      <w:sz w:val="24"/>
      <w:szCs w:val="24"/>
    </w:rPr>
  </w:style>
  <w:style w:type="paragraph" w:customStyle="1" w:styleId="79">
    <w:name w:val="正文_2_0_1"/>
    <w:next w:val="28"/>
    <w:qFormat/>
    <w:uiPriority w:val="0"/>
    <w:pPr>
      <w:widowControl w:val="0"/>
      <w:jc w:val="both"/>
    </w:pPr>
    <w:rPr>
      <w:rFonts w:ascii="Calibri" w:hAnsi="Calibri" w:eastAsia="宋体" w:cs="Times New Roman"/>
      <w:kern w:val="2"/>
      <w:sz w:val="21"/>
      <w:szCs w:val="22"/>
    </w:rPr>
  </w:style>
  <w:style w:type="paragraph" w:customStyle="1" w:styleId="80">
    <w:name w:val="正文_2_1_1"/>
    <w:next w:val="60"/>
    <w:qFormat/>
    <w:uiPriority w:val="0"/>
    <w:pPr>
      <w:widowControl w:val="0"/>
      <w:jc w:val="both"/>
    </w:pPr>
    <w:rPr>
      <w:rFonts w:ascii="Times New Roman" w:hAnsi="Times New Roman" w:eastAsia="宋体" w:cs="Times New Roman"/>
      <w:kern w:val="2"/>
      <w:sz w:val="21"/>
      <w:szCs w:val="22"/>
    </w:rPr>
  </w:style>
  <w:style w:type="character" w:customStyle="1" w:styleId="81">
    <w:name w:val="font31"/>
    <w:basedOn w:val="7"/>
    <w:qFormat/>
    <w:uiPriority w:val="0"/>
    <w:rPr>
      <w:rFonts w:hint="eastAsia" w:ascii="宋体" w:hAnsi="宋体" w:eastAsia="宋体" w:cs="宋体"/>
      <w:color w:val="000000"/>
      <w:sz w:val="16"/>
      <w:szCs w:val="16"/>
      <w:u w:val="none"/>
    </w:rPr>
  </w:style>
  <w:style w:type="character" w:customStyle="1" w:styleId="82">
    <w:name w:val="font41"/>
    <w:basedOn w:val="7"/>
    <w:qFormat/>
    <w:uiPriority w:val="0"/>
    <w:rPr>
      <w:rFonts w:hint="default" w:ascii="Times New Roman" w:hAnsi="Times New Roman" w:cs="Times New Roman"/>
      <w:color w:val="000000"/>
      <w:sz w:val="16"/>
      <w:szCs w:val="16"/>
      <w:u w:val="none"/>
    </w:rPr>
  </w:style>
  <w:style w:type="character" w:customStyle="1" w:styleId="83">
    <w:name w:val="15"/>
    <w:qFormat/>
    <w:uiPriority w:val="0"/>
    <w:rPr>
      <w:rFonts w:ascii="Calibri" w:hAnsi="Calibri"/>
      <w:color w:val="0000FF"/>
      <w:u w:val="single"/>
    </w:rPr>
  </w:style>
  <w:style w:type="paragraph" w:customStyle="1" w:styleId="84">
    <w:name w:val="&quot;Table caption|1&quot;"/>
    <w:basedOn w:val="1"/>
    <w:qFormat/>
    <w:uiPriority w:val="0"/>
    <w:pPr>
      <w:shd w:val="clear" w:color="FFFFFF" w:fill="FFFFFF"/>
      <w:jc w:val="left"/>
    </w:pPr>
    <w:rPr>
      <w:rFonts w:ascii="MingLiU" w:hAnsi="MingLiU" w:eastAsia="MingLiU" w:cs="MingLiU"/>
      <w:color w:val="000000"/>
      <w:sz w:val="19"/>
      <w:szCs w:val="19"/>
      <w:lang w:val="zh-TW" w:eastAsia="zh-TW" w:bidi="zh-TW"/>
    </w:rPr>
  </w:style>
  <w:style w:type="paragraph" w:customStyle="1" w:styleId="85">
    <w:name w:val="列出段落1"/>
    <w:basedOn w:val="1"/>
    <w:qFormat/>
    <w:uiPriority w:val="0"/>
    <w:pPr>
      <w:ind w:firstLine="420" w:firstLineChars="200"/>
    </w:pPr>
  </w:style>
  <w:style w:type="paragraph" w:customStyle="1" w:styleId="86">
    <w:name w:val="正文_5_0"/>
    <w:qFormat/>
    <w:uiPriority w:val="0"/>
    <w:pPr>
      <w:widowControl w:val="0"/>
      <w:jc w:val="both"/>
    </w:pPr>
    <w:rPr>
      <w:rFonts w:ascii="Calibri" w:hAnsi="Calibri" w:eastAsia="宋体" w:cs="Times New Roman"/>
      <w:kern w:val="2"/>
      <w:sz w:val="21"/>
      <w:szCs w:val="22"/>
    </w:rPr>
  </w:style>
  <w:style w:type="paragraph" w:customStyle="1" w:styleId="87">
    <w:name w:val="*正文_0_0_0"/>
    <w:basedOn w:val="88"/>
    <w:next w:val="88"/>
    <w:qFormat/>
    <w:uiPriority w:val="0"/>
    <w:pPr>
      <w:widowControl/>
      <w:ind w:firstLine="482"/>
    </w:pPr>
    <w:rPr>
      <w:rFonts w:ascii="微软雅黑" w:hAnsi="微软雅黑" w:eastAsia="微软雅黑" w:cs="宋体"/>
      <w:kern w:val="0"/>
      <w:szCs w:val="21"/>
    </w:rPr>
  </w:style>
  <w:style w:type="paragraph" w:customStyle="1" w:styleId="88">
    <w:name w:val="正文_0_1"/>
    <w:qFormat/>
    <w:uiPriority w:val="0"/>
    <w:pPr>
      <w:widowControl w:val="0"/>
      <w:jc w:val="both"/>
    </w:pPr>
    <w:rPr>
      <w:rFonts w:ascii="Times New Roman" w:hAnsi="Times New Roman" w:eastAsia="宋体" w:cs="Times New Roman"/>
      <w:kern w:val="2"/>
      <w:sz w:val="21"/>
      <w:szCs w:val="22"/>
    </w:rPr>
  </w:style>
  <w:style w:type="paragraph" w:customStyle="1" w:styleId="89">
    <w:name w:val="正文_0_2"/>
    <w:qFormat/>
    <w:uiPriority w:val="0"/>
    <w:pPr>
      <w:widowControl w:val="0"/>
      <w:jc w:val="both"/>
    </w:pPr>
    <w:rPr>
      <w:rFonts w:ascii="Calibri" w:hAnsi="Calibri" w:eastAsia="宋体" w:cs="Times New Roman"/>
      <w:kern w:val="2"/>
      <w:sz w:val="21"/>
      <w:szCs w:val="22"/>
    </w:rPr>
  </w:style>
  <w:style w:type="paragraph" w:customStyle="1" w:styleId="90">
    <w:name w:val="*正文_1_0_0"/>
    <w:basedOn w:val="23"/>
    <w:next w:val="23"/>
    <w:qFormat/>
    <w:uiPriority w:val="0"/>
    <w:pPr>
      <w:widowControl/>
      <w:ind w:firstLine="482"/>
    </w:pPr>
    <w:rPr>
      <w:rFonts w:ascii="微软雅黑" w:hAnsi="微软雅黑" w:eastAsia="微软雅黑" w:cs="宋体"/>
      <w:kern w:val="0"/>
      <w:szCs w:val="21"/>
    </w:rPr>
  </w:style>
  <w:style w:type="paragraph" w:customStyle="1" w:styleId="91">
    <w:name w:val="*正文_3_0"/>
    <w:basedOn w:val="92"/>
    <w:next w:val="92"/>
    <w:qFormat/>
    <w:uiPriority w:val="0"/>
    <w:pPr>
      <w:widowControl/>
      <w:ind w:firstLine="482"/>
    </w:pPr>
    <w:rPr>
      <w:rFonts w:ascii="微软雅黑" w:hAnsi="微软雅黑" w:eastAsia="微软雅黑" w:cs="宋体"/>
      <w:kern w:val="0"/>
      <w:szCs w:val="21"/>
    </w:rPr>
  </w:style>
  <w:style w:type="paragraph" w:customStyle="1" w:styleId="92">
    <w:name w:val="正文_3_0"/>
    <w:qFormat/>
    <w:uiPriority w:val="0"/>
    <w:pPr>
      <w:widowControl w:val="0"/>
      <w:jc w:val="both"/>
    </w:pPr>
    <w:rPr>
      <w:rFonts w:ascii="Calibri" w:hAnsi="Calibri" w:eastAsia="宋体" w:cs="Times New Roman"/>
      <w:kern w:val="2"/>
      <w:sz w:val="21"/>
      <w:szCs w:val="22"/>
    </w:rPr>
  </w:style>
  <w:style w:type="paragraph" w:customStyle="1" w:styleId="93">
    <w:name w:val="正文_20_0"/>
    <w:basedOn w:val="94"/>
    <w:next w:val="94"/>
    <w:qFormat/>
    <w:uiPriority w:val="0"/>
    <w:rPr>
      <w:rFonts w:ascii="Calibri" w:hAnsi="Calibri" w:cs="宋体"/>
      <w:szCs w:val="21"/>
    </w:rPr>
  </w:style>
  <w:style w:type="paragraph" w:customStyle="1" w:styleId="94">
    <w:name w:val="正文_21"/>
    <w:qFormat/>
    <w:uiPriority w:val="0"/>
    <w:pPr>
      <w:widowControl w:val="0"/>
      <w:jc w:val="both"/>
    </w:pPr>
    <w:rPr>
      <w:rFonts w:ascii="Times New Roman" w:hAnsi="Times New Roman" w:eastAsia="宋体" w:cs="Times New Roman"/>
      <w:kern w:val="2"/>
      <w:sz w:val="21"/>
      <w:szCs w:val="22"/>
    </w:rPr>
  </w:style>
  <w:style w:type="paragraph" w:customStyle="1" w:styleId="95">
    <w:name w:val="Table Paragraph"/>
    <w:basedOn w:val="1"/>
    <w:qFormat/>
    <w:uiPriority w:val="1"/>
    <w:pPr>
      <w:autoSpaceDE w:val="0"/>
      <w:autoSpaceDN w:val="0"/>
      <w:jc w:val="left"/>
    </w:pPr>
    <w:rPr>
      <w:rFonts w:ascii="宋体" w:hAnsi="宋体" w:cs="宋体"/>
      <w:kern w:val="0"/>
      <w:sz w:val="22"/>
      <w:lang w:eastAsia="en-US"/>
    </w:rPr>
  </w:style>
  <w:style w:type="paragraph" w:customStyle="1" w:styleId="96">
    <w:name w:val="正文_5_0_0"/>
    <w:basedOn w:val="97"/>
    <w:qFormat/>
    <w:uiPriority w:val="0"/>
    <w:rPr>
      <w:rFonts w:cs="宋体"/>
      <w:szCs w:val="21"/>
    </w:rPr>
  </w:style>
  <w:style w:type="paragraph" w:customStyle="1" w:styleId="97">
    <w:name w:val="正文_5_1"/>
    <w:qFormat/>
    <w:uiPriority w:val="0"/>
    <w:pPr>
      <w:widowControl w:val="0"/>
      <w:jc w:val="both"/>
    </w:pPr>
    <w:rPr>
      <w:rFonts w:ascii="Calibri" w:hAnsi="Calibri" w:eastAsia="宋体" w:cs="Times New Roman"/>
      <w:kern w:val="2"/>
      <w:sz w:val="21"/>
      <w:szCs w:val="22"/>
    </w:rPr>
  </w:style>
  <w:style w:type="paragraph" w:customStyle="1" w:styleId="98">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正文_4_0"/>
    <w:basedOn w:val="97"/>
    <w:next w:val="97"/>
    <w:qFormat/>
    <w:uiPriority w:val="0"/>
    <w:pPr>
      <w:widowControl/>
      <w:ind w:firstLine="482"/>
    </w:pPr>
    <w:rPr>
      <w:rFonts w:ascii="微软雅黑" w:hAnsi="微软雅黑" w:eastAsia="微软雅黑" w:cs="宋体"/>
      <w:kern w:val="0"/>
      <w:szCs w:val="21"/>
    </w:rPr>
  </w:style>
  <w:style w:type="paragraph" w:customStyle="1" w:styleId="100">
    <w:name w:val="Normal_8"/>
    <w:qFormat/>
    <w:uiPriority w:val="0"/>
    <w:rPr>
      <w:rFonts w:ascii="黑体" w:hAnsi="黑体" w:eastAsia="黑体" w:cs="Times New Roman"/>
      <w:b/>
      <w:sz w:val="32"/>
      <w:szCs w:val="24"/>
      <w:lang w:bidi="ar-SA"/>
    </w:rPr>
  </w:style>
  <w:style w:type="paragraph" w:customStyle="1" w:styleId="101">
    <w:name w:val="正文_7"/>
    <w:next w:val="10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正文文本缩进 2_0_0"/>
    <w:basedOn w:val="101"/>
    <w:unhideWhenUsed/>
    <w:qFormat/>
    <w:uiPriority w:val="0"/>
    <w:pPr>
      <w:spacing w:line="500" w:lineRule="exact"/>
      <w:ind w:firstLine="540" w:firstLineChars="200"/>
    </w:pPr>
    <w:rPr>
      <w:rFonts w:ascii="宋体" w:hAnsi="宋体"/>
      <w:sz w:val="27"/>
      <w:szCs w:val="27"/>
    </w:rPr>
  </w:style>
  <w:style w:type="paragraph" w:customStyle="1" w:styleId="103">
    <w:name w:val="Normal_11"/>
    <w:qFormat/>
    <w:uiPriority w:val="0"/>
    <w:rPr>
      <w:rFonts w:ascii="黑体" w:hAnsi="黑体" w:eastAsia="黑体" w:cs="Times New Roman"/>
      <w:b/>
      <w:sz w:val="32"/>
      <w:szCs w:val="24"/>
      <w:lang w:bidi="ar-SA"/>
    </w:rPr>
  </w:style>
  <w:style w:type="paragraph" w:customStyle="1" w:styleId="104">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正文_10_1"/>
    <w:basedOn w:val="106"/>
    <w:next w:val="106"/>
    <w:qFormat/>
    <w:uiPriority w:val="0"/>
    <w:rPr>
      <w:rFonts w:cs="宋体"/>
      <w:szCs w:val="21"/>
    </w:rPr>
  </w:style>
  <w:style w:type="paragraph" w:customStyle="1" w:styleId="106">
    <w:name w:val="正文_10_0"/>
    <w:qFormat/>
    <w:uiPriority w:val="0"/>
    <w:pPr>
      <w:widowControl w:val="0"/>
      <w:jc w:val="both"/>
    </w:pPr>
    <w:rPr>
      <w:rFonts w:ascii="Calibri" w:hAnsi="Calibri" w:eastAsia="宋体" w:cs="Times New Roman"/>
      <w:kern w:val="2"/>
      <w:sz w:val="21"/>
      <w:szCs w:val="22"/>
    </w:rPr>
  </w:style>
  <w:style w:type="paragraph" w:customStyle="1" w:styleId="107">
    <w:name w:val="*正文_6"/>
    <w:basedOn w:val="106"/>
    <w:next w:val="105"/>
    <w:qFormat/>
    <w:uiPriority w:val="0"/>
    <w:pPr>
      <w:widowControl/>
      <w:ind w:firstLine="482"/>
    </w:pPr>
    <w:rPr>
      <w:rFonts w:ascii="微软雅黑" w:hAnsi="微软雅黑" w:eastAsia="微软雅黑" w:cs="宋体"/>
      <w:kern w:val="0"/>
      <w:szCs w:val="21"/>
    </w:rPr>
  </w:style>
  <w:style w:type="paragraph" w:customStyle="1" w:styleId="108">
    <w:name w:val="Normal_13"/>
    <w:qFormat/>
    <w:uiPriority w:val="0"/>
    <w:rPr>
      <w:rFonts w:ascii="黑体" w:hAnsi="黑体" w:eastAsia="黑体" w:cs="Times New Roman"/>
      <w:b/>
      <w:sz w:val="32"/>
      <w:szCs w:val="24"/>
      <w:lang w:bidi="ar-SA"/>
    </w:rPr>
  </w:style>
  <w:style w:type="paragraph" w:customStyle="1" w:styleId="109">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Normal_16"/>
    <w:qFormat/>
    <w:uiPriority w:val="0"/>
    <w:rPr>
      <w:rFonts w:ascii="黑体" w:hAnsi="黑体" w:eastAsia="黑体" w:cs="Times New Roman"/>
      <w:b/>
      <w:sz w:val="32"/>
      <w:szCs w:val="24"/>
      <w:lang w:bidi="ar-SA"/>
    </w:rPr>
  </w:style>
  <w:style w:type="character" w:customStyle="1" w:styleId="112">
    <w:name w:val="font21"/>
    <w:basedOn w:val="7"/>
    <w:qFormat/>
    <w:uiPriority w:val="0"/>
    <w:rPr>
      <w:rFonts w:hint="eastAsia" w:ascii="宋体" w:hAnsi="宋体" w:eastAsia="宋体" w:cs="宋体"/>
      <w:color w:val="000000"/>
      <w:sz w:val="16"/>
      <w:szCs w:val="16"/>
      <w:u w:val="none"/>
    </w:rPr>
  </w:style>
  <w:style w:type="character" w:customStyle="1" w:styleId="113">
    <w:name w:val="first-child"/>
    <w:basedOn w:val="7"/>
    <w:uiPriority w:val="0"/>
  </w:style>
  <w:style w:type="character" w:customStyle="1" w:styleId="114">
    <w:name w:val="layui-layer-tabnow"/>
    <w:basedOn w:val="7"/>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191</Pages>
  <Words>17691</Words>
  <Characters>19232</Characters>
  <Lines>0</Lines>
  <Paragraphs>0</Paragraphs>
  <TotalTime>2</TotalTime>
  <ScaleCrop>false</ScaleCrop>
  <LinksUpToDate>false</LinksUpToDate>
  <CharactersWithSpaces>19495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2025-09-23T08:34:00Z</dcterms:created>
  <dc:creator>河南城发工程管理有限公司</dc:creator>
  <cp:lastModifiedBy>河南城发工程管理有限公司</cp:lastModifiedBy>
  <cp:lastPrinted>2025-10-28T01:16:00Z</cp:lastPrinted>
  <dcterms:modified xsi:type="dcterms:W3CDTF">2025-11-12T08:45:41Z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722091709E79454CB61FB174E1D2C395_13</vt:lpwstr>
  </property>
  <property fmtid="{D5CDD505-2E9C-101B-9397-08002B2CF9AE}" pid="4" name="KSOTemplateDocerSaveRecord">
    <vt:lpwstr>eyJoZGlkIjoiMTYyNGU4YjI1MWViMzZiYzhjZDNiYzUxODVjOTgwOTYiLCJ1c2VySWQiOiIxMDI1MDAwOTk3In0=</vt:lpwstr>
  </property>
</Properties>
</file>