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5DEAC">
      <w:pPr>
        <w:spacing w:before="169" w:line="220" w:lineRule="auto"/>
        <w:ind w:left="1289"/>
        <w:rPr>
          <w:sz w:val="52"/>
          <w:szCs w:val="52"/>
        </w:rPr>
      </w:pPr>
      <w:r>
        <w:rPr>
          <w:rFonts w:hint="eastAsia"/>
          <w:b/>
          <w:bCs/>
          <w:spacing w:val="26"/>
          <w:sz w:val="52"/>
          <w:szCs w:val="52"/>
        </w:rPr>
        <w:t>周口市公共资源交易中心</w:t>
      </w:r>
    </w:p>
    <w:p w14:paraId="7F30E59A">
      <w:pPr>
        <w:pStyle w:val="9"/>
        <w:spacing w:line="250" w:lineRule="auto"/>
      </w:pPr>
    </w:p>
    <w:p w14:paraId="1E993FB2">
      <w:pPr>
        <w:pStyle w:val="9"/>
        <w:spacing w:line="250" w:lineRule="auto"/>
      </w:pPr>
    </w:p>
    <w:p w14:paraId="1AE10106">
      <w:pPr>
        <w:pStyle w:val="9"/>
        <w:spacing w:line="250" w:lineRule="auto"/>
      </w:pPr>
    </w:p>
    <w:p w14:paraId="3D58818F">
      <w:pPr>
        <w:pStyle w:val="9"/>
        <w:spacing w:line="250" w:lineRule="auto"/>
      </w:pPr>
    </w:p>
    <w:p w14:paraId="12705522">
      <w:pPr>
        <w:pStyle w:val="9"/>
        <w:spacing w:line="250" w:lineRule="auto"/>
      </w:pPr>
    </w:p>
    <w:p w14:paraId="49363433">
      <w:pPr>
        <w:pStyle w:val="9"/>
        <w:spacing w:line="250" w:lineRule="auto"/>
      </w:pPr>
    </w:p>
    <w:p w14:paraId="1215F75A">
      <w:pPr>
        <w:pStyle w:val="9"/>
        <w:spacing w:line="250" w:lineRule="auto"/>
      </w:pPr>
    </w:p>
    <w:p w14:paraId="320238B3">
      <w:pPr>
        <w:pStyle w:val="9"/>
        <w:spacing w:line="250" w:lineRule="auto"/>
      </w:pPr>
    </w:p>
    <w:p w14:paraId="0E2E26CC">
      <w:pPr>
        <w:pStyle w:val="9"/>
        <w:spacing w:line="250" w:lineRule="auto"/>
      </w:pPr>
    </w:p>
    <w:p w14:paraId="25A2C7E9">
      <w:pPr>
        <w:pStyle w:val="9"/>
        <w:spacing w:line="250" w:lineRule="auto"/>
      </w:pPr>
    </w:p>
    <w:p w14:paraId="0AC2F4E0">
      <w:pPr>
        <w:pStyle w:val="9"/>
        <w:spacing w:line="250" w:lineRule="auto"/>
      </w:pPr>
    </w:p>
    <w:p w14:paraId="05FA3CFA">
      <w:pPr>
        <w:pStyle w:val="9"/>
        <w:spacing w:line="250" w:lineRule="auto"/>
      </w:pPr>
    </w:p>
    <w:p w14:paraId="1A8D518D">
      <w:pPr>
        <w:pStyle w:val="9"/>
        <w:spacing w:line="251" w:lineRule="auto"/>
      </w:pPr>
    </w:p>
    <w:p w14:paraId="7F4F0C39">
      <w:pPr>
        <w:spacing w:before="169" w:line="220" w:lineRule="auto"/>
        <w:jc w:val="center"/>
        <w:rPr>
          <w:sz w:val="52"/>
          <w:szCs w:val="52"/>
        </w:rPr>
      </w:pPr>
      <w:r>
        <w:rPr>
          <w:rFonts w:hint="eastAsia"/>
          <w:b/>
          <w:bCs/>
          <w:spacing w:val="-8"/>
          <w:sz w:val="52"/>
          <w:szCs w:val="52"/>
        </w:rPr>
        <w:t>竞争性</w:t>
      </w:r>
      <w:r>
        <w:rPr>
          <w:rFonts w:hint="eastAsia"/>
          <w:b/>
          <w:bCs/>
          <w:spacing w:val="-8"/>
          <w:sz w:val="52"/>
          <w:szCs w:val="52"/>
          <w:lang w:val="en-US"/>
        </w:rPr>
        <w:t>谈判</w:t>
      </w:r>
      <w:r>
        <w:rPr>
          <w:rFonts w:hint="eastAsia"/>
          <w:b/>
          <w:bCs/>
          <w:spacing w:val="-8"/>
          <w:sz w:val="52"/>
          <w:szCs w:val="52"/>
        </w:rPr>
        <w:t>文件</w:t>
      </w:r>
    </w:p>
    <w:p w14:paraId="27DA49F4">
      <w:pPr>
        <w:pStyle w:val="9"/>
        <w:spacing w:line="244" w:lineRule="auto"/>
      </w:pPr>
    </w:p>
    <w:p w14:paraId="0A1562DD">
      <w:pPr>
        <w:pStyle w:val="9"/>
        <w:spacing w:line="244" w:lineRule="auto"/>
      </w:pPr>
    </w:p>
    <w:p w14:paraId="7ACC33E8">
      <w:pPr>
        <w:pStyle w:val="9"/>
        <w:spacing w:line="244" w:lineRule="auto"/>
      </w:pPr>
    </w:p>
    <w:p w14:paraId="2EBFC757">
      <w:pPr>
        <w:pStyle w:val="9"/>
        <w:spacing w:line="244" w:lineRule="auto"/>
      </w:pPr>
    </w:p>
    <w:p w14:paraId="76771BFE">
      <w:pPr>
        <w:pStyle w:val="9"/>
        <w:spacing w:line="244" w:lineRule="auto"/>
      </w:pPr>
    </w:p>
    <w:p w14:paraId="657254C6">
      <w:pPr>
        <w:pStyle w:val="9"/>
        <w:spacing w:line="244" w:lineRule="auto"/>
      </w:pPr>
    </w:p>
    <w:p w14:paraId="497F6848">
      <w:pPr>
        <w:pStyle w:val="9"/>
        <w:spacing w:line="244" w:lineRule="auto"/>
      </w:pPr>
    </w:p>
    <w:p w14:paraId="71C86C7A">
      <w:pPr>
        <w:pStyle w:val="9"/>
        <w:spacing w:line="245" w:lineRule="auto"/>
      </w:pPr>
    </w:p>
    <w:p w14:paraId="3B0A79A0">
      <w:pPr>
        <w:spacing w:before="100" w:line="480" w:lineRule="auto"/>
        <w:jc w:val="center"/>
        <w:rPr>
          <w:b/>
          <w:bCs/>
          <w:spacing w:val="7"/>
          <w:sz w:val="31"/>
          <w:szCs w:val="31"/>
        </w:rPr>
      </w:pPr>
    </w:p>
    <w:p w14:paraId="3556527B">
      <w:pPr>
        <w:spacing w:before="100" w:line="480" w:lineRule="auto"/>
        <w:rPr>
          <w:b/>
          <w:bCs/>
          <w:spacing w:val="7"/>
          <w:sz w:val="31"/>
          <w:szCs w:val="31"/>
        </w:rPr>
      </w:pPr>
      <w:r>
        <w:rPr>
          <w:rFonts w:hint="eastAsia"/>
          <w:b/>
          <w:bCs/>
          <w:spacing w:val="7"/>
          <w:sz w:val="31"/>
          <w:szCs w:val="31"/>
        </w:rPr>
        <w:t>项目名称：鹿邑县人民医院合理用药整体解决方案项目</w:t>
      </w:r>
    </w:p>
    <w:p w14:paraId="2E0D3890">
      <w:pPr>
        <w:spacing w:before="100" w:line="480" w:lineRule="auto"/>
        <w:rPr>
          <w:b/>
          <w:bCs/>
          <w:spacing w:val="7"/>
          <w:sz w:val="31"/>
          <w:szCs w:val="31"/>
        </w:rPr>
      </w:pPr>
      <w:r>
        <w:rPr>
          <w:rFonts w:hint="eastAsia"/>
          <w:b/>
          <w:bCs/>
          <w:spacing w:val="7"/>
          <w:sz w:val="31"/>
          <w:szCs w:val="31"/>
        </w:rPr>
        <w:t>项目编号:</w:t>
      </w:r>
      <w:r>
        <w:rPr>
          <w:rFonts w:hint="eastAsia"/>
          <w:b/>
          <w:bCs/>
          <w:spacing w:val="7"/>
          <w:sz w:val="31"/>
          <w:szCs w:val="31"/>
          <w:lang w:val="en-US"/>
        </w:rPr>
        <w:t xml:space="preserve"> 鹿财竞谈-2026-2</w:t>
      </w:r>
    </w:p>
    <w:p w14:paraId="5EA13123">
      <w:pPr>
        <w:jc w:val="center"/>
        <w:rPr>
          <w:b/>
          <w:bCs/>
          <w:spacing w:val="7"/>
          <w:sz w:val="31"/>
          <w:szCs w:val="31"/>
        </w:rPr>
      </w:pPr>
    </w:p>
    <w:p w14:paraId="2F68BC4F">
      <w:pPr>
        <w:jc w:val="center"/>
        <w:rPr>
          <w:b/>
          <w:bCs/>
          <w:spacing w:val="7"/>
          <w:sz w:val="31"/>
          <w:szCs w:val="31"/>
        </w:rPr>
      </w:pPr>
    </w:p>
    <w:p w14:paraId="319E531B">
      <w:pPr>
        <w:jc w:val="center"/>
        <w:rPr>
          <w:b/>
          <w:bCs/>
          <w:spacing w:val="7"/>
          <w:sz w:val="31"/>
          <w:szCs w:val="31"/>
        </w:rPr>
      </w:pPr>
    </w:p>
    <w:p w14:paraId="42154720">
      <w:pPr>
        <w:jc w:val="center"/>
        <w:rPr>
          <w:rFonts w:asciiTheme="minorEastAsia" w:hAnsiTheme="minorEastAsia" w:eastAsiaTheme="minorEastAsia"/>
          <w:sz w:val="32"/>
          <w:lang w:val="en-US"/>
        </w:rPr>
        <w:sectPr>
          <w:headerReference r:id="rId5" w:type="first"/>
          <w:footerReference r:id="rId8" w:type="first"/>
          <w:headerReference r:id="rId3" w:type="default"/>
          <w:footerReference r:id="rId6" w:type="default"/>
          <w:headerReference r:id="rId4" w:type="even"/>
          <w:footerReference r:id="rId7" w:type="even"/>
          <w:pgSz w:w="11850" w:h="16790"/>
          <w:pgMar w:top="1600" w:right="1180" w:bottom="920" w:left="1580" w:header="720" w:footer="721" w:gutter="0"/>
          <w:pgNumType w:start="0"/>
          <w:cols w:space="720" w:num="1"/>
          <w:titlePg/>
          <w:docGrid w:linePitch="299" w:charSpace="0"/>
        </w:sectPr>
      </w:pPr>
      <w:r>
        <w:rPr>
          <w:rFonts w:hint="eastAsia"/>
          <w:b/>
          <w:bCs/>
          <w:spacing w:val="7"/>
          <w:sz w:val="31"/>
          <w:szCs w:val="31"/>
        </w:rPr>
        <w:t>2026年0</w:t>
      </w:r>
      <w:r>
        <w:rPr>
          <w:rFonts w:hint="eastAsia"/>
          <w:b/>
          <w:bCs/>
          <w:spacing w:val="7"/>
          <w:sz w:val="31"/>
          <w:szCs w:val="31"/>
          <w:lang w:val="en-US"/>
        </w:rPr>
        <w:t>1月12日</w:t>
      </w:r>
    </w:p>
    <w:p w14:paraId="00D0A6DB">
      <w:pPr>
        <w:jc w:val="center"/>
        <w:rPr>
          <w:b/>
          <w:bCs/>
          <w:spacing w:val="7"/>
          <w:sz w:val="36"/>
          <w:szCs w:val="31"/>
        </w:rPr>
      </w:pPr>
      <w:bookmarkStart w:id="0" w:name="_Toc32305"/>
      <w:bookmarkStart w:id="1" w:name="_Toc27394"/>
      <w:r>
        <w:rPr>
          <w:rFonts w:hint="eastAsia"/>
          <w:b/>
          <w:bCs/>
          <w:spacing w:val="7"/>
          <w:sz w:val="36"/>
          <w:szCs w:val="31"/>
        </w:rPr>
        <w:t>目</w:t>
      </w:r>
      <w:r>
        <w:rPr>
          <w:rFonts w:hint="eastAsia"/>
          <w:b/>
          <w:bCs/>
          <w:spacing w:val="7"/>
          <w:sz w:val="36"/>
          <w:szCs w:val="31"/>
        </w:rPr>
        <w:tab/>
      </w:r>
      <w:r>
        <w:rPr>
          <w:rFonts w:hint="eastAsia"/>
          <w:b/>
          <w:bCs/>
          <w:spacing w:val="7"/>
          <w:sz w:val="36"/>
          <w:szCs w:val="31"/>
        </w:rPr>
        <w:t xml:space="preserve"> 录</w:t>
      </w:r>
      <w:bookmarkEnd w:id="0"/>
      <w:bookmarkEnd w:id="1"/>
    </w:p>
    <w:sdt>
      <w:sdtPr>
        <w:rPr>
          <w:sz w:val="21"/>
        </w:rPr>
        <w:id w:val="147462457"/>
        <w:docPartObj>
          <w:docPartGallery w:val="Table of Contents"/>
          <w:docPartUnique/>
        </w:docPartObj>
      </w:sdtPr>
      <w:sdtEndPr>
        <w:rPr>
          <w:rFonts w:asciiTheme="minorEastAsia" w:hAnsiTheme="minorEastAsia" w:eastAsiaTheme="minorEastAsia"/>
          <w:sz w:val="22"/>
        </w:rPr>
      </w:sdtEndPr>
      <w:sdtContent>
        <w:p w14:paraId="635E6BE9">
          <w:pPr>
            <w:jc w:val="center"/>
          </w:pPr>
        </w:p>
        <w:p w14:paraId="69783D9F">
          <w:pPr>
            <w:pStyle w:val="17"/>
            <w:tabs>
              <w:tab w:val="right" w:leader="dot" w:pos="9080"/>
            </w:tabs>
            <w:spacing w:line="720" w:lineRule="auto"/>
            <w:ind w:left="440"/>
            <w:rPr>
              <w:rFonts w:asciiTheme="minorHAnsi" w:hAnsiTheme="minorHAnsi" w:eastAsiaTheme="minorEastAsia" w:cstheme="minorBidi"/>
              <w:b/>
              <w:kern w:val="2"/>
              <w:lang w:val="en-US" w:bidi="ar-SA"/>
            </w:rPr>
          </w:pPr>
          <w:r>
            <w:rPr>
              <w:rFonts w:asciiTheme="minorEastAsia" w:hAnsiTheme="minorEastAsia" w:eastAsiaTheme="minorEastAsia"/>
            </w:rPr>
            <w:fldChar w:fldCharType="begin"/>
          </w:r>
          <w:r>
            <w:rPr>
              <w:rFonts w:asciiTheme="minorEastAsia" w:hAnsiTheme="minorEastAsia" w:eastAsiaTheme="minorEastAsia"/>
            </w:rPr>
            <w:instrText xml:space="preserve">TOC \o "1-3" \h \u </w:instrText>
          </w:r>
          <w:r>
            <w:rPr>
              <w:rFonts w:asciiTheme="minorEastAsia" w:hAnsiTheme="minorEastAsia" w:eastAsiaTheme="minorEastAsia"/>
            </w:rPr>
            <w:fldChar w:fldCharType="separate"/>
          </w:r>
          <w:r>
            <w:fldChar w:fldCharType="begin"/>
          </w:r>
          <w:r>
            <w:instrText xml:space="preserve"> HYPERLINK \l "_Toc218688618" </w:instrText>
          </w:r>
          <w:r>
            <w:fldChar w:fldCharType="separate"/>
          </w:r>
          <w:r>
            <w:rPr>
              <w:rStyle w:val="26"/>
              <w:rFonts w:hint="eastAsia" w:asciiTheme="minorEastAsia" w:hAnsiTheme="minorEastAsia"/>
              <w:b/>
              <w:color w:val="auto"/>
              <w:sz w:val="24"/>
              <w:lang w:val="en-US"/>
            </w:rPr>
            <w:t>第一部分</w:t>
          </w:r>
          <w:r>
            <w:rPr>
              <w:rStyle w:val="26"/>
              <w:rFonts w:asciiTheme="minorEastAsia" w:hAnsiTheme="minorEastAsia"/>
              <w:b/>
              <w:color w:val="auto"/>
              <w:sz w:val="24"/>
              <w:lang w:val="en-US"/>
            </w:rPr>
            <w:t xml:space="preserve"> </w:t>
          </w:r>
          <w:r>
            <w:rPr>
              <w:rStyle w:val="26"/>
              <w:rFonts w:hint="eastAsia" w:asciiTheme="minorEastAsia" w:hAnsiTheme="minorEastAsia"/>
              <w:b/>
              <w:color w:val="auto"/>
              <w:sz w:val="24"/>
            </w:rPr>
            <w:t>谈判采购邀请函</w:t>
          </w:r>
          <w:r>
            <w:rPr>
              <w:b/>
              <w:sz w:val="24"/>
            </w:rPr>
            <w:tab/>
          </w:r>
          <w:r>
            <w:rPr>
              <w:b/>
              <w:sz w:val="24"/>
            </w:rPr>
            <w:fldChar w:fldCharType="begin"/>
          </w:r>
          <w:r>
            <w:rPr>
              <w:b/>
              <w:sz w:val="24"/>
            </w:rPr>
            <w:instrText xml:space="preserve"> PAGEREF _Toc218688618 \h </w:instrText>
          </w:r>
          <w:r>
            <w:rPr>
              <w:b/>
              <w:sz w:val="24"/>
            </w:rPr>
            <w:fldChar w:fldCharType="separate"/>
          </w:r>
          <w:r>
            <w:rPr>
              <w:b/>
              <w:sz w:val="24"/>
            </w:rPr>
            <w:t>2</w:t>
          </w:r>
          <w:r>
            <w:rPr>
              <w:b/>
              <w:sz w:val="24"/>
            </w:rPr>
            <w:fldChar w:fldCharType="end"/>
          </w:r>
          <w:r>
            <w:rPr>
              <w:b/>
              <w:sz w:val="24"/>
            </w:rPr>
            <w:fldChar w:fldCharType="end"/>
          </w:r>
        </w:p>
        <w:p w14:paraId="52D0E642">
          <w:pPr>
            <w:pStyle w:val="17"/>
            <w:tabs>
              <w:tab w:val="right" w:leader="dot" w:pos="9080"/>
            </w:tabs>
            <w:spacing w:line="720" w:lineRule="auto"/>
            <w:ind w:left="440"/>
            <w:rPr>
              <w:rFonts w:asciiTheme="minorHAnsi" w:hAnsiTheme="minorHAnsi" w:eastAsiaTheme="minorEastAsia" w:cstheme="minorBidi"/>
              <w:b/>
              <w:kern w:val="2"/>
              <w:lang w:val="en-US" w:bidi="ar-SA"/>
            </w:rPr>
          </w:pPr>
          <w:r>
            <w:fldChar w:fldCharType="begin"/>
          </w:r>
          <w:r>
            <w:instrText xml:space="preserve"> HYPERLINK \l "_Toc218688619" </w:instrText>
          </w:r>
          <w:r>
            <w:fldChar w:fldCharType="separate"/>
          </w:r>
          <w:r>
            <w:rPr>
              <w:rStyle w:val="26"/>
              <w:rFonts w:hint="eastAsia" w:asciiTheme="minorEastAsia" w:hAnsiTheme="minorEastAsia"/>
              <w:b/>
              <w:color w:val="auto"/>
              <w:sz w:val="24"/>
              <w:lang w:val="en-US"/>
            </w:rPr>
            <w:t>第二部分</w:t>
          </w:r>
          <w:r>
            <w:rPr>
              <w:rStyle w:val="26"/>
              <w:rFonts w:asciiTheme="minorEastAsia" w:hAnsiTheme="minorEastAsia"/>
              <w:b/>
              <w:color w:val="auto"/>
              <w:sz w:val="24"/>
              <w:lang w:val="en-US"/>
            </w:rPr>
            <w:t xml:space="preserve"> </w:t>
          </w:r>
          <w:r>
            <w:rPr>
              <w:rStyle w:val="26"/>
              <w:rFonts w:hint="eastAsia" w:asciiTheme="minorEastAsia" w:hAnsiTheme="minorEastAsia"/>
              <w:b/>
              <w:color w:val="auto"/>
              <w:sz w:val="24"/>
              <w:lang w:val="en-US"/>
            </w:rPr>
            <w:t>谈判供应商须知</w:t>
          </w:r>
          <w:r>
            <w:rPr>
              <w:b/>
              <w:sz w:val="24"/>
            </w:rPr>
            <w:tab/>
          </w:r>
          <w:r>
            <w:rPr>
              <w:b/>
              <w:sz w:val="24"/>
            </w:rPr>
            <w:fldChar w:fldCharType="begin"/>
          </w:r>
          <w:r>
            <w:rPr>
              <w:b/>
              <w:sz w:val="24"/>
            </w:rPr>
            <w:instrText xml:space="preserve"> PAGEREF _Toc218688619 \h </w:instrText>
          </w:r>
          <w:r>
            <w:rPr>
              <w:b/>
              <w:sz w:val="24"/>
            </w:rPr>
            <w:fldChar w:fldCharType="separate"/>
          </w:r>
          <w:r>
            <w:rPr>
              <w:b/>
              <w:sz w:val="24"/>
            </w:rPr>
            <w:t>5</w:t>
          </w:r>
          <w:r>
            <w:rPr>
              <w:b/>
              <w:sz w:val="24"/>
            </w:rPr>
            <w:fldChar w:fldCharType="end"/>
          </w:r>
          <w:r>
            <w:rPr>
              <w:b/>
              <w:sz w:val="24"/>
            </w:rPr>
            <w:fldChar w:fldCharType="end"/>
          </w:r>
        </w:p>
        <w:p w14:paraId="521D178A">
          <w:pPr>
            <w:pStyle w:val="17"/>
            <w:tabs>
              <w:tab w:val="right" w:leader="dot" w:pos="9080"/>
            </w:tabs>
            <w:spacing w:line="720" w:lineRule="auto"/>
            <w:ind w:left="440"/>
            <w:rPr>
              <w:rFonts w:asciiTheme="minorHAnsi" w:hAnsiTheme="minorHAnsi" w:eastAsiaTheme="minorEastAsia" w:cstheme="minorBidi"/>
              <w:b/>
              <w:kern w:val="2"/>
              <w:lang w:val="en-US" w:bidi="ar-SA"/>
            </w:rPr>
          </w:pPr>
          <w:r>
            <w:fldChar w:fldCharType="begin"/>
          </w:r>
          <w:r>
            <w:instrText xml:space="preserve"> HYPERLINK \l "_Toc218688620" </w:instrText>
          </w:r>
          <w:r>
            <w:fldChar w:fldCharType="separate"/>
          </w:r>
          <w:r>
            <w:rPr>
              <w:rStyle w:val="26"/>
              <w:rFonts w:hint="eastAsia" w:asciiTheme="minorEastAsia" w:hAnsiTheme="minorEastAsia"/>
              <w:b/>
              <w:color w:val="auto"/>
              <w:sz w:val="24"/>
            </w:rPr>
            <w:t>第三部分</w:t>
          </w:r>
          <w:r>
            <w:rPr>
              <w:rStyle w:val="26"/>
              <w:rFonts w:asciiTheme="minorEastAsia" w:hAnsiTheme="minorEastAsia"/>
              <w:b/>
              <w:color w:val="auto"/>
              <w:sz w:val="24"/>
            </w:rPr>
            <w:t xml:space="preserve"> </w:t>
          </w:r>
          <w:r>
            <w:rPr>
              <w:rStyle w:val="26"/>
              <w:rFonts w:hint="eastAsia" w:asciiTheme="minorEastAsia" w:hAnsiTheme="minorEastAsia"/>
              <w:b/>
              <w:color w:val="auto"/>
              <w:sz w:val="24"/>
            </w:rPr>
            <w:t>谈判项目要求</w:t>
          </w:r>
          <w:r>
            <w:rPr>
              <w:b/>
              <w:sz w:val="24"/>
            </w:rPr>
            <w:tab/>
          </w:r>
          <w:r>
            <w:rPr>
              <w:b/>
              <w:sz w:val="24"/>
            </w:rPr>
            <w:fldChar w:fldCharType="begin"/>
          </w:r>
          <w:r>
            <w:rPr>
              <w:b/>
              <w:sz w:val="24"/>
            </w:rPr>
            <w:instrText xml:space="preserve"> PAGEREF _Toc218688620 \h </w:instrText>
          </w:r>
          <w:r>
            <w:rPr>
              <w:b/>
              <w:sz w:val="24"/>
            </w:rPr>
            <w:fldChar w:fldCharType="separate"/>
          </w:r>
          <w:r>
            <w:rPr>
              <w:b/>
              <w:sz w:val="24"/>
            </w:rPr>
            <w:t>18</w:t>
          </w:r>
          <w:r>
            <w:rPr>
              <w:b/>
              <w:sz w:val="24"/>
            </w:rPr>
            <w:fldChar w:fldCharType="end"/>
          </w:r>
          <w:r>
            <w:rPr>
              <w:b/>
              <w:sz w:val="24"/>
            </w:rPr>
            <w:fldChar w:fldCharType="end"/>
          </w:r>
        </w:p>
        <w:p w14:paraId="364E28F6">
          <w:pPr>
            <w:pStyle w:val="17"/>
            <w:tabs>
              <w:tab w:val="right" w:leader="dot" w:pos="9080"/>
            </w:tabs>
            <w:spacing w:line="720" w:lineRule="auto"/>
            <w:ind w:left="440"/>
            <w:rPr>
              <w:rFonts w:asciiTheme="minorHAnsi" w:hAnsiTheme="minorHAnsi" w:eastAsiaTheme="minorEastAsia" w:cstheme="minorBidi"/>
              <w:b/>
              <w:kern w:val="2"/>
              <w:lang w:val="en-US" w:bidi="ar-SA"/>
            </w:rPr>
          </w:pPr>
          <w:r>
            <w:fldChar w:fldCharType="begin"/>
          </w:r>
          <w:r>
            <w:instrText xml:space="preserve"> HYPERLINK \l "_Toc218688621" </w:instrText>
          </w:r>
          <w:r>
            <w:fldChar w:fldCharType="separate"/>
          </w:r>
          <w:r>
            <w:rPr>
              <w:rStyle w:val="26"/>
              <w:rFonts w:hint="eastAsia" w:asciiTheme="minorEastAsia" w:hAnsiTheme="minorEastAsia"/>
              <w:b/>
              <w:color w:val="auto"/>
              <w:sz w:val="24"/>
              <w:lang w:val="en-US"/>
            </w:rPr>
            <w:t>第四部分</w:t>
          </w:r>
          <w:r>
            <w:rPr>
              <w:rStyle w:val="26"/>
              <w:rFonts w:asciiTheme="minorEastAsia" w:hAnsiTheme="minorEastAsia"/>
              <w:b/>
              <w:color w:val="auto"/>
              <w:sz w:val="24"/>
              <w:lang w:val="en-US"/>
            </w:rPr>
            <w:t xml:space="preserve"> </w:t>
          </w:r>
          <w:r>
            <w:rPr>
              <w:rStyle w:val="26"/>
              <w:rFonts w:hint="eastAsia" w:asciiTheme="minorEastAsia" w:hAnsiTheme="minorEastAsia"/>
              <w:b/>
              <w:color w:val="auto"/>
              <w:sz w:val="24"/>
            </w:rPr>
            <w:t>项目内容及技术要求</w:t>
          </w:r>
          <w:r>
            <w:rPr>
              <w:b/>
              <w:sz w:val="24"/>
            </w:rPr>
            <w:tab/>
          </w:r>
          <w:r>
            <w:rPr>
              <w:b/>
              <w:sz w:val="24"/>
            </w:rPr>
            <w:fldChar w:fldCharType="begin"/>
          </w:r>
          <w:r>
            <w:rPr>
              <w:b/>
              <w:sz w:val="24"/>
            </w:rPr>
            <w:instrText xml:space="preserve"> PAGEREF _Toc218688621 \h </w:instrText>
          </w:r>
          <w:r>
            <w:rPr>
              <w:b/>
              <w:sz w:val="24"/>
            </w:rPr>
            <w:fldChar w:fldCharType="separate"/>
          </w:r>
          <w:r>
            <w:rPr>
              <w:b/>
              <w:sz w:val="24"/>
            </w:rPr>
            <w:t>19</w:t>
          </w:r>
          <w:r>
            <w:rPr>
              <w:b/>
              <w:sz w:val="24"/>
            </w:rPr>
            <w:fldChar w:fldCharType="end"/>
          </w:r>
          <w:r>
            <w:rPr>
              <w:b/>
              <w:sz w:val="24"/>
            </w:rPr>
            <w:fldChar w:fldCharType="end"/>
          </w:r>
        </w:p>
        <w:p w14:paraId="682AD739">
          <w:pPr>
            <w:pStyle w:val="17"/>
            <w:tabs>
              <w:tab w:val="right" w:leader="dot" w:pos="9080"/>
            </w:tabs>
            <w:spacing w:line="720" w:lineRule="auto"/>
            <w:ind w:left="440"/>
            <w:rPr>
              <w:rFonts w:asciiTheme="minorHAnsi" w:hAnsiTheme="minorHAnsi" w:eastAsiaTheme="minorEastAsia" w:cstheme="minorBidi"/>
              <w:b/>
              <w:kern w:val="2"/>
              <w:lang w:val="en-US" w:bidi="ar-SA"/>
            </w:rPr>
          </w:pPr>
          <w:r>
            <w:fldChar w:fldCharType="begin"/>
          </w:r>
          <w:r>
            <w:instrText xml:space="preserve"> HYPERLINK \l "_Toc218688622" </w:instrText>
          </w:r>
          <w:r>
            <w:fldChar w:fldCharType="separate"/>
          </w:r>
          <w:r>
            <w:rPr>
              <w:rStyle w:val="26"/>
              <w:rFonts w:hint="eastAsia" w:asciiTheme="minorEastAsia" w:hAnsiTheme="minorEastAsia"/>
              <w:b/>
              <w:color w:val="auto"/>
              <w:sz w:val="24"/>
            </w:rPr>
            <w:t>第五部分</w:t>
          </w:r>
          <w:r>
            <w:rPr>
              <w:rStyle w:val="26"/>
              <w:rFonts w:asciiTheme="minorEastAsia" w:hAnsiTheme="minorEastAsia"/>
              <w:b/>
              <w:color w:val="auto"/>
              <w:sz w:val="24"/>
            </w:rPr>
            <w:t xml:space="preserve"> </w:t>
          </w:r>
          <w:r>
            <w:rPr>
              <w:rStyle w:val="26"/>
              <w:rFonts w:hint="eastAsia" w:asciiTheme="minorEastAsia" w:hAnsiTheme="minorEastAsia"/>
              <w:b/>
              <w:color w:val="auto"/>
              <w:sz w:val="24"/>
            </w:rPr>
            <w:t>谈判响应文件格式</w:t>
          </w:r>
          <w:r>
            <w:rPr>
              <w:b/>
              <w:sz w:val="24"/>
            </w:rPr>
            <w:tab/>
          </w:r>
          <w:r>
            <w:rPr>
              <w:b/>
              <w:sz w:val="24"/>
            </w:rPr>
            <w:fldChar w:fldCharType="begin"/>
          </w:r>
          <w:r>
            <w:rPr>
              <w:b/>
              <w:sz w:val="24"/>
            </w:rPr>
            <w:instrText xml:space="preserve"> PAGEREF _Toc218688622 \h </w:instrText>
          </w:r>
          <w:r>
            <w:rPr>
              <w:b/>
              <w:sz w:val="24"/>
            </w:rPr>
            <w:fldChar w:fldCharType="separate"/>
          </w:r>
          <w:r>
            <w:rPr>
              <w:b/>
              <w:sz w:val="24"/>
            </w:rPr>
            <w:t>19</w:t>
          </w:r>
          <w:r>
            <w:rPr>
              <w:b/>
              <w:sz w:val="24"/>
            </w:rPr>
            <w:fldChar w:fldCharType="end"/>
          </w:r>
          <w:r>
            <w:rPr>
              <w:b/>
              <w:sz w:val="24"/>
            </w:rPr>
            <w:fldChar w:fldCharType="end"/>
          </w:r>
        </w:p>
        <w:p w14:paraId="7C5DFA9F">
          <w:pPr>
            <w:pStyle w:val="17"/>
            <w:tabs>
              <w:tab w:val="right" w:leader="dot" w:pos="9080"/>
            </w:tabs>
            <w:spacing w:line="720" w:lineRule="auto"/>
            <w:ind w:left="440"/>
            <w:rPr>
              <w:rFonts w:asciiTheme="minorHAnsi" w:hAnsiTheme="minorHAnsi" w:eastAsiaTheme="minorEastAsia" w:cstheme="minorBidi"/>
              <w:kern w:val="2"/>
              <w:sz w:val="21"/>
              <w:lang w:val="en-US" w:bidi="ar-SA"/>
            </w:rPr>
          </w:pPr>
          <w:r>
            <w:fldChar w:fldCharType="begin"/>
          </w:r>
          <w:r>
            <w:instrText xml:space="preserve"> HYPERLINK \l "_Toc218688623" </w:instrText>
          </w:r>
          <w:r>
            <w:fldChar w:fldCharType="separate"/>
          </w:r>
          <w:r>
            <w:rPr>
              <w:rStyle w:val="26"/>
              <w:rFonts w:hint="eastAsia" w:asciiTheme="minorEastAsia" w:hAnsiTheme="minorEastAsia"/>
              <w:b/>
              <w:color w:val="auto"/>
              <w:sz w:val="24"/>
              <w:lang w:val="en-US"/>
            </w:rPr>
            <w:t>第六部分</w:t>
          </w:r>
          <w:r>
            <w:rPr>
              <w:rStyle w:val="26"/>
              <w:rFonts w:asciiTheme="minorEastAsia" w:hAnsiTheme="minorEastAsia"/>
              <w:b/>
              <w:color w:val="auto"/>
              <w:sz w:val="24"/>
              <w:lang w:val="en-US"/>
            </w:rPr>
            <w:t xml:space="preserve"> </w:t>
          </w:r>
          <w:r>
            <w:rPr>
              <w:rStyle w:val="26"/>
              <w:rFonts w:hint="eastAsia" w:asciiTheme="minorEastAsia" w:hAnsiTheme="minorEastAsia"/>
              <w:b/>
              <w:color w:val="auto"/>
              <w:sz w:val="24"/>
              <w:lang w:val="en-US"/>
            </w:rPr>
            <w:t>周口市政府采购合同（服务类）标准文本</w:t>
          </w:r>
          <w:r>
            <w:rPr>
              <w:b/>
              <w:sz w:val="24"/>
            </w:rPr>
            <w:tab/>
          </w:r>
          <w:r>
            <w:rPr>
              <w:b/>
              <w:sz w:val="24"/>
            </w:rPr>
            <w:fldChar w:fldCharType="begin"/>
          </w:r>
          <w:r>
            <w:rPr>
              <w:b/>
              <w:sz w:val="24"/>
            </w:rPr>
            <w:instrText xml:space="preserve"> PAGEREF _Toc218688623 \h </w:instrText>
          </w:r>
          <w:r>
            <w:rPr>
              <w:b/>
              <w:sz w:val="24"/>
            </w:rPr>
            <w:fldChar w:fldCharType="separate"/>
          </w:r>
          <w:r>
            <w:rPr>
              <w:b/>
              <w:sz w:val="24"/>
            </w:rPr>
            <w:t>50</w:t>
          </w:r>
          <w:r>
            <w:rPr>
              <w:b/>
              <w:sz w:val="24"/>
            </w:rPr>
            <w:fldChar w:fldCharType="end"/>
          </w:r>
          <w:r>
            <w:rPr>
              <w:b/>
              <w:sz w:val="24"/>
            </w:rPr>
            <w:fldChar w:fldCharType="end"/>
          </w:r>
        </w:p>
        <w:p w14:paraId="4DE29FC6">
          <w:pPr>
            <w:rPr>
              <w:rFonts w:asciiTheme="minorEastAsia" w:hAnsiTheme="minorEastAsia" w:eastAsiaTheme="minorEastAsia"/>
            </w:rPr>
          </w:pPr>
          <w:r>
            <w:rPr>
              <w:rFonts w:asciiTheme="minorEastAsia" w:hAnsiTheme="minorEastAsia" w:eastAsiaTheme="minorEastAsia"/>
            </w:rPr>
            <w:fldChar w:fldCharType="end"/>
          </w:r>
        </w:p>
      </w:sdtContent>
    </w:sdt>
    <w:p w14:paraId="38AEF161">
      <w:pPr>
        <w:rPr>
          <w:rFonts w:asciiTheme="minorEastAsia" w:hAnsiTheme="minorEastAsia" w:eastAsiaTheme="minorEastAsia"/>
        </w:rPr>
      </w:pPr>
    </w:p>
    <w:p w14:paraId="788CB516">
      <w:pPr>
        <w:pStyle w:val="20"/>
        <w:ind w:left="440" w:firstLine="482"/>
        <w:rPr>
          <w:rFonts w:asciiTheme="minorEastAsia" w:hAnsiTheme="minorEastAsia" w:eastAsiaTheme="minorEastAsia"/>
          <w:b/>
          <w:bCs/>
          <w:sz w:val="24"/>
          <w:szCs w:val="24"/>
        </w:rPr>
      </w:pPr>
    </w:p>
    <w:p w14:paraId="2DECA9A8">
      <w:pPr>
        <w:pStyle w:val="20"/>
        <w:ind w:left="440" w:firstLine="482"/>
        <w:rPr>
          <w:rFonts w:asciiTheme="minorEastAsia" w:hAnsiTheme="minorEastAsia" w:eastAsiaTheme="minorEastAsia"/>
          <w:b/>
          <w:bCs/>
          <w:sz w:val="24"/>
          <w:szCs w:val="24"/>
        </w:rPr>
      </w:pPr>
    </w:p>
    <w:p w14:paraId="2C086124">
      <w:pPr>
        <w:pStyle w:val="20"/>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1E2A4069">
      <w:pPr>
        <w:pStyle w:val="3"/>
        <w:tabs>
          <w:tab w:val="left" w:pos="1607"/>
        </w:tabs>
        <w:spacing w:before="100"/>
        <w:rPr>
          <w:rFonts w:asciiTheme="minorEastAsia" w:hAnsiTheme="minorEastAsia" w:eastAsiaTheme="minorEastAsia"/>
        </w:rPr>
      </w:pPr>
      <w:bookmarkStart w:id="2" w:name="第一部分__谈判采购邀请函"/>
      <w:bookmarkEnd w:id="2"/>
      <w:bookmarkStart w:id="3" w:name="_Toc218688618"/>
      <w:r>
        <w:rPr>
          <w:rFonts w:hint="eastAsia" w:asciiTheme="minorEastAsia" w:hAnsiTheme="minorEastAsia" w:eastAsiaTheme="minorEastAsia"/>
          <w:lang w:val="en-US"/>
        </w:rPr>
        <w:t xml:space="preserve">第一部分 </w:t>
      </w:r>
      <w:r>
        <w:rPr>
          <w:rFonts w:hint="eastAsia" w:asciiTheme="minorEastAsia" w:hAnsiTheme="minorEastAsia" w:eastAsiaTheme="minorEastAsia"/>
        </w:rPr>
        <w:t>谈判采购邀请函</w:t>
      </w:r>
      <w:bookmarkEnd w:id="3"/>
    </w:p>
    <w:p w14:paraId="14C2B6C4">
      <w:pPr>
        <w:jc w:val="center"/>
        <w:rPr>
          <w:b/>
          <w:bCs/>
          <w:sz w:val="32"/>
          <w:szCs w:val="32"/>
        </w:rPr>
      </w:pPr>
      <w:bookmarkStart w:id="4" w:name="_Toc28359011"/>
      <w:bookmarkStart w:id="5" w:name="_Toc10461"/>
      <w:bookmarkStart w:id="6" w:name="_Toc35393797"/>
      <w:bookmarkStart w:id="7" w:name="_Toc22572"/>
      <w:bookmarkStart w:id="8" w:name="OLE_LINK2"/>
      <w:bookmarkStart w:id="9" w:name="OLE_LINK1"/>
      <w:r>
        <w:rPr>
          <w:rFonts w:hint="eastAsia"/>
          <w:b/>
          <w:bCs/>
          <w:sz w:val="32"/>
          <w:szCs w:val="32"/>
        </w:rPr>
        <w:t>竞争性谈判公告</w:t>
      </w:r>
      <w:bookmarkEnd w:id="4"/>
      <w:bookmarkEnd w:id="5"/>
      <w:bookmarkEnd w:id="6"/>
      <w:bookmarkEnd w:id="7"/>
    </w:p>
    <w:bookmarkEnd w:id="8"/>
    <w:bookmarkEnd w:id="9"/>
    <w:p w14:paraId="4B75F712">
      <w:pPr>
        <w:pStyle w:val="28"/>
      </w:pPr>
    </w:p>
    <w:p w14:paraId="4133930C">
      <w:pPr>
        <w:autoSpaceDE/>
        <w:autoSpaceDN/>
        <w:spacing w:line="360" w:lineRule="auto"/>
        <w:ind w:firstLine="480" w:firstLineChars="200"/>
        <w:rPr>
          <w:sz w:val="24"/>
          <w:szCs w:val="24"/>
          <w:lang w:val="en-US"/>
        </w:rPr>
      </w:pPr>
      <w:r>
        <w:rPr>
          <w:rFonts w:hint="eastAsia"/>
          <w:sz w:val="24"/>
          <w:szCs w:val="24"/>
          <w:lang w:val="en-US"/>
        </w:rPr>
        <w:t>项目概况</w:t>
      </w:r>
    </w:p>
    <w:p w14:paraId="0B8FC9FA">
      <w:pPr>
        <w:widowControl/>
        <w:kinsoku w:val="0"/>
        <w:adjustRightInd w:val="0"/>
        <w:snapToGrid w:val="0"/>
        <w:spacing w:line="360" w:lineRule="auto"/>
        <w:ind w:firstLine="480" w:firstLineChars="200"/>
        <w:textAlignment w:val="baseline"/>
        <w:rPr>
          <w:sz w:val="24"/>
          <w:szCs w:val="24"/>
          <w:lang w:val="en-US"/>
        </w:rPr>
      </w:pPr>
      <w:bookmarkStart w:id="10" w:name="_Toc28359012"/>
      <w:bookmarkStart w:id="11" w:name="_Toc28359089"/>
      <w:bookmarkStart w:id="12" w:name="_Toc35393629"/>
      <w:bookmarkStart w:id="13" w:name="_Toc35393798"/>
      <w:r>
        <w:rPr>
          <w:rFonts w:hint="eastAsia"/>
          <w:sz w:val="24"/>
          <w:szCs w:val="24"/>
          <w:lang w:val="en-US"/>
        </w:rPr>
        <w:t>鹿邑县人民医院合理用药整体解决方案项目的潜在供应商应在周口市公共资源交易中心网（http://jyzx.zhoukou.gov.cn）获取招标文件，并于2026年</w:t>
      </w:r>
      <w:r>
        <w:rPr>
          <w:rFonts w:hint="eastAsia"/>
          <w:sz w:val="24"/>
          <w:szCs w:val="24"/>
          <w:lang w:val="en-US" w:eastAsia="zh-CN"/>
        </w:rPr>
        <w:t>1</w:t>
      </w:r>
      <w:r>
        <w:rPr>
          <w:rFonts w:hint="eastAsia"/>
          <w:sz w:val="24"/>
          <w:szCs w:val="24"/>
          <w:lang w:val="en-US"/>
        </w:rPr>
        <w:t>月</w:t>
      </w:r>
      <w:r>
        <w:rPr>
          <w:rFonts w:hint="eastAsia"/>
          <w:sz w:val="24"/>
          <w:szCs w:val="24"/>
          <w:lang w:val="en-US" w:eastAsia="zh-CN"/>
        </w:rPr>
        <w:t>23</w:t>
      </w:r>
      <w:r>
        <w:rPr>
          <w:rFonts w:hint="eastAsia"/>
          <w:sz w:val="24"/>
          <w:szCs w:val="24"/>
          <w:lang w:val="en-US"/>
        </w:rPr>
        <w:t>日10点00分（北京时间）前递交响应文件。</w:t>
      </w:r>
    </w:p>
    <w:p w14:paraId="5C59ACE6">
      <w:pPr>
        <w:spacing w:line="360" w:lineRule="auto"/>
        <w:rPr>
          <w:sz w:val="24"/>
          <w:szCs w:val="24"/>
        </w:rPr>
      </w:pPr>
      <w:bookmarkStart w:id="14" w:name="_Toc3793"/>
      <w:bookmarkStart w:id="15" w:name="_Toc6849"/>
      <w:r>
        <w:rPr>
          <w:rFonts w:hint="eastAsia"/>
          <w:sz w:val="24"/>
          <w:szCs w:val="24"/>
        </w:rPr>
        <w:t>一、项目基本情况</w:t>
      </w:r>
      <w:bookmarkEnd w:id="10"/>
      <w:bookmarkEnd w:id="11"/>
      <w:bookmarkEnd w:id="12"/>
      <w:bookmarkEnd w:id="13"/>
      <w:bookmarkEnd w:id="14"/>
      <w:bookmarkEnd w:id="15"/>
    </w:p>
    <w:p w14:paraId="44C6BE63">
      <w:pPr>
        <w:spacing w:line="360" w:lineRule="auto"/>
        <w:ind w:firstLine="480" w:firstLineChars="200"/>
        <w:rPr>
          <w:sz w:val="24"/>
          <w:szCs w:val="24"/>
        </w:rPr>
      </w:pPr>
      <w:r>
        <w:rPr>
          <w:rFonts w:hint="eastAsia"/>
          <w:sz w:val="24"/>
          <w:szCs w:val="24"/>
        </w:rPr>
        <w:t>1、项目编号</w:t>
      </w:r>
      <w:r>
        <w:rPr>
          <w:rFonts w:hint="eastAsia"/>
          <w:sz w:val="24"/>
          <w:szCs w:val="24"/>
          <w:lang w:val="en-US"/>
        </w:rPr>
        <w:t>：鹿财竞谈</w:t>
      </w:r>
      <w:r>
        <w:rPr>
          <w:sz w:val="24"/>
          <w:szCs w:val="24"/>
          <w:lang w:val="en-US"/>
        </w:rPr>
        <w:t>-2026-2</w:t>
      </w:r>
      <w:r>
        <w:rPr>
          <w:rFonts w:hint="eastAsia"/>
          <w:sz w:val="24"/>
          <w:szCs w:val="24"/>
          <w:lang w:val="en-US"/>
        </w:rPr>
        <w:t xml:space="preserve"> </w:t>
      </w:r>
    </w:p>
    <w:p w14:paraId="2BCA2E24">
      <w:pPr>
        <w:spacing w:line="360" w:lineRule="auto"/>
        <w:ind w:firstLine="480" w:firstLineChars="200"/>
        <w:rPr>
          <w:sz w:val="24"/>
          <w:szCs w:val="24"/>
        </w:rPr>
      </w:pPr>
      <w:r>
        <w:rPr>
          <w:rFonts w:hint="eastAsia"/>
          <w:sz w:val="24"/>
          <w:szCs w:val="24"/>
        </w:rPr>
        <w:t>2、项目名称：</w:t>
      </w:r>
      <w:bookmarkStart w:id="16" w:name="OLE_LINK6"/>
      <w:bookmarkStart w:id="17" w:name="OLE_LINK5"/>
      <w:bookmarkStart w:id="18" w:name="OLE_LINK3"/>
      <w:r>
        <w:rPr>
          <w:rFonts w:hint="eastAsia"/>
          <w:sz w:val="24"/>
          <w:szCs w:val="24"/>
        </w:rPr>
        <w:t>鹿邑县人民医院合理用药整体解决方案项目</w:t>
      </w:r>
      <w:bookmarkEnd w:id="16"/>
      <w:bookmarkEnd w:id="17"/>
      <w:bookmarkEnd w:id="18"/>
    </w:p>
    <w:p w14:paraId="1592AE87">
      <w:pPr>
        <w:spacing w:line="360" w:lineRule="auto"/>
        <w:ind w:firstLine="480" w:firstLineChars="200"/>
        <w:rPr>
          <w:sz w:val="24"/>
          <w:szCs w:val="24"/>
          <w:lang w:val="en-US"/>
        </w:rPr>
      </w:pPr>
      <w:r>
        <w:rPr>
          <w:rFonts w:hint="eastAsia"/>
          <w:sz w:val="24"/>
          <w:szCs w:val="24"/>
          <w:lang w:val="en-US"/>
        </w:rPr>
        <w:t>3、采购方式：竞争性谈判</w:t>
      </w:r>
    </w:p>
    <w:p w14:paraId="03E27AF5">
      <w:pPr>
        <w:spacing w:line="360" w:lineRule="auto"/>
        <w:ind w:firstLine="480" w:firstLineChars="200"/>
        <w:rPr>
          <w:sz w:val="24"/>
          <w:szCs w:val="24"/>
          <w:lang w:val="en-US"/>
        </w:rPr>
      </w:pPr>
      <w:r>
        <w:rPr>
          <w:rFonts w:hint="eastAsia"/>
          <w:sz w:val="24"/>
          <w:szCs w:val="24"/>
          <w:lang w:val="en-US"/>
        </w:rPr>
        <w:t>4、预算金额：582000.00元</w:t>
      </w:r>
    </w:p>
    <w:p w14:paraId="79923332">
      <w:pPr>
        <w:spacing w:line="360" w:lineRule="auto"/>
        <w:ind w:firstLine="480" w:firstLineChars="200"/>
        <w:rPr>
          <w:sz w:val="24"/>
          <w:szCs w:val="24"/>
          <w:lang w:val="en-US"/>
        </w:rPr>
      </w:pPr>
      <w:r>
        <w:rPr>
          <w:rFonts w:hint="eastAsia"/>
          <w:sz w:val="24"/>
          <w:szCs w:val="24"/>
          <w:lang w:val="en-US"/>
        </w:rPr>
        <w:t>最高限价：582000.00元</w:t>
      </w:r>
    </w:p>
    <w:tbl>
      <w:tblPr>
        <w:tblStyle w:val="22"/>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3686"/>
        <w:gridCol w:w="1842"/>
        <w:gridCol w:w="2196"/>
      </w:tblGrid>
      <w:tr w14:paraId="53DC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36" w:type="dxa"/>
            <w:vAlign w:val="center"/>
          </w:tcPr>
          <w:p w14:paraId="7C2A9036">
            <w:pPr>
              <w:jc w:val="center"/>
              <w:rPr>
                <w:sz w:val="24"/>
                <w:szCs w:val="24"/>
                <w:lang w:val="en-US"/>
              </w:rPr>
            </w:pPr>
            <w:r>
              <w:rPr>
                <w:rFonts w:hint="eastAsia"/>
                <w:sz w:val="24"/>
                <w:szCs w:val="24"/>
                <w:lang w:val="en-US"/>
              </w:rPr>
              <w:t>包号</w:t>
            </w:r>
          </w:p>
        </w:tc>
        <w:tc>
          <w:tcPr>
            <w:tcW w:w="3686" w:type="dxa"/>
            <w:vAlign w:val="center"/>
          </w:tcPr>
          <w:p w14:paraId="4C511295">
            <w:pPr>
              <w:jc w:val="center"/>
              <w:rPr>
                <w:sz w:val="24"/>
                <w:szCs w:val="24"/>
                <w:lang w:val="en-US"/>
              </w:rPr>
            </w:pPr>
            <w:r>
              <w:rPr>
                <w:rFonts w:hint="eastAsia"/>
                <w:sz w:val="24"/>
                <w:szCs w:val="24"/>
                <w:lang w:val="en-US"/>
              </w:rPr>
              <w:t>包名称</w:t>
            </w:r>
          </w:p>
        </w:tc>
        <w:tc>
          <w:tcPr>
            <w:tcW w:w="1842" w:type="dxa"/>
            <w:vAlign w:val="center"/>
          </w:tcPr>
          <w:p w14:paraId="159B49DB">
            <w:pPr>
              <w:jc w:val="center"/>
              <w:rPr>
                <w:sz w:val="24"/>
                <w:szCs w:val="24"/>
              </w:rPr>
            </w:pPr>
            <w:r>
              <w:rPr>
                <w:rFonts w:hint="eastAsia"/>
                <w:sz w:val="24"/>
                <w:szCs w:val="24"/>
              </w:rPr>
              <w:t>包预算（元）</w:t>
            </w:r>
          </w:p>
        </w:tc>
        <w:tc>
          <w:tcPr>
            <w:tcW w:w="2196" w:type="dxa"/>
            <w:vAlign w:val="center"/>
          </w:tcPr>
          <w:p w14:paraId="69A7C10A">
            <w:pPr>
              <w:jc w:val="center"/>
              <w:rPr>
                <w:sz w:val="24"/>
                <w:szCs w:val="24"/>
              </w:rPr>
            </w:pPr>
            <w:r>
              <w:rPr>
                <w:rFonts w:hint="eastAsia"/>
                <w:sz w:val="24"/>
                <w:szCs w:val="24"/>
              </w:rPr>
              <w:t>包最高限价（元）</w:t>
            </w:r>
          </w:p>
        </w:tc>
      </w:tr>
      <w:tr w14:paraId="1024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36" w:type="dxa"/>
            <w:vAlign w:val="center"/>
          </w:tcPr>
          <w:p w14:paraId="5D6DFDBE">
            <w:pPr>
              <w:jc w:val="center"/>
              <w:rPr>
                <w:sz w:val="24"/>
                <w:szCs w:val="24"/>
                <w:lang w:val="en-US"/>
              </w:rPr>
            </w:pPr>
            <w:r>
              <w:rPr>
                <w:rFonts w:hint="eastAsia"/>
                <w:sz w:val="24"/>
                <w:szCs w:val="24"/>
                <w:lang w:val="en-US"/>
              </w:rPr>
              <w:t>1</w:t>
            </w:r>
          </w:p>
        </w:tc>
        <w:tc>
          <w:tcPr>
            <w:tcW w:w="3686" w:type="dxa"/>
            <w:vAlign w:val="center"/>
          </w:tcPr>
          <w:p w14:paraId="23CE81B8">
            <w:pPr>
              <w:jc w:val="center"/>
              <w:rPr>
                <w:sz w:val="24"/>
                <w:szCs w:val="24"/>
              </w:rPr>
            </w:pPr>
            <w:r>
              <w:rPr>
                <w:rFonts w:hint="eastAsia"/>
                <w:sz w:val="24"/>
                <w:szCs w:val="24"/>
              </w:rPr>
              <w:t>鹿邑县人民医院合理用药整体解决方案项目</w:t>
            </w:r>
          </w:p>
        </w:tc>
        <w:tc>
          <w:tcPr>
            <w:tcW w:w="1842" w:type="dxa"/>
            <w:vAlign w:val="center"/>
          </w:tcPr>
          <w:p w14:paraId="68EE94C3">
            <w:pPr>
              <w:jc w:val="center"/>
              <w:rPr>
                <w:sz w:val="24"/>
                <w:szCs w:val="24"/>
                <w:lang w:val="en-US"/>
              </w:rPr>
            </w:pPr>
            <w:r>
              <w:rPr>
                <w:rFonts w:hint="eastAsia"/>
                <w:sz w:val="24"/>
                <w:szCs w:val="24"/>
                <w:lang w:val="en-US"/>
              </w:rPr>
              <w:t>582000.00</w:t>
            </w:r>
          </w:p>
        </w:tc>
        <w:tc>
          <w:tcPr>
            <w:tcW w:w="2196" w:type="dxa"/>
            <w:vAlign w:val="center"/>
          </w:tcPr>
          <w:p w14:paraId="13C4C0F8">
            <w:pPr>
              <w:jc w:val="center"/>
              <w:rPr>
                <w:sz w:val="24"/>
                <w:szCs w:val="24"/>
                <w:lang w:val="en-US"/>
              </w:rPr>
            </w:pPr>
            <w:r>
              <w:rPr>
                <w:rFonts w:hint="eastAsia"/>
                <w:sz w:val="24"/>
                <w:szCs w:val="24"/>
                <w:lang w:val="en-US"/>
              </w:rPr>
              <w:t>582000.00</w:t>
            </w:r>
          </w:p>
        </w:tc>
      </w:tr>
    </w:tbl>
    <w:p w14:paraId="3E90212E">
      <w:pPr>
        <w:spacing w:line="360" w:lineRule="auto"/>
        <w:ind w:firstLine="480" w:firstLineChars="200"/>
        <w:rPr>
          <w:sz w:val="24"/>
          <w:szCs w:val="24"/>
        </w:rPr>
      </w:pPr>
      <w:r>
        <w:rPr>
          <w:rFonts w:hint="eastAsia"/>
          <w:sz w:val="24"/>
          <w:szCs w:val="24"/>
        </w:rPr>
        <w:t>5、采购需求：（包括但不限于标的的名称、数量、简要技术需求或服务要求等）</w:t>
      </w:r>
    </w:p>
    <w:p w14:paraId="667ACA85">
      <w:pPr>
        <w:spacing w:line="360" w:lineRule="auto"/>
        <w:ind w:firstLine="480" w:firstLineChars="200"/>
        <w:rPr>
          <w:sz w:val="24"/>
          <w:szCs w:val="24"/>
        </w:rPr>
      </w:pPr>
      <w:bookmarkStart w:id="19" w:name="_Toc22920"/>
      <w:bookmarkStart w:id="20" w:name="_Toc24468"/>
      <w:r>
        <w:rPr>
          <w:rFonts w:hint="eastAsia"/>
          <w:sz w:val="24"/>
          <w:szCs w:val="24"/>
        </w:rPr>
        <w:t>详见竞争性谈判文件</w:t>
      </w:r>
      <w:bookmarkEnd w:id="19"/>
      <w:bookmarkEnd w:id="20"/>
    </w:p>
    <w:p w14:paraId="1876E719">
      <w:pPr>
        <w:spacing w:line="360" w:lineRule="auto"/>
        <w:ind w:firstLine="480" w:firstLineChars="200"/>
        <w:rPr>
          <w:sz w:val="24"/>
          <w:szCs w:val="24"/>
        </w:rPr>
      </w:pPr>
      <w:r>
        <w:rPr>
          <w:rFonts w:hint="eastAsia"/>
          <w:sz w:val="24"/>
          <w:szCs w:val="24"/>
        </w:rPr>
        <w:t>6、合同履行期限：</w:t>
      </w:r>
      <w:bookmarkStart w:id="21" w:name="_Toc35393630"/>
      <w:bookmarkStart w:id="22" w:name="_Toc28359090"/>
      <w:bookmarkStart w:id="23" w:name="_Toc35393799"/>
      <w:bookmarkStart w:id="24" w:name="_Toc28359013"/>
      <w:r>
        <w:rPr>
          <w:rFonts w:hint="eastAsia"/>
          <w:sz w:val="24"/>
          <w:szCs w:val="24"/>
        </w:rPr>
        <w:t>一年</w:t>
      </w:r>
    </w:p>
    <w:p w14:paraId="020FCCEE">
      <w:pPr>
        <w:spacing w:line="360" w:lineRule="auto"/>
        <w:ind w:firstLine="480" w:firstLineChars="200"/>
        <w:rPr>
          <w:sz w:val="24"/>
          <w:szCs w:val="24"/>
          <w:lang w:val="en-US"/>
        </w:rPr>
      </w:pPr>
      <w:r>
        <w:rPr>
          <w:rFonts w:hint="eastAsia"/>
          <w:sz w:val="24"/>
          <w:szCs w:val="24"/>
        </w:rPr>
        <w:t>7、是否接受进口产品：</w:t>
      </w:r>
      <w:r>
        <w:rPr>
          <w:sz w:val="24"/>
          <w:szCs w:val="24"/>
        </w:rPr>
        <w:t>否</w:t>
      </w:r>
    </w:p>
    <w:p w14:paraId="2095D6F1">
      <w:pPr>
        <w:spacing w:line="360" w:lineRule="auto"/>
        <w:ind w:firstLine="480" w:firstLineChars="200"/>
        <w:rPr>
          <w:sz w:val="24"/>
          <w:szCs w:val="24"/>
        </w:rPr>
      </w:pPr>
      <w:r>
        <w:rPr>
          <w:rFonts w:hint="eastAsia"/>
          <w:sz w:val="24"/>
          <w:szCs w:val="24"/>
        </w:rPr>
        <w:t>8、本项目是否接受联合体投标：否</w:t>
      </w:r>
    </w:p>
    <w:p w14:paraId="0E45AF65">
      <w:pPr>
        <w:spacing w:line="360" w:lineRule="auto"/>
        <w:ind w:firstLine="480" w:firstLineChars="200"/>
        <w:rPr>
          <w:sz w:val="24"/>
          <w:szCs w:val="24"/>
        </w:rPr>
      </w:pPr>
      <w:r>
        <w:rPr>
          <w:rFonts w:hint="eastAsia"/>
          <w:sz w:val="24"/>
          <w:szCs w:val="24"/>
        </w:rPr>
        <w:t>9、本项目是否为只面向中小企业采购：是，</w:t>
      </w:r>
      <w:r>
        <w:rPr>
          <w:rFonts w:hint="eastAsia"/>
          <w:sz w:val="24"/>
          <w:szCs w:val="24"/>
          <w:lang w:val="en-US"/>
        </w:rPr>
        <w:t>采购预留金额582000.00元，必须提供中小企业声明函。</w:t>
      </w:r>
    </w:p>
    <w:p w14:paraId="64277031">
      <w:pPr>
        <w:spacing w:line="360" w:lineRule="auto"/>
        <w:rPr>
          <w:sz w:val="24"/>
          <w:szCs w:val="24"/>
        </w:rPr>
      </w:pPr>
      <w:bookmarkStart w:id="25" w:name="_Toc11622"/>
      <w:bookmarkStart w:id="26" w:name="_Toc24267"/>
      <w:r>
        <w:rPr>
          <w:rFonts w:hint="eastAsia"/>
          <w:sz w:val="24"/>
          <w:szCs w:val="24"/>
        </w:rPr>
        <w:t>二、申请人的资格要求：</w:t>
      </w:r>
      <w:bookmarkEnd w:id="21"/>
      <w:bookmarkEnd w:id="22"/>
      <w:bookmarkEnd w:id="23"/>
      <w:bookmarkEnd w:id="24"/>
      <w:bookmarkEnd w:id="25"/>
      <w:bookmarkEnd w:id="26"/>
    </w:p>
    <w:p w14:paraId="22F5E17D">
      <w:pPr>
        <w:spacing w:line="360" w:lineRule="auto"/>
        <w:ind w:firstLine="480" w:firstLineChars="200"/>
        <w:rPr>
          <w:sz w:val="24"/>
          <w:szCs w:val="24"/>
        </w:rPr>
      </w:pPr>
      <w:r>
        <w:rPr>
          <w:rFonts w:hint="eastAsia"/>
          <w:sz w:val="24"/>
          <w:szCs w:val="24"/>
        </w:rPr>
        <w:t>1</w:t>
      </w:r>
      <w:r>
        <w:rPr>
          <w:rFonts w:hint="eastAsia"/>
          <w:sz w:val="24"/>
          <w:szCs w:val="24"/>
          <w:lang w:val="en-US"/>
        </w:rPr>
        <w:t>.</w:t>
      </w:r>
      <w:r>
        <w:rPr>
          <w:rFonts w:hint="eastAsia"/>
          <w:sz w:val="24"/>
          <w:szCs w:val="24"/>
        </w:rPr>
        <w:t>满足《中华人民共和国政府采购法》第二十二条规定；</w:t>
      </w:r>
    </w:p>
    <w:p w14:paraId="3685C4C8">
      <w:pPr>
        <w:spacing w:line="360" w:lineRule="auto"/>
        <w:ind w:firstLine="480" w:firstLineChars="200"/>
        <w:rPr>
          <w:sz w:val="24"/>
          <w:szCs w:val="24"/>
        </w:rPr>
      </w:pPr>
      <w:r>
        <w:rPr>
          <w:rFonts w:hint="eastAsia"/>
          <w:sz w:val="24"/>
          <w:szCs w:val="24"/>
        </w:rPr>
        <w:t>（</w:t>
      </w:r>
      <w:r>
        <w:rPr>
          <w:sz w:val="24"/>
          <w:szCs w:val="24"/>
        </w:rPr>
        <w:t>1）具有独立承担民事责任的能力（企业营业执照等证明文件）；</w:t>
      </w:r>
    </w:p>
    <w:p w14:paraId="7E3E80BC">
      <w:pPr>
        <w:spacing w:line="360" w:lineRule="auto"/>
        <w:ind w:firstLine="480" w:firstLineChars="200"/>
        <w:rPr>
          <w:sz w:val="24"/>
          <w:szCs w:val="24"/>
        </w:rPr>
      </w:pPr>
      <w:r>
        <w:rPr>
          <w:rFonts w:hint="eastAsia"/>
          <w:sz w:val="24"/>
          <w:szCs w:val="24"/>
        </w:rPr>
        <w:t>（</w:t>
      </w:r>
      <w:r>
        <w:rPr>
          <w:sz w:val="24"/>
          <w:szCs w:val="24"/>
        </w:rPr>
        <w:t>2）具有良好的商业信誉和健全的财务会计制度；</w:t>
      </w:r>
    </w:p>
    <w:p w14:paraId="418BF26F">
      <w:pPr>
        <w:spacing w:line="360" w:lineRule="auto"/>
        <w:ind w:firstLine="480" w:firstLineChars="200"/>
        <w:rPr>
          <w:sz w:val="24"/>
          <w:szCs w:val="24"/>
        </w:rPr>
      </w:pPr>
      <w:r>
        <w:rPr>
          <w:rFonts w:hint="eastAsia"/>
          <w:sz w:val="24"/>
          <w:szCs w:val="24"/>
        </w:rPr>
        <w:t>（</w:t>
      </w:r>
      <w:r>
        <w:rPr>
          <w:sz w:val="24"/>
          <w:szCs w:val="24"/>
        </w:rPr>
        <w:t>3）具有履行合同所必需的设备和专业技术能力；</w:t>
      </w:r>
    </w:p>
    <w:p w14:paraId="32C38801">
      <w:pPr>
        <w:spacing w:line="360" w:lineRule="auto"/>
        <w:ind w:firstLine="480" w:firstLineChars="200"/>
        <w:rPr>
          <w:sz w:val="24"/>
          <w:szCs w:val="24"/>
        </w:rPr>
      </w:pPr>
      <w:r>
        <w:rPr>
          <w:rFonts w:hint="eastAsia"/>
          <w:sz w:val="24"/>
          <w:szCs w:val="24"/>
        </w:rPr>
        <w:t>（</w:t>
      </w:r>
      <w:r>
        <w:rPr>
          <w:sz w:val="24"/>
          <w:szCs w:val="24"/>
        </w:rPr>
        <w:t>4）有依法缴纳税收和社会保障资金的良好记录（缴纳的税收凭据、社会保险凭据，依法免税或不需要缴纳社会保障资金的供应商应提供相应的证明文件）；</w:t>
      </w:r>
    </w:p>
    <w:p w14:paraId="023A395D">
      <w:pPr>
        <w:spacing w:line="360" w:lineRule="auto"/>
        <w:ind w:firstLine="480" w:firstLineChars="200"/>
        <w:rPr>
          <w:sz w:val="24"/>
          <w:szCs w:val="24"/>
        </w:rPr>
      </w:pPr>
      <w:r>
        <w:rPr>
          <w:rFonts w:hint="eastAsia"/>
          <w:sz w:val="24"/>
          <w:szCs w:val="24"/>
        </w:rPr>
        <w:t>（</w:t>
      </w:r>
      <w:r>
        <w:rPr>
          <w:sz w:val="24"/>
          <w:szCs w:val="24"/>
        </w:rPr>
        <w:t>5）参加政府采购活动前三年内，在经营活动中没有重大违法记录（提供没有重大违法记录的书面声明函，格式自拟）；</w:t>
      </w:r>
    </w:p>
    <w:p w14:paraId="7C245DFD">
      <w:pPr>
        <w:spacing w:line="360" w:lineRule="auto"/>
        <w:ind w:firstLine="480" w:firstLineChars="200"/>
        <w:rPr>
          <w:sz w:val="24"/>
          <w:szCs w:val="24"/>
        </w:rPr>
      </w:pPr>
      <w:bookmarkStart w:id="27" w:name="_Toc28359014"/>
      <w:bookmarkStart w:id="28" w:name="_Toc28359091"/>
      <w:r>
        <w:rPr>
          <w:rFonts w:hint="eastAsia"/>
          <w:sz w:val="24"/>
          <w:szCs w:val="24"/>
        </w:rPr>
        <w:t>2</w:t>
      </w:r>
      <w:r>
        <w:rPr>
          <w:rFonts w:hint="eastAsia"/>
          <w:sz w:val="24"/>
          <w:szCs w:val="24"/>
          <w:lang w:val="en-US"/>
        </w:rPr>
        <w:t>.</w:t>
      </w:r>
      <w:r>
        <w:rPr>
          <w:rFonts w:hint="eastAsia"/>
          <w:sz w:val="24"/>
          <w:szCs w:val="24"/>
        </w:rPr>
        <w:t>落实政府采购政策需满足的资格要求：促进中小企业和监狱企业发展扶持政策、政府强制采购节能产品强制采购、节能产品及环境标志产品优先采购、促进残疾人就业政府采购政策。</w:t>
      </w:r>
    </w:p>
    <w:p w14:paraId="7E2BC686">
      <w:pPr>
        <w:spacing w:line="360" w:lineRule="auto"/>
        <w:ind w:firstLine="480" w:firstLineChars="200"/>
        <w:rPr>
          <w:sz w:val="24"/>
          <w:szCs w:val="24"/>
        </w:rPr>
      </w:pPr>
      <w:r>
        <w:rPr>
          <w:rFonts w:hint="eastAsia"/>
          <w:sz w:val="24"/>
          <w:szCs w:val="24"/>
        </w:rPr>
        <w:t>3</w:t>
      </w:r>
      <w:r>
        <w:rPr>
          <w:rFonts w:hint="eastAsia"/>
          <w:sz w:val="24"/>
          <w:szCs w:val="24"/>
          <w:lang w:val="en-US"/>
        </w:rPr>
        <w:t>.</w:t>
      </w:r>
      <w:r>
        <w:rPr>
          <w:rFonts w:hint="eastAsia"/>
          <w:sz w:val="24"/>
          <w:szCs w:val="24"/>
        </w:rPr>
        <w:t>本项目的特定资格要求：</w:t>
      </w:r>
    </w:p>
    <w:p w14:paraId="587E0315">
      <w:pPr>
        <w:wordWrap w:val="0"/>
        <w:spacing w:line="360" w:lineRule="auto"/>
        <w:ind w:firstLine="480" w:firstLineChars="200"/>
        <w:rPr>
          <w:sz w:val="24"/>
          <w:szCs w:val="24"/>
        </w:rPr>
      </w:pPr>
      <w:r>
        <w:rPr>
          <w:rFonts w:hint="eastAsia"/>
          <w:sz w:val="24"/>
          <w:szCs w:val="24"/>
        </w:rPr>
        <w:t>根据《关于在政府采购活动中查询及使用信用记录有关问题的通知》</w:t>
      </w:r>
      <w:r>
        <w:rPr>
          <w:sz w:val="24"/>
          <w:szCs w:val="24"/>
        </w:rPr>
        <w:t>(财库[2016]125号)和豫财购【2016】15号的规定，对列入“信用中国”网站（www.creditchina.gov.cn）的“失信被执行人”、“政府采购严重违法失信行为记录名单”、“重大税收违法失信主体”和“中国政府采购”网站(www.ccgp.gov.cn)的“政府采购严重违法失信行为记录名单”的供应商和法定代表人，将拒绝其参加政府采购活动；在标书中附网页查询截图，查询日期为公告发布之日起至投标截止之日止。</w:t>
      </w:r>
    </w:p>
    <w:p w14:paraId="18BDDB2A">
      <w:pPr>
        <w:spacing w:line="360" w:lineRule="auto"/>
        <w:rPr>
          <w:sz w:val="24"/>
          <w:szCs w:val="24"/>
        </w:rPr>
      </w:pPr>
      <w:bookmarkStart w:id="29" w:name="_Toc35393800"/>
      <w:bookmarkStart w:id="30" w:name="_Toc26895"/>
      <w:bookmarkStart w:id="31" w:name="_Toc35393631"/>
      <w:bookmarkStart w:id="32" w:name="_Toc19820"/>
      <w:r>
        <w:rPr>
          <w:rFonts w:hint="eastAsia"/>
          <w:sz w:val="24"/>
          <w:szCs w:val="24"/>
        </w:rPr>
        <w:t>三、获取采购文件</w:t>
      </w:r>
      <w:bookmarkEnd w:id="27"/>
      <w:bookmarkEnd w:id="28"/>
      <w:bookmarkEnd w:id="29"/>
      <w:bookmarkEnd w:id="30"/>
      <w:bookmarkEnd w:id="31"/>
      <w:bookmarkEnd w:id="32"/>
    </w:p>
    <w:p w14:paraId="55306314">
      <w:pPr>
        <w:spacing w:line="360" w:lineRule="auto"/>
        <w:ind w:firstLine="540"/>
        <w:rPr>
          <w:sz w:val="24"/>
          <w:szCs w:val="24"/>
        </w:rPr>
      </w:pPr>
      <w:r>
        <w:rPr>
          <w:rFonts w:hint="eastAsia"/>
          <w:sz w:val="24"/>
          <w:szCs w:val="24"/>
        </w:rPr>
        <w:t>时间：</w:t>
      </w:r>
      <w:r>
        <w:rPr>
          <w:rFonts w:hint="eastAsia"/>
          <w:sz w:val="24"/>
          <w:szCs w:val="24"/>
          <w:lang w:val="en-US"/>
        </w:rPr>
        <w:t>2026</w:t>
      </w:r>
      <w:r>
        <w:rPr>
          <w:rFonts w:hint="eastAsia"/>
          <w:sz w:val="24"/>
          <w:szCs w:val="24"/>
        </w:rPr>
        <w:t>年</w:t>
      </w:r>
      <w:r>
        <w:rPr>
          <w:rFonts w:hint="eastAsia"/>
          <w:sz w:val="24"/>
          <w:szCs w:val="24"/>
          <w:lang w:val="en-US" w:eastAsia="zh-CN"/>
        </w:rPr>
        <w:t>1</w:t>
      </w:r>
      <w:r>
        <w:rPr>
          <w:rFonts w:hint="eastAsia"/>
          <w:sz w:val="24"/>
          <w:szCs w:val="24"/>
        </w:rPr>
        <w:t>月</w:t>
      </w:r>
      <w:r>
        <w:rPr>
          <w:rFonts w:hint="eastAsia"/>
          <w:sz w:val="24"/>
          <w:szCs w:val="24"/>
          <w:lang w:val="en-US" w:eastAsia="zh-CN"/>
        </w:rPr>
        <w:t>12</w:t>
      </w:r>
      <w:r>
        <w:rPr>
          <w:rFonts w:hint="eastAsia"/>
          <w:sz w:val="24"/>
          <w:szCs w:val="24"/>
        </w:rPr>
        <w:t>日至</w:t>
      </w:r>
      <w:r>
        <w:rPr>
          <w:rFonts w:hint="eastAsia"/>
          <w:sz w:val="24"/>
          <w:szCs w:val="24"/>
          <w:lang w:val="en-US"/>
        </w:rPr>
        <w:t>2026</w:t>
      </w:r>
      <w:r>
        <w:rPr>
          <w:rFonts w:hint="eastAsia"/>
          <w:sz w:val="24"/>
          <w:szCs w:val="24"/>
        </w:rPr>
        <w:t>年</w:t>
      </w:r>
      <w:r>
        <w:rPr>
          <w:rFonts w:hint="eastAsia"/>
          <w:sz w:val="24"/>
          <w:szCs w:val="24"/>
          <w:lang w:val="en-US" w:eastAsia="zh-CN"/>
        </w:rPr>
        <w:t>1</w:t>
      </w:r>
      <w:r>
        <w:rPr>
          <w:rFonts w:hint="eastAsia"/>
          <w:sz w:val="24"/>
          <w:szCs w:val="24"/>
        </w:rPr>
        <w:t>月</w:t>
      </w:r>
      <w:r>
        <w:rPr>
          <w:rFonts w:hint="eastAsia"/>
          <w:sz w:val="24"/>
          <w:szCs w:val="24"/>
          <w:lang w:val="en-US" w:eastAsia="zh-CN"/>
        </w:rPr>
        <w:t>15</w:t>
      </w:r>
      <w:r>
        <w:rPr>
          <w:rFonts w:hint="eastAsia"/>
          <w:sz w:val="24"/>
          <w:szCs w:val="24"/>
        </w:rPr>
        <w:t>日</w:t>
      </w:r>
      <w:r>
        <w:rPr>
          <w:rFonts w:hint="eastAsia"/>
          <w:sz w:val="24"/>
          <w:szCs w:val="24"/>
          <w:lang w:val="en-US" w:eastAsia="zh-CN"/>
        </w:rPr>
        <w:t>23:59分</w:t>
      </w:r>
      <w:r>
        <w:rPr>
          <w:rFonts w:hint="eastAsia"/>
          <w:sz w:val="24"/>
          <w:szCs w:val="24"/>
        </w:rPr>
        <w:t>（北京时间，法定节假日除外）</w:t>
      </w:r>
    </w:p>
    <w:p w14:paraId="7EE09320">
      <w:pPr>
        <w:spacing w:line="360" w:lineRule="auto"/>
        <w:ind w:firstLine="540"/>
        <w:rPr>
          <w:sz w:val="24"/>
          <w:szCs w:val="24"/>
        </w:rPr>
      </w:pPr>
      <w:r>
        <w:rPr>
          <w:rFonts w:hint="eastAsia"/>
          <w:sz w:val="24"/>
          <w:szCs w:val="24"/>
        </w:rPr>
        <w:t>地点：周口市公共资源交易中心网（http://jyzx.zhoukou.gov.cn）</w:t>
      </w:r>
    </w:p>
    <w:p w14:paraId="49AA6B99">
      <w:pPr>
        <w:spacing w:line="360" w:lineRule="auto"/>
        <w:ind w:firstLine="540"/>
        <w:rPr>
          <w:sz w:val="24"/>
          <w:szCs w:val="24"/>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1F0EBEE4">
      <w:pPr>
        <w:spacing w:line="360" w:lineRule="auto"/>
        <w:ind w:firstLine="540"/>
        <w:rPr>
          <w:sz w:val="24"/>
          <w:szCs w:val="24"/>
          <w:lang w:val="en-US"/>
        </w:rPr>
      </w:pPr>
      <w:r>
        <w:rPr>
          <w:rFonts w:hint="eastAsia"/>
          <w:sz w:val="24"/>
          <w:szCs w:val="24"/>
        </w:rPr>
        <w:t>售价：</w:t>
      </w:r>
      <w:r>
        <w:rPr>
          <w:rFonts w:hint="eastAsia"/>
          <w:sz w:val="24"/>
          <w:szCs w:val="24"/>
          <w:lang w:val="en-US"/>
        </w:rPr>
        <w:t>0元；</w:t>
      </w:r>
    </w:p>
    <w:p w14:paraId="393C547C">
      <w:pPr>
        <w:spacing w:line="360" w:lineRule="auto"/>
        <w:rPr>
          <w:sz w:val="24"/>
          <w:szCs w:val="24"/>
        </w:rPr>
      </w:pPr>
      <w:bookmarkStart w:id="33" w:name="_Toc31930"/>
      <w:bookmarkStart w:id="34" w:name="_Toc28359015"/>
      <w:bookmarkStart w:id="35" w:name="_Toc28359092"/>
      <w:bookmarkStart w:id="36" w:name="_Toc35393801"/>
      <w:bookmarkStart w:id="37" w:name="_Toc35393632"/>
      <w:bookmarkStart w:id="38" w:name="_Toc22117"/>
      <w:r>
        <w:rPr>
          <w:rFonts w:hint="eastAsia"/>
          <w:sz w:val="24"/>
          <w:szCs w:val="24"/>
        </w:rPr>
        <w:t>四、响应文件提交</w:t>
      </w:r>
      <w:bookmarkEnd w:id="33"/>
      <w:bookmarkEnd w:id="34"/>
      <w:bookmarkEnd w:id="35"/>
      <w:bookmarkEnd w:id="36"/>
      <w:bookmarkEnd w:id="37"/>
      <w:bookmarkEnd w:id="38"/>
    </w:p>
    <w:p w14:paraId="18F8EA8F">
      <w:pPr>
        <w:spacing w:line="360" w:lineRule="auto"/>
        <w:ind w:firstLine="540"/>
        <w:rPr>
          <w:bCs/>
          <w:sz w:val="24"/>
          <w:szCs w:val="24"/>
          <w:u w:val="single"/>
        </w:rPr>
      </w:pPr>
      <w:r>
        <w:rPr>
          <w:rFonts w:hint="eastAsia"/>
          <w:sz w:val="24"/>
          <w:szCs w:val="24"/>
        </w:rPr>
        <w:t>截止时间：</w:t>
      </w:r>
      <w:r>
        <w:rPr>
          <w:rFonts w:hint="eastAsia"/>
          <w:sz w:val="24"/>
          <w:szCs w:val="24"/>
          <w:u w:val="single"/>
          <w:lang w:val="en-US"/>
        </w:rPr>
        <w:t>2026</w:t>
      </w:r>
      <w:r>
        <w:rPr>
          <w:rFonts w:hint="eastAsia"/>
          <w:bCs/>
          <w:sz w:val="24"/>
          <w:szCs w:val="24"/>
          <w:u w:val="single"/>
        </w:rPr>
        <w:t>年</w:t>
      </w:r>
      <w:r>
        <w:rPr>
          <w:rFonts w:hint="eastAsia"/>
          <w:bCs/>
          <w:sz w:val="24"/>
          <w:szCs w:val="24"/>
          <w:u w:val="single"/>
          <w:lang w:val="en-US" w:eastAsia="zh-CN"/>
        </w:rPr>
        <w:t>1</w:t>
      </w:r>
      <w:r>
        <w:rPr>
          <w:rFonts w:hint="eastAsia"/>
          <w:bCs/>
          <w:sz w:val="24"/>
          <w:szCs w:val="24"/>
          <w:u w:val="single"/>
        </w:rPr>
        <w:t>月</w:t>
      </w:r>
      <w:r>
        <w:rPr>
          <w:rFonts w:hint="eastAsia"/>
          <w:bCs/>
          <w:sz w:val="24"/>
          <w:szCs w:val="24"/>
          <w:u w:val="single"/>
          <w:lang w:val="en-US" w:eastAsia="zh-CN"/>
        </w:rPr>
        <w:t>23</w:t>
      </w:r>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00</w:t>
      </w:r>
      <w:r>
        <w:rPr>
          <w:rFonts w:hint="eastAsia"/>
          <w:bCs/>
          <w:sz w:val="24"/>
          <w:szCs w:val="24"/>
          <w:u w:val="single"/>
        </w:rPr>
        <w:t>分</w:t>
      </w:r>
      <w:r>
        <w:rPr>
          <w:rFonts w:hint="eastAsia"/>
          <w:bCs/>
          <w:sz w:val="24"/>
          <w:szCs w:val="24"/>
        </w:rPr>
        <w:t>（北京时间）</w:t>
      </w:r>
    </w:p>
    <w:p w14:paraId="06D016DD">
      <w:pPr>
        <w:spacing w:line="360" w:lineRule="auto"/>
        <w:ind w:firstLine="540"/>
        <w:rPr>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周口市公共资源交易中心网</w:t>
      </w:r>
      <w:r>
        <w:rPr>
          <w:rFonts w:hint="eastAsia"/>
          <w:sz w:val="24"/>
          <w:szCs w:val="24"/>
        </w:rPr>
        <w:t>（网址</w:t>
      </w:r>
      <w:r>
        <w:rPr>
          <w:rFonts w:hint="eastAsia"/>
          <w:kern w:val="2"/>
          <w:sz w:val="24"/>
          <w:szCs w:val="24"/>
        </w:rPr>
        <w:t>http://jyzx.zhoukou.gov.cn</w:t>
      </w:r>
      <w:r>
        <w:rPr>
          <w:rFonts w:hint="eastAsia"/>
          <w:sz w:val="24"/>
          <w:szCs w:val="24"/>
        </w:rPr>
        <w:t>）”。</w:t>
      </w:r>
    </w:p>
    <w:p w14:paraId="0469D224">
      <w:pPr>
        <w:spacing w:line="360" w:lineRule="auto"/>
        <w:rPr>
          <w:sz w:val="24"/>
          <w:szCs w:val="24"/>
        </w:rPr>
      </w:pPr>
      <w:bookmarkStart w:id="39" w:name="_Toc15972"/>
      <w:bookmarkStart w:id="40" w:name="_Toc28359016"/>
      <w:bookmarkStart w:id="41" w:name="_Toc35393802"/>
      <w:bookmarkStart w:id="42" w:name="_Toc35393633"/>
      <w:bookmarkStart w:id="43" w:name="_Toc23024"/>
      <w:bookmarkStart w:id="44" w:name="_Toc28359093"/>
      <w:r>
        <w:rPr>
          <w:rFonts w:hint="eastAsia"/>
          <w:sz w:val="24"/>
          <w:szCs w:val="24"/>
        </w:rPr>
        <w:t>五、响应文件开启</w:t>
      </w:r>
      <w:bookmarkEnd w:id="39"/>
      <w:bookmarkEnd w:id="40"/>
      <w:bookmarkEnd w:id="41"/>
      <w:bookmarkEnd w:id="42"/>
      <w:bookmarkEnd w:id="43"/>
      <w:bookmarkEnd w:id="44"/>
    </w:p>
    <w:p w14:paraId="435779FB">
      <w:pPr>
        <w:spacing w:line="360" w:lineRule="auto"/>
        <w:ind w:firstLine="540"/>
        <w:rPr>
          <w:bCs/>
          <w:sz w:val="24"/>
          <w:szCs w:val="24"/>
          <w:u w:val="single"/>
        </w:rPr>
      </w:pPr>
      <w:r>
        <w:rPr>
          <w:rFonts w:hint="eastAsia"/>
          <w:sz w:val="24"/>
          <w:szCs w:val="24"/>
        </w:rPr>
        <w:t>时间：</w:t>
      </w:r>
      <w:r>
        <w:rPr>
          <w:rFonts w:hint="eastAsia"/>
          <w:sz w:val="24"/>
          <w:szCs w:val="24"/>
          <w:u w:val="single"/>
          <w:lang w:val="en-US"/>
        </w:rPr>
        <w:t>2026</w:t>
      </w:r>
      <w:r>
        <w:rPr>
          <w:rFonts w:hint="eastAsia"/>
          <w:bCs/>
          <w:sz w:val="24"/>
          <w:szCs w:val="24"/>
          <w:u w:val="single"/>
        </w:rPr>
        <w:t>年</w:t>
      </w:r>
      <w:r>
        <w:rPr>
          <w:rFonts w:hint="eastAsia"/>
          <w:bCs/>
          <w:sz w:val="24"/>
          <w:szCs w:val="24"/>
          <w:u w:val="single"/>
          <w:lang w:val="en-US" w:eastAsia="zh-CN"/>
        </w:rPr>
        <w:t>1</w:t>
      </w:r>
      <w:r>
        <w:rPr>
          <w:rFonts w:hint="eastAsia"/>
          <w:bCs/>
          <w:sz w:val="24"/>
          <w:szCs w:val="24"/>
          <w:u w:val="single"/>
        </w:rPr>
        <w:t>月</w:t>
      </w:r>
      <w:r>
        <w:rPr>
          <w:rFonts w:hint="eastAsia"/>
          <w:bCs/>
          <w:sz w:val="24"/>
          <w:szCs w:val="24"/>
          <w:u w:val="single"/>
          <w:lang w:val="en-US" w:eastAsia="zh-CN"/>
        </w:rPr>
        <w:t>23</w:t>
      </w:r>
      <w:bookmarkStart w:id="92" w:name="_GoBack"/>
      <w:bookmarkEnd w:id="92"/>
      <w:r>
        <w:rPr>
          <w:rFonts w:hint="eastAsia"/>
          <w:bCs/>
          <w:sz w:val="24"/>
          <w:szCs w:val="24"/>
          <w:u w:val="single"/>
        </w:rPr>
        <w:t>日</w:t>
      </w:r>
      <w:r>
        <w:rPr>
          <w:rFonts w:hint="eastAsia"/>
          <w:bCs/>
          <w:sz w:val="24"/>
          <w:szCs w:val="24"/>
          <w:u w:val="single"/>
          <w:lang w:val="en-US"/>
        </w:rPr>
        <w:t>10</w:t>
      </w:r>
      <w:r>
        <w:rPr>
          <w:rFonts w:hint="eastAsia"/>
          <w:bCs/>
          <w:sz w:val="24"/>
          <w:szCs w:val="24"/>
          <w:u w:val="single"/>
        </w:rPr>
        <w:t>点</w:t>
      </w:r>
      <w:r>
        <w:rPr>
          <w:rFonts w:hint="eastAsia"/>
          <w:bCs/>
          <w:sz w:val="24"/>
          <w:szCs w:val="24"/>
          <w:u w:val="single"/>
          <w:lang w:val="en-US"/>
        </w:rPr>
        <w:t>00</w:t>
      </w:r>
      <w:r>
        <w:rPr>
          <w:rFonts w:hint="eastAsia"/>
          <w:bCs/>
          <w:sz w:val="24"/>
          <w:szCs w:val="24"/>
          <w:u w:val="single"/>
        </w:rPr>
        <w:t>分</w:t>
      </w:r>
      <w:r>
        <w:rPr>
          <w:rFonts w:hint="eastAsia"/>
          <w:bCs/>
          <w:sz w:val="24"/>
          <w:szCs w:val="24"/>
        </w:rPr>
        <w:t>（北京时间）</w:t>
      </w:r>
    </w:p>
    <w:p w14:paraId="1D480D83">
      <w:pPr>
        <w:spacing w:line="360" w:lineRule="auto"/>
        <w:ind w:firstLine="540"/>
        <w:rPr>
          <w:bCs/>
          <w:sz w:val="24"/>
          <w:szCs w:val="24"/>
          <w:u w:val="single"/>
        </w:rPr>
      </w:pPr>
      <w:r>
        <w:rPr>
          <w:rFonts w:hint="eastAsia"/>
          <w:sz w:val="24"/>
          <w:szCs w:val="24"/>
        </w:rPr>
        <w:t>地点：周口市公共资源交易中心</w:t>
      </w:r>
      <w:r>
        <w:rPr>
          <w:rFonts w:hint="eastAsia"/>
          <w:sz w:val="24"/>
          <w:szCs w:val="24"/>
          <w:lang w:val="en-US"/>
        </w:rPr>
        <w:t>开标室</w:t>
      </w:r>
    </w:p>
    <w:p w14:paraId="661EDC32">
      <w:pPr>
        <w:spacing w:line="360" w:lineRule="auto"/>
        <w:rPr>
          <w:sz w:val="24"/>
          <w:szCs w:val="24"/>
        </w:rPr>
      </w:pPr>
      <w:bookmarkStart w:id="45" w:name="_Toc10969"/>
      <w:bookmarkStart w:id="46" w:name="_Toc28359017"/>
      <w:bookmarkStart w:id="47" w:name="_Toc914"/>
      <w:bookmarkStart w:id="48" w:name="_Toc28359094"/>
      <w:bookmarkStart w:id="49" w:name="_Toc35393634"/>
      <w:bookmarkStart w:id="50" w:name="_Toc35393803"/>
      <w:r>
        <w:rPr>
          <w:rFonts w:hint="eastAsia"/>
          <w:sz w:val="24"/>
          <w:szCs w:val="24"/>
        </w:rPr>
        <w:t>六、发布公告的期限</w:t>
      </w:r>
      <w:bookmarkEnd w:id="45"/>
      <w:bookmarkEnd w:id="46"/>
      <w:bookmarkEnd w:id="47"/>
      <w:bookmarkEnd w:id="48"/>
      <w:bookmarkEnd w:id="49"/>
      <w:bookmarkEnd w:id="50"/>
      <w:r>
        <w:rPr>
          <w:rFonts w:hint="eastAsia"/>
          <w:sz w:val="24"/>
          <w:szCs w:val="24"/>
        </w:rPr>
        <w:t>及招标公告期限</w:t>
      </w:r>
    </w:p>
    <w:p w14:paraId="16BA9FAA">
      <w:pPr>
        <w:spacing w:line="360" w:lineRule="auto"/>
        <w:ind w:firstLine="540"/>
        <w:rPr>
          <w:sz w:val="24"/>
          <w:szCs w:val="24"/>
        </w:rPr>
      </w:pPr>
      <w:r>
        <w:rPr>
          <w:rFonts w:hint="eastAsia"/>
          <w:sz w:val="24"/>
          <w:szCs w:val="24"/>
          <w:lang w:val="en-US"/>
        </w:rPr>
        <w:t>本次招标公告在《河南省政府采购网》《周口市公共资源交易中心网》上发布，</w:t>
      </w:r>
      <w:r>
        <w:rPr>
          <w:rFonts w:hint="eastAsia"/>
          <w:sz w:val="24"/>
          <w:szCs w:val="24"/>
        </w:rPr>
        <w:t>自本公告发布之日起3个工作日。</w:t>
      </w:r>
    </w:p>
    <w:p w14:paraId="75B4CE2D">
      <w:pPr>
        <w:spacing w:line="360" w:lineRule="auto"/>
        <w:rPr>
          <w:sz w:val="24"/>
          <w:szCs w:val="24"/>
        </w:rPr>
      </w:pPr>
      <w:bookmarkStart w:id="51" w:name="_Toc21751"/>
      <w:bookmarkStart w:id="52" w:name="_Toc35393635"/>
      <w:bookmarkStart w:id="53" w:name="_Toc16559"/>
      <w:bookmarkStart w:id="54" w:name="_Toc35393804"/>
      <w:r>
        <w:rPr>
          <w:rFonts w:hint="eastAsia"/>
          <w:sz w:val="24"/>
          <w:szCs w:val="24"/>
        </w:rPr>
        <w:t>七、其他补充事宜</w:t>
      </w:r>
      <w:bookmarkEnd w:id="51"/>
      <w:bookmarkEnd w:id="52"/>
      <w:bookmarkEnd w:id="53"/>
      <w:bookmarkEnd w:id="54"/>
    </w:p>
    <w:p w14:paraId="24E30174">
      <w:pPr>
        <w:spacing w:line="360" w:lineRule="auto"/>
        <w:ind w:firstLine="540"/>
        <w:rPr>
          <w:sz w:val="24"/>
          <w:szCs w:val="24"/>
          <w:lang w:val="en-US"/>
        </w:rPr>
      </w:pPr>
      <w:bookmarkStart w:id="55" w:name="_Toc35393805"/>
      <w:bookmarkStart w:id="56" w:name="_Toc28359095"/>
      <w:bookmarkStart w:id="57" w:name="_Toc28359018"/>
      <w:bookmarkStart w:id="58" w:name="_Toc35393636"/>
      <w:r>
        <w:rPr>
          <w:rFonts w:hint="eastAsia"/>
          <w:sz w:val="24"/>
          <w:szCs w:val="24"/>
          <w:lang w:val="en-US"/>
        </w:rPr>
        <w:t>无</w:t>
      </w:r>
    </w:p>
    <w:p w14:paraId="5F7EF273">
      <w:pPr>
        <w:spacing w:line="360" w:lineRule="auto"/>
        <w:rPr>
          <w:sz w:val="24"/>
          <w:szCs w:val="24"/>
        </w:rPr>
      </w:pPr>
      <w:bookmarkStart w:id="59" w:name="_Toc29870"/>
      <w:bookmarkStart w:id="60" w:name="_Toc24300"/>
      <w:r>
        <w:rPr>
          <w:rFonts w:hint="eastAsia"/>
          <w:sz w:val="24"/>
          <w:szCs w:val="24"/>
        </w:rPr>
        <w:t>八、凡对本次招标提出询问，请按以下方式联系。</w:t>
      </w:r>
      <w:bookmarkEnd w:id="55"/>
      <w:bookmarkEnd w:id="56"/>
      <w:bookmarkEnd w:id="57"/>
      <w:bookmarkEnd w:id="58"/>
      <w:bookmarkEnd w:id="59"/>
      <w:bookmarkEnd w:id="60"/>
    </w:p>
    <w:p w14:paraId="26A5746F">
      <w:pPr>
        <w:spacing w:line="360" w:lineRule="auto"/>
        <w:ind w:firstLine="540"/>
        <w:rPr>
          <w:sz w:val="24"/>
          <w:szCs w:val="24"/>
        </w:rPr>
      </w:pPr>
      <w:bookmarkStart w:id="61" w:name="_Toc35393637"/>
      <w:bookmarkStart w:id="62" w:name="_Toc28359019"/>
      <w:bookmarkStart w:id="63" w:name="_Toc35393806"/>
      <w:bookmarkStart w:id="64" w:name="_Toc28359096"/>
      <w:r>
        <w:rPr>
          <w:rFonts w:hint="eastAsia"/>
          <w:sz w:val="24"/>
          <w:szCs w:val="24"/>
        </w:rPr>
        <w:t>1.采购人信息</w:t>
      </w:r>
      <w:bookmarkEnd w:id="61"/>
      <w:bookmarkEnd w:id="62"/>
      <w:bookmarkEnd w:id="63"/>
      <w:bookmarkEnd w:id="64"/>
    </w:p>
    <w:p w14:paraId="339C47CF">
      <w:pPr>
        <w:spacing w:line="360" w:lineRule="auto"/>
        <w:ind w:firstLine="540"/>
        <w:rPr>
          <w:sz w:val="24"/>
          <w:szCs w:val="24"/>
          <w:lang w:val="en-US"/>
        </w:rPr>
      </w:pPr>
      <w:bookmarkStart w:id="65" w:name="OLE_LINK50"/>
      <w:bookmarkStart w:id="66" w:name="OLE_LINK49"/>
      <w:r>
        <w:rPr>
          <w:rFonts w:hint="eastAsia"/>
          <w:sz w:val="24"/>
          <w:szCs w:val="24"/>
          <w:lang w:val="en-US"/>
        </w:rPr>
        <w:t>名称：鹿邑县人民医院</w:t>
      </w:r>
    </w:p>
    <w:p w14:paraId="2D691FCA">
      <w:pPr>
        <w:spacing w:line="360" w:lineRule="auto"/>
        <w:ind w:firstLine="540"/>
        <w:rPr>
          <w:sz w:val="24"/>
          <w:szCs w:val="24"/>
          <w:lang w:val="en-US"/>
        </w:rPr>
      </w:pPr>
      <w:r>
        <w:rPr>
          <w:rFonts w:hint="eastAsia"/>
          <w:sz w:val="24"/>
          <w:szCs w:val="24"/>
          <w:lang w:val="en-US"/>
        </w:rPr>
        <w:t>地址：鹿邑县老君台后街</w:t>
      </w:r>
      <w:r>
        <w:rPr>
          <w:sz w:val="24"/>
          <w:szCs w:val="24"/>
          <w:lang w:val="en-US"/>
        </w:rPr>
        <w:t>93号</w:t>
      </w:r>
    </w:p>
    <w:p w14:paraId="27B20C45">
      <w:pPr>
        <w:spacing w:line="360" w:lineRule="auto"/>
        <w:ind w:firstLine="540"/>
        <w:rPr>
          <w:sz w:val="24"/>
          <w:szCs w:val="24"/>
          <w:lang w:val="en-US"/>
        </w:rPr>
      </w:pPr>
      <w:r>
        <w:rPr>
          <w:rFonts w:hint="eastAsia"/>
          <w:sz w:val="24"/>
          <w:szCs w:val="24"/>
          <w:lang w:val="en-US"/>
        </w:rPr>
        <w:t>联系人：王涛</w:t>
      </w:r>
    </w:p>
    <w:p w14:paraId="0F425564">
      <w:pPr>
        <w:spacing w:line="360" w:lineRule="auto"/>
        <w:ind w:firstLine="540"/>
        <w:rPr>
          <w:sz w:val="24"/>
          <w:szCs w:val="24"/>
          <w:lang w:val="en-US"/>
        </w:rPr>
      </w:pPr>
      <w:r>
        <w:rPr>
          <w:rFonts w:hint="eastAsia"/>
          <w:sz w:val="24"/>
          <w:szCs w:val="24"/>
          <w:lang w:val="en-US"/>
        </w:rPr>
        <w:t>联系方式：13939462769</w:t>
      </w:r>
    </w:p>
    <w:bookmarkEnd w:id="65"/>
    <w:bookmarkEnd w:id="66"/>
    <w:p w14:paraId="6A130E81">
      <w:pPr>
        <w:spacing w:line="360" w:lineRule="auto"/>
        <w:ind w:firstLine="540"/>
        <w:rPr>
          <w:sz w:val="24"/>
          <w:szCs w:val="24"/>
        </w:rPr>
      </w:pPr>
      <w:bookmarkStart w:id="67" w:name="_Toc35393807"/>
      <w:bookmarkStart w:id="68" w:name="_Toc28359097"/>
      <w:bookmarkStart w:id="69" w:name="_Toc28359020"/>
      <w:bookmarkStart w:id="70" w:name="_Toc35393638"/>
      <w:r>
        <w:rPr>
          <w:rFonts w:hint="eastAsia"/>
          <w:sz w:val="24"/>
          <w:szCs w:val="24"/>
        </w:rPr>
        <w:t>2.采购代理机构信息</w:t>
      </w:r>
      <w:bookmarkEnd w:id="67"/>
      <w:bookmarkEnd w:id="68"/>
      <w:bookmarkEnd w:id="69"/>
      <w:bookmarkEnd w:id="70"/>
    </w:p>
    <w:p w14:paraId="2C04A447">
      <w:pPr>
        <w:spacing w:line="360" w:lineRule="auto"/>
        <w:ind w:firstLine="540"/>
        <w:rPr>
          <w:sz w:val="24"/>
          <w:szCs w:val="24"/>
        </w:rPr>
      </w:pPr>
      <w:r>
        <w:rPr>
          <w:rFonts w:hint="eastAsia"/>
          <w:sz w:val="24"/>
          <w:szCs w:val="24"/>
        </w:rPr>
        <w:t>名 称：周口市公共资源交易中心政府采购中心</w:t>
      </w:r>
    </w:p>
    <w:p w14:paraId="0B09BFE6">
      <w:pPr>
        <w:spacing w:line="360" w:lineRule="auto"/>
        <w:ind w:firstLine="540"/>
        <w:rPr>
          <w:sz w:val="24"/>
          <w:szCs w:val="24"/>
        </w:rPr>
      </w:pPr>
      <w:r>
        <w:rPr>
          <w:rFonts w:hint="eastAsia"/>
          <w:sz w:val="24"/>
          <w:szCs w:val="24"/>
        </w:rPr>
        <w:t>地址：周口市东新区光明路和政通路交叉口北100米路东</w:t>
      </w:r>
    </w:p>
    <w:p w14:paraId="12360301">
      <w:pPr>
        <w:spacing w:line="360" w:lineRule="auto"/>
        <w:ind w:firstLine="540"/>
        <w:rPr>
          <w:sz w:val="24"/>
          <w:szCs w:val="24"/>
        </w:rPr>
      </w:pPr>
      <w:r>
        <w:rPr>
          <w:rFonts w:hint="eastAsia"/>
          <w:sz w:val="24"/>
          <w:szCs w:val="24"/>
        </w:rPr>
        <w:t>项目联系人：</w:t>
      </w:r>
      <w:bookmarkStart w:id="71" w:name="_Toc28359098"/>
      <w:bookmarkStart w:id="72" w:name="_Toc35393639"/>
      <w:bookmarkStart w:id="73" w:name="_Toc35393808"/>
      <w:bookmarkStart w:id="74" w:name="_Toc28359021"/>
      <w:r>
        <w:rPr>
          <w:rFonts w:hint="eastAsia"/>
          <w:sz w:val="24"/>
          <w:szCs w:val="24"/>
          <w:lang w:val="en-US" w:eastAsia="zh-CN"/>
        </w:rPr>
        <w:t>刘宇</w:t>
      </w:r>
      <w:r>
        <w:rPr>
          <w:rFonts w:hint="eastAsia"/>
          <w:sz w:val="24"/>
          <w:szCs w:val="24"/>
          <w:lang w:val="en-US"/>
        </w:rPr>
        <w:t xml:space="preserve"> </w:t>
      </w:r>
    </w:p>
    <w:p w14:paraId="0A908018">
      <w:pPr>
        <w:spacing w:line="360" w:lineRule="auto"/>
        <w:ind w:firstLine="540"/>
        <w:rPr>
          <w:sz w:val="24"/>
          <w:szCs w:val="24"/>
          <w:lang w:val="en-US"/>
        </w:rPr>
      </w:pPr>
      <w:r>
        <w:rPr>
          <w:rFonts w:hint="eastAsia"/>
          <w:sz w:val="24"/>
          <w:szCs w:val="24"/>
        </w:rPr>
        <w:t>联系方式：</w:t>
      </w:r>
      <w:r>
        <w:rPr>
          <w:sz w:val="24"/>
          <w:szCs w:val="24"/>
        </w:rPr>
        <w:t>0394-</w:t>
      </w:r>
      <w:r>
        <w:rPr>
          <w:rFonts w:hint="eastAsia"/>
          <w:sz w:val="24"/>
          <w:szCs w:val="24"/>
          <w:lang w:val="en-US" w:eastAsia="zh-CN"/>
        </w:rPr>
        <w:t>8106517</w:t>
      </w:r>
      <w:r>
        <w:rPr>
          <w:rFonts w:hint="eastAsia"/>
          <w:sz w:val="24"/>
          <w:szCs w:val="24"/>
        </w:rPr>
        <w:t xml:space="preserve"> </w:t>
      </w:r>
    </w:p>
    <w:bookmarkEnd w:id="71"/>
    <w:bookmarkEnd w:id="72"/>
    <w:bookmarkEnd w:id="73"/>
    <w:bookmarkEnd w:id="74"/>
    <w:p w14:paraId="52B4DE41">
      <w:pPr>
        <w:spacing w:line="360" w:lineRule="auto"/>
        <w:ind w:firstLine="540"/>
        <w:rPr>
          <w:sz w:val="24"/>
          <w:szCs w:val="24"/>
        </w:rPr>
      </w:pPr>
      <w:r>
        <w:rPr>
          <w:sz w:val="24"/>
          <w:szCs w:val="24"/>
        </w:rPr>
        <w:t>3.监督单位：鹿邑县财政局政府采购监督管理科</w:t>
      </w:r>
    </w:p>
    <w:p w14:paraId="29DCCA1D">
      <w:pPr>
        <w:spacing w:line="360" w:lineRule="auto"/>
        <w:ind w:firstLine="540"/>
        <w:rPr>
          <w:sz w:val="24"/>
          <w:szCs w:val="24"/>
        </w:rPr>
      </w:pPr>
      <w:r>
        <w:rPr>
          <w:rFonts w:hint="eastAsia"/>
          <w:sz w:val="24"/>
          <w:szCs w:val="24"/>
        </w:rPr>
        <w:t>联系方式：</w:t>
      </w:r>
      <w:r>
        <w:rPr>
          <w:sz w:val="24"/>
          <w:szCs w:val="24"/>
        </w:rPr>
        <w:t>0394-7181669</w:t>
      </w:r>
    </w:p>
    <w:p w14:paraId="6D94C187">
      <w:pPr>
        <w:pStyle w:val="29"/>
        <w:ind w:firstLine="240"/>
        <w:rPr>
          <w:sz w:val="24"/>
          <w:szCs w:val="24"/>
          <w:lang w:val="en-US"/>
        </w:rPr>
      </w:pPr>
    </w:p>
    <w:p w14:paraId="260BECE5">
      <w:pPr>
        <w:pStyle w:val="9"/>
        <w:adjustRightInd w:val="0"/>
        <w:snapToGrid w:val="0"/>
        <w:spacing w:line="360" w:lineRule="auto"/>
        <w:ind w:firstLine="480" w:firstLineChars="200"/>
      </w:pPr>
    </w:p>
    <w:p w14:paraId="34F59E0B">
      <w:pPr>
        <w:pStyle w:val="9"/>
        <w:adjustRightInd w:val="0"/>
        <w:snapToGrid w:val="0"/>
        <w:spacing w:line="360" w:lineRule="auto"/>
        <w:ind w:firstLine="1680" w:firstLineChars="700"/>
        <w:jc w:val="right"/>
      </w:pPr>
    </w:p>
    <w:p w14:paraId="70FD4D75">
      <w:pPr>
        <w:pStyle w:val="9"/>
        <w:adjustRightInd w:val="0"/>
        <w:snapToGrid w:val="0"/>
        <w:spacing w:line="360" w:lineRule="auto"/>
        <w:ind w:firstLine="1680" w:firstLineChars="700"/>
        <w:jc w:val="right"/>
      </w:pPr>
    </w:p>
    <w:p w14:paraId="6660387E">
      <w:pPr>
        <w:pStyle w:val="9"/>
        <w:adjustRightInd w:val="0"/>
        <w:snapToGrid w:val="0"/>
        <w:spacing w:line="360" w:lineRule="auto"/>
        <w:ind w:firstLine="1680" w:firstLineChars="700"/>
        <w:jc w:val="right"/>
      </w:pPr>
      <w:r>
        <w:rPr>
          <w:rFonts w:hint="eastAsia"/>
        </w:rPr>
        <w:t>周口市公共资源交易中心政府采购中心</w:t>
      </w:r>
    </w:p>
    <w:p w14:paraId="3CD2A0B1">
      <w:pPr>
        <w:jc w:val="right"/>
        <w:rPr>
          <w:sz w:val="24"/>
          <w:szCs w:val="24"/>
          <w:lang w:val="en-US"/>
        </w:rPr>
      </w:pPr>
      <w:r>
        <w:rPr>
          <w:rFonts w:hint="eastAsia"/>
          <w:sz w:val="24"/>
          <w:szCs w:val="24"/>
          <w:lang w:val="en-US"/>
        </w:rPr>
        <w:t>2026年01月12日</w:t>
      </w:r>
    </w:p>
    <w:p w14:paraId="784A3ECC">
      <w:pPr>
        <w:pStyle w:val="29"/>
        <w:ind w:firstLine="220"/>
      </w:pPr>
    </w:p>
    <w:p w14:paraId="7C8B403B">
      <w:pPr>
        <w:pStyle w:val="29"/>
        <w:ind w:firstLine="220"/>
      </w:pPr>
    </w:p>
    <w:p w14:paraId="6D73EF12">
      <w:pPr>
        <w:pStyle w:val="3"/>
        <w:tabs>
          <w:tab w:val="left" w:pos="1607"/>
        </w:tabs>
        <w:spacing w:before="100"/>
        <w:jc w:val="both"/>
        <w:rPr>
          <w:rFonts w:asciiTheme="minorEastAsia" w:hAnsiTheme="minorEastAsia" w:eastAsiaTheme="minorEastAsia"/>
        </w:rPr>
        <w:sectPr>
          <w:footerReference r:id="rId9" w:type="default"/>
          <w:pgSz w:w="11906" w:h="16838"/>
          <w:pgMar w:top="1440" w:right="1800" w:bottom="1440" w:left="1800" w:header="851" w:footer="992" w:gutter="0"/>
          <w:cols w:space="720" w:num="1"/>
          <w:docGrid w:type="lines" w:linePitch="312" w:charSpace="0"/>
        </w:sectPr>
      </w:pPr>
      <w:bookmarkStart w:id="75" w:name="第二部分__项目内容及施工要求"/>
      <w:bookmarkEnd w:id="75"/>
    </w:p>
    <w:p w14:paraId="5396935A">
      <w:pPr>
        <w:pStyle w:val="3"/>
        <w:tabs>
          <w:tab w:val="left" w:pos="1607"/>
        </w:tabs>
        <w:spacing w:before="100"/>
        <w:rPr>
          <w:rFonts w:asciiTheme="minorEastAsia" w:hAnsiTheme="minorEastAsia" w:eastAsiaTheme="minorEastAsia"/>
        </w:rPr>
      </w:pPr>
      <w:bookmarkStart w:id="76" w:name="_Toc218688619"/>
      <w:r>
        <w:rPr>
          <w:rFonts w:hint="eastAsia" w:asciiTheme="minorEastAsia" w:hAnsiTheme="minorEastAsia" w:eastAsiaTheme="minorEastAsia"/>
          <w:lang w:val="en-US"/>
        </w:rPr>
        <w:t>第二部分 谈判供应商须知</w:t>
      </w:r>
      <w:bookmarkEnd w:id="76"/>
    </w:p>
    <w:p w14:paraId="045A3603">
      <w:pPr>
        <w:spacing w:line="360" w:lineRule="auto"/>
        <w:jc w:val="center"/>
        <w:rPr>
          <w:rFonts w:asciiTheme="minorEastAsia" w:hAnsiTheme="minorEastAsia" w:eastAsiaTheme="minorEastAsia"/>
          <w:b/>
          <w:szCs w:val="21"/>
        </w:rPr>
      </w:pPr>
    </w:p>
    <w:p w14:paraId="068E0E2A">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00D02DE9">
      <w:pPr>
        <w:pStyle w:val="16"/>
        <w:rPr>
          <w:rFonts w:asciiTheme="minorEastAsia" w:hAnsiTheme="minorEastAsia" w:eastAsiaTheme="minorEastAsia"/>
        </w:rPr>
      </w:pPr>
    </w:p>
    <w:tbl>
      <w:tblPr>
        <w:tblStyle w:val="21"/>
        <w:tblW w:w="916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79"/>
        <w:gridCol w:w="6542"/>
      </w:tblGrid>
      <w:tr w14:paraId="5C13D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EBDF4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779" w:type="dxa"/>
            <w:tcBorders>
              <w:left w:val="single" w:color="auto" w:sz="4" w:space="0"/>
            </w:tcBorders>
            <w:vAlign w:val="center"/>
          </w:tcPr>
          <w:p w14:paraId="2755CF4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542" w:type="dxa"/>
            <w:vAlign w:val="center"/>
          </w:tcPr>
          <w:p w14:paraId="578CC29F">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3ED7BA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AA1D834">
            <w:pPr>
              <w:spacing w:line="360" w:lineRule="auto"/>
              <w:jc w:val="center"/>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1</w:t>
            </w:r>
          </w:p>
        </w:tc>
        <w:tc>
          <w:tcPr>
            <w:tcW w:w="1779" w:type="dxa"/>
            <w:tcBorders>
              <w:left w:val="single" w:color="auto" w:sz="4" w:space="0"/>
            </w:tcBorders>
            <w:vAlign w:val="center"/>
          </w:tcPr>
          <w:p w14:paraId="5713C64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tc>
        <w:tc>
          <w:tcPr>
            <w:tcW w:w="6542" w:type="dxa"/>
            <w:vAlign w:val="center"/>
          </w:tcPr>
          <w:p w14:paraId="3BFBB26F">
            <w:pPr>
              <w:spacing w:line="360" w:lineRule="auto"/>
              <w:rPr>
                <w:rFonts w:asciiTheme="minorEastAsia" w:hAnsiTheme="minorEastAsia" w:eastAsiaTheme="minorEastAsia" w:cstheme="minorEastAsia"/>
                <w:sz w:val="24"/>
                <w:szCs w:val="24"/>
              </w:rPr>
            </w:pPr>
            <w:bookmarkStart w:id="77" w:name="OLE_LINK51"/>
            <w:bookmarkStart w:id="78" w:name="OLE_LINK52"/>
            <w:r>
              <w:rPr>
                <w:rFonts w:hint="eastAsia" w:asciiTheme="minorEastAsia" w:hAnsiTheme="minorEastAsia" w:eastAsiaTheme="minorEastAsia" w:cstheme="minorEastAsia"/>
                <w:sz w:val="24"/>
                <w:szCs w:val="24"/>
                <w:lang w:val="en-US"/>
              </w:rPr>
              <w:t>鹿邑县人民医院合理用药整体解决方案项目</w:t>
            </w:r>
            <w:bookmarkEnd w:id="77"/>
            <w:bookmarkEnd w:id="78"/>
          </w:p>
        </w:tc>
      </w:tr>
      <w:tr w14:paraId="6A466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1F54FC">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779" w:type="dxa"/>
            <w:tcBorders>
              <w:left w:val="single" w:color="auto" w:sz="4" w:space="0"/>
            </w:tcBorders>
            <w:vAlign w:val="center"/>
          </w:tcPr>
          <w:p w14:paraId="5313A0B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采购项目编号</w:t>
            </w:r>
          </w:p>
        </w:tc>
        <w:tc>
          <w:tcPr>
            <w:tcW w:w="6542" w:type="dxa"/>
            <w:vAlign w:val="center"/>
          </w:tcPr>
          <w:p w14:paraId="715B7609">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鹿财竞谈</w:t>
            </w:r>
            <w:r>
              <w:rPr>
                <w:rFonts w:asciiTheme="minorEastAsia" w:hAnsiTheme="minorEastAsia" w:eastAsiaTheme="minorEastAsia" w:cstheme="minorEastAsia"/>
                <w:sz w:val="24"/>
                <w:szCs w:val="24"/>
                <w:lang w:val="en-US"/>
              </w:rPr>
              <w:t>-2026-2</w:t>
            </w:r>
          </w:p>
        </w:tc>
      </w:tr>
      <w:tr w14:paraId="7B3DE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1D4A9E6">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779" w:type="dxa"/>
            <w:tcBorders>
              <w:left w:val="single" w:color="auto" w:sz="4" w:space="0"/>
            </w:tcBorders>
            <w:vAlign w:val="center"/>
          </w:tcPr>
          <w:p w14:paraId="6D8548D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w:t>
            </w:r>
          </w:p>
        </w:tc>
        <w:tc>
          <w:tcPr>
            <w:tcW w:w="6542" w:type="dxa"/>
            <w:vAlign w:val="center"/>
          </w:tcPr>
          <w:p w14:paraId="3779C75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名称：鹿邑县人民医院</w:t>
            </w:r>
          </w:p>
          <w:p w14:paraId="3EFB87A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地址：鹿邑县老君台后街</w:t>
            </w:r>
            <w:r>
              <w:rPr>
                <w:rFonts w:asciiTheme="minorEastAsia" w:hAnsiTheme="minorEastAsia" w:eastAsiaTheme="minorEastAsia" w:cstheme="minorEastAsia"/>
                <w:sz w:val="24"/>
                <w:szCs w:val="24"/>
              </w:rPr>
              <w:t>93号</w:t>
            </w:r>
          </w:p>
          <w:p w14:paraId="4A52B08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联系人：王涛</w:t>
            </w:r>
          </w:p>
          <w:p w14:paraId="771E1C03">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联系方式：</w:t>
            </w:r>
            <w:r>
              <w:rPr>
                <w:rFonts w:asciiTheme="minorEastAsia" w:hAnsiTheme="minorEastAsia" w:eastAsiaTheme="minorEastAsia" w:cstheme="minorEastAsia"/>
                <w:sz w:val="24"/>
                <w:szCs w:val="24"/>
              </w:rPr>
              <w:t>13939462769</w:t>
            </w:r>
          </w:p>
        </w:tc>
      </w:tr>
      <w:tr w14:paraId="6EA1D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B65F5A7">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779" w:type="dxa"/>
            <w:tcBorders>
              <w:left w:val="single" w:color="auto" w:sz="4" w:space="0"/>
            </w:tcBorders>
            <w:vAlign w:val="center"/>
          </w:tcPr>
          <w:p w14:paraId="7F8014D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采购代理机构</w:t>
            </w:r>
          </w:p>
        </w:tc>
        <w:tc>
          <w:tcPr>
            <w:tcW w:w="6542" w:type="dxa"/>
            <w:vAlign w:val="center"/>
          </w:tcPr>
          <w:p w14:paraId="334C52DA">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采购代理机构：</w:t>
            </w:r>
            <w:r>
              <w:rPr>
                <w:rFonts w:hint="eastAsia" w:asciiTheme="minorEastAsia" w:hAnsiTheme="minorEastAsia" w:eastAsiaTheme="minorEastAsia" w:cstheme="minorEastAsia"/>
                <w:sz w:val="24"/>
                <w:szCs w:val="24"/>
                <w:lang w:val="en-US"/>
              </w:rPr>
              <w:t>周口市公共资源交易中心政府采购中心</w:t>
            </w:r>
          </w:p>
          <w:p w14:paraId="4660C7E5">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联系人：</w:t>
            </w:r>
            <w:r>
              <w:rPr>
                <w:rFonts w:hint="eastAsia" w:asciiTheme="minorEastAsia" w:hAnsiTheme="minorEastAsia" w:eastAsiaTheme="minorEastAsia" w:cstheme="minorEastAsia"/>
                <w:sz w:val="24"/>
                <w:szCs w:val="24"/>
                <w:lang w:val="en-US"/>
              </w:rPr>
              <w:t xml:space="preserve"> </w:t>
            </w:r>
          </w:p>
          <w:p w14:paraId="7FA7B219">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电话：0394-8106517</w:t>
            </w:r>
          </w:p>
          <w:p w14:paraId="454B576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联系地址：周口市东新区光明路和政通路交叉口北100米路东</w:t>
            </w:r>
          </w:p>
        </w:tc>
      </w:tr>
      <w:tr w14:paraId="48E20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12B4DB">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1779" w:type="dxa"/>
            <w:tcBorders>
              <w:left w:val="single" w:color="auto" w:sz="4" w:space="0"/>
            </w:tcBorders>
            <w:vAlign w:val="center"/>
          </w:tcPr>
          <w:p w14:paraId="6D2468C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资金来源</w:t>
            </w:r>
          </w:p>
        </w:tc>
        <w:tc>
          <w:tcPr>
            <w:tcW w:w="6542" w:type="dxa"/>
            <w:vAlign w:val="center"/>
          </w:tcPr>
          <w:p w14:paraId="273F50AB">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自筹资金</w:t>
            </w:r>
          </w:p>
        </w:tc>
      </w:tr>
      <w:tr w14:paraId="17428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70C055">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779" w:type="dxa"/>
            <w:tcBorders>
              <w:left w:val="single" w:color="auto" w:sz="4" w:space="0"/>
            </w:tcBorders>
            <w:vAlign w:val="center"/>
          </w:tcPr>
          <w:p w14:paraId="3314A30F">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预算金额</w:t>
            </w:r>
          </w:p>
        </w:tc>
        <w:tc>
          <w:tcPr>
            <w:tcW w:w="6542" w:type="dxa"/>
            <w:vAlign w:val="center"/>
          </w:tcPr>
          <w:p w14:paraId="72FED15A">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582000.00元</w:t>
            </w:r>
          </w:p>
        </w:tc>
      </w:tr>
      <w:tr w14:paraId="06C16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2D3D0D4">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1779" w:type="dxa"/>
            <w:tcBorders>
              <w:left w:val="single" w:color="auto" w:sz="4" w:space="0"/>
            </w:tcBorders>
            <w:vAlign w:val="center"/>
          </w:tcPr>
          <w:p w14:paraId="1845BD40">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服务期限</w:t>
            </w:r>
          </w:p>
        </w:tc>
        <w:tc>
          <w:tcPr>
            <w:tcW w:w="6542" w:type="dxa"/>
            <w:vAlign w:val="center"/>
          </w:tcPr>
          <w:p w14:paraId="4ABBC916">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一年</w:t>
            </w:r>
          </w:p>
        </w:tc>
      </w:tr>
      <w:tr w14:paraId="6BD8D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EB6FBEC">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1779" w:type="dxa"/>
            <w:tcBorders>
              <w:left w:val="single" w:color="auto" w:sz="4" w:space="0"/>
            </w:tcBorders>
            <w:vAlign w:val="center"/>
          </w:tcPr>
          <w:p w14:paraId="55305C35">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服务地点</w:t>
            </w:r>
          </w:p>
        </w:tc>
        <w:tc>
          <w:tcPr>
            <w:tcW w:w="6542" w:type="dxa"/>
            <w:vAlign w:val="center"/>
          </w:tcPr>
          <w:p w14:paraId="4480384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采购人指定地点</w:t>
            </w:r>
          </w:p>
        </w:tc>
      </w:tr>
      <w:tr w14:paraId="6E7DB2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78C1374">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1779" w:type="dxa"/>
            <w:tcBorders>
              <w:left w:val="single" w:color="auto" w:sz="4" w:space="0"/>
            </w:tcBorders>
            <w:vAlign w:val="center"/>
          </w:tcPr>
          <w:p w14:paraId="500E996E">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采购内容</w:t>
            </w:r>
          </w:p>
        </w:tc>
        <w:tc>
          <w:tcPr>
            <w:tcW w:w="6542" w:type="dxa"/>
            <w:vAlign w:val="center"/>
          </w:tcPr>
          <w:p w14:paraId="44EA9477">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鹿邑县人民医院合理用药整体解决方案项目</w:t>
            </w:r>
          </w:p>
        </w:tc>
      </w:tr>
      <w:tr w14:paraId="3C113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D6E05F8">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779" w:type="dxa"/>
            <w:tcBorders>
              <w:left w:val="single" w:color="auto" w:sz="4" w:space="0"/>
            </w:tcBorders>
            <w:vAlign w:val="center"/>
          </w:tcPr>
          <w:p w14:paraId="3A922D9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供应商资格要求</w:t>
            </w:r>
          </w:p>
        </w:tc>
        <w:tc>
          <w:tcPr>
            <w:tcW w:w="6542" w:type="dxa"/>
            <w:vAlign w:val="center"/>
          </w:tcPr>
          <w:p w14:paraId="2F4F3CA8">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见公告</w:t>
            </w:r>
          </w:p>
        </w:tc>
      </w:tr>
      <w:tr w14:paraId="6B20B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09D10ECC">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1779" w:type="dxa"/>
            <w:tcBorders>
              <w:left w:val="single" w:color="auto" w:sz="4" w:space="0"/>
            </w:tcBorders>
            <w:vAlign w:val="center"/>
          </w:tcPr>
          <w:p w14:paraId="38E31FD0">
            <w:p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投标有效期</w:t>
            </w:r>
          </w:p>
        </w:tc>
        <w:tc>
          <w:tcPr>
            <w:tcW w:w="6542" w:type="dxa"/>
            <w:vAlign w:val="center"/>
          </w:tcPr>
          <w:p w14:paraId="34DCEF6B">
            <w:p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自投标截止之日起</w:t>
            </w:r>
            <w:r>
              <w:rPr>
                <w:rFonts w:hint="eastAsia" w:asciiTheme="minorEastAsia" w:hAnsiTheme="minorEastAsia" w:eastAsiaTheme="minorEastAsia" w:cstheme="minorEastAsia"/>
                <w:sz w:val="24"/>
                <w:szCs w:val="24"/>
              </w:rPr>
              <w:t>6</w:t>
            </w:r>
            <w:r>
              <w:rPr>
                <w:rFonts w:asciiTheme="minorEastAsia" w:hAnsiTheme="minorEastAsia" w:eastAsiaTheme="minorEastAsia" w:cstheme="minorEastAsia"/>
                <w:sz w:val="24"/>
                <w:szCs w:val="24"/>
              </w:rPr>
              <w:t>0日历天。</w:t>
            </w:r>
          </w:p>
        </w:tc>
      </w:tr>
      <w:tr w14:paraId="0521EB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881FD07">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1779" w:type="dxa"/>
            <w:tcBorders>
              <w:left w:val="single" w:color="auto" w:sz="4" w:space="0"/>
            </w:tcBorders>
            <w:vAlign w:val="center"/>
          </w:tcPr>
          <w:p w14:paraId="26A73654">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投标保证金</w:t>
            </w:r>
          </w:p>
        </w:tc>
        <w:tc>
          <w:tcPr>
            <w:tcW w:w="6542" w:type="dxa"/>
            <w:vAlign w:val="center"/>
          </w:tcPr>
          <w:p w14:paraId="072649CD">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不需要缴纳投标保证金</w:t>
            </w:r>
          </w:p>
        </w:tc>
      </w:tr>
      <w:tr w14:paraId="1154F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341E8178">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1779" w:type="dxa"/>
            <w:tcBorders>
              <w:left w:val="single" w:color="auto" w:sz="4" w:space="0"/>
            </w:tcBorders>
            <w:vAlign w:val="center"/>
          </w:tcPr>
          <w:p w14:paraId="4B7AD1B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签字或盖章要求</w:t>
            </w:r>
          </w:p>
        </w:tc>
        <w:tc>
          <w:tcPr>
            <w:tcW w:w="6542" w:type="dxa"/>
            <w:vAlign w:val="center"/>
          </w:tcPr>
          <w:p w14:paraId="3AFF29F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本竞争性谈判文件中明确需法定代表人、授权代表签字的地方内容应全姓名签署，明确加盖单位公章的内容应加盖单位公章，不得用其它印章代替。</w:t>
            </w:r>
          </w:p>
        </w:tc>
      </w:tr>
      <w:tr w14:paraId="1F8367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A52A570">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1779" w:type="dxa"/>
            <w:tcBorders>
              <w:left w:val="single" w:color="auto" w:sz="4" w:space="0"/>
            </w:tcBorders>
            <w:vAlign w:val="center"/>
          </w:tcPr>
          <w:p w14:paraId="706D2603">
            <w:p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投标文件份数</w:t>
            </w:r>
          </w:p>
        </w:tc>
        <w:tc>
          <w:tcPr>
            <w:tcW w:w="6542" w:type="dxa"/>
            <w:vAlign w:val="center"/>
          </w:tcPr>
          <w:p w14:paraId="1BAE3255">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235B6E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2、本项目实行网上远程开标无须到现场提交响应文件，未加密的电子投标文件和纸质文件不再提交。</w:t>
            </w:r>
          </w:p>
        </w:tc>
      </w:tr>
      <w:tr w14:paraId="06238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EA4D737">
            <w:pPr>
              <w:spacing w:line="360" w:lineRule="auto"/>
              <w:jc w:val="center"/>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15</w:t>
            </w:r>
          </w:p>
        </w:tc>
        <w:tc>
          <w:tcPr>
            <w:tcW w:w="1779" w:type="dxa"/>
            <w:tcBorders>
              <w:left w:val="single" w:color="auto" w:sz="4" w:space="0"/>
            </w:tcBorders>
            <w:vAlign w:val="center"/>
          </w:tcPr>
          <w:p w14:paraId="3B3B07BB">
            <w:p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投标截止时间</w:t>
            </w:r>
          </w:p>
        </w:tc>
        <w:tc>
          <w:tcPr>
            <w:tcW w:w="6542" w:type="dxa"/>
            <w:vAlign w:val="center"/>
          </w:tcPr>
          <w:p w14:paraId="49CF2DE8">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递交响应文件截止时间：</w:t>
            </w:r>
            <w:r>
              <w:rPr>
                <w:rFonts w:asciiTheme="minorEastAsia" w:hAnsiTheme="minorEastAsia" w:eastAsiaTheme="minorEastAsia" w:cstheme="minorEastAsia"/>
                <w:sz w:val="24"/>
                <w:szCs w:val="24"/>
                <w:lang w:val="en-US"/>
              </w:rPr>
              <w:t>***年******月******日10:00时整（北京时间）</w:t>
            </w:r>
          </w:p>
        </w:tc>
      </w:tr>
      <w:tr w14:paraId="07C05B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4177D43">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rPr>
              <w:t>6</w:t>
            </w:r>
          </w:p>
        </w:tc>
        <w:tc>
          <w:tcPr>
            <w:tcW w:w="1779" w:type="dxa"/>
            <w:tcBorders>
              <w:left w:val="single" w:color="auto" w:sz="4" w:space="0"/>
            </w:tcBorders>
            <w:vAlign w:val="center"/>
          </w:tcPr>
          <w:p w14:paraId="7E23140C">
            <w:p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开标时间</w:t>
            </w:r>
          </w:p>
          <w:p w14:paraId="5A126E60">
            <w:p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和地点</w:t>
            </w:r>
          </w:p>
        </w:tc>
        <w:tc>
          <w:tcPr>
            <w:tcW w:w="6542" w:type="dxa"/>
            <w:vAlign w:val="center"/>
          </w:tcPr>
          <w:p w14:paraId="4AA2DA26">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开标时间：</w:t>
            </w:r>
            <w:r>
              <w:rPr>
                <w:rFonts w:asciiTheme="minorEastAsia" w:hAnsiTheme="minorEastAsia" w:eastAsiaTheme="minorEastAsia" w:cstheme="minorEastAsia"/>
                <w:sz w:val="24"/>
                <w:szCs w:val="24"/>
                <w:lang w:val="en-US"/>
              </w:rPr>
              <w:t>***年******月******日10:00时整（北京时间）</w:t>
            </w:r>
          </w:p>
          <w:p w14:paraId="6D232F05">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开标地点：周口市公共资源交易中心网</w:t>
            </w:r>
          </w:p>
          <w:p w14:paraId="24ED57FC">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网址：周口市公共资源电子交易服务平台会员系统（网址</w:t>
            </w:r>
            <w:r>
              <w:rPr>
                <w:rFonts w:asciiTheme="minorEastAsia" w:hAnsiTheme="minorEastAsia" w:eastAsiaTheme="minorEastAsia" w:cstheme="minorEastAsia"/>
                <w:sz w:val="24"/>
                <w:szCs w:val="24"/>
                <w:lang w:val="en-US"/>
              </w:rPr>
              <w:t>http://jyzx.zhoukou.gov.cn）</w:t>
            </w:r>
          </w:p>
          <w:p w14:paraId="087C2E62">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（本项目实行网上远程开标无须到现场提交响应文件）</w:t>
            </w:r>
          </w:p>
        </w:tc>
      </w:tr>
      <w:tr w14:paraId="7EE34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5E05F6C">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rPr>
              <w:t>7</w:t>
            </w:r>
          </w:p>
        </w:tc>
        <w:tc>
          <w:tcPr>
            <w:tcW w:w="1779" w:type="dxa"/>
            <w:tcBorders>
              <w:left w:val="single" w:color="auto" w:sz="4" w:space="0"/>
            </w:tcBorders>
            <w:vAlign w:val="center"/>
          </w:tcPr>
          <w:p w14:paraId="5693E771">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评标委员会的组建</w:t>
            </w:r>
          </w:p>
        </w:tc>
        <w:tc>
          <w:tcPr>
            <w:tcW w:w="6542" w:type="dxa"/>
            <w:vAlign w:val="center"/>
          </w:tcPr>
          <w:p w14:paraId="127AE82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评标委员会构成：</w:t>
            </w:r>
            <w:r>
              <w:rPr>
                <w:rFonts w:hint="eastAsia" w:asciiTheme="minorEastAsia" w:hAnsiTheme="minorEastAsia" w:eastAsiaTheme="minorEastAsia" w:cstheme="minorEastAsia"/>
                <w:sz w:val="24"/>
                <w:szCs w:val="24"/>
                <w:lang w:val="en-US"/>
              </w:rPr>
              <w:t>3人，其中采购人代表1人，技术、经济专家2人；</w:t>
            </w:r>
          </w:p>
          <w:p w14:paraId="0BA4D224">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评标专家确定方式：在评标前从相关专家库中随机抽取选定。</w:t>
            </w:r>
          </w:p>
        </w:tc>
      </w:tr>
      <w:tr w14:paraId="6AAAA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2B4AD36">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rPr>
              <w:t>8</w:t>
            </w:r>
          </w:p>
        </w:tc>
        <w:tc>
          <w:tcPr>
            <w:tcW w:w="1779" w:type="dxa"/>
            <w:tcBorders>
              <w:left w:val="single" w:color="auto" w:sz="4" w:space="0"/>
            </w:tcBorders>
            <w:vAlign w:val="center"/>
          </w:tcPr>
          <w:p w14:paraId="15D8B97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是否授权评标委员会确定中标人</w:t>
            </w:r>
          </w:p>
        </w:tc>
        <w:tc>
          <w:tcPr>
            <w:tcW w:w="6542" w:type="dxa"/>
            <w:vAlign w:val="center"/>
          </w:tcPr>
          <w:p w14:paraId="03CEEE70">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否，</w:t>
            </w:r>
            <w:r>
              <w:rPr>
                <w:rFonts w:hint="eastAsia" w:asciiTheme="minorEastAsia" w:hAnsiTheme="minorEastAsia" w:eastAsiaTheme="minorEastAsia" w:cstheme="minorEastAsia"/>
                <w:sz w:val="24"/>
                <w:szCs w:val="24"/>
                <w:lang w:val="en-US"/>
              </w:rPr>
              <w:t>由谈判小组推荐中标候选人，由采购人确定中标人</w:t>
            </w:r>
          </w:p>
        </w:tc>
      </w:tr>
      <w:tr w14:paraId="045BF7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7348E71E">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p>
        </w:tc>
        <w:tc>
          <w:tcPr>
            <w:tcW w:w="1779" w:type="dxa"/>
            <w:tcBorders>
              <w:left w:val="single" w:color="auto" w:sz="4" w:space="0"/>
            </w:tcBorders>
            <w:vAlign w:val="center"/>
          </w:tcPr>
          <w:p w14:paraId="2BD1FDC8">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代理</w:t>
            </w:r>
            <w:r>
              <w:rPr>
                <w:rFonts w:hint="eastAsia" w:asciiTheme="minorEastAsia" w:hAnsiTheme="minorEastAsia" w:eastAsiaTheme="minorEastAsia" w:cstheme="minorEastAsia"/>
                <w:sz w:val="24"/>
                <w:szCs w:val="24"/>
              </w:rPr>
              <w:t>服务费</w:t>
            </w:r>
          </w:p>
        </w:tc>
        <w:tc>
          <w:tcPr>
            <w:tcW w:w="6542" w:type="dxa"/>
            <w:vAlign w:val="center"/>
          </w:tcPr>
          <w:p w14:paraId="5226D6CA">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本项目不收取代理服务费</w:t>
            </w:r>
          </w:p>
        </w:tc>
      </w:tr>
      <w:tr w14:paraId="3B9449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B1D54E9">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20</w:t>
            </w:r>
          </w:p>
        </w:tc>
        <w:tc>
          <w:tcPr>
            <w:tcW w:w="1779" w:type="dxa"/>
            <w:tcBorders>
              <w:left w:val="single" w:color="auto" w:sz="4" w:space="0"/>
            </w:tcBorders>
            <w:vAlign w:val="center"/>
          </w:tcPr>
          <w:p w14:paraId="1FA07BEC">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报价</w:t>
            </w:r>
          </w:p>
        </w:tc>
        <w:tc>
          <w:tcPr>
            <w:tcW w:w="6542" w:type="dxa"/>
            <w:vAlign w:val="center"/>
          </w:tcPr>
          <w:p w14:paraId="3C89EE1B">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二次报价</w:t>
            </w:r>
          </w:p>
        </w:tc>
      </w:tr>
      <w:tr w14:paraId="76E37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00A6646">
            <w:pPr>
              <w:spacing w:line="360" w:lineRule="auto"/>
              <w:jc w:val="center"/>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21</w:t>
            </w:r>
          </w:p>
        </w:tc>
        <w:tc>
          <w:tcPr>
            <w:tcW w:w="1779" w:type="dxa"/>
            <w:tcBorders>
              <w:left w:val="single" w:color="auto" w:sz="4" w:space="0"/>
            </w:tcBorders>
            <w:vAlign w:val="center"/>
          </w:tcPr>
          <w:p w14:paraId="336E6DA2">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付款方式</w:t>
            </w:r>
          </w:p>
        </w:tc>
        <w:tc>
          <w:tcPr>
            <w:tcW w:w="6542" w:type="dxa"/>
            <w:vAlign w:val="center"/>
          </w:tcPr>
          <w:p w14:paraId="323E0E5A">
            <w:pPr>
              <w:spacing w:line="360" w:lineRule="auto"/>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乙方履约完毕经验收合格手续齐全后，一次性支付全部服务费。</w:t>
            </w:r>
          </w:p>
        </w:tc>
      </w:tr>
      <w:tr w14:paraId="310C34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6" w:hRule="atLeast"/>
          <w:jc w:val="center"/>
        </w:trPr>
        <w:tc>
          <w:tcPr>
            <w:tcW w:w="848" w:type="dxa"/>
            <w:tcBorders>
              <w:right w:val="single" w:color="auto" w:sz="4" w:space="0"/>
            </w:tcBorders>
            <w:vAlign w:val="center"/>
          </w:tcPr>
          <w:p w14:paraId="53337BF4">
            <w:pPr>
              <w:spacing w:line="360" w:lineRule="auto"/>
              <w:jc w:val="center"/>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22</w:t>
            </w:r>
          </w:p>
        </w:tc>
        <w:tc>
          <w:tcPr>
            <w:tcW w:w="8321" w:type="dxa"/>
            <w:gridSpan w:val="2"/>
            <w:tcBorders>
              <w:left w:val="single" w:color="auto" w:sz="4" w:space="0"/>
            </w:tcBorders>
            <w:vAlign w:val="center"/>
          </w:tcPr>
          <w:p w14:paraId="5C858FFE">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本项目所属行业：软件和信息技术服务业</w:t>
            </w:r>
            <w:r>
              <w:rPr>
                <w:rFonts w:asciiTheme="minorEastAsia" w:hAnsiTheme="minorEastAsia" w:eastAsiaTheme="minorEastAsia" w:cstheme="minorEastAsia"/>
                <w:sz w:val="24"/>
                <w:szCs w:val="24"/>
              </w:rPr>
              <w:t xml:space="preserve"> </w:t>
            </w:r>
          </w:p>
        </w:tc>
      </w:tr>
      <w:tr w14:paraId="7848D7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2660145">
            <w:pPr>
              <w:spacing w:line="360" w:lineRule="auto"/>
              <w:jc w:val="center"/>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23</w:t>
            </w:r>
          </w:p>
        </w:tc>
        <w:tc>
          <w:tcPr>
            <w:tcW w:w="8321" w:type="dxa"/>
            <w:gridSpan w:val="2"/>
            <w:tcBorders>
              <w:left w:val="single" w:color="auto" w:sz="4" w:space="0"/>
            </w:tcBorders>
            <w:vAlign w:val="center"/>
          </w:tcPr>
          <w:p w14:paraId="0D7EA9E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本项目招标文件最终解释权归采购人所有。</w:t>
            </w:r>
          </w:p>
        </w:tc>
      </w:tr>
    </w:tbl>
    <w:p w14:paraId="37DAE45E">
      <w:pPr>
        <w:rPr>
          <w:rFonts w:asciiTheme="minorEastAsia" w:hAnsiTheme="minorEastAsia" w:eastAsiaTheme="minorEastAsia"/>
        </w:rPr>
        <w:sectPr>
          <w:pgSz w:w="11906" w:h="16838"/>
          <w:pgMar w:top="1440" w:right="1800" w:bottom="1440" w:left="1800" w:header="851" w:footer="992" w:gutter="0"/>
          <w:cols w:space="720" w:num="1"/>
          <w:docGrid w:type="lines" w:linePitch="312" w:charSpace="0"/>
        </w:sectPr>
      </w:pPr>
    </w:p>
    <w:p w14:paraId="0AAD7F2A">
      <w:pPr>
        <w:pStyle w:val="9"/>
        <w:rPr>
          <w:rFonts w:asciiTheme="minorEastAsia" w:hAnsiTheme="minorEastAsia" w:eastAsiaTheme="minorEastAsia"/>
          <w:b/>
          <w:sz w:val="20"/>
        </w:rPr>
      </w:pPr>
      <w:bookmarkStart w:id="79" w:name="第四部分__谈判供应商须知"/>
      <w:bookmarkEnd w:id="79"/>
      <w:bookmarkStart w:id="80" w:name="第三部分__谈判项目要求"/>
      <w:bookmarkEnd w:id="80"/>
    </w:p>
    <w:p w14:paraId="1DC9AB70">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A、说明 </w:t>
      </w:r>
    </w:p>
    <w:p w14:paraId="1640A222">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1、适用范围 </w:t>
      </w:r>
    </w:p>
    <w:p w14:paraId="63CE3670">
      <w:pPr>
        <w:widowControl/>
        <w:kinsoku w:val="0"/>
        <w:adjustRightInd w:val="0"/>
        <w:snapToGrid w:val="0"/>
        <w:spacing w:line="360" w:lineRule="auto"/>
        <w:ind w:firstLine="480" w:firstLineChars="200"/>
        <w:textAlignment w:val="baseline"/>
        <w:rPr>
          <w:sz w:val="24"/>
          <w:szCs w:val="24"/>
        </w:rPr>
      </w:pPr>
      <w:r>
        <w:rPr>
          <w:rFonts w:hint="eastAsia"/>
          <w:snapToGrid w:val="0"/>
          <w:sz w:val="24"/>
          <w:szCs w:val="24"/>
          <w:lang w:val="en-US"/>
        </w:rPr>
        <w:t xml:space="preserve">本采购文件仅适用于本次邀请函中所述的项目的谈判。 </w:t>
      </w:r>
    </w:p>
    <w:p w14:paraId="1EB63C50">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2、定义 </w:t>
      </w:r>
    </w:p>
    <w:p w14:paraId="4942FEE1">
      <w:pPr>
        <w:widowControl/>
        <w:kinsoku w:val="0"/>
        <w:adjustRightInd w:val="0"/>
        <w:snapToGrid w:val="0"/>
        <w:spacing w:line="360" w:lineRule="auto"/>
        <w:ind w:firstLine="480" w:firstLineChars="200"/>
        <w:textAlignment w:val="baseline"/>
        <w:rPr>
          <w:sz w:val="24"/>
          <w:szCs w:val="24"/>
        </w:rPr>
      </w:pPr>
      <w:r>
        <w:rPr>
          <w:rFonts w:hint="eastAsia"/>
          <w:snapToGrid w:val="0"/>
          <w:sz w:val="24"/>
          <w:szCs w:val="24"/>
          <w:lang w:val="en-US"/>
        </w:rPr>
        <w:t xml:space="preserve">2.1谈判组织人——指组织本次谈判的周口市公共资源交易中心政府采购中心。 </w:t>
      </w:r>
    </w:p>
    <w:p w14:paraId="4E5966D4">
      <w:pPr>
        <w:widowControl/>
        <w:kinsoku w:val="0"/>
        <w:adjustRightInd w:val="0"/>
        <w:snapToGrid w:val="0"/>
        <w:spacing w:line="360" w:lineRule="auto"/>
        <w:ind w:firstLine="480" w:firstLineChars="200"/>
        <w:textAlignment w:val="baseline"/>
        <w:rPr>
          <w:sz w:val="24"/>
          <w:szCs w:val="24"/>
        </w:rPr>
      </w:pPr>
      <w:r>
        <w:rPr>
          <w:rFonts w:hint="eastAsia"/>
          <w:snapToGrid w:val="0"/>
          <w:sz w:val="24"/>
          <w:szCs w:val="24"/>
          <w:lang w:val="en-US"/>
        </w:rPr>
        <w:t xml:space="preserve">2.2谈判供应商——是指响应谈判文件、参加谈判竞争的中华人民共和国境内的法人、其它组织，向谈判组织人提交谈判文件的供应商。 </w:t>
      </w:r>
    </w:p>
    <w:p w14:paraId="0768E54D">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2.3采购人——鹿邑县人民医院</w:t>
      </w:r>
    </w:p>
    <w:p w14:paraId="31EE3D85">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2.4服务——指根据谈判文件规定供应商须承担的服务以及其他类似的义务等。</w:t>
      </w:r>
    </w:p>
    <w:p w14:paraId="0763BC0E">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2.5偏离——指响应文件的响应相对于谈判文件要求的偏差，该偏差优于谈判文件要求的为正偏离；劣于的，为负偏离。 </w:t>
      </w:r>
    </w:p>
    <w:p w14:paraId="27267DA2">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w:t>
      </w:r>
      <w:r>
        <w:rPr>
          <w:snapToGrid w:val="0"/>
          <w:sz w:val="24"/>
          <w:szCs w:val="24"/>
          <w:lang w:val="en-US"/>
        </w:rPr>
        <w:t>6</w:t>
      </w:r>
      <w:r>
        <w:rPr>
          <w:rFonts w:hint="eastAsia"/>
          <w:snapToGrid w:val="0"/>
          <w:sz w:val="24"/>
          <w:szCs w:val="24"/>
          <w:lang w:val="en-US"/>
        </w:rPr>
        <w:t>供应商应在响应文件中承诺未被纳入重大税收违法失信主体名单且未存在不诚信记录，如若实际情况与供应商承诺内容不一致，一经查实将取消其中标资格。</w:t>
      </w:r>
    </w:p>
    <w:p w14:paraId="2B409661">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3、谈判供应商条件 </w:t>
      </w:r>
    </w:p>
    <w:p w14:paraId="531E4F7E">
      <w:pPr>
        <w:widowControl/>
        <w:kinsoku w:val="0"/>
        <w:adjustRightInd w:val="0"/>
        <w:snapToGrid w:val="0"/>
        <w:spacing w:line="360" w:lineRule="auto"/>
        <w:ind w:firstLine="480" w:firstLineChars="200"/>
        <w:textAlignment w:val="baseline"/>
        <w:rPr>
          <w:sz w:val="24"/>
          <w:szCs w:val="24"/>
        </w:rPr>
      </w:pPr>
      <w:r>
        <w:rPr>
          <w:rFonts w:hint="eastAsia"/>
          <w:snapToGrid w:val="0"/>
          <w:sz w:val="24"/>
          <w:szCs w:val="24"/>
          <w:lang w:val="en-US"/>
        </w:rPr>
        <w:t>3.1</w:t>
      </w:r>
      <w:r>
        <w:rPr>
          <w:snapToGrid w:val="0"/>
          <w:sz w:val="24"/>
          <w:szCs w:val="24"/>
          <w:lang w:val="en-US"/>
        </w:rPr>
        <w:t>具有独立承担民事责任的能力；具有良好的商业信誉和健全的财务会计</w:t>
      </w:r>
      <w:r>
        <w:rPr>
          <w:rFonts w:hint="eastAsia"/>
          <w:sz w:val="24"/>
        </w:rPr>
        <w:t>报表包括（资产负债表、现金流量表、损益表、年度报告、利润表和财务情况说明书），财务会计制度；</w:t>
      </w:r>
      <w:r>
        <w:rPr>
          <w:snapToGrid w:val="0"/>
          <w:sz w:val="24"/>
          <w:szCs w:val="24"/>
          <w:lang w:val="en-US"/>
        </w:rPr>
        <w:t>具有完成本次谈判项目所必需的设备和专业技术能力；有依法缴纳税收和社会保障资金的良好记录。</w:t>
      </w:r>
      <w:r>
        <w:rPr>
          <w:rFonts w:hint="eastAsia"/>
          <w:snapToGrid w:val="0"/>
          <w:sz w:val="24"/>
          <w:szCs w:val="24"/>
          <w:lang w:val="en-US"/>
        </w:rPr>
        <w:t xml:space="preserve"> </w:t>
      </w:r>
    </w:p>
    <w:p w14:paraId="4949BCD3">
      <w:pPr>
        <w:widowControl/>
        <w:kinsoku w:val="0"/>
        <w:adjustRightInd w:val="0"/>
        <w:snapToGrid w:val="0"/>
        <w:spacing w:line="360" w:lineRule="auto"/>
        <w:ind w:firstLine="480" w:firstLineChars="200"/>
        <w:textAlignment w:val="baseline"/>
        <w:rPr>
          <w:sz w:val="24"/>
          <w:szCs w:val="24"/>
        </w:rPr>
      </w:pPr>
      <w:r>
        <w:rPr>
          <w:rFonts w:hint="eastAsia"/>
          <w:snapToGrid w:val="0"/>
          <w:sz w:val="24"/>
          <w:szCs w:val="24"/>
          <w:lang w:val="en-US"/>
        </w:rPr>
        <w:t>3.2</w:t>
      </w:r>
      <w:r>
        <w:rPr>
          <w:snapToGrid w:val="0"/>
          <w:sz w:val="24"/>
          <w:szCs w:val="24"/>
          <w:lang w:val="en-US"/>
        </w:rPr>
        <w:t>符合本竞争性谈判文件规定的供应商资格要求及谈判项目要求的其它条件，并提供合格供应商的声明函。</w:t>
      </w:r>
      <w:r>
        <w:rPr>
          <w:rFonts w:hint="eastAsia"/>
          <w:snapToGrid w:val="0"/>
          <w:sz w:val="24"/>
          <w:szCs w:val="24"/>
          <w:lang w:val="en-US"/>
        </w:rPr>
        <w:t xml:space="preserve"> </w:t>
      </w:r>
    </w:p>
    <w:p w14:paraId="342C86F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3.3谈判供应商应遵守中华人民共和国法律、法规和谈判组织人有关谈判的规定。</w:t>
      </w:r>
    </w:p>
    <w:p w14:paraId="62C31253">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3.4</w:t>
      </w:r>
      <w:r>
        <w:rPr>
          <w:snapToGrid w:val="0"/>
          <w:sz w:val="24"/>
          <w:szCs w:val="24"/>
          <w:lang w:val="en-US"/>
        </w:rPr>
        <w:t>供应商需提供自觉抵制政府采购领域商业贿赂行为保证书</w:t>
      </w:r>
      <w:r>
        <w:rPr>
          <w:rFonts w:hint="eastAsia"/>
          <w:snapToGrid w:val="0"/>
          <w:sz w:val="24"/>
          <w:szCs w:val="24"/>
          <w:lang w:val="en-US"/>
        </w:rPr>
        <w:t>。</w:t>
      </w:r>
    </w:p>
    <w:p w14:paraId="1A49905A">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3.5未被工商行政管理机关在全国企业信用信息公示系统中列入严重违法失信企业名单和经营异常名录 。</w:t>
      </w:r>
    </w:p>
    <w:p w14:paraId="2F341257">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注：供应商需声明不存在单位负责人为同一人或者存在直接控股、管理关系的不同供应商，参加同一合同项下的政府采购活动的情形</w:t>
      </w:r>
      <w:r>
        <w:rPr>
          <w:snapToGrid w:val="0"/>
          <w:sz w:val="24"/>
          <w:szCs w:val="24"/>
          <w:lang w:val="en-US"/>
        </w:rPr>
        <w:t xml:space="preserve"> 。（提供国家企业信用信息系统查询截图，包括公司基础信息和股东信息，投标文件中提供网站查询截图的扫描件、法定代表人和委托代理人签章并加盖公章。查询时间公告后有效 ）。</w:t>
      </w:r>
    </w:p>
    <w:p w14:paraId="5BF75D0A">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4、谈判费用 </w:t>
      </w:r>
    </w:p>
    <w:p w14:paraId="530A5138">
      <w:pPr>
        <w:widowControl/>
        <w:kinsoku w:val="0"/>
        <w:adjustRightInd w:val="0"/>
        <w:snapToGrid w:val="0"/>
        <w:spacing w:line="360" w:lineRule="auto"/>
        <w:ind w:firstLine="480" w:firstLineChars="200"/>
        <w:textAlignment w:val="baseline"/>
        <w:rPr>
          <w:sz w:val="24"/>
          <w:szCs w:val="24"/>
        </w:rPr>
      </w:pPr>
      <w:r>
        <w:rPr>
          <w:rFonts w:hint="eastAsia"/>
          <w:snapToGrid w:val="0"/>
          <w:sz w:val="24"/>
          <w:szCs w:val="24"/>
          <w:lang w:val="en-US"/>
        </w:rPr>
        <w:t>4.1谈判供应商应自行承担参加谈判活动有关的全部费用，谈判组织人在任何情况下均无义务和责任承担上述费用。</w:t>
      </w:r>
    </w:p>
    <w:p w14:paraId="77B65F61">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4.2本项目免收成交服务费，评标费用由采购人自行解决。</w:t>
      </w:r>
    </w:p>
    <w:p w14:paraId="7806C15F">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B、谈判文件说明 </w:t>
      </w:r>
    </w:p>
    <w:p w14:paraId="1EE6394E">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5、谈判文件的构成： </w:t>
      </w:r>
    </w:p>
    <w:p w14:paraId="73F85650">
      <w:pPr>
        <w:widowControl/>
        <w:kinsoku w:val="0"/>
        <w:adjustRightInd w:val="0"/>
        <w:snapToGrid w:val="0"/>
        <w:spacing w:line="360" w:lineRule="auto"/>
        <w:ind w:firstLine="480" w:firstLineChars="200"/>
        <w:textAlignment w:val="baseline"/>
        <w:rPr>
          <w:sz w:val="24"/>
          <w:szCs w:val="24"/>
        </w:rPr>
      </w:pPr>
      <w:r>
        <w:rPr>
          <w:rFonts w:hint="eastAsia"/>
          <w:snapToGrid w:val="0"/>
          <w:sz w:val="24"/>
          <w:szCs w:val="24"/>
          <w:lang w:val="en-US"/>
        </w:rPr>
        <w:t xml:space="preserve">5.1谈判文件用以阐明所采购服务的内容、要求及谈判程序。谈判文件由下述部分组成： </w:t>
      </w:r>
    </w:p>
    <w:p w14:paraId="654E4E56">
      <w:pPr>
        <w:widowControl/>
        <w:kinsoku w:val="0"/>
        <w:adjustRightInd w:val="0"/>
        <w:snapToGrid w:val="0"/>
        <w:spacing w:line="360" w:lineRule="auto"/>
        <w:ind w:firstLine="720" w:firstLineChars="300"/>
        <w:textAlignment w:val="baseline"/>
        <w:rPr>
          <w:snapToGrid w:val="0"/>
          <w:sz w:val="24"/>
          <w:szCs w:val="24"/>
          <w:lang w:val="en-US"/>
        </w:rPr>
      </w:pPr>
      <w:r>
        <w:rPr>
          <w:rFonts w:hint="eastAsia"/>
          <w:snapToGrid w:val="0"/>
          <w:sz w:val="24"/>
          <w:szCs w:val="24"/>
          <w:lang w:val="en-US"/>
        </w:rPr>
        <w:t xml:space="preserve">1.谈判邀请函 </w:t>
      </w:r>
    </w:p>
    <w:p w14:paraId="36837273">
      <w:pPr>
        <w:widowControl/>
        <w:kinsoku w:val="0"/>
        <w:adjustRightInd w:val="0"/>
        <w:snapToGrid w:val="0"/>
        <w:spacing w:line="360" w:lineRule="auto"/>
        <w:ind w:firstLine="720" w:firstLineChars="300"/>
        <w:textAlignment w:val="baseline"/>
        <w:rPr>
          <w:snapToGrid w:val="0"/>
          <w:sz w:val="24"/>
          <w:szCs w:val="24"/>
          <w:lang w:val="en-US"/>
        </w:rPr>
      </w:pPr>
      <w:r>
        <w:rPr>
          <w:rFonts w:hint="eastAsia"/>
          <w:snapToGrid w:val="0"/>
          <w:sz w:val="24"/>
          <w:szCs w:val="24"/>
          <w:lang w:val="en-US"/>
        </w:rPr>
        <w:t xml:space="preserve">2.供应商须知； </w:t>
      </w:r>
    </w:p>
    <w:p w14:paraId="5C1875F1">
      <w:pPr>
        <w:widowControl/>
        <w:kinsoku w:val="0"/>
        <w:adjustRightInd w:val="0"/>
        <w:snapToGrid w:val="0"/>
        <w:spacing w:line="360" w:lineRule="auto"/>
        <w:ind w:firstLine="720" w:firstLineChars="300"/>
        <w:textAlignment w:val="baseline"/>
        <w:rPr>
          <w:snapToGrid w:val="0"/>
          <w:sz w:val="24"/>
          <w:szCs w:val="24"/>
          <w:lang w:val="en-US"/>
        </w:rPr>
      </w:pPr>
      <w:r>
        <w:rPr>
          <w:rFonts w:hint="eastAsia"/>
          <w:snapToGrid w:val="0"/>
          <w:sz w:val="24"/>
          <w:szCs w:val="24"/>
          <w:lang w:val="en-US"/>
        </w:rPr>
        <w:t xml:space="preserve">3.谈判项目要求 </w:t>
      </w:r>
    </w:p>
    <w:p w14:paraId="4C0F7B9F">
      <w:pPr>
        <w:widowControl/>
        <w:kinsoku w:val="0"/>
        <w:adjustRightInd w:val="0"/>
        <w:snapToGrid w:val="0"/>
        <w:spacing w:line="360" w:lineRule="auto"/>
        <w:ind w:firstLine="720" w:firstLineChars="300"/>
        <w:textAlignment w:val="baseline"/>
        <w:rPr>
          <w:snapToGrid w:val="0"/>
          <w:sz w:val="24"/>
          <w:szCs w:val="24"/>
          <w:lang w:val="en-US"/>
        </w:rPr>
      </w:pPr>
      <w:r>
        <w:rPr>
          <w:rFonts w:hint="eastAsia"/>
          <w:snapToGrid w:val="0"/>
          <w:sz w:val="24"/>
          <w:szCs w:val="24"/>
          <w:lang w:val="en-US"/>
        </w:rPr>
        <w:t xml:space="preserve">4.项目内容及技术要求 </w:t>
      </w:r>
    </w:p>
    <w:p w14:paraId="3358E3A1">
      <w:pPr>
        <w:widowControl/>
        <w:kinsoku w:val="0"/>
        <w:adjustRightInd w:val="0"/>
        <w:snapToGrid w:val="0"/>
        <w:spacing w:line="360" w:lineRule="auto"/>
        <w:ind w:firstLine="720" w:firstLineChars="300"/>
        <w:textAlignment w:val="baseline"/>
        <w:rPr>
          <w:snapToGrid w:val="0"/>
          <w:sz w:val="24"/>
          <w:szCs w:val="24"/>
          <w:lang w:val="en-US"/>
        </w:rPr>
      </w:pPr>
      <w:r>
        <w:rPr>
          <w:rFonts w:hint="eastAsia"/>
          <w:snapToGrid w:val="0"/>
          <w:sz w:val="24"/>
          <w:szCs w:val="24"/>
          <w:lang w:val="en-US"/>
        </w:rPr>
        <w:t>5.谈判响应文件格式</w:t>
      </w:r>
    </w:p>
    <w:p w14:paraId="5F339275">
      <w:pPr>
        <w:widowControl/>
        <w:kinsoku w:val="0"/>
        <w:adjustRightInd w:val="0"/>
        <w:snapToGrid w:val="0"/>
        <w:spacing w:line="360" w:lineRule="auto"/>
        <w:ind w:firstLine="720" w:firstLineChars="300"/>
        <w:textAlignment w:val="baseline"/>
        <w:rPr>
          <w:snapToGrid w:val="0"/>
          <w:sz w:val="24"/>
          <w:szCs w:val="24"/>
          <w:lang w:val="en-US"/>
        </w:rPr>
      </w:pPr>
      <w:r>
        <w:rPr>
          <w:rFonts w:hint="eastAsia"/>
          <w:snapToGrid w:val="0"/>
          <w:sz w:val="24"/>
          <w:szCs w:val="24"/>
          <w:lang w:val="en-US"/>
        </w:rPr>
        <w:t>6.</w:t>
      </w:r>
      <w:r>
        <w:rPr>
          <w:rFonts w:hint="eastAsia"/>
        </w:rPr>
        <w:t xml:space="preserve"> </w:t>
      </w:r>
      <w:r>
        <w:rPr>
          <w:rFonts w:hint="eastAsia"/>
          <w:snapToGrid w:val="0"/>
          <w:sz w:val="24"/>
          <w:szCs w:val="24"/>
          <w:lang w:val="en-US"/>
        </w:rPr>
        <w:t>合同条款及格式</w:t>
      </w:r>
    </w:p>
    <w:p w14:paraId="56149281">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6、谈判文件的澄清 </w:t>
      </w:r>
    </w:p>
    <w:p w14:paraId="64C86F83">
      <w:pPr>
        <w:widowControl/>
        <w:kinsoku w:val="0"/>
        <w:adjustRightInd w:val="0"/>
        <w:snapToGrid w:val="0"/>
        <w:spacing w:line="360" w:lineRule="auto"/>
        <w:ind w:firstLine="480" w:firstLineChars="200"/>
        <w:textAlignment w:val="baseline"/>
        <w:rPr>
          <w:sz w:val="24"/>
        </w:rPr>
      </w:pPr>
      <w:r>
        <w:rPr>
          <w:rFonts w:hint="eastAsia"/>
          <w:snapToGrid w:val="0"/>
          <w:sz w:val="24"/>
          <w:szCs w:val="24"/>
          <w:lang w:val="en-US"/>
        </w:rPr>
        <w:t>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w:t>
      </w:r>
    </w:p>
    <w:p w14:paraId="481FB30B">
      <w:pPr>
        <w:widowControl/>
        <w:kinsoku w:val="0"/>
        <w:adjustRightInd w:val="0"/>
        <w:snapToGrid w:val="0"/>
        <w:spacing w:line="360" w:lineRule="auto"/>
        <w:ind w:firstLine="480" w:firstLineChars="200"/>
        <w:textAlignment w:val="baseline"/>
        <w:rPr>
          <w:sz w:val="24"/>
          <w:szCs w:val="24"/>
        </w:rPr>
      </w:pPr>
      <w:r>
        <w:rPr>
          <w:rFonts w:hint="eastAsia"/>
          <w:snapToGrid w:val="0"/>
          <w:sz w:val="24"/>
          <w:szCs w:val="24"/>
          <w:lang w:val="en-US"/>
        </w:rPr>
        <w:t xml:space="preserve">6.2谈判组织人将视情况在认为必要时于谈判截止前答疑。 </w:t>
      </w:r>
    </w:p>
    <w:p w14:paraId="5A85B7DF">
      <w:pPr>
        <w:widowControl/>
        <w:kinsoku w:val="0"/>
        <w:adjustRightInd w:val="0"/>
        <w:snapToGrid w:val="0"/>
        <w:spacing w:line="360" w:lineRule="auto"/>
        <w:ind w:firstLine="482" w:firstLineChars="200"/>
        <w:textAlignment w:val="baseline"/>
        <w:rPr>
          <w:sz w:val="24"/>
          <w:szCs w:val="24"/>
        </w:rPr>
      </w:pPr>
      <w:r>
        <w:rPr>
          <w:rFonts w:hint="eastAsia"/>
          <w:b/>
          <w:bCs/>
          <w:snapToGrid w:val="0"/>
          <w:sz w:val="24"/>
          <w:szCs w:val="24"/>
          <w:lang w:val="en-US"/>
        </w:rPr>
        <w:t xml:space="preserve">7、谈判文件的修改 </w:t>
      </w:r>
    </w:p>
    <w:p w14:paraId="7B29466F">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7.1谈判文件的修改将构成谈判文件的一部分，对所有参加谈判的供应商均有约束力。 </w:t>
      </w:r>
    </w:p>
    <w:p w14:paraId="62459A6E">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7.2采购人或采购中心对谈判文件进行的澄清、更正或更改，将在河南省政府采购网站及周口市公共资源交易中心网站上及时发布，投标人应主动上网查询。周口市公共资源交易中心政府采购中心或采购人不承担投标人未及时关注相关信息引发的相关责任。对竞争性谈判文件进行的澄清，以网上公告的方式通知供应商。澄清或修改的内容可能影响响应文件编制的，采购人、采购代理机构应当在提交响应文件截止时间至少3日前。 </w:t>
      </w:r>
    </w:p>
    <w:p w14:paraId="526BFA5C">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7.3在投标截止时间前，采购人可以视采购具体情况，延长投标截止时间和开标时间，并在谈判文件要求提交投标文件的截止时间前，在网站上发布变更公告。在上述情况下，采购人和投标人在投标截止期方面的全部权力、责任和义务，将适用于延长后新的投标截止期。</w:t>
      </w:r>
    </w:p>
    <w:p w14:paraId="0ABCDB21">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C、谈判响应文件的编写 </w:t>
      </w:r>
    </w:p>
    <w:p w14:paraId="496E2FD0">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8、要求 </w:t>
      </w:r>
    </w:p>
    <w:p w14:paraId="5A56ACB2">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8.1</w:t>
      </w:r>
      <w:r>
        <w:rPr>
          <w:snapToGrid w:val="0"/>
          <w:sz w:val="24"/>
          <w:szCs w:val="24"/>
          <w:lang w:val="en-US"/>
        </w:rPr>
        <w:t>谈判的供应商应仔细阅读谈判文件的所有内容，如果有异议在规定的时间内提出，没有异议需做出“无异议”承诺书，承诺书作为响应文件的组织部分，否则视为无效的响应文件。</w:t>
      </w:r>
    </w:p>
    <w:p w14:paraId="4C68D28A">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8.2谈判文件文字：谈判文件均以中文印刷体，中文以外的文字应附以中文译文，中外文不符时，以中文为准。 </w:t>
      </w:r>
    </w:p>
    <w:p w14:paraId="63BDBB25">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8.3谈判文件中计量单位：除在谈判文件的技术规格中另有规定外，计量单位使用中华人民共和国法定计量单位。 </w:t>
      </w:r>
    </w:p>
    <w:p w14:paraId="7ACA562F">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8.4谈判供应商的谈判响应文件必须加盖谈判供应商公章（指投标人的行政章），采购人不接受加盖其他印鉴（如合同章、投标专用章等印鉴）的谈判文件。 </w:t>
      </w:r>
    </w:p>
    <w:p w14:paraId="6EF53FCA">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8.5电子投标文件制作，见周口市公共资源交易中心网站下载中心版块《投标单位-电子投标文件视频制作手册》的相关规定。</w:t>
      </w:r>
    </w:p>
    <w:p w14:paraId="15D2C68F">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8.6投标单位应保证所提供的全部资料的真实性、合法性，否则其响应性文件将作为无效处理</w:t>
      </w:r>
      <w:r>
        <w:rPr>
          <w:rFonts w:hint="eastAsia"/>
          <w:snapToGrid w:val="0"/>
          <w:sz w:val="24"/>
          <w:szCs w:val="24"/>
          <w:lang w:val="en-US"/>
        </w:rPr>
        <w:t>。</w:t>
      </w:r>
    </w:p>
    <w:p w14:paraId="374EBA63">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9、谈判文件的组成 </w:t>
      </w:r>
    </w:p>
    <w:p w14:paraId="3DFBA5EA">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9.1谈判文件应包括下列部分。 </w:t>
      </w:r>
    </w:p>
    <w:p w14:paraId="58DD4613">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详见第五章“响应文件格式”。 </w:t>
      </w:r>
    </w:p>
    <w:p w14:paraId="3412E3BC">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9.2资格证明文件包括: </w:t>
      </w:r>
    </w:p>
    <w:p w14:paraId="1CB7B558">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加盖单位公章、法定代表人签章的营业执照正副本复印件或扫描件</w:t>
      </w:r>
      <w:r>
        <w:rPr>
          <w:snapToGrid w:val="0"/>
          <w:sz w:val="24"/>
          <w:szCs w:val="24"/>
          <w:lang w:val="en-US"/>
        </w:rPr>
        <w:t>。</w:t>
      </w:r>
      <w:r>
        <w:rPr>
          <w:rFonts w:hint="eastAsia"/>
          <w:snapToGrid w:val="0"/>
          <w:sz w:val="24"/>
          <w:szCs w:val="24"/>
          <w:lang w:val="en-US"/>
        </w:rPr>
        <w:t xml:space="preserve"> </w:t>
      </w:r>
    </w:p>
    <w:p w14:paraId="391C4494">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法人授权委托书。 </w:t>
      </w:r>
    </w:p>
    <w:p w14:paraId="3A8B9625">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授权代表身份证复印件。 </w:t>
      </w:r>
    </w:p>
    <w:p w14:paraId="6E7A21E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其他有关证明复印件。 </w:t>
      </w:r>
    </w:p>
    <w:p w14:paraId="76B34017">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10、谈判文件格式 </w:t>
      </w:r>
    </w:p>
    <w:p w14:paraId="3F752B5E">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10.1谈判人应按谈判文件中第五部分谈判文件格式填写，谈判供应商认为需加以说明的其它内容可列备注栏。不按谈判文件内容填写或填写不完整视为无效响应。 </w:t>
      </w:r>
    </w:p>
    <w:p w14:paraId="5F094585">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10.2谈判供应商应按谈判文件中第五部分谈判响应文件格式、内容，顺序制作响应性文件，并编制目录及页码，否则可能将影响对响应性文件的评价</w:t>
      </w:r>
      <w:r>
        <w:rPr>
          <w:rFonts w:hint="eastAsia"/>
          <w:snapToGrid w:val="0"/>
          <w:sz w:val="24"/>
          <w:szCs w:val="24"/>
          <w:lang w:val="en-US"/>
        </w:rPr>
        <w:t>。</w:t>
      </w:r>
    </w:p>
    <w:p w14:paraId="0173E932">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10.3响应文件封面要求: 列明项目名称、采购编号、供应商名称和地址等信息。</w:t>
      </w:r>
    </w:p>
    <w:p w14:paraId="6783CD5A">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10.4响应文件应编排有序、内容齐全、不得任意涂改或增删。如有错漏处必须修改，应在修改处加盖供应商电子公章。</w:t>
      </w:r>
    </w:p>
    <w:p w14:paraId="4FD90084">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11、谈判报价</w:t>
      </w:r>
    </w:p>
    <w:p w14:paraId="7364674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11.1谈判报价应按照谈判文件、补充通知、答疑纪要、承包范围，并充分考虑服务期间各类材料、人工市场风险和国家政策性调整等风险系数，由各响应人根据自身情况，在合理范围内，自主考虑、优惠报价，但不得低于企业成本；供应商必须确保整体通过用户方及有关主管部门验收,所发生的验收费用由供应商承担。 </w:t>
      </w:r>
    </w:p>
    <w:p w14:paraId="52EDBAE7">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11.2谈判供应商应填写谈判价格一览表并在谈判价格一览表投标总价处加盖公章，如果分项报价与单价不符，则以单价为准；其它表格与谈判报价一览表不符，以谈判报价一览表为准；小写与大写不符，以大写为准； </w:t>
      </w:r>
    </w:p>
    <w:p w14:paraId="7893C61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11.3谈判报价执行政府采购政策，被认定为小微企业最终报价按扣除20%作为评审报价。</w:t>
      </w:r>
    </w:p>
    <w:p w14:paraId="68C6DD2D">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11.4小微企业认定：投标人提供小微企业声明函。</w:t>
      </w:r>
    </w:p>
    <w:p w14:paraId="6D4D320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11.5本国产品认定：投标人提供《关于符合本国产品标准的声明函》或财政部会同有关部门规定的有关证明文件。</w:t>
      </w:r>
    </w:p>
    <w:p w14:paraId="6F609FB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11.6</w:t>
      </w:r>
      <w:r>
        <w:rPr>
          <w:snapToGrid w:val="0"/>
          <w:sz w:val="24"/>
          <w:szCs w:val="24"/>
          <w:lang w:val="en-US"/>
        </w:rPr>
        <w:t>供应商的报价明显低于其他通过符合性审查供应商的报价，有可能影响服务质量或者不能诚信履约的，谈判小组应当要求其在规定的合理的时间内提供书面说明，必要时提交相关证明材料；供应商不能证明其报价合理性的，谈判小组应当将其作为无效投标处理。</w:t>
      </w:r>
    </w:p>
    <w:p w14:paraId="20594299">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11.</w:t>
      </w:r>
      <w:r>
        <w:rPr>
          <w:rFonts w:hint="eastAsia"/>
          <w:snapToGrid w:val="0"/>
          <w:sz w:val="24"/>
          <w:szCs w:val="24"/>
          <w:lang w:val="en-US"/>
        </w:rPr>
        <w:t>7网上报价，见周口市公共资源交易中心网站下载中心版块《投标单位-电子投标文件视频制作手册》中的《周口市公共资源交易系统政府采购供应商操作手册》相关规定。</w:t>
      </w:r>
    </w:p>
    <w:p w14:paraId="297F4670">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12、谈判供应商资格证明文件 </w:t>
      </w:r>
    </w:p>
    <w:p w14:paraId="0231644A">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12.1谈判供应商资格证明文件，证明谈判供应商是合格的，且一旦其响应被接受，谈判供应商有能力履行合同。</w:t>
      </w:r>
    </w:p>
    <w:p w14:paraId="72053C7E">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12.2及谈判供应商认为需加以说明的其它内容。 </w:t>
      </w:r>
    </w:p>
    <w:p w14:paraId="7C02EE8F">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12.3谈判供应商应有履行合同所需的财务、技术能力。 </w:t>
      </w:r>
    </w:p>
    <w:p w14:paraId="474B9D75">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12.4谈判供应商有能力履行谈判文件中合同条款和采购要求规定的由谈判供应商履行的服务义务。 </w:t>
      </w:r>
    </w:p>
    <w:p w14:paraId="767157EC">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13、谈判保证金 </w:t>
      </w:r>
    </w:p>
    <w:p w14:paraId="4BB526A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不需要缴纳谈判保证金 </w:t>
      </w:r>
    </w:p>
    <w:p w14:paraId="5C5FF62F">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14、投标有效期 </w:t>
      </w:r>
    </w:p>
    <w:p w14:paraId="6F886FE0">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14.1谈判响应文件有效期为自谈判之日起60天内，成交的谈判文件其有效期应延续至合同执行结束，有效期短于这个规定期限的谈判供应商将被拒绝。 </w:t>
      </w:r>
    </w:p>
    <w:p w14:paraId="7ECF53A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14.2特殊情况下，采购人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 </w:t>
      </w:r>
    </w:p>
    <w:p w14:paraId="0DC89067">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15、谈判响应文件的签署及规定 </w:t>
      </w:r>
    </w:p>
    <w:p w14:paraId="339C395F">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15.1谈判响应文件中不应有加行、涂抹或改写。如有修改错漏处，必须由谈判供应商法定代表人或其委托代理人签字并加盖公章。 </w:t>
      </w:r>
    </w:p>
    <w:p w14:paraId="5695E36F">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15.2</w:t>
      </w:r>
      <w:r>
        <w:rPr>
          <w:snapToGrid w:val="0"/>
          <w:sz w:val="24"/>
          <w:szCs w:val="24"/>
          <w:lang w:val="en-US"/>
        </w:rPr>
        <w:t>投标文件应编制连续页码，并编制目录，每个页面应在明显位置编制页码和总页码 ；除特殊规格的图纸或方案、图片资料等外，均应按A4规格制作。</w:t>
      </w:r>
      <w:r>
        <w:rPr>
          <w:rFonts w:hint="eastAsia"/>
          <w:snapToGrid w:val="0"/>
          <w:sz w:val="24"/>
          <w:szCs w:val="24"/>
          <w:lang w:val="en-US"/>
        </w:rPr>
        <w:t xml:space="preserve">电报、电话、传真、电子邮件形式的投标概不接受。 </w:t>
      </w:r>
    </w:p>
    <w:p w14:paraId="17068B0A">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15.3电报、电话、传真、电子邮件形式的投标概不接受。</w:t>
      </w:r>
    </w:p>
    <w:p w14:paraId="58DBAECF">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15.4授权委托书须在法定代表人和被授权人身份证正面签名确认 。</w:t>
      </w:r>
    </w:p>
    <w:p w14:paraId="2105A28C">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15.35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生成后的电子响应文件需要供应商法定代表人或委托代理人逐页签字盖章</w:t>
      </w:r>
      <w:r>
        <w:rPr>
          <w:snapToGrid w:val="0"/>
          <w:sz w:val="24"/>
          <w:szCs w:val="24"/>
          <w:lang w:val="en-US"/>
        </w:rPr>
        <w:t xml:space="preserve"> 。</w:t>
      </w:r>
    </w:p>
    <w:p w14:paraId="3BDB9136">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D、谈判响应文件的递交 </w:t>
      </w:r>
    </w:p>
    <w:p w14:paraId="69265634">
      <w:pPr>
        <w:widowControl/>
        <w:kinsoku w:val="0"/>
        <w:adjustRightInd w:val="0"/>
        <w:snapToGrid w:val="0"/>
        <w:spacing w:line="360" w:lineRule="auto"/>
        <w:ind w:firstLine="482" w:firstLineChars="200"/>
        <w:textAlignment w:val="baseline"/>
        <w:rPr>
          <w:bCs/>
          <w:snapToGrid w:val="0"/>
          <w:sz w:val="24"/>
          <w:szCs w:val="24"/>
          <w:lang w:val="en-US"/>
        </w:rPr>
      </w:pPr>
      <w:r>
        <w:rPr>
          <w:rFonts w:hint="eastAsia"/>
          <w:b/>
          <w:bCs/>
          <w:snapToGrid w:val="0"/>
          <w:sz w:val="24"/>
          <w:szCs w:val="24"/>
          <w:lang w:val="en-US"/>
        </w:rPr>
        <w:t>16、</w:t>
      </w:r>
      <w:r>
        <w:rPr>
          <w:rFonts w:hint="eastAsia"/>
          <w:bCs/>
          <w:snapToGrid w:val="0"/>
          <w:sz w:val="24"/>
          <w:szCs w:val="24"/>
          <w:lang w:val="en-US"/>
        </w:rPr>
        <w:t xml:space="preserve">加密的电子投标文件的递交，见周口市公共资源交易中心网站下载中心版块《投标单位-电子投标文件视频制作手册》中的《周口市公共资源交易系统政府采购供应商操作手册》相关规定。如未在招标文件规定的投标时间截止前上传网上响应文件，投标无效。 </w:t>
      </w:r>
    </w:p>
    <w:p w14:paraId="5E797934">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本项目施行网上远程开标无须到现场提交响应文件（未加密的电子投标文件和纸质文件均不再提交） </w:t>
      </w:r>
    </w:p>
    <w:p w14:paraId="69E7E110">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17、递交谈判响应文件的截止时间 </w:t>
      </w:r>
    </w:p>
    <w:p w14:paraId="279B7D66">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17.1谈判响应文件须按谈判邀请函中规定的在谈判截止时间之前成功上传到指定位置。 </w:t>
      </w:r>
    </w:p>
    <w:p w14:paraId="4299667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17.2采购人推迟谈判截止时间时，应以网上公告的形式，通知所有潜在的谈判供应商，在这种情况下，谈判组织人和谈判供应商的权利和义务将受到新的截止期的约束。 </w:t>
      </w:r>
    </w:p>
    <w:p w14:paraId="0FA447DD">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17.3在谈判截止时间前，谈判供应商可以补充、修改或撤回已递交的谈判响应文件。补充、修改的内容为谈判响应文件的组成部分。上述补充或修改若涉及谈判报价，将视为有选择性报价。 </w:t>
      </w:r>
    </w:p>
    <w:p w14:paraId="17D0F83D">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17.4补充、修改后的谈判响应文件须在投标截止时间前再次成功上传到网上指定位置 </w:t>
      </w:r>
    </w:p>
    <w:p w14:paraId="0C95EDBB">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18、迟交的谈判响应文件 </w:t>
      </w:r>
    </w:p>
    <w:p w14:paraId="64E7A433">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18.1在谈判文件要求提交响应文件的截止时间之后制作上传的投标文件为无效投标文件，采购人和网上开评标系统将拒绝接收。 </w:t>
      </w:r>
    </w:p>
    <w:p w14:paraId="6F94E90C">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E、开始和谈判 </w:t>
      </w:r>
    </w:p>
    <w:p w14:paraId="2F9B253B">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19、开始 </w:t>
      </w:r>
    </w:p>
    <w:p w14:paraId="19EF4FD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19.1本项目施行网上远程开标并依法按照相关程序进行开标。 </w:t>
      </w:r>
    </w:p>
    <w:p w14:paraId="7B467816">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19.2请各投标人在开标规定时间内进行网上远程响应文件解密，远程响应文件解密程序见“周口市公共资源电子交易服务平台（网址http://jyzx.zhoukou.gov.cn）下载中心（远程在线解密操作手册）”。在规定时间内（半个小时）不进行解密的视为不提交响应文件。 </w:t>
      </w:r>
    </w:p>
    <w:p w14:paraId="1C61F08A">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19.3采购中心项目负责人在采购人和财政监督下解密所有投标文件。并通过网上开标系统公布投标人名称、投标价格，以及采购中心认为合适的其它详细内容。 </w:t>
      </w:r>
    </w:p>
    <w:p w14:paraId="5A83282C">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19.4供应商不得以任何方式干扰、影响评标工作，供应商对上述做出保证，否则视为不响应招标文件实质性内容。</w:t>
      </w:r>
    </w:p>
    <w:p w14:paraId="71691C3C">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20、谈判小组 </w:t>
      </w:r>
    </w:p>
    <w:p w14:paraId="250F8367">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20.1采购人将根据所采购项目的特点组建谈判小组，其成员由采购方代表和技术、经济等方面的专家组成。谈判小组对谈判响应文件进行审查、质疑、评估和比较。 </w:t>
      </w:r>
    </w:p>
    <w:p w14:paraId="13B2864F">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21、谈判响应文件的审查 </w:t>
      </w:r>
    </w:p>
    <w:p w14:paraId="2E02F031">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21.1谈判开始后，谈判组织人将组织审查谈判响应文件是否完整，是否有计算错误，文件是否已恰当地签署。不按谈判文件规定要求的响应为无效响应，不同供应商在同一台计算上制作的响应文件，视为无效投标。 </w:t>
      </w:r>
    </w:p>
    <w:p w14:paraId="312135F7">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21.2在对谈判响应文件进行详细评估之前，谈判小组将依据谈判供应商提供的证明文件进行资格审查。如果确定谈判供应商不符合谈判文件对资格的要求，其谈判将被拒绝。 </w:t>
      </w:r>
    </w:p>
    <w:p w14:paraId="6E0F5F58">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21.3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 </w:t>
      </w:r>
    </w:p>
    <w:p w14:paraId="033D8F9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21.4谈判小组判断谈判文件的响应性仅基于谈判响应文件本身内容而不靠外部证据。 </w:t>
      </w:r>
    </w:p>
    <w:p w14:paraId="19A27D8C">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21.5谈判小组将拒绝被确定为非实质性响应的谈判供应商，谈判供应商不能通过修正或撤消不符之处而使其成为实质性响应的谈判供应商。 </w:t>
      </w:r>
    </w:p>
    <w:p w14:paraId="5C4B78A1">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21.6谈判小组允许修改谈判响应中不构成重大偏离的、微小的、非正规、不一致或不规则的地方。</w:t>
      </w:r>
    </w:p>
    <w:p w14:paraId="3E00210D">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21.7无效投标</w:t>
      </w:r>
    </w:p>
    <w:p w14:paraId="56F2F010">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遇到下列情况之一时,投标人的投标将被视为无效投标: </w:t>
      </w:r>
    </w:p>
    <w:p w14:paraId="220AEADE">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21.7.1投标文件无投标人公章和法人或者法人委托人的印章或签字的； </w:t>
      </w:r>
    </w:p>
    <w:p w14:paraId="16866367">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21.7.2投标文件未按照招标文件规定的格式填写，或者填写的内容不全，或者涂改处未加盖投标人公章及法人或法人授权的代理人的印章或签字的。</w:t>
      </w:r>
    </w:p>
    <w:p w14:paraId="74291454">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21.7.3投标文件中有两个及两个以上的方案进行投标的（招标文件另有规定的除外）；</w:t>
      </w:r>
    </w:p>
    <w:p w14:paraId="27220CC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21.7.4投标人资格条件不符合国家有关规定和招标文件要求的，或者拒不按照要求对投标文件进行澄清、说明或者补正的； </w:t>
      </w:r>
    </w:p>
    <w:p w14:paraId="37AB81CF">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21.7.5投标文件附有招标人不能接受的条件的； </w:t>
      </w:r>
    </w:p>
    <w:p w14:paraId="0C75A6FC">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21.7.6投标人以他人名义投标、串通投标、以行贿手段谋取中标或者以弄虚作假等方式投标的； </w:t>
      </w:r>
    </w:p>
    <w:p w14:paraId="51A4CFC1">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21.7.7经核实两个或两个以上投标人的投标文件有雷同或有抄袭行为的； </w:t>
      </w:r>
    </w:p>
    <w:p w14:paraId="40199FAD">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21.7.8投标人出现技术和参数不符合采购要求的及不响应谈判文件的； </w:t>
      </w:r>
    </w:p>
    <w:p w14:paraId="75D1DBEC">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21.7.9违反《中华人民共和国政府采购法》等法律的投标； </w:t>
      </w:r>
    </w:p>
    <w:p w14:paraId="22DFC0F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21.7.10不同供应商的电子投标（响应）文件上传计算机的网卡 MAC 地址、CPU序列号和硬盘序列号等硬件信息相同的; </w:t>
      </w:r>
    </w:p>
    <w:p w14:paraId="3CD4256F">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21.7.11不同供应商的投标（响应）文件由同一电子设备编制，打印、复印、加密或者上传的； </w:t>
      </w:r>
    </w:p>
    <w:p w14:paraId="26310B30">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21.7.12不同供应商的投标（响应）文件由同一人送达或者分发，或者不同供应商联系人为同一人或不同联系人的联系电话一致的； </w:t>
      </w:r>
    </w:p>
    <w:p w14:paraId="3B6A915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21.7.13不同供应商的投标（响应）文件的内容存在两处以上细节错误一致；</w:t>
      </w:r>
    </w:p>
    <w:p w14:paraId="0F307498">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21.7.14不同供应商的法定代表人、委托代理人、项目经理、项目负责人等由同一个单位缴纳社会保险或者领取报酬的； </w:t>
      </w:r>
    </w:p>
    <w:p w14:paraId="101803D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21.7.15不同供应商投标（响应）文件中法定代表人或者负责人签字出自同一人之手。 </w:t>
      </w:r>
    </w:p>
    <w:p w14:paraId="6E4AAC24">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21.7.16其它未响应招标文件而可能导致废标； </w:t>
      </w:r>
    </w:p>
    <w:p w14:paraId="72B99073">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21.7.17所有投标人的投标报价均超出采购人预算的； </w:t>
      </w:r>
    </w:p>
    <w:p w14:paraId="36C9AD46">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21.7.18具备合格投标人资格的公司不能将其资格授予下属公司使用参与投标的； </w:t>
      </w:r>
    </w:p>
    <w:p w14:paraId="3202FD98">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21.7.19</w:t>
      </w:r>
      <w:r>
        <w:rPr>
          <w:rFonts w:hint="eastAsia"/>
          <w:snapToGrid w:val="0"/>
          <w:sz w:val="24"/>
          <w:szCs w:val="24"/>
          <w:lang w:val="en-US"/>
        </w:rPr>
        <w:t>被授权人和法定代表人未附劳动合同的</w:t>
      </w:r>
      <w:r>
        <w:rPr>
          <w:snapToGrid w:val="0"/>
          <w:sz w:val="24"/>
          <w:szCs w:val="24"/>
          <w:lang w:val="en-US"/>
        </w:rPr>
        <w:t>；</w:t>
      </w:r>
    </w:p>
    <w:p w14:paraId="30C85C72">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21.7.20供应商提交的资料未标注“与原件一致”字样。</w:t>
      </w:r>
    </w:p>
    <w:p w14:paraId="2A651A0E">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21.7.21未提供近半年内已依法缴纳税收和社会保障资金的凭证（依法免税或不需要缴纳社会保障资金的供应商应提供相应证明文件；新成立公司自成立之日起提供）；</w:t>
      </w:r>
    </w:p>
    <w:p w14:paraId="26AEDEA8">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22、谈判文响应件的澄清 </w:t>
      </w:r>
    </w:p>
    <w:p w14:paraId="0C964037">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22.1为了有助于对谈判响应文件进行审查、评估和比较，谈判小组有权向谈判供应商质疑，请谈判供应商澄清其响应文件内容。谈判供应商有责任按照谈判小组通知的时间、地点、方式指派委托代理人进行答疑和澄清。 </w:t>
      </w:r>
    </w:p>
    <w:p w14:paraId="52967BD0">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22.2重要澄清的答复应是书面的，并由法定代表人或其委托代理人签字。 </w:t>
      </w:r>
    </w:p>
    <w:p w14:paraId="4DA80591">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22.3谈判供应商的澄清文件是其谈判响应文件的组成部分，并取代谈判响应文件中被澄清的部分。 </w:t>
      </w:r>
    </w:p>
    <w:p w14:paraId="17B17B8A">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22.4谈判响应文件的澄清不得对谈判响应内容进行实质性修改。 </w:t>
      </w:r>
    </w:p>
    <w:p w14:paraId="6AE3BC17">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23、谈判原则和方法 </w:t>
      </w:r>
    </w:p>
    <w:p w14:paraId="4A3AFAC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23.1坚持公平、公正的原则。 </w:t>
      </w:r>
    </w:p>
    <w:p w14:paraId="772CDDA0">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23.2谈判工作在谈判小组内独立进行，遵照谈判原则，按照谈判程序及方法公正、平等地对待所有谈判响应人。 </w:t>
      </w:r>
    </w:p>
    <w:p w14:paraId="54475488">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23.3谈判方法 </w:t>
      </w:r>
    </w:p>
    <w:p w14:paraId="3A534E51">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采用最低价评审法。响应文件满足谈判文件全部实质性要求的且报价最低的谈判供应商为中标人。 </w:t>
      </w:r>
    </w:p>
    <w:p w14:paraId="53A2AF3A">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谈判小组将分别与响应文件均能满足谈判文件实质性要求的供应商进行谈判，谈判采用二轮或多轮报价（谈判响应函上为第一轮报价）每轮的报价由供应商自定，谈判小组不作限制，但每次的报价不得高于上次报价（可以等于或小于）；供应商最终报价最低者为成交供应商。 </w:t>
      </w:r>
    </w:p>
    <w:p w14:paraId="1D9A58D1">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通过资格性审查和符合性审查的供应商须在谈判小组设定的时间内使用本单位CA证书在网上进行二次报价。 </w:t>
      </w:r>
    </w:p>
    <w:p w14:paraId="0FBBE42C">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24、保密及其它注意事项 </w:t>
      </w:r>
    </w:p>
    <w:p w14:paraId="308BD12E">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24.1谈判小组将对谈判响应文件中有关部分分别向谈判供应商进行询问，请各谈判供应商予以答复。重要或复杂问题回答后，须补充以书面形式，并经法定代表人或其委托代理人签署。回答文件将作为谈判响应文件的组成部分。 </w:t>
      </w:r>
    </w:p>
    <w:p w14:paraId="4132795F">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24.2在谈判期间，谈判供应商不得向谈判小组成员询问谈判情况，不得进行旨在影响谈判公正下交换意见。在谈判工作结束后，凡与谈判情况有接触的任何人不得也不应将谈判情况扩散出谈判人员之外。 </w:t>
      </w:r>
    </w:p>
    <w:p w14:paraId="08FD93DD">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24.3为保证谈判的公正性，谈判后直至授予成交供应商合同，谈判小组成员不得与谈判供应商私下交换意见。 </w:t>
      </w:r>
    </w:p>
    <w:p w14:paraId="5A5B1E4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24.4在谈判过程中，如有谈判供应商联合故意抬高报价或其他不正当行为， 谈判组织人有权终止谈判。 </w:t>
      </w:r>
    </w:p>
    <w:p w14:paraId="27D0CA1C">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24.5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6E536435">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24.6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4B44A991">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F、授予合同 </w:t>
      </w:r>
    </w:p>
    <w:p w14:paraId="04855334">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25、成交原则 </w:t>
      </w:r>
    </w:p>
    <w:p w14:paraId="7BB04B1A">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25.1严格按照谈判文件的要求和条件进行谈判，择优确定成交供应商。 </w:t>
      </w:r>
    </w:p>
    <w:p w14:paraId="763F2494">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25.2本次谈判，合同将授予符合谈判文件要求，能提供最佳服务、综合评价最优且报价最低的谈判供应商。 </w:t>
      </w:r>
    </w:p>
    <w:p w14:paraId="50FE6FF9">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26、成交通知 </w:t>
      </w:r>
    </w:p>
    <w:p w14:paraId="1E8FCBA6">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26.1成交供应商确定后，采购中心将成交结果在河南省政府采购网进行公告，在发出成交公告后请采购人、中标人登录周口市公共资源交易中心网（http://jyzx.zhoukou.gov.cn）自行下载成交通知书。</w:t>
      </w:r>
    </w:p>
    <w:p w14:paraId="5DBA9DAB">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27、质疑处理 </w:t>
      </w:r>
    </w:p>
    <w:p w14:paraId="13C37C03">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27.1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 </w:t>
      </w:r>
    </w:p>
    <w:p w14:paraId="65080C01">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27.2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 </w:t>
      </w:r>
    </w:p>
    <w:p w14:paraId="73DEB1C4">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28、签订合同 </w:t>
      </w:r>
    </w:p>
    <w:p w14:paraId="127CDBE8">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28.1</w:t>
      </w:r>
      <w:r>
        <w:rPr>
          <w:snapToGrid w:val="0"/>
          <w:sz w:val="24"/>
          <w:szCs w:val="24"/>
          <w:lang w:val="en-US"/>
        </w:rPr>
        <w:t>采购人通知领取成交通知书的7天内，必须进行领取，并尽快联系采购人签订合同，供应商对此项内容做出书面保证，否则为无效投标文件。</w:t>
      </w:r>
      <w:r>
        <w:rPr>
          <w:rFonts w:hint="eastAsia"/>
          <w:snapToGrid w:val="0"/>
          <w:sz w:val="24"/>
          <w:szCs w:val="24"/>
          <w:lang w:val="en-US"/>
        </w:rPr>
        <w:t xml:space="preserve">成交供应商应按照成交通知规定的时间、地点与采购人签订成交合同，否则给采购人造成损失的，谈判供应商还应承担赔偿责任。 </w:t>
      </w:r>
    </w:p>
    <w:p w14:paraId="2563BB02">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28.2履约保证金原则上不再缴纳，具体项目由采购人和成交供应商在签订合同时约定（履约完成后履约保证金将无息退还）。 </w:t>
      </w:r>
    </w:p>
    <w:p w14:paraId="7307FFBB">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28.3谈判组织人签发的成交通知书、谈判文件、成交供应商的谈判响应文件及其澄清文件等，均为签定合同的依据。 </w:t>
      </w:r>
    </w:p>
    <w:p w14:paraId="46E53159">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28.4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对上述作出保证。</w:t>
      </w:r>
    </w:p>
    <w:p w14:paraId="568B3A03">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28.5如最终用户或成交供应商拒签合同，则按违约处理。采购人对违约方收取成交金额一定数额的违约金（不超过成交金额的2%）。 </w:t>
      </w:r>
    </w:p>
    <w:p w14:paraId="5F8D93C0">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28.6如成交供应商拒签合同，采购人可依次递补下一名成交候选人或依法进行二次邀请谈判。 </w:t>
      </w:r>
    </w:p>
    <w:p w14:paraId="37A8FA57">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28.7合同未约定或者未经采购人同意，供应商需保证不得向他人转让中标项目，也不得将中标项目肢解后分别向他人转让。</w:t>
      </w:r>
    </w:p>
    <w:p w14:paraId="2185B38D">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28.8成交供应商应按照成交通知规定的时间、地点与采购人签订成交合同，否则给采购人造成损失的，谈判供应商还应承担赔偿责任。供应商在响应文件中必须提供承诺书，否则视为不响应招标文件实质性内容 。</w:t>
      </w:r>
    </w:p>
    <w:p w14:paraId="157C5BBA">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29未尽事宜 </w:t>
      </w:r>
    </w:p>
    <w:p w14:paraId="0B1C82AE">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 xml:space="preserve">29.1按《中华人民共和国政府采购法》、《政府采购非招标采购方式管理办法》及其他有关法律法规的规定执行。 </w:t>
      </w:r>
    </w:p>
    <w:p w14:paraId="1FD1E564">
      <w:pPr>
        <w:widowControl/>
        <w:kinsoku w:val="0"/>
        <w:adjustRightInd w:val="0"/>
        <w:snapToGrid w:val="0"/>
        <w:spacing w:line="360" w:lineRule="auto"/>
        <w:ind w:firstLine="482" w:firstLineChars="200"/>
        <w:textAlignment w:val="baseline"/>
        <w:rPr>
          <w:b/>
          <w:bCs/>
          <w:snapToGrid w:val="0"/>
          <w:sz w:val="24"/>
          <w:szCs w:val="24"/>
          <w:lang w:val="en-US"/>
        </w:rPr>
      </w:pPr>
      <w:r>
        <w:rPr>
          <w:rFonts w:hint="eastAsia"/>
          <w:b/>
          <w:bCs/>
          <w:snapToGrid w:val="0"/>
          <w:sz w:val="24"/>
          <w:szCs w:val="24"/>
          <w:lang w:val="en-US"/>
        </w:rPr>
        <w:t xml:space="preserve">30.解释权 </w:t>
      </w:r>
    </w:p>
    <w:p w14:paraId="1FF9F662">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本谈判文件的解释权属于采购人。</w:t>
      </w:r>
    </w:p>
    <w:p w14:paraId="7512AFB9">
      <w:pPr>
        <w:widowControl/>
        <w:autoSpaceDE/>
        <w:autoSpaceDN/>
        <w:rPr>
          <w:rFonts w:asciiTheme="minorEastAsia" w:hAnsiTheme="minorEastAsia" w:eastAsiaTheme="minorEastAsia"/>
          <w:b/>
          <w:bCs/>
          <w:sz w:val="32"/>
          <w:szCs w:val="32"/>
        </w:rPr>
      </w:pPr>
      <w:r>
        <w:rPr>
          <w:rFonts w:asciiTheme="minorEastAsia" w:hAnsiTheme="minorEastAsia" w:eastAsiaTheme="minorEastAsia"/>
        </w:rPr>
        <w:br w:type="page"/>
      </w:r>
    </w:p>
    <w:p w14:paraId="1C8524CD">
      <w:pPr>
        <w:pStyle w:val="3"/>
        <w:tabs>
          <w:tab w:val="left" w:pos="1607"/>
        </w:tabs>
        <w:spacing w:before="41"/>
        <w:rPr>
          <w:rFonts w:asciiTheme="minorEastAsia" w:hAnsiTheme="minorEastAsia" w:eastAsiaTheme="minorEastAsia"/>
        </w:rPr>
      </w:pPr>
      <w:bookmarkStart w:id="81" w:name="_Toc218688620"/>
      <w:r>
        <w:rPr>
          <w:rFonts w:hint="eastAsia" w:asciiTheme="minorEastAsia" w:hAnsiTheme="minorEastAsia" w:eastAsiaTheme="minorEastAsia"/>
        </w:rPr>
        <w:t>第三部分 谈判项目要求</w:t>
      </w:r>
      <w:bookmarkEnd w:id="81"/>
    </w:p>
    <w:p w14:paraId="128B6B69">
      <w:pPr>
        <w:pStyle w:val="9"/>
        <w:spacing w:before="4"/>
        <w:rPr>
          <w:rFonts w:asciiTheme="minorEastAsia" w:hAnsiTheme="minorEastAsia" w:eastAsiaTheme="minorEastAsia"/>
          <w:b/>
          <w:sz w:val="44"/>
        </w:rPr>
      </w:pPr>
    </w:p>
    <w:p w14:paraId="1F2E2090">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一、供应商资格要求：（见公告要求）</w:t>
      </w:r>
    </w:p>
    <w:p w14:paraId="769755D4">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二、除谈判文件有规定外，谈判供应商对项目只允许有一个报价，谈判组织人和采购人不接受有任何选择的报价响应。</w:t>
      </w:r>
    </w:p>
    <w:p w14:paraId="2561E3AC">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三、采购人与成交供应商应当在成交通知书发出之日起三十日内，按照采购文件确定的事项签订政府采购合同，并在合同签订后2个工作日内负责将合同及验收结果在河南省政府采购网进行公示。</w:t>
      </w:r>
    </w:p>
    <w:p w14:paraId="6720BA33">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四、服务地点：采购人指定地点。</w:t>
      </w:r>
    </w:p>
    <w:p w14:paraId="607D9D28">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五、验收：由采购人组织验收。</w:t>
      </w:r>
    </w:p>
    <w:p w14:paraId="40E968A4">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六、付款方式：</w:t>
      </w:r>
      <w:r>
        <w:rPr>
          <w:rFonts w:hint="eastAsia" w:asciiTheme="minorEastAsia" w:hAnsiTheme="minorEastAsia" w:eastAsiaTheme="minorEastAsia" w:cstheme="minorEastAsia"/>
          <w:sz w:val="24"/>
          <w:szCs w:val="24"/>
          <w:lang w:val="en-US"/>
        </w:rPr>
        <w:t>乙方履约完毕经验收合格手续齐全后，一次性支付全部服务费。</w:t>
      </w:r>
    </w:p>
    <w:p w14:paraId="10993C00">
      <w:pPr>
        <w:widowControl/>
        <w:kinsoku w:val="0"/>
        <w:adjustRightInd w:val="0"/>
        <w:snapToGrid w:val="0"/>
        <w:spacing w:line="360" w:lineRule="auto"/>
        <w:ind w:firstLine="480" w:firstLineChars="200"/>
        <w:textAlignment w:val="baseline"/>
        <w:rPr>
          <w:snapToGrid w:val="0"/>
          <w:sz w:val="24"/>
          <w:szCs w:val="24"/>
          <w:lang w:val="en-US"/>
        </w:rPr>
      </w:pPr>
      <w:r>
        <w:rPr>
          <w:rFonts w:hint="eastAsia"/>
          <w:snapToGrid w:val="0"/>
          <w:sz w:val="24"/>
          <w:szCs w:val="24"/>
          <w:lang w:val="en-US"/>
        </w:rPr>
        <w:t>七、本项目不接受联合体参与。</w:t>
      </w:r>
    </w:p>
    <w:p w14:paraId="66051BCB">
      <w:pPr>
        <w:widowControl/>
        <w:kinsoku w:val="0"/>
        <w:adjustRightInd w:val="0"/>
        <w:snapToGrid w:val="0"/>
        <w:spacing w:line="360" w:lineRule="auto"/>
        <w:ind w:firstLine="480" w:firstLineChars="200"/>
        <w:textAlignment w:val="baseline"/>
        <w:rPr>
          <w:snapToGrid w:val="0"/>
          <w:sz w:val="24"/>
          <w:szCs w:val="24"/>
          <w:lang w:val="en-US"/>
        </w:rPr>
      </w:pPr>
      <w:r>
        <w:rPr>
          <w:snapToGrid w:val="0"/>
          <w:sz w:val="24"/>
          <w:szCs w:val="24"/>
          <w:lang w:val="en-US"/>
        </w:rPr>
        <w:t>八</w:t>
      </w:r>
      <w:r>
        <w:rPr>
          <w:rFonts w:hint="eastAsia"/>
          <w:snapToGrid w:val="0"/>
          <w:sz w:val="24"/>
          <w:szCs w:val="24"/>
          <w:lang w:val="en-US"/>
        </w:rPr>
        <w:t>、</w:t>
      </w:r>
      <w:r>
        <w:rPr>
          <w:snapToGrid w:val="0"/>
          <w:sz w:val="24"/>
          <w:szCs w:val="24"/>
          <w:lang w:val="en-US"/>
        </w:rPr>
        <w:t>其他要求</w:t>
      </w:r>
      <w:r>
        <w:rPr>
          <w:rFonts w:hint="eastAsia"/>
          <w:snapToGrid w:val="0"/>
          <w:sz w:val="24"/>
          <w:szCs w:val="24"/>
          <w:lang w:val="en-US"/>
        </w:rPr>
        <w:t>：供应商对其提供的产品出具《关于符合本国产品标准的声明函》或财政部会同有关部门规定的有关证明文件。</w:t>
      </w:r>
    </w:p>
    <w:p w14:paraId="38E25C07">
      <w:pPr>
        <w:pStyle w:val="16"/>
        <w:ind w:firstLine="2249" w:firstLineChars="700"/>
        <w:rPr>
          <w:rFonts w:asciiTheme="minorEastAsia" w:hAnsiTheme="minorEastAsia" w:eastAsiaTheme="minorEastAsia"/>
          <w:b/>
          <w:bCs/>
          <w:sz w:val="32"/>
          <w:szCs w:val="32"/>
          <w:lang w:val="en-US"/>
        </w:rPr>
      </w:pPr>
    </w:p>
    <w:p w14:paraId="373D1D30">
      <w:pPr>
        <w:pStyle w:val="16"/>
        <w:rPr>
          <w:rFonts w:asciiTheme="minorEastAsia" w:hAnsiTheme="minorEastAsia" w:eastAsiaTheme="minorEastAsia"/>
          <w:b/>
          <w:bCs/>
          <w:sz w:val="32"/>
          <w:szCs w:val="32"/>
          <w:lang w:val="en-US"/>
        </w:rPr>
      </w:pPr>
    </w:p>
    <w:p w14:paraId="1A50FA10">
      <w:pPr>
        <w:rPr>
          <w:rFonts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365E0878">
      <w:pPr>
        <w:pStyle w:val="3"/>
        <w:tabs>
          <w:tab w:val="left" w:pos="1607"/>
        </w:tabs>
        <w:spacing w:before="41"/>
        <w:rPr>
          <w:rFonts w:asciiTheme="minorEastAsia" w:hAnsiTheme="minorEastAsia" w:eastAsiaTheme="minorEastAsia"/>
        </w:rPr>
      </w:pPr>
      <w:bookmarkStart w:id="82" w:name="_Toc218688621"/>
      <w:r>
        <w:rPr>
          <w:rFonts w:hint="eastAsia" w:asciiTheme="minorEastAsia" w:hAnsiTheme="minorEastAsia" w:eastAsiaTheme="minorEastAsia"/>
          <w:lang w:val="en-US"/>
        </w:rPr>
        <w:t xml:space="preserve">第四部分 </w:t>
      </w:r>
      <w:r>
        <w:rPr>
          <w:rFonts w:hint="eastAsia" w:asciiTheme="minorEastAsia" w:hAnsiTheme="minorEastAsia" w:eastAsiaTheme="minorEastAsia"/>
        </w:rPr>
        <w:t>项目内容及技术要求</w:t>
      </w:r>
      <w:bookmarkEnd w:id="82"/>
    </w:p>
    <w:p w14:paraId="15AC96FE"/>
    <w:p w14:paraId="57B3F5A6">
      <w:pPr>
        <w:autoSpaceDE/>
        <w:autoSpaceDN/>
        <w:spacing w:after="120" w:line="480" w:lineRule="auto"/>
        <w:ind w:firstLine="560" w:firstLineChars="200"/>
        <w:rPr>
          <w:kern w:val="2"/>
          <w:sz w:val="28"/>
          <w:szCs w:val="28"/>
          <w:lang w:val="en-US" w:bidi="ar-SA"/>
        </w:rPr>
      </w:pPr>
      <w:bookmarkStart w:id="83" w:name="第五部分__谈判文件格式"/>
      <w:bookmarkEnd w:id="83"/>
      <w:bookmarkStart w:id="84" w:name="_Toc218688622"/>
      <w:r>
        <w:rPr>
          <w:rFonts w:hint="eastAsia"/>
          <w:sz w:val="28"/>
          <w:szCs w:val="28"/>
        </w:rPr>
        <w:t>鹿邑县人民医院合理用药整体解决方案项目,</w:t>
      </w:r>
      <w:r>
        <w:rPr>
          <w:rFonts w:hint="eastAsia"/>
          <w:kern w:val="2"/>
          <w:sz w:val="28"/>
          <w:szCs w:val="28"/>
          <w:lang w:val="en-US" w:bidi="ar-SA"/>
        </w:rPr>
        <w:t>相关系统</w:t>
      </w:r>
      <w:r>
        <w:rPr>
          <w:kern w:val="2"/>
          <w:sz w:val="28"/>
          <w:szCs w:val="28"/>
          <w:lang w:val="en-US" w:bidi="ar-SA"/>
        </w:rPr>
        <w:t>技术规格参数</w:t>
      </w:r>
      <w:r>
        <w:rPr>
          <w:rFonts w:hint="eastAsia"/>
          <w:kern w:val="2"/>
          <w:sz w:val="28"/>
          <w:szCs w:val="28"/>
          <w:lang w:val="en-US" w:bidi="ar-SA"/>
        </w:rPr>
        <w:t>如下：</w:t>
      </w:r>
      <w:bookmarkStart w:id="85" w:name="_Hlk130221285"/>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748"/>
        <w:gridCol w:w="6033"/>
      </w:tblGrid>
      <w:tr w14:paraId="7660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8EAF281">
            <w:pPr>
              <w:autoSpaceDE/>
              <w:autoSpaceDN/>
              <w:jc w:val="both"/>
              <w:rPr>
                <w:rFonts w:cs="Times New Roman"/>
                <w:kern w:val="2"/>
                <w:sz w:val="21"/>
                <w:szCs w:val="24"/>
                <w:lang w:val="en-US" w:bidi="ar-SA"/>
              </w:rPr>
            </w:pPr>
            <w:r>
              <w:rPr>
                <w:rFonts w:cs="Times New Roman"/>
                <w:kern w:val="2"/>
                <w:sz w:val="21"/>
                <w:szCs w:val="24"/>
                <w:lang w:val="en-US" w:bidi="ar-SA"/>
              </w:rPr>
              <w:t>序号</w:t>
            </w:r>
          </w:p>
        </w:tc>
        <w:tc>
          <w:tcPr>
            <w:tcW w:w="1748" w:type="dxa"/>
            <w:vAlign w:val="center"/>
          </w:tcPr>
          <w:p w14:paraId="353D9D2D">
            <w:pPr>
              <w:autoSpaceDE/>
              <w:autoSpaceDN/>
              <w:jc w:val="both"/>
              <w:rPr>
                <w:rFonts w:cs="Times New Roman"/>
                <w:kern w:val="2"/>
                <w:sz w:val="21"/>
                <w:szCs w:val="24"/>
                <w:lang w:val="en-US" w:bidi="ar-SA"/>
              </w:rPr>
            </w:pPr>
            <w:r>
              <w:rPr>
                <w:rFonts w:cs="Times New Roman"/>
                <w:kern w:val="2"/>
                <w:sz w:val="21"/>
                <w:szCs w:val="24"/>
                <w:lang w:val="en-US" w:bidi="ar-SA"/>
              </w:rPr>
              <w:t>子项</w:t>
            </w:r>
          </w:p>
        </w:tc>
        <w:tc>
          <w:tcPr>
            <w:tcW w:w="6033" w:type="dxa"/>
            <w:vAlign w:val="center"/>
          </w:tcPr>
          <w:p w14:paraId="08E5E7C3">
            <w:pPr>
              <w:autoSpaceDE/>
              <w:autoSpaceDN/>
              <w:jc w:val="both"/>
              <w:rPr>
                <w:rFonts w:cs="Times New Roman"/>
                <w:kern w:val="2"/>
                <w:sz w:val="21"/>
                <w:szCs w:val="24"/>
                <w:lang w:val="en-US" w:bidi="ar-SA"/>
              </w:rPr>
            </w:pPr>
            <w:r>
              <w:rPr>
                <w:rFonts w:cs="Times New Roman"/>
                <w:kern w:val="2"/>
                <w:sz w:val="21"/>
                <w:szCs w:val="24"/>
                <w:lang w:val="en-US" w:bidi="ar-SA"/>
              </w:rPr>
              <w:t>详细要求</w:t>
            </w:r>
          </w:p>
        </w:tc>
      </w:tr>
      <w:tr w14:paraId="042A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7" w:type="dxa"/>
            <w:gridSpan w:val="3"/>
            <w:vAlign w:val="center"/>
          </w:tcPr>
          <w:p w14:paraId="0F2BF141">
            <w:pPr>
              <w:autoSpaceDE/>
              <w:autoSpaceDN/>
              <w:jc w:val="both"/>
              <w:rPr>
                <w:rFonts w:cs="Arial"/>
                <w:b/>
                <w:bCs/>
                <w:kern w:val="2"/>
                <w:sz w:val="21"/>
                <w:szCs w:val="24"/>
                <w:lang w:val="en-US" w:bidi="ar-SA"/>
              </w:rPr>
            </w:pPr>
            <w:r>
              <w:rPr>
                <w:rFonts w:hint="eastAsia" w:cs="Arial"/>
                <w:b/>
                <w:bCs/>
                <w:kern w:val="2"/>
                <w:sz w:val="21"/>
                <w:szCs w:val="24"/>
                <w:lang w:val="en-US" w:bidi="ar-SA"/>
              </w:rPr>
              <w:t>系统审查功能要求</w:t>
            </w:r>
          </w:p>
        </w:tc>
      </w:tr>
      <w:tr w14:paraId="5C2F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4D66692">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2B1B92D4">
            <w:pPr>
              <w:autoSpaceDE/>
              <w:autoSpaceDN/>
              <w:ind w:left="106" w:leftChars="48"/>
              <w:jc w:val="both"/>
              <w:rPr>
                <w:rFonts w:cs="Times New Roman"/>
                <w:kern w:val="2"/>
                <w:sz w:val="21"/>
                <w:szCs w:val="24"/>
                <w:lang w:val="en-US" w:bidi="ar-SA"/>
              </w:rPr>
            </w:pPr>
            <w:r>
              <w:rPr>
                <w:rFonts w:hint="eastAsia" w:cs="Times New Roman"/>
                <w:kern w:val="2"/>
                <w:sz w:val="21"/>
                <w:szCs w:val="24"/>
                <w:lang w:val="en-US" w:bidi="ar-SA"/>
              </w:rPr>
              <w:t>处方（医嘱）用药审查功能</w:t>
            </w:r>
          </w:p>
        </w:tc>
        <w:tc>
          <w:tcPr>
            <w:tcW w:w="6033" w:type="dxa"/>
            <w:vAlign w:val="center"/>
          </w:tcPr>
          <w:p w14:paraId="37287BB7">
            <w:pPr>
              <w:widowControl/>
              <w:autoSpaceDE/>
              <w:autoSpaceDN/>
              <w:jc w:val="both"/>
              <w:rPr>
                <w:rFonts w:cs="Arial"/>
                <w:kern w:val="2"/>
                <w:sz w:val="21"/>
                <w:szCs w:val="24"/>
                <w:lang w:val="en-US" w:bidi="ar-SA"/>
              </w:rPr>
            </w:pPr>
            <w:r>
              <w:rPr>
                <w:rFonts w:hint="eastAsia" w:cs="Arial"/>
                <w:kern w:val="2"/>
                <w:sz w:val="21"/>
                <w:szCs w:val="24"/>
                <w:lang w:val="en-US" w:bidi="ar-SA"/>
              </w:rPr>
              <w:t>系统应能对处方（医嘱）用药进行剂量审查、累积剂量审查、超多日用量审查、给药途径审查、相互作用审查、体外注射剂配伍审查、配伍浓度审查、钾离子监测、TPN处方审查、门诊输液审查、禁忌症审查、不良反应审查、特殊人群（儿童、成人、老人、妊娠、哺乳、性别）用药审查、重复用药（重复成分、重复治疗）审查、适应症审查、药物过敏审查、药物检验值审查、规范性审查、医保审查、监测指标审查、越权用药审查、围术期用药审查，并提示医生。</w:t>
            </w:r>
          </w:p>
          <w:p w14:paraId="521E7118">
            <w:pPr>
              <w:widowControl/>
              <w:numPr>
                <w:ilvl w:val="1"/>
                <w:numId w:val="2"/>
              </w:numPr>
              <w:autoSpaceDE/>
              <w:autoSpaceDN/>
              <w:spacing w:line="360" w:lineRule="auto"/>
              <w:jc w:val="both"/>
              <w:rPr>
                <w:rFonts w:cs="Arial"/>
                <w:kern w:val="2"/>
                <w:sz w:val="24"/>
                <w:szCs w:val="24"/>
                <w:lang w:val="en-US" w:bidi="ar-SA"/>
              </w:rPr>
            </w:pPr>
            <w:r>
              <w:rPr>
                <w:rFonts w:hint="eastAsia" w:cs="Arial"/>
                <w:kern w:val="2"/>
                <w:sz w:val="24"/>
                <w:szCs w:val="24"/>
                <w:lang w:val="en-US" w:bidi="ar-SA"/>
              </w:rPr>
              <w:t>住院医嘱支持用药天数预警，提醒医生及时调整用药方案。</w:t>
            </w:r>
          </w:p>
          <w:p w14:paraId="4C6EC826">
            <w:pPr>
              <w:widowControl/>
              <w:numPr>
                <w:ilvl w:val="1"/>
                <w:numId w:val="2"/>
              </w:numPr>
              <w:autoSpaceDE/>
              <w:autoSpaceDN/>
              <w:spacing w:line="360" w:lineRule="auto"/>
              <w:jc w:val="both"/>
              <w:rPr>
                <w:rFonts w:cs="Arial"/>
                <w:kern w:val="2"/>
                <w:sz w:val="24"/>
                <w:szCs w:val="24"/>
                <w:lang w:val="en-US" w:bidi="ar-SA"/>
              </w:rPr>
            </w:pPr>
            <w:r>
              <w:rPr>
                <w:rFonts w:hint="eastAsia" w:cs="Arial"/>
                <w:kern w:val="2"/>
                <w:sz w:val="24"/>
                <w:szCs w:val="24"/>
                <w:lang w:val="en-US" w:bidi="ar-SA"/>
              </w:rPr>
              <w:t>超多日用量审查可结合退费情况，管控提前取药患者药量累计持有天数。</w:t>
            </w:r>
          </w:p>
          <w:p w14:paraId="22817FCD">
            <w:pPr>
              <w:widowControl/>
              <w:numPr>
                <w:ilvl w:val="1"/>
                <w:numId w:val="2"/>
              </w:numPr>
              <w:autoSpaceDE/>
              <w:autoSpaceDN/>
              <w:spacing w:line="360" w:lineRule="auto"/>
              <w:jc w:val="both"/>
              <w:rPr>
                <w:rFonts w:cs="Arial"/>
                <w:kern w:val="2"/>
                <w:sz w:val="24"/>
                <w:szCs w:val="24"/>
                <w:lang w:val="en-US" w:bidi="ar-SA"/>
              </w:rPr>
            </w:pPr>
            <w:r>
              <w:rPr>
                <w:rFonts w:hint="eastAsia" w:cs="Arial"/>
                <w:kern w:val="2"/>
                <w:sz w:val="24"/>
                <w:szCs w:val="24"/>
                <w:lang w:val="en-US" w:bidi="ar-SA"/>
              </w:rPr>
              <w:t>利用大数据分析，自动生成药品品种单次异常剂量审查规则。</w:t>
            </w:r>
          </w:p>
          <w:p w14:paraId="47CBFE14">
            <w:pPr>
              <w:widowControl/>
              <w:numPr>
                <w:ilvl w:val="1"/>
                <w:numId w:val="2"/>
              </w:numPr>
              <w:autoSpaceDE/>
              <w:autoSpaceDN/>
              <w:spacing w:line="360" w:lineRule="auto"/>
              <w:jc w:val="both"/>
              <w:rPr>
                <w:rFonts w:cs="Arial"/>
                <w:kern w:val="2"/>
                <w:sz w:val="24"/>
                <w:szCs w:val="24"/>
                <w:lang w:val="en-US" w:bidi="ar-SA"/>
              </w:rPr>
            </w:pPr>
            <w:r>
              <w:rPr>
                <w:rFonts w:hint="eastAsia" w:cs="Arial"/>
                <w:kern w:val="2"/>
                <w:sz w:val="24"/>
                <w:szCs w:val="24"/>
                <w:lang w:val="en-US" w:bidi="ar-SA"/>
              </w:rPr>
              <w:t>相互作用联合审查可排除已服用完毕的药品。</w:t>
            </w:r>
          </w:p>
        </w:tc>
      </w:tr>
      <w:tr w14:paraId="3D4F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BC7024A">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29C002FB">
            <w:pPr>
              <w:autoSpaceDE/>
              <w:autoSpaceDN/>
              <w:jc w:val="both"/>
              <w:rPr>
                <w:rFonts w:cs="Times New Roman"/>
                <w:kern w:val="2"/>
                <w:sz w:val="21"/>
                <w:szCs w:val="24"/>
                <w:lang w:val="en-US" w:bidi="ar-SA"/>
              </w:rPr>
            </w:pPr>
            <w:r>
              <w:rPr>
                <w:rFonts w:hint="eastAsia" w:cs="Arial"/>
                <w:kern w:val="2"/>
                <w:sz w:val="21"/>
                <w:szCs w:val="24"/>
                <w:lang w:val="en-US" w:bidi="ar-SA"/>
              </w:rPr>
              <w:t>药品信息提示功能</w:t>
            </w:r>
          </w:p>
        </w:tc>
        <w:tc>
          <w:tcPr>
            <w:tcW w:w="6033" w:type="dxa"/>
            <w:vAlign w:val="center"/>
          </w:tcPr>
          <w:p w14:paraId="64B1AEE6">
            <w:pPr>
              <w:numPr>
                <w:ilvl w:val="3"/>
                <w:numId w:val="0"/>
              </w:numPr>
              <w:autoSpaceDE/>
              <w:autoSpaceDN/>
              <w:adjustRightInd w:val="0"/>
              <w:snapToGrid w:val="0"/>
              <w:spacing w:beforeLines="25" w:afterLines="25" w:line="360" w:lineRule="auto"/>
              <w:jc w:val="both"/>
              <w:outlineLvl w:val="3"/>
              <w:rPr>
                <w:rFonts w:cs="Arial"/>
                <w:kern w:val="2"/>
                <w:sz w:val="24"/>
                <w:szCs w:val="24"/>
                <w:lang w:val="en-US" w:bidi="ar-SA"/>
              </w:rPr>
            </w:pPr>
            <w:r>
              <w:rPr>
                <w:rFonts w:hint="eastAsia" w:cs="Arial"/>
                <w:kern w:val="2"/>
                <w:sz w:val="24"/>
                <w:szCs w:val="24"/>
                <w:lang w:val="en-US" w:bidi="ar-SA"/>
              </w:rPr>
              <w:t>可快捷查看药品相关重要信息；药品厂家说明书，并可查看药监局发布的说明书修订勘误，修改和新增药品说明书内容；▲查询相应药品的中药材专论信息。</w:t>
            </w:r>
          </w:p>
        </w:tc>
      </w:tr>
      <w:tr w14:paraId="22D75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0D56648">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0521FD84">
            <w:pPr>
              <w:autoSpaceDE/>
              <w:autoSpaceDN/>
              <w:jc w:val="both"/>
              <w:rPr>
                <w:rFonts w:cs="Times New Roman"/>
                <w:kern w:val="2"/>
                <w:sz w:val="21"/>
                <w:szCs w:val="24"/>
                <w:lang w:val="en-US" w:bidi="ar-SA"/>
              </w:rPr>
            </w:pPr>
            <w:r>
              <w:rPr>
                <w:rFonts w:hint="eastAsia" w:cs="Arial"/>
                <w:kern w:val="2"/>
                <w:sz w:val="21"/>
                <w:szCs w:val="24"/>
                <w:lang w:val="en-US" w:bidi="ar-SA"/>
              </w:rPr>
              <w:t>质子泵抑制药专项管控</w:t>
            </w:r>
          </w:p>
        </w:tc>
        <w:tc>
          <w:tcPr>
            <w:tcW w:w="6033" w:type="dxa"/>
            <w:vAlign w:val="center"/>
          </w:tcPr>
          <w:p w14:paraId="188E26A9">
            <w:pPr>
              <w:keepNext/>
              <w:keepLines/>
              <w:numPr>
                <w:ilvl w:val="0"/>
                <w:numId w:val="3"/>
              </w:numPr>
              <w:tabs>
                <w:tab w:val="left" w:pos="312"/>
              </w:tabs>
              <w:autoSpaceDE/>
              <w:autoSpaceDN/>
              <w:adjustRightInd w:val="0"/>
              <w:snapToGrid w:val="0"/>
              <w:spacing w:beforeLines="25" w:afterLines="25" w:line="360" w:lineRule="auto"/>
              <w:ind w:left="0" w:hanging="154"/>
              <w:jc w:val="both"/>
              <w:outlineLvl w:val="3"/>
              <w:rPr>
                <w:rFonts w:cs="Arial"/>
                <w:bCs/>
                <w:kern w:val="2"/>
                <w:sz w:val="24"/>
                <w:szCs w:val="24"/>
                <w:lang w:val="en-US" w:bidi="ar-SA"/>
              </w:rPr>
            </w:pPr>
            <w:r>
              <w:rPr>
                <w:rFonts w:hint="eastAsia" w:cs="Arial"/>
                <w:kern w:val="2"/>
                <w:sz w:val="24"/>
                <w:szCs w:val="24"/>
                <w:lang w:val="en-US" w:bidi="ar-SA"/>
              </w:rPr>
              <w:t>▲</w:t>
            </w:r>
            <w:r>
              <w:rPr>
                <w:rFonts w:hint="eastAsia" w:cs="Arial"/>
                <w:bCs/>
                <w:kern w:val="2"/>
                <w:sz w:val="24"/>
                <w:szCs w:val="24"/>
                <w:lang w:val="en-US" w:bidi="ar-SA"/>
              </w:rPr>
              <w:t>医生开具质子泵抑制剂药品时，需填写用药评估单。提供评估单专项统计分析。</w:t>
            </w:r>
          </w:p>
          <w:p w14:paraId="3751DB60">
            <w:pPr>
              <w:keepNext/>
              <w:keepLines/>
              <w:numPr>
                <w:ilvl w:val="0"/>
                <w:numId w:val="3"/>
              </w:numPr>
              <w:tabs>
                <w:tab w:val="left" w:pos="312"/>
              </w:tabs>
              <w:autoSpaceDE/>
              <w:autoSpaceDN/>
              <w:adjustRightInd w:val="0"/>
              <w:snapToGrid w:val="0"/>
              <w:spacing w:beforeLines="25" w:afterLines="25" w:line="360" w:lineRule="auto"/>
              <w:ind w:left="0" w:hanging="154"/>
              <w:jc w:val="both"/>
              <w:outlineLvl w:val="3"/>
              <w:rPr>
                <w:rFonts w:cs="Arial"/>
                <w:bCs/>
                <w:kern w:val="2"/>
                <w:sz w:val="24"/>
                <w:szCs w:val="24"/>
                <w:lang w:val="en-US" w:bidi="ar-SA"/>
              </w:rPr>
            </w:pPr>
            <w:r>
              <w:rPr>
                <w:rFonts w:hint="eastAsia" w:cs="Arial"/>
                <w:kern w:val="2"/>
                <w:sz w:val="24"/>
                <w:szCs w:val="24"/>
                <w:lang w:val="en-US" w:bidi="ar-SA"/>
              </w:rPr>
              <w:t>▲</w:t>
            </w:r>
            <w:r>
              <w:rPr>
                <w:rFonts w:hint="eastAsia" w:cs="Arial"/>
                <w:bCs/>
                <w:kern w:val="2"/>
                <w:sz w:val="24"/>
                <w:szCs w:val="24"/>
                <w:lang w:val="en-US" w:bidi="ar-SA"/>
              </w:rPr>
              <w:t>系统可评估患者病生状态，若存在应激性溃疡风险，提供质子泵抑制剂用药建议。</w:t>
            </w:r>
          </w:p>
          <w:p w14:paraId="68B2BA22">
            <w:pPr>
              <w:keepNext/>
              <w:keepLines/>
              <w:numPr>
                <w:ilvl w:val="0"/>
                <w:numId w:val="3"/>
              </w:numPr>
              <w:tabs>
                <w:tab w:val="left" w:pos="312"/>
              </w:tabs>
              <w:autoSpaceDE/>
              <w:autoSpaceDN/>
              <w:adjustRightInd w:val="0"/>
              <w:snapToGrid w:val="0"/>
              <w:spacing w:beforeLines="25" w:afterLines="25" w:line="360" w:lineRule="auto"/>
              <w:ind w:left="0" w:hanging="154"/>
              <w:jc w:val="both"/>
              <w:outlineLvl w:val="3"/>
              <w:rPr>
                <w:rFonts w:cs="Times New Roman"/>
                <w:b/>
                <w:bCs/>
                <w:kern w:val="2"/>
                <w:sz w:val="24"/>
                <w:szCs w:val="24"/>
                <w:lang w:val="en-US" w:bidi="ar-SA"/>
              </w:rPr>
            </w:pPr>
            <w:r>
              <w:rPr>
                <w:rFonts w:hint="eastAsia" w:cs="Arial"/>
                <w:bCs/>
                <w:kern w:val="2"/>
                <w:sz w:val="24"/>
                <w:szCs w:val="24"/>
                <w:lang w:val="en-US" w:bidi="ar-SA"/>
              </w:rPr>
              <w:t>围术期不合理使用质子泵抑制剂时，系统可警示医生。</w:t>
            </w:r>
          </w:p>
        </w:tc>
      </w:tr>
      <w:tr w14:paraId="4F9FB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D6A85A8">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7FFDB927">
            <w:pPr>
              <w:autoSpaceDE/>
              <w:autoSpaceDN/>
              <w:jc w:val="both"/>
              <w:rPr>
                <w:rFonts w:cs="Arial"/>
                <w:kern w:val="2"/>
                <w:sz w:val="21"/>
                <w:szCs w:val="24"/>
                <w:lang w:val="en-US" w:bidi="ar-SA"/>
              </w:rPr>
            </w:pPr>
            <w:r>
              <w:rPr>
                <w:rFonts w:hint="eastAsia" w:cs="Arial"/>
                <w:kern w:val="2"/>
                <w:sz w:val="21"/>
                <w:szCs w:val="24"/>
                <w:lang w:val="en-US" w:bidi="ar-SA"/>
              </w:rPr>
              <w:t>协定方专项管控</w:t>
            </w:r>
          </w:p>
        </w:tc>
        <w:tc>
          <w:tcPr>
            <w:tcW w:w="6033" w:type="dxa"/>
            <w:vAlign w:val="center"/>
          </w:tcPr>
          <w:p w14:paraId="2826E513">
            <w:pPr>
              <w:keepNext/>
              <w:keepLines/>
              <w:numPr>
                <w:ilvl w:val="3"/>
                <w:numId w:val="0"/>
              </w:numPr>
              <w:autoSpaceDE/>
              <w:autoSpaceDN/>
              <w:adjustRightInd w:val="0"/>
              <w:snapToGrid w:val="0"/>
              <w:spacing w:beforeLines="25" w:afterLines="25" w:line="360" w:lineRule="auto"/>
              <w:jc w:val="both"/>
              <w:outlineLvl w:val="3"/>
              <w:rPr>
                <w:rFonts w:cs="Arial"/>
                <w:kern w:val="2"/>
                <w:sz w:val="24"/>
                <w:szCs w:val="24"/>
                <w:lang w:val="en-US" w:bidi="ar-SA"/>
              </w:rPr>
            </w:pPr>
            <w:r>
              <w:rPr>
                <w:rFonts w:hint="eastAsia" w:cs="Arial"/>
                <w:kern w:val="2"/>
                <w:sz w:val="24"/>
                <w:szCs w:val="24"/>
                <w:lang w:val="en-US" w:bidi="ar-SA"/>
              </w:rPr>
              <w:t>系统提供医院中药协定方证型适宜性审查。</w:t>
            </w:r>
          </w:p>
        </w:tc>
      </w:tr>
      <w:tr w14:paraId="4389A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267E939">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62001AB9">
            <w:pPr>
              <w:autoSpaceDE/>
              <w:autoSpaceDN/>
              <w:jc w:val="both"/>
              <w:rPr>
                <w:rFonts w:cs="Times New Roman"/>
                <w:kern w:val="2"/>
                <w:sz w:val="21"/>
                <w:szCs w:val="24"/>
                <w:lang w:val="en-US" w:bidi="ar-SA"/>
              </w:rPr>
            </w:pPr>
            <w:r>
              <w:rPr>
                <w:rFonts w:hint="eastAsia" w:cs="Times New Roman"/>
                <w:kern w:val="2"/>
                <w:sz w:val="21"/>
                <w:szCs w:val="24"/>
                <w:lang w:val="en-US" w:bidi="ar-SA"/>
              </w:rPr>
              <w:t>经验性用药专项管控</w:t>
            </w:r>
          </w:p>
        </w:tc>
        <w:tc>
          <w:tcPr>
            <w:tcW w:w="6033" w:type="dxa"/>
            <w:vAlign w:val="center"/>
          </w:tcPr>
          <w:p w14:paraId="4B7C9736">
            <w:pPr>
              <w:keepNext/>
              <w:keepLines/>
              <w:numPr>
                <w:ilvl w:val="3"/>
                <w:numId w:val="0"/>
              </w:numPr>
              <w:autoSpaceDE/>
              <w:autoSpaceDN/>
              <w:adjustRightInd w:val="0"/>
              <w:snapToGrid w:val="0"/>
              <w:spacing w:beforeLines="25" w:afterLines="25" w:line="360" w:lineRule="auto"/>
              <w:jc w:val="both"/>
              <w:outlineLvl w:val="3"/>
              <w:rPr>
                <w:rFonts w:cs="Arial"/>
                <w:bCs/>
                <w:kern w:val="2"/>
                <w:sz w:val="24"/>
                <w:szCs w:val="24"/>
                <w:lang w:val="en-US" w:bidi="ar-SA"/>
              </w:rPr>
            </w:pPr>
            <w:r>
              <w:rPr>
                <w:rFonts w:hint="eastAsia" w:cs="Arial"/>
                <w:bCs/>
                <w:kern w:val="2"/>
                <w:sz w:val="24"/>
                <w:szCs w:val="24"/>
                <w:lang w:val="en-US" w:bidi="ar-SA"/>
              </w:rPr>
              <w:t>系统提供抗肿瘤药物过敏反应预处理用药合理性审查。</w:t>
            </w:r>
          </w:p>
        </w:tc>
      </w:tr>
      <w:tr w14:paraId="2AD0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B96AA9A">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4D6304B6">
            <w:pPr>
              <w:autoSpaceDE/>
              <w:autoSpaceDN/>
              <w:jc w:val="both"/>
              <w:rPr>
                <w:rFonts w:cs="Times New Roman"/>
                <w:kern w:val="2"/>
                <w:sz w:val="21"/>
                <w:szCs w:val="24"/>
                <w:lang w:val="en-US" w:bidi="ar-SA"/>
              </w:rPr>
            </w:pPr>
            <w:r>
              <w:rPr>
                <w:rFonts w:hint="eastAsia" w:cs="Times New Roman"/>
                <w:kern w:val="2"/>
                <w:sz w:val="21"/>
                <w:szCs w:val="24"/>
                <w:lang w:val="en-US" w:bidi="ar-SA"/>
              </w:rPr>
              <w:t>抗菌药物专项管控</w:t>
            </w:r>
          </w:p>
        </w:tc>
        <w:tc>
          <w:tcPr>
            <w:tcW w:w="6033" w:type="dxa"/>
            <w:vAlign w:val="center"/>
          </w:tcPr>
          <w:p w14:paraId="3C8AF30D">
            <w:pPr>
              <w:numPr>
                <w:ilvl w:val="0"/>
                <w:numId w:val="4"/>
              </w:numPr>
              <w:autoSpaceDE/>
              <w:autoSpaceDN/>
              <w:spacing w:line="360" w:lineRule="auto"/>
              <w:ind w:left="0" w:firstLine="0"/>
              <w:jc w:val="both"/>
              <w:rPr>
                <w:rFonts w:cs="Times New Roman"/>
                <w:kern w:val="2"/>
                <w:sz w:val="24"/>
                <w:szCs w:val="24"/>
                <w:lang w:val="en-US" w:bidi="ar-SA"/>
              </w:rPr>
            </w:pPr>
            <w:r>
              <w:rPr>
                <w:rFonts w:hint="eastAsia" w:cs="Times New Roman"/>
                <w:kern w:val="2"/>
                <w:sz w:val="24"/>
                <w:szCs w:val="24"/>
                <w:lang w:val="en-US" w:bidi="ar-SA"/>
              </w:rPr>
              <w:t>医生开具预防用抗菌药物时，需填写用药评估单，评估单区分非手术预防用药和手术预防用药。</w:t>
            </w:r>
          </w:p>
          <w:p w14:paraId="0E8E756A">
            <w:pPr>
              <w:numPr>
                <w:ilvl w:val="0"/>
                <w:numId w:val="4"/>
              </w:numPr>
              <w:autoSpaceDE/>
              <w:autoSpaceDN/>
              <w:spacing w:line="360" w:lineRule="auto"/>
              <w:ind w:left="0" w:firstLine="0"/>
              <w:jc w:val="both"/>
              <w:rPr>
                <w:rFonts w:cs="Times New Roman"/>
                <w:b/>
                <w:kern w:val="2"/>
                <w:sz w:val="24"/>
                <w:szCs w:val="24"/>
                <w:lang w:val="en-US" w:bidi="ar-SA"/>
              </w:rPr>
            </w:pPr>
            <w:r>
              <w:rPr>
                <w:rFonts w:hint="eastAsia" w:cs="Times New Roman"/>
                <w:kern w:val="2"/>
                <w:sz w:val="24"/>
                <w:szCs w:val="24"/>
                <w:lang w:val="en-US" w:bidi="ar-SA"/>
              </w:rPr>
              <w:t>系统提供抗菌药物用药指征审查。医生开具抗菌药物必须有用药指征，否则系统将予以警示。</w:t>
            </w:r>
          </w:p>
        </w:tc>
      </w:tr>
      <w:tr w14:paraId="14D0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3A8009F">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1963B156">
            <w:pPr>
              <w:autoSpaceDE/>
              <w:autoSpaceDN/>
              <w:jc w:val="both"/>
              <w:rPr>
                <w:rFonts w:cs="Times New Roman"/>
                <w:kern w:val="2"/>
                <w:sz w:val="21"/>
                <w:szCs w:val="24"/>
                <w:lang w:val="en-US" w:bidi="ar-SA"/>
              </w:rPr>
            </w:pPr>
            <w:r>
              <w:rPr>
                <w:rFonts w:hint="eastAsia" w:cs="Times New Roman"/>
                <w:kern w:val="2"/>
                <w:sz w:val="21"/>
                <w:szCs w:val="24"/>
                <w:lang w:val="en-US" w:bidi="ar-SA"/>
              </w:rPr>
              <w:t>审查提示屏蔽功能</w:t>
            </w:r>
          </w:p>
        </w:tc>
        <w:tc>
          <w:tcPr>
            <w:tcW w:w="6033" w:type="dxa"/>
            <w:vAlign w:val="center"/>
          </w:tcPr>
          <w:p w14:paraId="11FA358D">
            <w:pPr>
              <w:autoSpaceDE/>
              <w:autoSpaceDN/>
              <w:jc w:val="both"/>
              <w:rPr>
                <w:rFonts w:cs="Arial"/>
                <w:bCs/>
                <w:kern w:val="2"/>
                <w:sz w:val="21"/>
                <w:szCs w:val="24"/>
                <w:lang w:val="en-US" w:bidi="ar-SA"/>
              </w:rPr>
            </w:pPr>
            <w:r>
              <w:rPr>
                <w:rFonts w:hint="eastAsia" w:cs="Arial"/>
                <w:bCs/>
                <w:kern w:val="2"/>
                <w:sz w:val="21"/>
                <w:szCs w:val="24"/>
                <w:lang w:val="en-US" w:bidi="ar-SA"/>
              </w:rPr>
              <w:t>▲系统应能对剂量、给药途径、药物相互作用、体外注射剂配伍、配伍浓度、禁忌症、不良反应、儿童用药、老人用药、成人用药、性别用药、妊娠期用药、哺乳期用药、药物过敏、重复用药等审查项目进行审查提示屏蔽，支持分门诊、住院、急诊屏蔽，屏蔽后不再对相同问题进行提示。</w:t>
            </w:r>
          </w:p>
        </w:tc>
      </w:tr>
      <w:tr w14:paraId="57B1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52E5536">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27AE7F48">
            <w:pPr>
              <w:autoSpaceDE/>
              <w:autoSpaceDN/>
              <w:jc w:val="both"/>
              <w:rPr>
                <w:rFonts w:cs="Times New Roman"/>
                <w:kern w:val="2"/>
                <w:sz w:val="21"/>
                <w:szCs w:val="24"/>
                <w:lang w:val="en-US" w:bidi="ar-SA"/>
              </w:rPr>
            </w:pPr>
            <w:r>
              <w:rPr>
                <w:rFonts w:hint="eastAsia" w:cs="Times New Roman"/>
                <w:kern w:val="2"/>
                <w:sz w:val="21"/>
                <w:szCs w:val="24"/>
                <w:lang w:val="en-US" w:bidi="ar-SA"/>
              </w:rPr>
              <w:t>审查规则自定义功能（医院专家知识库）</w:t>
            </w:r>
          </w:p>
        </w:tc>
        <w:tc>
          <w:tcPr>
            <w:tcW w:w="6033" w:type="dxa"/>
            <w:vAlign w:val="center"/>
          </w:tcPr>
          <w:p w14:paraId="4F4FA561">
            <w:pPr>
              <w:numPr>
                <w:ilvl w:val="0"/>
                <w:numId w:val="5"/>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▲系统可以提供多种自定义方式：</w:t>
            </w:r>
          </w:p>
          <w:p w14:paraId="6FE1BA8F">
            <w:pPr>
              <w:autoSpaceDE/>
              <w:autoSpaceDN/>
              <w:jc w:val="both"/>
              <w:rPr>
                <w:rFonts w:cs="Arial"/>
                <w:bCs/>
                <w:kern w:val="2"/>
                <w:sz w:val="21"/>
                <w:szCs w:val="24"/>
                <w:lang w:val="en-US" w:bidi="ar-SA"/>
              </w:rPr>
            </w:pPr>
            <w:r>
              <w:rPr>
                <w:rFonts w:hint="eastAsia" w:cs="Arial"/>
                <w:bCs/>
                <w:kern w:val="2"/>
                <w:sz w:val="21"/>
                <w:szCs w:val="24"/>
                <w:lang w:val="en-US" w:bidi="ar-SA"/>
              </w:rPr>
              <w:t>（1）基于系统审查数据自定义方式，节省药师工作量；</w:t>
            </w:r>
          </w:p>
          <w:p w14:paraId="182D2B89">
            <w:pPr>
              <w:autoSpaceDE/>
              <w:autoSpaceDN/>
              <w:jc w:val="both"/>
              <w:rPr>
                <w:rFonts w:cs="Arial"/>
                <w:bCs/>
                <w:kern w:val="2"/>
                <w:sz w:val="21"/>
                <w:szCs w:val="24"/>
                <w:lang w:val="en-US" w:bidi="ar-SA"/>
              </w:rPr>
            </w:pPr>
            <w:r>
              <w:rPr>
                <w:rFonts w:hint="eastAsia" w:cs="Arial"/>
                <w:bCs/>
                <w:kern w:val="2"/>
                <w:sz w:val="21"/>
                <w:szCs w:val="24"/>
                <w:lang w:val="en-US" w:bidi="ar-SA"/>
              </w:rPr>
              <w:t>（2）可完全由用户新建审查规则包括审查要素和审查逻辑。</w:t>
            </w:r>
          </w:p>
          <w:p w14:paraId="6266945C">
            <w:pPr>
              <w:numPr>
                <w:ilvl w:val="0"/>
                <w:numId w:val="5"/>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用户可自定义药品警示、拦截规则，被拦截的问题处方必须返回修改，否则不可进行下一步操作。用户可设置已执行的长期医嘱是否拦截。</w:t>
            </w:r>
          </w:p>
          <w:p w14:paraId="0D842638">
            <w:pPr>
              <w:numPr>
                <w:ilvl w:val="0"/>
                <w:numId w:val="5"/>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其中部分审查项目可支持以下功能：</w:t>
            </w:r>
          </w:p>
          <w:p w14:paraId="46DEF497">
            <w:pPr>
              <w:numPr>
                <w:ilvl w:val="0"/>
                <w:numId w:val="6"/>
              </w:numPr>
              <w:autoSpaceDE/>
              <w:autoSpaceDN/>
              <w:spacing w:line="360" w:lineRule="auto"/>
              <w:ind w:left="0" w:firstLine="0"/>
              <w:jc w:val="both"/>
              <w:rPr>
                <w:rFonts w:cs="Arial"/>
                <w:bCs/>
                <w:kern w:val="2"/>
                <w:sz w:val="24"/>
                <w:szCs w:val="24"/>
                <w:lang w:val="en-US" w:bidi="ar-SA"/>
              </w:rPr>
            </w:pPr>
            <w:r>
              <w:rPr>
                <w:rFonts w:hint="eastAsia" w:cs="Arial"/>
                <w:bCs/>
                <w:kern w:val="2"/>
                <w:sz w:val="24"/>
                <w:szCs w:val="24"/>
                <w:lang w:val="en-US" w:bidi="ar-SA"/>
              </w:rPr>
              <w:t>剂量：可显示某个药品在本院近一个月医嘱用量统计，查看不同科室的剂量使用情况。用户只需维护药品一种给药单位的剂量审查规则，系统可自动将规则匹配到该药品其余给药单位。</w:t>
            </w:r>
          </w:p>
          <w:p w14:paraId="3D4182AE">
            <w:pPr>
              <w:numPr>
                <w:ilvl w:val="0"/>
                <w:numId w:val="6"/>
              </w:numPr>
              <w:autoSpaceDE/>
              <w:autoSpaceDN/>
              <w:spacing w:line="360" w:lineRule="auto"/>
              <w:ind w:left="0" w:firstLine="0"/>
              <w:jc w:val="both"/>
              <w:rPr>
                <w:rFonts w:cs="Arial"/>
                <w:bCs/>
                <w:kern w:val="2"/>
                <w:sz w:val="24"/>
                <w:szCs w:val="24"/>
                <w:lang w:val="en-US" w:bidi="ar-SA"/>
              </w:rPr>
            </w:pPr>
            <w:r>
              <w:rPr>
                <w:rFonts w:hint="eastAsia" w:cs="Arial"/>
                <w:bCs/>
                <w:kern w:val="2"/>
                <w:sz w:val="24"/>
                <w:szCs w:val="24"/>
                <w:lang w:val="en-US" w:bidi="ar-SA"/>
              </w:rPr>
              <w:t>超多日用量：可对门、急诊处方药品、麻醉药品和精一药品超多日用量天数进行设置，可针对慢病（区分医保、自费）、非慢病处方、特殊患者分别设置用药天数，并可根据超出天数设置不同的警示级别。用户可维护参与联合审查的历史处方时间范围。针对特定药品可设置是否拆零参与审查。</w:t>
            </w:r>
          </w:p>
          <w:p w14:paraId="3B445E57">
            <w:pPr>
              <w:numPr>
                <w:ilvl w:val="0"/>
                <w:numId w:val="6"/>
              </w:numPr>
              <w:autoSpaceDE/>
              <w:autoSpaceDN/>
              <w:spacing w:line="360" w:lineRule="auto"/>
              <w:ind w:left="0" w:firstLine="0"/>
              <w:jc w:val="both"/>
              <w:rPr>
                <w:rFonts w:cs="Arial"/>
                <w:bCs/>
                <w:kern w:val="2"/>
                <w:sz w:val="24"/>
                <w:szCs w:val="24"/>
                <w:lang w:val="en-US" w:bidi="ar-SA"/>
              </w:rPr>
            </w:pPr>
            <w:r>
              <w:rPr>
                <w:rFonts w:hint="eastAsia" w:cs="Arial"/>
                <w:bCs/>
                <w:kern w:val="2"/>
                <w:sz w:val="24"/>
                <w:szCs w:val="24"/>
                <w:lang w:val="en-US" w:bidi="ar-SA"/>
              </w:rPr>
              <w:t>体外注射剂配伍：可设置小剂量胰岛素不参与体外配伍审查，具体剂量标准可由用户自行设置。</w:t>
            </w:r>
          </w:p>
          <w:p w14:paraId="4D919D09">
            <w:pPr>
              <w:numPr>
                <w:ilvl w:val="0"/>
                <w:numId w:val="6"/>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妊娠用药：提供多元化妊娠状态判断方式，可设置妊娠状态判断优先级。</w:t>
            </w:r>
          </w:p>
          <w:p w14:paraId="24C59EC3">
            <w:pPr>
              <w:numPr>
                <w:ilvl w:val="0"/>
                <w:numId w:val="6"/>
              </w:numPr>
              <w:autoSpaceDE/>
              <w:autoSpaceDN/>
              <w:spacing w:line="360" w:lineRule="auto"/>
              <w:ind w:left="0" w:firstLine="0"/>
              <w:jc w:val="both"/>
              <w:rPr>
                <w:rFonts w:cs="Arial"/>
                <w:bCs/>
                <w:kern w:val="2"/>
                <w:sz w:val="24"/>
                <w:szCs w:val="24"/>
                <w:lang w:val="en-US" w:bidi="ar-SA"/>
              </w:rPr>
            </w:pPr>
            <w:r>
              <w:rPr>
                <w:rFonts w:hint="eastAsia" w:cs="Arial"/>
                <w:bCs/>
                <w:kern w:val="2"/>
                <w:sz w:val="24"/>
                <w:szCs w:val="24"/>
                <w:lang w:val="en-US" w:bidi="ar-SA"/>
              </w:rPr>
              <w:t>▲可设置应激性溃疡风险的预警规则；设置可预防使用质子泵抑制剂的手术、质子泵抑制剂药品及术后质子泵抑制剂用药疗程；</w:t>
            </w:r>
          </w:p>
          <w:p w14:paraId="34DEA58E">
            <w:pPr>
              <w:numPr>
                <w:ilvl w:val="0"/>
                <w:numId w:val="6"/>
              </w:numPr>
              <w:autoSpaceDE/>
              <w:autoSpaceDN/>
              <w:spacing w:line="360" w:lineRule="auto"/>
              <w:ind w:left="0" w:firstLine="0"/>
              <w:jc w:val="both"/>
              <w:rPr>
                <w:rFonts w:cs="Arial"/>
                <w:bCs/>
                <w:kern w:val="2"/>
                <w:sz w:val="24"/>
                <w:szCs w:val="24"/>
                <w:lang w:val="en-US" w:bidi="ar-SA"/>
              </w:rPr>
            </w:pPr>
            <w:r>
              <w:rPr>
                <w:rFonts w:hint="eastAsia" w:cs="Arial"/>
                <w:bCs/>
                <w:kern w:val="2"/>
                <w:sz w:val="24"/>
                <w:szCs w:val="24"/>
                <w:lang w:val="en-US" w:bidi="ar-SA"/>
              </w:rPr>
              <w:t>用户可维护医院协定方及对应证型；</w:t>
            </w:r>
          </w:p>
          <w:p w14:paraId="5563A52A">
            <w:pPr>
              <w:numPr>
                <w:ilvl w:val="0"/>
                <w:numId w:val="6"/>
              </w:numPr>
              <w:autoSpaceDE/>
              <w:autoSpaceDN/>
              <w:spacing w:line="360" w:lineRule="auto"/>
              <w:ind w:left="0" w:firstLine="0"/>
              <w:jc w:val="both"/>
              <w:rPr>
                <w:rFonts w:cs="Arial"/>
                <w:bCs/>
                <w:kern w:val="2"/>
                <w:sz w:val="24"/>
                <w:szCs w:val="24"/>
                <w:lang w:val="en-US" w:bidi="ar-SA"/>
              </w:rPr>
            </w:pPr>
            <w:r>
              <w:rPr>
                <w:rFonts w:hint="eastAsia" w:cs="Arial"/>
                <w:bCs/>
                <w:kern w:val="2"/>
                <w:sz w:val="24"/>
                <w:szCs w:val="24"/>
                <w:lang w:val="en-US" w:bidi="ar-SA"/>
              </w:rPr>
              <w:t>用户可设置抗肿瘤药物过敏反应预防药品品种。</w:t>
            </w:r>
          </w:p>
          <w:p w14:paraId="6C155B1F">
            <w:pPr>
              <w:numPr>
                <w:ilvl w:val="0"/>
                <w:numId w:val="6"/>
              </w:numPr>
              <w:autoSpaceDE/>
              <w:autoSpaceDN/>
              <w:spacing w:line="360" w:lineRule="auto"/>
              <w:ind w:left="0" w:firstLine="0"/>
              <w:jc w:val="both"/>
              <w:rPr>
                <w:rFonts w:cs="Arial"/>
                <w:bCs/>
                <w:kern w:val="2"/>
                <w:sz w:val="24"/>
                <w:szCs w:val="24"/>
                <w:lang w:val="en-US" w:bidi="ar-SA"/>
              </w:rPr>
            </w:pPr>
            <w:r>
              <w:rPr>
                <w:rFonts w:hint="eastAsia" w:cs="Arial"/>
                <w:bCs/>
                <w:kern w:val="2"/>
                <w:sz w:val="24"/>
                <w:szCs w:val="24"/>
                <w:lang w:val="en-US" w:bidi="ar-SA"/>
              </w:rPr>
              <w:t>用户可设置质子泵抑制药、抗菌药物用药评估单模板。</w:t>
            </w:r>
          </w:p>
          <w:p w14:paraId="4F897DF7">
            <w:pPr>
              <w:numPr>
                <w:ilvl w:val="0"/>
                <w:numId w:val="5"/>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规则复制功能：系统支持将其它药品已有的自定义规则分模块复制到被选择的药品上。</w:t>
            </w:r>
          </w:p>
          <w:p w14:paraId="669A6E1F">
            <w:pPr>
              <w:numPr>
                <w:ilvl w:val="0"/>
                <w:numId w:val="5"/>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▲豁免对象：可根据药品、医生、科室、患者年龄、手术信息、医嘱备注等条件设置特定对象不参与某些模块审查，并可按照模块查看对各种豁免情况的统计。</w:t>
            </w:r>
          </w:p>
          <w:p w14:paraId="0616943E">
            <w:pPr>
              <w:numPr>
                <w:ilvl w:val="0"/>
                <w:numId w:val="5"/>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 xml:space="preserve">自定义规则查询：可查询药品、科室以及各模块的自定义规则。 </w:t>
            </w:r>
          </w:p>
        </w:tc>
      </w:tr>
      <w:tr w14:paraId="2B89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90DEFA4">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1B4D66A0">
            <w:pPr>
              <w:autoSpaceDE/>
              <w:autoSpaceDN/>
              <w:jc w:val="both"/>
              <w:rPr>
                <w:rFonts w:cs="Times New Roman"/>
                <w:kern w:val="2"/>
                <w:sz w:val="21"/>
                <w:szCs w:val="24"/>
                <w:lang w:val="en-US" w:bidi="ar-SA"/>
              </w:rPr>
            </w:pPr>
            <w:r>
              <w:rPr>
                <w:rFonts w:hint="eastAsia" w:cs="Times New Roman"/>
                <w:kern w:val="2"/>
                <w:sz w:val="21"/>
                <w:szCs w:val="24"/>
                <w:lang w:val="en-US" w:bidi="ar-SA"/>
              </w:rPr>
              <w:t>统计分析功能</w:t>
            </w:r>
          </w:p>
        </w:tc>
        <w:tc>
          <w:tcPr>
            <w:tcW w:w="6033" w:type="dxa"/>
            <w:vAlign w:val="center"/>
          </w:tcPr>
          <w:p w14:paraId="5A725DAA">
            <w:pPr>
              <w:numPr>
                <w:ilvl w:val="0"/>
                <w:numId w:val="7"/>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问题处方（医嘱）保存、查询，以及不合理问题统计分析。</w:t>
            </w:r>
          </w:p>
          <w:p w14:paraId="4954FF9B">
            <w:pPr>
              <w:numPr>
                <w:ilvl w:val="0"/>
                <w:numId w:val="7"/>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提供不合理问题评估功能，便于药师在做回顾性分析时对已评估的问题做记录。</w:t>
            </w:r>
          </w:p>
          <w:p w14:paraId="604F9F27">
            <w:pPr>
              <w:numPr>
                <w:ilvl w:val="0"/>
                <w:numId w:val="7"/>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用药理由统计</w:t>
            </w:r>
          </w:p>
        </w:tc>
      </w:tr>
      <w:tr w14:paraId="747D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B2B0343">
            <w:pPr>
              <w:numPr>
                <w:ilvl w:val="0"/>
                <w:numId w:val="1"/>
              </w:numPr>
              <w:autoSpaceDE/>
              <w:autoSpaceDN/>
              <w:spacing w:line="360" w:lineRule="auto"/>
              <w:jc w:val="both"/>
              <w:rPr>
                <w:rFonts w:cs="Times New Roman"/>
                <w:kern w:val="2"/>
                <w:sz w:val="24"/>
                <w:szCs w:val="24"/>
                <w:lang w:val="en-US" w:bidi="ar-SA"/>
              </w:rPr>
            </w:pPr>
          </w:p>
        </w:tc>
        <w:tc>
          <w:tcPr>
            <w:tcW w:w="1748" w:type="dxa"/>
            <w:vAlign w:val="center"/>
          </w:tcPr>
          <w:p w14:paraId="16583FF1">
            <w:pPr>
              <w:autoSpaceDE/>
              <w:autoSpaceDN/>
              <w:jc w:val="both"/>
              <w:rPr>
                <w:rFonts w:cs="Times New Roman"/>
                <w:kern w:val="2"/>
                <w:sz w:val="21"/>
                <w:szCs w:val="24"/>
                <w:lang w:val="en-US" w:bidi="ar-SA"/>
              </w:rPr>
            </w:pPr>
            <w:r>
              <w:rPr>
                <w:rFonts w:hint="eastAsia" w:cs="Times New Roman"/>
                <w:kern w:val="2"/>
                <w:sz w:val="21"/>
                <w:szCs w:val="24"/>
                <w:lang w:val="en-US" w:bidi="ar-SA"/>
              </w:rPr>
              <w:t>通讯功能</w:t>
            </w:r>
          </w:p>
        </w:tc>
        <w:tc>
          <w:tcPr>
            <w:tcW w:w="6033" w:type="dxa"/>
            <w:vAlign w:val="center"/>
          </w:tcPr>
          <w:p w14:paraId="1A73EF88">
            <w:pPr>
              <w:keepNext/>
              <w:keepLines/>
              <w:numPr>
                <w:ilvl w:val="4"/>
                <w:numId w:val="0"/>
              </w:numPr>
              <w:autoSpaceDE/>
              <w:autoSpaceDN/>
              <w:adjustRightInd w:val="0"/>
              <w:snapToGrid w:val="0"/>
              <w:spacing w:beforeLines="25" w:afterLines="25" w:line="360" w:lineRule="auto"/>
              <w:jc w:val="both"/>
              <w:outlineLvl w:val="4"/>
              <w:rPr>
                <w:rFonts w:cs="Arial"/>
                <w:kern w:val="2"/>
                <w:sz w:val="24"/>
                <w:szCs w:val="24"/>
                <w:lang w:val="en-US" w:bidi="ar-SA"/>
              </w:rPr>
            </w:pPr>
            <w:r>
              <w:rPr>
                <w:rFonts w:hint="eastAsia" w:cs="Arial"/>
                <w:kern w:val="2"/>
                <w:sz w:val="24"/>
                <w:szCs w:val="24"/>
                <w:lang w:val="en-US" w:bidi="ar-SA"/>
              </w:rPr>
              <w:t>系统应提供药师和医生的在线沟通平台，提供截图、发送图片、文件传输、消息撤回、消息已读提示功能。</w:t>
            </w:r>
          </w:p>
        </w:tc>
      </w:tr>
      <w:tr w14:paraId="3300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7" w:type="dxa"/>
            <w:gridSpan w:val="3"/>
            <w:vAlign w:val="center"/>
          </w:tcPr>
          <w:p w14:paraId="0EAE81B8">
            <w:pPr>
              <w:autoSpaceDE/>
              <w:autoSpaceDN/>
              <w:jc w:val="both"/>
              <w:rPr>
                <w:rFonts w:cs="Times New Roman"/>
                <w:b/>
                <w:bCs/>
                <w:kern w:val="2"/>
                <w:sz w:val="21"/>
                <w:szCs w:val="24"/>
                <w:lang w:val="en-US" w:bidi="ar-SA"/>
              </w:rPr>
            </w:pPr>
            <w:r>
              <w:rPr>
                <w:rFonts w:hint="eastAsia" w:cs="Times New Roman"/>
                <w:b/>
                <w:bCs/>
                <w:kern w:val="2"/>
                <w:sz w:val="21"/>
                <w:szCs w:val="24"/>
                <w:lang w:val="en-US" w:bidi="ar-SA"/>
              </w:rPr>
              <w:t>药师审方干预功能要求</w:t>
            </w:r>
          </w:p>
        </w:tc>
      </w:tr>
      <w:tr w14:paraId="5BA8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994211B">
            <w:pPr>
              <w:numPr>
                <w:ilvl w:val="0"/>
                <w:numId w:val="8"/>
              </w:numPr>
              <w:autoSpaceDE/>
              <w:autoSpaceDN/>
              <w:spacing w:line="360" w:lineRule="auto"/>
              <w:jc w:val="both"/>
              <w:rPr>
                <w:rFonts w:cs="Times New Roman"/>
                <w:kern w:val="2"/>
                <w:sz w:val="21"/>
                <w:szCs w:val="24"/>
                <w:lang w:val="en-US" w:bidi="ar-SA"/>
              </w:rPr>
            </w:pPr>
          </w:p>
        </w:tc>
        <w:tc>
          <w:tcPr>
            <w:tcW w:w="1748" w:type="dxa"/>
            <w:vAlign w:val="center"/>
          </w:tcPr>
          <w:p w14:paraId="29A4A552">
            <w:pPr>
              <w:autoSpaceDE/>
              <w:autoSpaceDN/>
              <w:jc w:val="both"/>
              <w:rPr>
                <w:rFonts w:cs="Times New Roman"/>
                <w:kern w:val="2"/>
                <w:sz w:val="21"/>
                <w:szCs w:val="24"/>
                <w:lang w:val="en-US" w:bidi="ar-SA"/>
              </w:rPr>
            </w:pPr>
            <w:r>
              <w:rPr>
                <w:rFonts w:hint="eastAsia" w:cs="Times New Roman"/>
                <w:kern w:val="2"/>
                <w:sz w:val="21"/>
                <w:szCs w:val="24"/>
                <w:lang w:val="en-US" w:bidi="ar-SA"/>
              </w:rPr>
              <w:t>审方时机和过程</w:t>
            </w:r>
          </w:p>
        </w:tc>
        <w:tc>
          <w:tcPr>
            <w:tcW w:w="6033" w:type="dxa"/>
            <w:vAlign w:val="center"/>
          </w:tcPr>
          <w:p w14:paraId="4BFF6048">
            <w:pPr>
              <w:autoSpaceDE/>
              <w:autoSpaceDN/>
              <w:jc w:val="both"/>
              <w:rPr>
                <w:rFonts w:cs="Times New Roman"/>
                <w:kern w:val="2"/>
                <w:sz w:val="21"/>
                <w:szCs w:val="24"/>
                <w:lang w:val="en-US" w:bidi="ar-SA"/>
              </w:rPr>
            </w:pPr>
            <w:r>
              <w:rPr>
                <w:rFonts w:hint="eastAsia" w:cs="Times New Roman"/>
                <w:kern w:val="2"/>
                <w:sz w:val="21"/>
                <w:szCs w:val="24"/>
                <w:lang w:val="en-US" w:bidi="ar-SA"/>
              </w:rPr>
              <w:t>系统可以为药师提供专门的审方工作平台，帮助门诊药师在患者缴费前完成门诊处方实时审查、住院药师在护士领药前完成住院医嘱审查。系统先自动审查出问题处方（医嘱），再由药师人工审查，审查过程中药师可以与医生实时互动，直到处方（医嘱）通过。必要时，药师可同时接收门诊、住院任务。</w:t>
            </w:r>
          </w:p>
        </w:tc>
      </w:tr>
      <w:tr w14:paraId="193A4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F042A4E">
            <w:pPr>
              <w:numPr>
                <w:ilvl w:val="0"/>
                <w:numId w:val="8"/>
              </w:numPr>
              <w:autoSpaceDE/>
              <w:autoSpaceDN/>
              <w:spacing w:line="360" w:lineRule="auto"/>
              <w:jc w:val="both"/>
              <w:rPr>
                <w:rFonts w:cs="Times New Roman"/>
                <w:kern w:val="2"/>
                <w:sz w:val="21"/>
                <w:szCs w:val="24"/>
                <w:lang w:val="en-US" w:bidi="ar-SA"/>
              </w:rPr>
            </w:pPr>
          </w:p>
        </w:tc>
        <w:tc>
          <w:tcPr>
            <w:tcW w:w="1748" w:type="dxa"/>
            <w:vAlign w:val="center"/>
          </w:tcPr>
          <w:p w14:paraId="0FD2421A">
            <w:pPr>
              <w:autoSpaceDE/>
              <w:autoSpaceDN/>
              <w:jc w:val="both"/>
              <w:rPr>
                <w:rFonts w:cs="Times New Roman"/>
                <w:kern w:val="2"/>
                <w:sz w:val="21"/>
                <w:szCs w:val="24"/>
                <w:lang w:val="en-US" w:bidi="ar-SA"/>
              </w:rPr>
            </w:pPr>
            <w:r>
              <w:rPr>
                <w:rFonts w:hint="eastAsia" w:cs="Arial"/>
                <w:kern w:val="2"/>
                <w:sz w:val="21"/>
                <w:szCs w:val="24"/>
                <w:lang w:val="en-US" w:bidi="ar-SA"/>
              </w:rPr>
              <w:t>审方干预功能</w:t>
            </w:r>
          </w:p>
        </w:tc>
        <w:tc>
          <w:tcPr>
            <w:tcW w:w="6033" w:type="dxa"/>
            <w:vAlign w:val="center"/>
          </w:tcPr>
          <w:p w14:paraId="518CDCE2">
            <w:pPr>
              <w:keepNext/>
              <w:keepLines/>
              <w:numPr>
                <w:ilvl w:val="0"/>
                <w:numId w:val="9"/>
              </w:numPr>
              <w:autoSpaceDE/>
              <w:autoSpaceDN/>
              <w:adjustRightInd w:val="0"/>
              <w:snapToGrid w:val="0"/>
              <w:spacing w:beforeLines="25" w:afterLines="25" w:line="360" w:lineRule="auto"/>
              <w:ind w:left="0" w:firstLine="190"/>
              <w:jc w:val="both"/>
              <w:outlineLvl w:val="3"/>
              <w:rPr>
                <w:rFonts w:cs="Arial"/>
                <w:kern w:val="2"/>
                <w:sz w:val="24"/>
                <w:szCs w:val="24"/>
                <w:lang w:val="en-US" w:bidi="ar-SA"/>
              </w:rPr>
            </w:pPr>
            <w:r>
              <w:rPr>
                <w:rFonts w:hint="eastAsia" w:cs="Arial"/>
                <w:kern w:val="2"/>
                <w:sz w:val="24"/>
                <w:szCs w:val="24"/>
                <w:lang w:val="en-US" w:bidi="ar-SA"/>
              </w:rPr>
              <w:t>药师审查时，可在审查界面一体化查看当前处方（医嘱）历史干预记录，如医生操作、用药理由等。</w:t>
            </w:r>
          </w:p>
          <w:p w14:paraId="4ECAD4EF">
            <w:pPr>
              <w:keepNext/>
              <w:keepLines/>
              <w:numPr>
                <w:ilvl w:val="0"/>
                <w:numId w:val="9"/>
              </w:numPr>
              <w:autoSpaceDE/>
              <w:autoSpaceDN/>
              <w:adjustRightInd w:val="0"/>
              <w:snapToGrid w:val="0"/>
              <w:spacing w:beforeLines="25" w:afterLines="25" w:line="360" w:lineRule="auto"/>
              <w:ind w:left="0" w:firstLine="190"/>
              <w:jc w:val="both"/>
              <w:outlineLvl w:val="3"/>
              <w:rPr>
                <w:rFonts w:cs="Arial"/>
                <w:kern w:val="2"/>
                <w:sz w:val="24"/>
                <w:szCs w:val="24"/>
                <w:lang w:val="en-US" w:bidi="ar-SA"/>
              </w:rPr>
            </w:pPr>
            <w:r>
              <w:rPr>
                <w:rFonts w:hint="eastAsia" w:cs="Arial"/>
                <w:kern w:val="2"/>
                <w:sz w:val="24"/>
                <w:szCs w:val="24"/>
                <w:lang w:val="en-US" w:bidi="ar-SA"/>
              </w:rPr>
              <w:t>药师审查时可查看当前处方（医嘱）历史修改版本信息。</w:t>
            </w:r>
          </w:p>
          <w:p w14:paraId="6D500768">
            <w:pPr>
              <w:keepNext/>
              <w:keepLines/>
              <w:numPr>
                <w:ilvl w:val="0"/>
                <w:numId w:val="9"/>
              </w:numPr>
              <w:autoSpaceDE/>
              <w:autoSpaceDN/>
              <w:adjustRightInd w:val="0"/>
              <w:snapToGrid w:val="0"/>
              <w:spacing w:beforeLines="25" w:afterLines="25" w:line="360" w:lineRule="auto"/>
              <w:ind w:left="0" w:firstLine="190"/>
              <w:jc w:val="both"/>
              <w:outlineLvl w:val="3"/>
              <w:rPr>
                <w:rFonts w:cs="Arial"/>
                <w:kern w:val="2"/>
                <w:sz w:val="24"/>
                <w:szCs w:val="24"/>
                <w:lang w:val="en-US" w:bidi="ar-SA"/>
              </w:rPr>
            </w:pPr>
            <w:r>
              <w:rPr>
                <w:rFonts w:hint="eastAsia" w:cs="Arial"/>
                <w:kern w:val="2"/>
                <w:sz w:val="24"/>
                <w:szCs w:val="24"/>
                <w:lang w:val="en-US" w:bidi="ar-SA"/>
              </w:rPr>
              <w:t>药师可选择审核意见中的重点文字变色处理后发给医生。药师还可预设常用问题模板。</w:t>
            </w:r>
          </w:p>
          <w:p w14:paraId="1EB3BFCD">
            <w:pPr>
              <w:keepNext/>
              <w:keepLines/>
              <w:numPr>
                <w:ilvl w:val="0"/>
                <w:numId w:val="9"/>
              </w:numPr>
              <w:autoSpaceDE/>
              <w:autoSpaceDN/>
              <w:adjustRightInd w:val="0"/>
              <w:snapToGrid w:val="0"/>
              <w:spacing w:beforeLines="25" w:afterLines="25" w:line="360" w:lineRule="auto"/>
              <w:ind w:left="0" w:firstLine="190"/>
              <w:jc w:val="both"/>
              <w:outlineLvl w:val="3"/>
              <w:rPr>
                <w:rFonts w:cs="Arial"/>
                <w:kern w:val="2"/>
                <w:sz w:val="24"/>
                <w:szCs w:val="24"/>
                <w:lang w:val="en-US" w:bidi="ar-SA"/>
              </w:rPr>
            </w:pPr>
            <w:r>
              <w:rPr>
                <w:rFonts w:hint="eastAsia" w:cs="Arial"/>
                <w:kern w:val="2"/>
                <w:sz w:val="24"/>
                <w:szCs w:val="24"/>
                <w:lang w:val="en-US" w:bidi="ar-SA"/>
              </w:rPr>
              <w:t>▲药师可以根据不同任务情况选择医生处方（医嘱）直接双签通过还是需要药师复核。</w:t>
            </w:r>
          </w:p>
          <w:p w14:paraId="3C745B68">
            <w:pPr>
              <w:keepNext/>
              <w:keepLines/>
              <w:numPr>
                <w:ilvl w:val="0"/>
                <w:numId w:val="9"/>
              </w:numPr>
              <w:autoSpaceDE/>
              <w:autoSpaceDN/>
              <w:adjustRightInd w:val="0"/>
              <w:snapToGrid w:val="0"/>
              <w:spacing w:beforeLines="25" w:afterLines="25" w:line="360" w:lineRule="auto"/>
              <w:ind w:left="0" w:firstLine="190"/>
              <w:jc w:val="both"/>
              <w:outlineLvl w:val="3"/>
              <w:rPr>
                <w:rFonts w:cs="Arial"/>
                <w:kern w:val="2"/>
                <w:sz w:val="24"/>
                <w:szCs w:val="24"/>
                <w:lang w:val="en-US" w:bidi="ar-SA"/>
              </w:rPr>
            </w:pPr>
            <w:r>
              <w:rPr>
                <w:rFonts w:hint="eastAsia" w:cs="Arial"/>
                <w:kern w:val="2"/>
                <w:sz w:val="24"/>
                <w:szCs w:val="24"/>
                <w:lang w:val="en-US" w:bidi="ar-SA"/>
              </w:rPr>
              <w:t>若一张处方（医嘱）通过前有多个修改版本，系统可以标记每个版本的处置状态。</w:t>
            </w:r>
          </w:p>
          <w:p w14:paraId="5CBD418B">
            <w:pPr>
              <w:numPr>
                <w:ilvl w:val="0"/>
                <w:numId w:val="9"/>
              </w:numPr>
              <w:autoSpaceDE/>
              <w:autoSpaceDN/>
              <w:spacing w:line="360" w:lineRule="auto"/>
              <w:ind w:left="0" w:firstLine="0"/>
              <w:jc w:val="both"/>
              <w:rPr>
                <w:rFonts w:cs="Times New Roman"/>
                <w:kern w:val="2"/>
                <w:sz w:val="21"/>
                <w:szCs w:val="24"/>
                <w:lang w:val="en-US" w:bidi="ar-SA"/>
              </w:rPr>
            </w:pPr>
            <w:r>
              <w:rPr>
                <w:rFonts w:hint="eastAsia" w:cs="Arial"/>
                <w:kern w:val="2"/>
                <w:sz w:val="21"/>
                <w:szCs w:val="24"/>
                <w:lang w:val="en-US" w:bidi="ar-SA"/>
              </w:rPr>
              <w:t>▲系统支持根据医生提交至药师处的中药处方智能检索近似经典方剂供药师参考。</w:t>
            </w:r>
          </w:p>
        </w:tc>
      </w:tr>
      <w:tr w14:paraId="2DB2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2891EA6">
            <w:pPr>
              <w:numPr>
                <w:ilvl w:val="0"/>
                <w:numId w:val="8"/>
              </w:numPr>
              <w:autoSpaceDE/>
              <w:autoSpaceDN/>
              <w:spacing w:line="360" w:lineRule="auto"/>
              <w:jc w:val="both"/>
              <w:rPr>
                <w:rFonts w:cs="Times New Roman"/>
                <w:kern w:val="2"/>
                <w:sz w:val="21"/>
                <w:szCs w:val="24"/>
                <w:lang w:val="en-US" w:bidi="ar-SA"/>
              </w:rPr>
            </w:pPr>
          </w:p>
        </w:tc>
        <w:tc>
          <w:tcPr>
            <w:tcW w:w="1748" w:type="dxa"/>
            <w:vAlign w:val="center"/>
          </w:tcPr>
          <w:p w14:paraId="6AB45848">
            <w:pPr>
              <w:autoSpaceDE/>
              <w:autoSpaceDN/>
              <w:jc w:val="both"/>
              <w:rPr>
                <w:rFonts w:cs="Times New Roman"/>
                <w:kern w:val="2"/>
                <w:sz w:val="21"/>
                <w:szCs w:val="24"/>
                <w:lang w:val="en-US" w:bidi="ar-SA"/>
              </w:rPr>
            </w:pPr>
            <w:r>
              <w:rPr>
                <w:rFonts w:hint="eastAsia" w:cs="Arial"/>
                <w:kern w:val="2"/>
                <w:sz w:val="21"/>
                <w:szCs w:val="24"/>
                <w:lang w:val="en-US" w:bidi="ar-SA"/>
              </w:rPr>
              <w:t>质量评价功能</w:t>
            </w:r>
          </w:p>
        </w:tc>
        <w:tc>
          <w:tcPr>
            <w:tcW w:w="6033" w:type="dxa"/>
            <w:vAlign w:val="center"/>
          </w:tcPr>
          <w:p w14:paraId="6724E960">
            <w:pPr>
              <w:keepNext/>
              <w:keepLines/>
              <w:numPr>
                <w:ilvl w:val="0"/>
                <w:numId w:val="10"/>
              </w:numPr>
              <w:autoSpaceDE/>
              <w:autoSpaceDN/>
              <w:adjustRightInd w:val="0"/>
              <w:snapToGrid w:val="0"/>
              <w:spacing w:beforeLines="25" w:afterLines="25" w:line="360" w:lineRule="auto"/>
              <w:ind w:left="720" w:hanging="720"/>
              <w:jc w:val="both"/>
              <w:outlineLvl w:val="3"/>
              <w:rPr>
                <w:rFonts w:cs="Arial"/>
                <w:kern w:val="2"/>
                <w:sz w:val="24"/>
                <w:szCs w:val="24"/>
                <w:lang w:val="en-US" w:bidi="ar-SA"/>
              </w:rPr>
            </w:pPr>
            <w:r>
              <w:rPr>
                <w:rFonts w:hint="eastAsia" w:cs="Arial"/>
                <w:kern w:val="2"/>
                <w:sz w:val="24"/>
                <w:szCs w:val="24"/>
                <w:lang w:val="en-US" w:bidi="ar-SA"/>
              </w:rPr>
              <w:t>系统提供多种筛选方案设置功能，进行待评价任务筛选。评价人可对每个任务输入审核意见并打分。系统可自动生成任务评分表，并可导出到Excel。</w:t>
            </w:r>
          </w:p>
          <w:p w14:paraId="5E88D4AA">
            <w:pPr>
              <w:numPr>
                <w:ilvl w:val="0"/>
                <w:numId w:val="10"/>
              </w:numPr>
              <w:autoSpaceDE/>
              <w:autoSpaceDN/>
              <w:spacing w:line="360" w:lineRule="auto"/>
              <w:ind w:left="0" w:firstLine="0"/>
              <w:jc w:val="both"/>
              <w:rPr>
                <w:rFonts w:cs="Times New Roman"/>
                <w:b/>
                <w:bCs/>
                <w:kern w:val="2"/>
                <w:sz w:val="21"/>
                <w:szCs w:val="24"/>
                <w:lang w:val="en-US" w:bidi="ar-SA"/>
              </w:rPr>
            </w:pPr>
            <w:r>
              <w:rPr>
                <w:rFonts w:hint="eastAsia" w:cs="Times New Roman"/>
                <w:kern w:val="2"/>
                <w:sz w:val="21"/>
                <w:szCs w:val="24"/>
                <w:lang w:val="en-US" w:bidi="ar-SA"/>
              </w:rPr>
              <w:t>评价人可评估历史审核任务并设置问题推荐处置方案，供审方药师审核同一问题时参考。</w:t>
            </w:r>
          </w:p>
        </w:tc>
      </w:tr>
      <w:tr w14:paraId="1BED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BF7BDC5">
            <w:pPr>
              <w:numPr>
                <w:ilvl w:val="0"/>
                <w:numId w:val="8"/>
              </w:numPr>
              <w:autoSpaceDE/>
              <w:autoSpaceDN/>
              <w:spacing w:line="360" w:lineRule="auto"/>
              <w:jc w:val="both"/>
              <w:rPr>
                <w:rFonts w:cs="Times New Roman"/>
                <w:kern w:val="2"/>
                <w:sz w:val="21"/>
                <w:szCs w:val="24"/>
                <w:lang w:val="en-US" w:bidi="ar-SA"/>
              </w:rPr>
            </w:pPr>
          </w:p>
        </w:tc>
        <w:tc>
          <w:tcPr>
            <w:tcW w:w="1748" w:type="dxa"/>
            <w:vAlign w:val="center"/>
          </w:tcPr>
          <w:p w14:paraId="44D89FFF">
            <w:pPr>
              <w:autoSpaceDE/>
              <w:autoSpaceDN/>
              <w:jc w:val="both"/>
              <w:rPr>
                <w:rFonts w:cs="Times New Roman"/>
                <w:kern w:val="2"/>
                <w:sz w:val="21"/>
                <w:szCs w:val="24"/>
                <w:lang w:val="en-US" w:bidi="ar-SA"/>
              </w:rPr>
            </w:pPr>
            <w:r>
              <w:rPr>
                <w:rFonts w:hint="eastAsia" w:cs="Times New Roman"/>
                <w:kern w:val="2"/>
                <w:sz w:val="21"/>
                <w:szCs w:val="24"/>
                <w:lang w:val="en-US" w:bidi="ar-SA"/>
              </w:rPr>
              <w:t>审方干预自定义功能</w:t>
            </w:r>
          </w:p>
        </w:tc>
        <w:tc>
          <w:tcPr>
            <w:tcW w:w="6033" w:type="dxa"/>
            <w:vAlign w:val="center"/>
          </w:tcPr>
          <w:p w14:paraId="57D38CD7">
            <w:pPr>
              <w:numPr>
                <w:ilvl w:val="0"/>
                <w:numId w:val="11"/>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▲用户可将任意科室、医生、患者、疾病、药品设置为重点关注，可按科室、医生、患者、疾病、药品、问题类型、警示级别多条件组合设置重点关注，包含重点关注信息的处方由药师进行全面审查。</w:t>
            </w:r>
          </w:p>
          <w:p w14:paraId="7EFAF68F">
            <w:pPr>
              <w:numPr>
                <w:ilvl w:val="0"/>
                <w:numId w:val="11"/>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用户可设置双盲审方、单盲审方，在需要时隐藏医生、药师信息。</w:t>
            </w:r>
          </w:p>
          <w:p w14:paraId="1D23EA74">
            <w:pPr>
              <w:numPr>
                <w:ilvl w:val="0"/>
                <w:numId w:val="11"/>
              </w:numPr>
              <w:autoSpaceDE/>
              <w:autoSpaceDN/>
              <w:spacing w:line="360" w:lineRule="auto"/>
              <w:jc w:val="both"/>
              <w:rPr>
                <w:rFonts w:cs="Times New Roman"/>
                <w:kern w:val="2"/>
                <w:sz w:val="24"/>
                <w:szCs w:val="24"/>
                <w:lang w:val="en-US" w:bidi="ar-SA"/>
              </w:rPr>
            </w:pPr>
            <w:r>
              <w:rPr>
                <w:rFonts w:hint="eastAsia" w:cs="Arial"/>
                <w:bCs/>
                <w:kern w:val="2"/>
                <w:sz w:val="24"/>
                <w:szCs w:val="24"/>
                <w:lang w:val="en-US" w:bidi="ar-SA"/>
              </w:rPr>
              <w:t>用户可根据使用习惯进行个性化设置，如任务提示音（支持上传），处置按钮顺序及样式，审方界面字体及颜色，发送给医生的常用语等。</w:t>
            </w:r>
          </w:p>
          <w:p w14:paraId="78165E40">
            <w:pPr>
              <w:numPr>
                <w:ilvl w:val="0"/>
                <w:numId w:val="11"/>
              </w:numPr>
              <w:autoSpaceDE/>
              <w:autoSpaceDN/>
              <w:spacing w:line="360" w:lineRule="auto"/>
              <w:ind w:left="0" w:firstLine="0"/>
              <w:jc w:val="both"/>
              <w:rPr>
                <w:rFonts w:cs="Times New Roman"/>
                <w:bCs/>
                <w:kern w:val="2"/>
                <w:sz w:val="21"/>
                <w:szCs w:val="24"/>
                <w:lang w:val="en-US" w:bidi="ar-SA"/>
              </w:rPr>
            </w:pPr>
            <w:r>
              <w:rPr>
                <w:rFonts w:hint="eastAsia" w:cs="Arial"/>
                <w:bCs/>
                <w:kern w:val="2"/>
                <w:sz w:val="21"/>
                <w:szCs w:val="24"/>
                <w:lang w:val="en-US" w:bidi="ar-SA"/>
              </w:rPr>
              <w:t>▲用户可设置自动干预模式，并设置医生填写用药理由的模式。药师不在岗时，系统自动干预，医生填写用药理由后方可执行，支持全院和分科室设置。</w:t>
            </w:r>
          </w:p>
        </w:tc>
      </w:tr>
      <w:tr w14:paraId="7C4B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7B81CE7">
            <w:pPr>
              <w:numPr>
                <w:ilvl w:val="0"/>
                <w:numId w:val="8"/>
              </w:numPr>
              <w:autoSpaceDE/>
              <w:autoSpaceDN/>
              <w:spacing w:line="360" w:lineRule="auto"/>
              <w:jc w:val="both"/>
              <w:rPr>
                <w:rFonts w:cs="Times New Roman"/>
                <w:kern w:val="2"/>
                <w:sz w:val="21"/>
                <w:szCs w:val="24"/>
                <w:lang w:val="en-US" w:bidi="ar-SA"/>
              </w:rPr>
            </w:pPr>
          </w:p>
        </w:tc>
        <w:tc>
          <w:tcPr>
            <w:tcW w:w="1748" w:type="dxa"/>
            <w:vAlign w:val="center"/>
          </w:tcPr>
          <w:p w14:paraId="7C86EBEA">
            <w:pPr>
              <w:autoSpaceDE/>
              <w:autoSpaceDN/>
              <w:jc w:val="both"/>
              <w:rPr>
                <w:rFonts w:cs="Times New Roman"/>
                <w:kern w:val="2"/>
                <w:sz w:val="21"/>
                <w:szCs w:val="24"/>
                <w:lang w:val="en-US" w:bidi="ar-SA"/>
              </w:rPr>
            </w:pPr>
            <w:r>
              <w:rPr>
                <w:rFonts w:hint="eastAsia" w:cs="Times New Roman"/>
                <w:kern w:val="2"/>
                <w:sz w:val="21"/>
                <w:szCs w:val="24"/>
                <w:lang w:val="en-US" w:bidi="ar-SA"/>
              </w:rPr>
              <w:t>患者信息查看</w:t>
            </w:r>
          </w:p>
        </w:tc>
        <w:tc>
          <w:tcPr>
            <w:tcW w:w="6033" w:type="dxa"/>
            <w:vAlign w:val="center"/>
          </w:tcPr>
          <w:p w14:paraId="07EC97DE">
            <w:pPr>
              <w:numPr>
                <w:ilvl w:val="0"/>
                <w:numId w:val="12"/>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药师审方界面：可查看患者基本信息、患者过敏史、手术信息、检验检查信息、会诊信息、病程记录，检验结果异常项可单独显示。可链接EMR系统查看患者详细信息。</w:t>
            </w:r>
          </w:p>
          <w:p w14:paraId="6743CB5C">
            <w:pPr>
              <w:numPr>
                <w:ilvl w:val="0"/>
                <w:numId w:val="12"/>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可标记门诊特殊病人。</w:t>
            </w:r>
          </w:p>
          <w:p w14:paraId="57503284">
            <w:pPr>
              <w:numPr>
                <w:ilvl w:val="0"/>
                <w:numId w:val="12"/>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可标记慢病处方。</w:t>
            </w:r>
          </w:p>
          <w:p w14:paraId="3B972DF8">
            <w:pPr>
              <w:numPr>
                <w:ilvl w:val="0"/>
                <w:numId w:val="12"/>
              </w:numPr>
              <w:autoSpaceDE/>
              <w:autoSpaceDN/>
              <w:spacing w:line="360" w:lineRule="auto"/>
              <w:ind w:left="0" w:firstLine="0"/>
              <w:jc w:val="both"/>
              <w:rPr>
                <w:rFonts w:cs="Times New Roman"/>
                <w:bCs/>
                <w:kern w:val="2"/>
                <w:sz w:val="21"/>
                <w:szCs w:val="24"/>
                <w:lang w:val="en-US" w:bidi="ar-SA"/>
              </w:rPr>
            </w:pPr>
            <w:r>
              <w:rPr>
                <w:rFonts w:hint="eastAsia" w:cs="Arial"/>
                <w:bCs/>
                <w:kern w:val="2"/>
                <w:sz w:val="21"/>
                <w:szCs w:val="24"/>
                <w:lang w:val="en-US" w:bidi="ar-SA"/>
              </w:rPr>
              <w:t>药师审查时可查看当前患者的其他处方。</w:t>
            </w:r>
          </w:p>
        </w:tc>
      </w:tr>
      <w:tr w14:paraId="3E0B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3432313">
            <w:pPr>
              <w:numPr>
                <w:ilvl w:val="0"/>
                <w:numId w:val="8"/>
              </w:numPr>
              <w:autoSpaceDE/>
              <w:autoSpaceDN/>
              <w:spacing w:line="360" w:lineRule="auto"/>
              <w:jc w:val="both"/>
              <w:rPr>
                <w:rFonts w:cs="Times New Roman"/>
                <w:kern w:val="2"/>
                <w:sz w:val="21"/>
                <w:szCs w:val="24"/>
                <w:lang w:val="en-US" w:bidi="ar-SA"/>
              </w:rPr>
            </w:pPr>
          </w:p>
        </w:tc>
        <w:tc>
          <w:tcPr>
            <w:tcW w:w="1748" w:type="dxa"/>
            <w:vAlign w:val="center"/>
          </w:tcPr>
          <w:p w14:paraId="4F6DCB91">
            <w:pPr>
              <w:autoSpaceDE/>
              <w:autoSpaceDN/>
              <w:jc w:val="both"/>
              <w:rPr>
                <w:rFonts w:cs="Times New Roman"/>
                <w:kern w:val="2"/>
                <w:sz w:val="21"/>
                <w:szCs w:val="24"/>
                <w:lang w:val="en-US" w:bidi="ar-SA"/>
              </w:rPr>
            </w:pPr>
            <w:r>
              <w:rPr>
                <w:rFonts w:hint="eastAsia" w:cs="Times New Roman"/>
                <w:kern w:val="2"/>
                <w:sz w:val="21"/>
                <w:szCs w:val="24"/>
                <w:lang w:val="en-US" w:bidi="ar-SA"/>
              </w:rPr>
              <w:t>系统审查</w:t>
            </w:r>
          </w:p>
        </w:tc>
        <w:tc>
          <w:tcPr>
            <w:tcW w:w="6033" w:type="dxa"/>
            <w:vAlign w:val="center"/>
          </w:tcPr>
          <w:p w14:paraId="67FED6B2">
            <w:pPr>
              <w:autoSpaceDE/>
              <w:autoSpaceDN/>
              <w:jc w:val="both"/>
              <w:rPr>
                <w:rFonts w:cs="Times New Roman"/>
                <w:bCs/>
                <w:kern w:val="2"/>
                <w:sz w:val="21"/>
                <w:szCs w:val="24"/>
                <w:lang w:val="en-US" w:bidi="ar-SA"/>
              </w:rPr>
            </w:pPr>
            <w:r>
              <w:rPr>
                <w:rFonts w:hint="eastAsia" w:cs="Arial"/>
                <w:bCs/>
                <w:kern w:val="2"/>
                <w:sz w:val="21"/>
                <w:szCs w:val="24"/>
                <w:lang w:val="en-US" w:bidi="ar-SA"/>
              </w:rPr>
              <w:t>系统审查项目、规则等应与医院当前在用医生端审方系统保持一致，并能实现无缝对接，即药师端可查看医生端审方系统的详细审查结果信息，同时药师审核问题标准可按医生端审方系统的审查项目和问题级别进行设置。</w:t>
            </w:r>
          </w:p>
        </w:tc>
      </w:tr>
      <w:tr w14:paraId="517B8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D760D0F">
            <w:pPr>
              <w:numPr>
                <w:ilvl w:val="0"/>
                <w:numId w:val="8"/>
              </w:numPr>
              <w:autoSpaceDE/>
              <w:autoSpaceDN/>
              <w:spacing w:line="360" w:lineRule="auto"/>
              <w:jc w:val="both"/>
              <w:rPr>
                <w:rFonts w:cs="Times New Roman"/>
                <w:kern w:val="2"/>
                <w:sz w:val="21"/>
                <w:szCs w:val="24"/>
                <w:lang w:val="en-US" w:bidi="ar-SA"/>
              </w:rPr>
            </w:pPr>
          </w:p>
        </w:tc>
        <w:tc>
          <w:tcPr>
            <w:tcW w:w="1748" w:type="dxa"/>
            <w:vAlign w:val="center"/>
          </w:tcPr>
          <w:p w14:paraId="61FD35E5">
            <w:pPr>
              <w:autoSpaceDE/>
              <w:autoSpaceDN/>
              <w:jc w:val="both"/>
              <w:rPr>
                <w:rFonts w:cs="Times New Roman"/>
                <w:kern w:val="2"/>
                <w:sz w:val="21"/>
                <w:szCs w:val="24"/>
                <w:lang w:val="en-US" w:bidi="ar-SA"/>
              </w:rPr>
            </w:pPr>
            <w:r>
              <w:rPr>
                <w:rFonts w:hint="eastAsia" w:cs="Times New Roman"/>
                <w:kern w:val="2"/>
                <w:sz w:val="21"/>
                <w:szCs w:val="24"/>
                <w:lang w:val="en-US" w:bidi="ar-SA"/>
              </w:rPr>
              <w:t>统计分析</w:t>
            </w:r>
          </w:p>
        </w:tc>
        <w:tc>
          <w:tcPr>
            <w:tcW w:w="6033" w:type="dxa"/>
            <w:vAlign w:val="center"/>
          </w:tcPr>
          <w:p w14:paraId="6D6EFE8B">
            <w:pPr>
              <w:numPr>
                <w:ilvl w:val="0"/>
                <w:numId w:val="13"/>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可以分别统计门诊、住院任务的审核率、干预率、合格率等重要指标，并可提供统计图。可按照科室、医生、药品、药师、药物类进行干预情况分类统计。</w:t>
            </w:r>
          </w:p>
          <w:p w14:paraId="15A6CF4F">
            <w:pPr>
              <w:numPr>
                <w:ilvl w:val="0"/>
                <w:numId w:val="13"/>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可以统计每个药师的监测时长、审核工作量、干预工作量和干预有效率，并可提供统计图。</w:t>
            </w:r>
          </w:p>
          <w:p w14:paraId="2A33D591">
            <w:pPr>
              <w:numPr>
                <w:ilvl w:val="0"/>
                <w:numId w:val="13"/>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可以提供不合理问题统计分析，支持按时间、问题类型、警示等级等条件进行统计，并可生成统计图。可以查看在人工审方时药师主动添加的问题的发生次数、发生率。</w:t>
            </w:r>
          </w:p>
          <w:p w14:paraId="01984353">
            <w:pPr>
              <w:numPr>
                <w:ilvl w:val="0"/>
                <w:numId w:val="13"/>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可以分科室、医生、药品、问题类型提供干预效果追踪，并以统计图的方式体现干预效果。</w:t>
            </w:r>
          </w:p>
          <w:p w14:paraId="3FC7DA21">
            <w:pPr>
              <w:numPr>
                <w:ilvl w:val="0"/>
                <w:numId w:val="13"/>
              </w:numPr>
              <w:autoSpaceDE/>
              <w:autoSpaceDN/>
              <w:spacing w:line="360" w:lineRule="auto"/>
              <w:jc w:val="both"/>
              <w:rPr>
                <w:rFonts w:cs="Arial"/>
                <w:bCs/>
                <w:kern w:val="2"/>
                <w:sz w:val="24"/>
                <w:szCs w:val="24"/>
                <w:lang w:val="en-US" w:bidi="ar-SA"/>
              </w:rPr>
            </w:pPr>
            <w:r>
              <w:rPr>
                <w:rFonts w:hint="eastAsia" w:cs="Arial"/>
                <w:bCs/>
                <w:kern w:val="2"/>
                <w:sz w:val="24"/>
                <w:szCs w:val="24"/>
                <w:lang w:val="en-US" w:bidi="ar-SA"/>
              </w:rPr>
              <w:t>可按不同的处方（医嘱）通过状态进行统计，并可生成统计图。</w:t>
            </w:r>
          </w:p>
          <w:p w14:paraId="7A7B7460">
            <w:pPr>
              <w:numPr>
                <w:ilvl w:val="0"/>
                <w:numId w:val="13"/>
              </w:numPr>
              <w:autoSpaceDE/>
              <w:autoSpaceDN/>
              <w:spacing w:line="360" w:lineRule="auto"/>
              <w:jc w:val="both"/>
              <w:rPr>
                <w:rFonts w:cs="Times New Roman"/>
                <w:kern w:val="2"/>
                <w:sz w:val="21"/>
                <w:szCs w:val="24"/>
                <w:lang w:val="en-US" w:bidi="ar-SA"/>
              </w:rPr>
            </w:pPr>
            <w:r>
              <w:rPr>
                <w:rFonts w:hint="eastAsia" w:cs="Arial"/>
                <w:kern w:val="2"/>
                <w:sz w:val="21"/>
                <w:szCs w:val="24"/>
                <w:lang w:val="en-US" w:bidi="ar-SA"/>
              </w:rPr>
              <w:t>医生端可通过用药自查，查看自身任务的审核干预相关统计数据。</w:t>
            </w:r>
          </w:p>
        </w:tc>
      </w:tr>
      <w:tr w14:paraId="7D4A2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5A5DF72">
            <w:pPr>
              <w:numPr>
                <w:ilvl w:val="0"/>
                <w:numId w:val="8"/>
              </w:numPr>
              <w:autoSpaceDE/>
              <w:autoSpaceDN/>
              <w:spacing w:line="360" w:lineRule="auto"/>
              <w:jc w:val="both"/>
              <w:rPr>
                <w:rFonts w:cs="Times New Roman"/>
                <w:kern w:val="2"/>
                <w:sz w:val="21"/>
                <w:szCs w:val="24"/>
                <w:lang w:val="en-US" w:bidi="ar-SA"/>
              </w:rPr>
            </w:pPr>
          </w:p>
        </w:tc>
        <w:tc>
          <w:tcPr>
            <w:tcW w:w="1748" w:type="dxa"/>
            <w:vAlign w:val="center"/>
          </w:tcPr>
          <w:p w14:paraId="55EDAB70">
            <w:pPr>
              <w:autoSpaceDE/>
              <w:autoSpaceDN/>
              <w:jc w:val="both"/>
              <w:rPr>
                <w:rFonts w:cs="Times New Roman"/>
                <w:kern w:val="2"/>
                <w:sz w:val="21"/>
                <w:szCs w:val="24"/>
                <w:lang w:val="en-US" w:bidi="ar-SA"/>
              </w:rPr>
            </w:pPr>
            <w:r>
              <w:rPr>
                <w:rFonts w:hint="eastAsia" w:cs="Times New Roman"/>
                <w:kern w:val="2"/>
                <w:sz w:val="21"/>
                <w:szCs w:val="24"/>
                <w:lang w:val="en-US" w:bidi="ar-SA"/>
              </w:rPr>
              <w:t>大屏展示功能</w:t>
            </w:r>
          </w:p>
        </w:tc>
        <w:tc>
          <w:tcPr>
            <w:tcW w:w="6033" w:type="dxa"/>
            <w:vAlign w:val="center"/>
          </w:tcPr>
          <w:p w14:paraId="37CAF49D">
            <w:pPr>
              <w:autoSpaceDE/>
              <w:autoSpaceDN/>
              <w:jc w:val="both"/>
              <w:rPr>
                <w:rFonts w:cs="Times New Roman"/>
                <w:bCs/>
                <w:kern w:val="2"/>
                <w:sz w:val="21"/>
                <w:szCs w:val="24"/>
                <w:lang w:val="en-US" w:bidi="ar-SA"/>
              </w:rPr>
            </w:pPr>
            <w:r>
              <w:rPr>
                <w:rFonts w:hint="eastAsia" w:cs="Arial"/>
                <w:bCs/>
                <w:kern w:val="2"/>
                <w:sz w:val="21"/>
                <w:szCs w:val="24"/>
                <w:lang w:val="en-US" w:bidi="ar-SA"/>
              </w:rPr>
              <w:t>系统应支持将重要审方指标通过图表在用户大屏上展示。</w:t>
            </w:r>
          </w:p>
        </w:tc>
      </w:tr>
    </w:tbl>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51"/>
        <w:gridCol w:w="6379"/>
      </w:tblGrid>
      <w:tr w14:paraId="4138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7" w:type="dxa"/>
            <w:gridSpan w:val="3"/>
            <w:tcBorders>
              <w:top w:val="single" w:color="auto" w:sz="4" w:space="0"/>
              <w:left w:val="single" w:color="auto" w:sz="4" w:space="0"/>
              <w:bottom w:val="single" w:color="auto" w:sz="4" w:space="0"/>
              <w:right w:val="single" w:color="auto" w:sz="4" w:space="0"/>
            </w:tcBorders>
            <w:vAlign w:val="center"/>
          </w:tcPr>
          <w:p w14:paraId="30AFAC35">
            <w:pPr>
              <w:autoSpaceDE/>
              <w:autoSpaceDN/>
              <w:adjustRightInd w:val="0"/>
              <w:snapToGrid w:val="0"/>
              <w:jc w:val="both"/>
              <w:rPr>
                <w:b/>
                <w:kern w:val="2"/>
                <w:sz w:val="21"/>
                <w:szCs w:val="24"/>
                <w:lang w:val="en-US" w:bidi="ar-SA"/>
              </w:rPr>
            </w:pPr>
            <w:r>
              <w:rPr>
                <w:rFonts w:hint="eastAsia"/>
                <w:b/>
                <w:kern w:val="2"/>
                <w:sz w:val="21"/>
                <w:szCs w:val="24"/>
                <w:lang w:val="en-US" w:bidi="ar-SA"/>
              </w:rPr>
              <w:t>药物信息查询功能要求</w:t>
            </w:r>
          </w:p>
        </w:tc>
      </w:tr>
      <w:tr w14:paraId="55A1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0B7E11F8">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397D6CEE">
            <w:pPr>
              <w:autoSpaceDE/>
              <w:autoSpaceDN/>
              <w:adjustRightInd w:val="0"/>
              <w:snapToGrid w:val="0"/>
              <w:jc w:val="center"/>
              <w:rPr>
                <w:bCs/>
                <w:kern w:val="2"/>
                <w:sz w:val="21"/>
                <w:szCs w:val="24"/>
                <w:lang w:val="en-US" w:bidi="ar-SA"/>
              </w:rPr>
            </w:pPr>
            <w:r>
              <w:rPr>
                <w:rFonts w:hint="eastAsia" w:cs="Arial"/>
                <w:kern w:val="2"/>
                <w:sz w:val="21"/>
                <w:szCs w:val="24"/>
                <w:lang w:val="en-US" w:bidi="ar-SA"/>
              </w:rPr>
              <w:t>▲</w:t>
            </w:r>
            <w:r>
              <w:rPr>
                <w:rFonts w:hint="eastAsia"/>
                <w:bCs/>
                <w:kern w:val="2"/>
                <w:sz w:val="21"/>
                <w:szCs w:val="24"/>
                <w:lang w:val="en-US" w:bidi="ar-SA"/>
              </w:rPr>
              <w:t>药物信息参考</w:t>
            </w:r>
          </w:p>
        </w:tc>
        <w:tc>
          <w:tcPr>
            <w:tcW w:w="6379" w:type="dxa"/>
            <w:tcBorders>
              <w:top w:val="single" w:color="auto" w:sz="4" w:space="0"/>
              <w:left w:val="single" w:color="auto" w:sz="4" w:space="0"/>
              <w:bottom w:val="single" w:color="auto" w:sz="4" w:space="0"/>
              <w:right w:val="single" w:color="auto" w:sz="4" w:space="0"/>
            </w:tcBorders>
            <w:vAlign w:val="center"/>
          </w:tcPr>
          <w:p w14:paraId="2325ECF0">
            <w:pPr>
              <w:numPr>
                <w:ilvl w:val="0"/>
                <w:numId w:val="15"/>
              </w:numPr>
              <w:tabs>
                <w:tab w:val="left" w:pos="0"/>
              </w:tabs>
              <w:autoSpaceDE/>
              <w:autoSpaceDN/>
              <w:spacing w:line="360" w:lineRule="auto"/>
              <w:jc w:val="both"/>
              <w:rPr>
                <w:bCs/>
                <w:kern w:val="2"/>
                <w:sz w:val="24"/>
                <w:szCs w:val="24"/>
                <w:lang w:val="en-US" w:bidi="ar-SA"/>
              </w:rPr>
            </w:pPr>
            <w:r>
              <w:rPr>
                <w:rFonts w:hint="eastAsia"/>
                <w:bCs/>
                <w:kern w:val="2"/>
                <w:sz w:val="24"/>
                <w:szCs w:val="24"/>
                <w:lang w:val="en-US" w:bidi="ar-SA"/>
              </w:rPr>
              <w:t>系统应提供国内外上市药品的详细临床用药信息，内容包括药物的各种名称、临床应用、用法与用量、注意事项、不良反应、药物相互作用、给药说明、药理、制剂与规格等信息。</w:t>
            </w:r>
          </w:p>
          <w:p w14:paraId="40B55470">
            <w:pPr>
              <w:numPr>
                <w:ilvl w:val="0"/>
                <w:numId w:val="15"/>
              </w:numPr>
              <w:tabs>
                <w:tab w:val="left" w:pos="709"/>
              </w:tabs>
              <w:autoSpaceDE/>
              <w:autoSpaceDN/>
              <w:spacing w:line="360" w:lineRule="auto"/>
              <w:jc w:val="both"/>
              <w:rPr>
                <w:bCs/>
                <w:kern w:val="2"/>
                <w:sz w:val="24"/>
                <w:szCs w:val="24"/>
                <w:lang w:val="en-US" w:bidi="ar-SA"/>
              </w:rPr>
            </w:pPr>
            <w:r>
              <w:rPr>
                <w:rFonts w:hint="eastAsia"/>
                <w:bCs/>
                <w:kern w:val="2"/>
                <w:sz w:val="24"/>
                <w:szCs w:val="24"/>
                <w:lang w:val="en-US" w:bidi="ar-SA"/>
              </w:rPr>
              <w:t>应可查看特殊人群（老人、儿童、妊娠期妇女、哺乳期妇女）及特殊疾病状态（如肝功能不全、肾功能不全、心力衰竭等）患者用药的注意事项。</w:t>
            </w:r>
          </w:p>
          <w:p w14:paraId="74C3062E">
            <w:pPr>
              <w:numPr>
                <w:ilvl w:val="0"/>
                <w:numId w:val="15"/>
              </w:numPr>
              <w:tabs>
                <w:tab w:val="left" w:pos="709"/>
              </w:tabs>
              <w:autoSpaceDE/>
              <w:autoSpaceDN/>
              <w:spacing w:line="360" w:lineRule="auto"/>
              <w:jc w:val="both"/>
              <w:rPr>
                <w:bCs/>
                <w:kern w:val="2"/>
                <w:sz w:val="24"/>
                <w:szCs w:val="24"/>
                <w:lang w:val="en-US" w:bidi="ar-SA"/>
              </w:rPr>
            </w:pPr>
            <w:r>
              <w:rPr>
                <w:rFonts w:hint="eastAsia"/>
                <w:bCs/>
                <w:kern w:val="2"/>
                <w:sz w:val="24"/>
                <w:szCs w:val="24"/>
                <w:lang w:val="en-US" w:bidi="ar-SA"/>
              </w:rPr>
              <w:t xml:space="preserve">应提供与药物临床应用密切相关的信息如不良反应处理方法、药物对检验值或诊断的影响等。 </w:t>
            </w:r>
          </w:p>
          <w:p w14:paraId="7043C0D3">
            <w:pPr>
              <w:numPr>
                <w:ilvl w:val="0"/>
                <w:numId w:val="15"/>
              </w:numPr>
              <w:tabs>
                <w:tab w:val="left" w:pos="709"/>
              </w:tabs>
              <w:autoSpaceDE/>
              <w:autoSpaceDN/>
              <w:spacing w:line="360" w:lineRule="auto"/>
              <w:jc w:val="both"/>
              <w:rPr>
                <w:bCs/>
                <w:kern w:val="2"/>
                <w:sz w:val="24"/>
                <w:szCs w:val="24"/>
                <w:lang w:val="en-US" w:bidi="ar-SA"/>
              </w:rPr>
            </w:pPr>
            <w:r>
              <w:rPr>
                <w:rFonts w:hint="eastAsia"/>
                <w:bCs/>
                <w:kern w:val="2"/>
                <w:sz w:val="24"/>
                <w:szCs w:val="24"/>
                <w:lang w:val="en-US" w:bidi="ar-SA"/>
              </w:rPr>
              <w:t>应提供高警讯药物、国外专科信息供临床参考。</w:t>
            </w:r>
          </w:p>
          <w:p w14:paraId="2A57807A">
            <w:pPr>
              <w:numPr>
                <w:ilvl w:val="0"/>
                <w:numId w:val="15"/>
              </w:numPr>
              <w:autoSpaceDE/>
              <w:autoSpaceDN/>
              <w:adjustRightInd w:val="0"/>
              <w:snapToGrid w:val="0"/>
              <w:spacing w:line="360" w:lineRule="auto"/>
              <w:jc w:val="both"/>
              <w:rPr>
                <w:bCs/>
                <w:kern w:val="2"/>
                <w:sz w:val="24"/>
                <w:szCs w:val="24"/>
                <w:lang w:val="en-US" w:bidi="ar-SA"/>
              </w:rPr>
            </w:pPr>
            <w:r>
              <w:rPr>
                <w:rFonts w:hint="eastAsia"/>
                <w:bCs/>
                <w:kern w:val="2"/>
                <w:sz w:val="24"/>
                <w:szCs w:val="24"/>
                <w:lang w:val="en-US" w:bidi="ar-SA"/>
              </w:rPr>
              <w:t>所有信息均应提供参考文献。</w:t>
            </w:r>
          </w:p>
        </w:tc>
      </w:tr>
      <w:tr w14:paraId="664A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51A59DE4">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5943B0E7">
            <w:pPr>
              <w:autoSpaceDE/>
              <w:autoSpaceDN/>
              <w:adjustRightInd w:val="0"/>
              <w:snapToGrid w:val="0"/>
              <w:jc w:val="center"/>
              <w:rPr>
                <w:bCs/>
                <w:kern w:val="2"/>
                <w:sz w:val="21"/>
                <w:szCs w:val="24"/>
                <w:lang w:val="en-US" w:bidi="ar-SA"/>
              </w:rPr>
            </w:pPr>
            <w:r>
              <w:rPr>
                <w:rFonts w:hint="eastAsia"/>
                <w:bCs/>
                <w:kern w:val="2"/>
                <w:sz w:val="21"/>
                <w:szCs w:val="24"/>
                <w:lang w:val="en-US" w:bidi="ar-SA"/>
              </w:rPr>
              <w:t>药品说明书</w:t>
            </w:r>
          </w:p>
        </w:tc>
        <w:tc>
          <w:tcPr>
            <w:tcW w:w="6379" w:type="dxa"/>
            <w:tcBorders>
              <w:top w:val="single" w:color="auto" w:sz="4" w:space="0"/>
              <w:left w:val="single" w:color="auto" w:sz="4" w:space="0"/>
              <w:bottom w:val="single" w:color="auto" w:sz="4" w:space="0"/>
              <w:right w:val="single" w:color="auto" w:sz="4" w:space="0"/>
            </w:tcBorders>
            <w:vAlign w:val="center"/>
          </w:tcPr>
          <w:p w14:paraId="141B8373">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系统应提供国家药品监督管理局（NMPA）批准的厂家药品说明书，应可查看NMPA发布的说明书修订通知。还应提供高级检索的功能。</w:t>
            </w:r>
          </w:p>
        </w:tc>
      </w:tr>
      <w:tr w14:paraId="299E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757DFD5E">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0D8D2E03">
            <w:pPr>
              <w:autoSpaceDE/>
              <w:autoSpaceDN/>
              <w:adjustRightInd w:val="0"/>
              <w:snapToGrid w:val="0"/>
              <w:jc w:val="center"/>
              <w:rPr>
                <w:bCs/>
                <w:kern w:val="2"/>
                <w:sz w:val="21"/>
                <w:szCs w:val="24"/>
                <w:lang w:val="en-US" w:bidi="ar-SA"/>
              </w:rPr>
            </w:pPr>
            <w:r>
              <w:rPr>
                <w:rFonts w:hint="eastAsia"/>
                <w:bCs/>
                <w:kern w:val="2"/>
                <w:sz w:val="21"/>
                <w:szCs w:val="24"/>
                <w:lang w:val="en-US" w:bidi="ar-SA"/>
              </w:rPr>
              <w:t>用药教育</w:t>
            </w:r>
          </w:p>
        </w:tc>
        <w:tc>
          <w:tcPr>
            <w:tcW w:w="6379" w:type="dxa"/>
            <w:tcBorders>
              <w:top w:val="single" w:color="auto" w:sz="4" w:space="0"/>
              <w:left w:val="single" w:color="auto" w:sz="4" w:space="0"/>
              <w:bottom w:val="single" w:color="auto" w:sz="4" w:space="0"/>
              <w:right w:val="single" w:color="auto" w:sz="4" w:space="0"/>
            </w:tcBorders>
            <w:vAlign w:val="center"/>
          </w:tcPr>
          <w:p w14:paraId="71624308">
            <w:pPr>
              <w:tabs>
                <w:tab w:val="left" w:pos="709"/>
              </w:tabs>
              <w:autoSpaceDE/>
              <w:autoSpaceDN/>
              <w:jc w:val="both"/>
              <w:rPr>
                <w:bCs/>
                <w:kern w:val="2"/>
                <w:sz w:val="21"/>
                <w:szCs w:val="24"/>
                <w:lang w:val="en-US" w:bidi="ar-SA"/>
              </w:rPr>
            </w:pPr>
            <w:r>
              <w:rPr>
                <w:rFonts w:hint="eastAsia"/>
                <w:bCs/>
                <w:kern w:val="2"/>
                <w:sz w:val="21"/>
                <w:szCs w:val="24"/>
                <w:lang w:val="en-US" w:bidi="ar-SA"/>
              </w:rPr>
              <w:t>系统应为专业人员提供便于辅导病人用药的信息，以通俗易懂的语言，借助图片等形式描述药品的用途、副作用、用药期间注意事项、特殊给药方式图示等信息。</w:t>
            </w:r>
          </w:p>
        </w:tc>
      </w:tr>
      <w:tr w14:paraId="1ADA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78B4A5AA">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2B39DBD5">
            <w:pPr>
              <w:autoSpaceDE/>
              <w:autoSpaceDN/>
              <w:adjustRightInd w:val="0"/>
              <w:snapToGrid w:val="0"/>
              <w:jc w:val="center"/>
              <w:rPr>
                <w:bCs/>
                <w:kern w:val="2"/>
                <w:sz w:val="21"/>
                <w:szCs w:val="24"/>
                <w:lang w:val="en-US" w:bidi="ar-SA"/>
              </w:rPr>
            </w:pPr>
            <w:r>
              <w:rPr>
                <w:rFonts w:hint="eastAsia"/>
                <w:bCs/>
                <w:kern w:val="2"/>
                <w:sz w:val="21"/>
                <w:szCs w:val="24"/>
                <w:lang w:val="en-US" w:bidi="ar-SA"/>
              </w:rPr>
              <w:t>ICD</w:t>
            </w:r>
          </w:p>
        </w:tc>
        <w:tc>
          <w:tcPr>
            <w:tcW w:w="6379" w:type="dxa"/>
            <w:tcBorders>
              <w:top w:val="single" w:color="auto" w:sz="4" w:space="0"/>
              <w:left w:val="single" w:color="auto" w:sz="4" w:space="0"/>
              <w:bottom w:val="single" w:color="auto" w:sz="4" w:space="0"/>
              <w:right w:val="single" w:color="auto" w:sz="4" w:space="0"/>
            </w:tcBorders>
            <w:vAlign w:val="center"/>
          </w:tcPr>
          <w:p w14:paraId="0A393664">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系统应提供ICD10、ICD-9-CM-3、肿瘤形态学编码、ICD-11和国家医疗保障DRG分组的查询功能。</w:t>
            </w:r>
          </w:p>
        </w:tc>
      </w:tr>
      <w:tr w14:paraId="2B08A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0868EA51">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3EDD4954">
            <w:pPr>
              <w:autoSpaceDE/>
              <w:autoSpaceDN/>
              <w:adjustRightInd w:val="0"/>
              <w:snapToGrid w:val="0"/>
              <w:jc w:val="center"/>
              <w:rPr>
                <w:bCs/>
                <w:kern w:val="2"/>
                <w:sz w:val="21"/>
                <w:szCs w:val="24"/>
                <w:lang w:val="en-US" w:bidi="ar-SA"/>
              </w:rPr>
            </w:pPr>
            <w:r>
              <w:rPr>
                <w:rFonts w:hint="eastAsia"/>
                <w:bCs/>
                <w:kern w:val="2"/>
                <w:sz w:val="21"/>
                <w:szCs w:val="24"/>
                <w:lang w:val="en-US" w:bidi="ar-SA"/>
              </w:rPr>
              <w:t>ATC编码与DDD值</w:t>
            </w:r>
          </w:p>
        </w:tc>
        <w:tc>
          <w:tcPr>
            <w:tcW w:w="6379" w:type="dxa"/>
            <w:tcBorders>
              <w:top w:val="single" w:color="auto" w:sz="4" w:space="0"/>
              <w:left w:val="single" w:color="auto" w:sz="4" w:space="0"/>
              <w:bottom w:val="single" w:color="auto" w:sz="4" w:space="0"/>
              <w:right w:val="single" w:color="auto" w:sz="4" w:space="0"/>
            </w:tcBorders>
            <w:vAlign w:val="center"/>
          </w:tcPr>
          <w:p w14:paraId="3E58FEB4">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系统应提供国内外权威机构发布的药物ATC编码与DDD值，应可查看药物对应的上市药品信息。</w:t>
            </w:r>
          </w:p>
        </w:tc>
      </w:tr>
      <w:tr w14:paraId="793A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77443BAE">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09F822FD">
            <w:pPr>
              <w:autoSpaceDE/>
              <w:autoSpaceDN/>
              <w:adjustRightInd w:val="0"/>
              <w:snapToGrid w:val="0"/>
              <w:jc w:val="center"/>
              <w:rPr>
                <w:bCs/>
                <w:kern w:val="2"/>
                <w:sz w:val="21"/>
                <w:szCs w:val="24"/>
                <w:lang w:val="en-US" w:bidi="ar-SA"/>
              </w:rPr>
            </w:pPr>
            <w:r>
              <w:rPr>
                <w:rFonts w:hint="eastAsia"/>
                <w:bCs/>
                <w:kern w:val="2"/>
                <w:sz w:val="21"/>
                <w:szCs w:val="24"/>
                <w:lang w:val="en-US" w:bidi="ar-SA"/>
              </w:rPr>
              <w:t>检验值</w:t>
            </w:r>
          </w:p>
        </w:tc>
        <w:tc>
          <w:tcPr>
            <w:tcW w:w="6379" w:type="dxa"/>
            <w:tcBorders>
              <w:top w:val="single" w:color="auto" w:sz="4" w:space="0"/>
              <w:left w:val="single" w:color="auto" w:sz="4" w:space="0"/>
              <w:bottom w:val="single" w:color="auto" w:sz="4" w:space="0"/>
              <w:right w:val="single" w:color="auto" w:sz="4" w:space="0"/>
            </w:tcBorders>
            <w:vAlign w:val="center"/>
          </w:tcPr>
          <w:p w14:paraId="3279CD03">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系统应提供常用检验项目信息，应包含检验项目正常参考值范围、结果及临床意义、药物对检验结果的影响等内容。可按检验类别查询，也可按检验名称查询检验值信息。</w:t>
            </w:r>
          </w:p>
        </w:tc>
      </w:tr>
      <w:tr w14:paraId="11B5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381D0A72">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18D3852F">
            <w:pPr>
              <w:autoSpaceDE/>
              <w:autoSpaceDN/>
              <w:adjustRightInd w:val="0"/>
              <w:snapToGrid w:val="0"/>
              <w:jc w:val="center"/>
              <w:rPr>
                <w:bCs/>
                <w:kern w:val="2"/>
                <w:sz w:val="21"/>
                <w:szCs w:val="24"/>
                <w:lang w:val="en-US" w:bidi="ar-SA"/>
              </w:rPr>
            </w:pPr>
            <w:r>
              <w:rPr>
                <w:rFonts w:hint="eastAsia"/>
                <w:bCs/>
                <w:kern w:val="2"/>
                <w:sz w:val="21"/>
                <w:szCs w:val="24"/>
                <w:lang w:val="en-US" w:bidi="ar-SA"/>
              </w:rPr>
              <w:t>药品基本信息</w:t>
            </w:r>
          </w:p>
        </w:tc>
        <w:tc>
          <w:tcPr>
            <w:tcW w:w="6379" w:type="dxa"/>
            <w:tcBorders>
              <w:top w:val="single" w:color="auto" w:sz="4" w:space="0"/>
              <w:left w:val="single" w:color="auto" w:sz="4" w:space="0"/>
              <w:bottom w:val="single" w:color="auto" w:sz="4" w:space="0"/>
              <w:right w:val="single" w:color="auto" w:sz="4" w:space="0"/>
            </w:tcBorders>
            <w:vAlign w:val="center"/>
          </w:tcPr>
          <w:p w14:paraId="5838C5F0">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国家药品监督管理局（NMPA）批准上市药品的信息，包括药品的通用名、商品名、剂型、规格、批准文号/药品编码、生产厂家，并标注基本药物、社保品种、OTC药物、兴奋药品、精神类药品、麻醉类药品、原研药、仿制药等。可查询药品生产企业获批生产的药品信息，并可查看药品说明书。可查询国家集采药品数据及替代药品参考监测范围、兴奋剂目录、国家重点监控合理用药药品目录。</w:t>
            </w:r>
          </w:p>
        </w:tc>
      </w:tr>
      <w:tr w14:paraId="07BF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782A2171">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457CB2C3">
            <w:pPr>
              <w:autoSpaceDE/>
              <w:autoSpaceDN/>
              <w:adjustRightInd w:val="0"/>
              <w:snapToGrid w:val="0"/>
              <w:jc w:val="center"/>
              <w:rPr>
                <w:bCs/>
                <w:kern w:val="2"/>
                <w:sz w:val="21"/>
                <w:szCs w:val="24"/>
                <w:lang w:val="en-US" w:bidi="ar-SA"/>
              </w:rPr>
            </w:pPr>
            <w:r>
              <w:rPr>
                <w:rFonts w:hint="eastAsia"/>
                <w:bCs/>
                <w:kern w:val="2"/>
                <w:sz w:val="21"/>
                <w:szCs w:val="24"/>
                <w:lang w:val="en-US" w:bidi="ar-SA"/>
              </w:rPr>
              <w:t>临床路径</w:t>
            </w:r>
          </w:p>
        </w:tc>
        <w:tc>
          <w:tcPr>
            <w:tcW w:w="6379" w:type="dxa"/>
            <w:tcBorders>
              <w:top w:val="single" w:color="auto" w:sz="4" w:space="0"/>
              <w:left w:val="single" w:color="auto" w:sz="4" w:space="0"/>
              <w:bottom w:val="single" w:color="auto" w:sz="4" w:space="0"/>
              <w:right w:val="single" w:color="auto" w:sz="4" w:space="0"/>
            </w:tcBorders>
            <w:vAlign w:val="center"/>
          </w:tcPr>
          <w:p w14:paraId="5FF0E8A0">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系统应提供国家卫健委发布的临床路径，应覆盖临床常见疾病品种。可按临床科室分类浏览，也可按疾病关键词检索临床路径。</w:t>
            </w:r>
          </w:p>
        </w:tc>
      </w:tr>
      <w:tr w14:paraId="5EFB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4C7CBC23">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3FA98BF6">
            <w:pPr>
              <w:autoSpaceDE/>
              <w:autoSpaceDN/>
              <w:adjustRightInd w:val="0"/>
              <w:snapToGrid w:val="0"/>
              <w:jc w:val="center"/>
              <w:rPr>
                <w:bCs/>
                <w:kern w:val="2"/>
                <w:sz w:val="21"/>
                <w:szCs w:val="24"/>
                <w:lang w:val="en-US" w:bidi="ar-SA"/>
              </w:rPr>
            </w:pPr>
            <w:r>
              <w:rPr>
                <w:rFonts w:hint="eastAsia"/>
                <w:bCs/>
                <w:kern w:val="2"/>
                <w:sz w:val="21"/>
                <w:szCs w:val="24"/>
                <w:lang w:val="en-US" w:bidi="ar-SA"/>
              </w:rPr>
              <w:t>医药公式</w:t>
            </w:r>
          </w:p>
        </w:tc>
        <w:tc>
          <w:tcPr>
            <w:tcW w:w="6379" w:type="dxa"/>
            <w:tcBorders>
              <w:top w:val="single" w:color="auto" w:sz="4" w:space="0"/>
              <w:left w:val="single" w:color="auto" w:sz="4" w:space="0"/>
              <w:bottom w:val="single" w:color="auto" w:sz="4" w:space="0"/>
              <w:right w:val="single" w:color="auto" w:sz="4" w:space="0"/>
            </w:tcBorders>
            <w:vAlign w:val="center"/>
          </w:tcPr>
          <w:p w14:paraId="4B965D5A">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系统应提供常用医药公式、评分、分级标准量表等，内容涵盖了内科、外科、妇产科、儿科、神经科等，公式应提供计算功能。可按临床科室分类浏览，也可按公式名称检索。</w:t>
            </w:r>
          </w:p>
        </w:tc>
      </w:tr>
      <w:tr w14:paraId="25B1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06BBB030">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58651390">
            <w:pPr>
              <w:autoSpaceDE/>
              <w:autoSpaceDN/>
              <w:adjustRightInd w:val="0"/>
              <w:snapToGrid w:val="0"/>
              <w:jc w:val="center"/>
              <w:rPr>
                <w:bCs/>
                <w:kern w:val="2"/>
                <w:sz w:val="21"/>
                <w:szCs w:val="24"/>
                <w:lang w:val="en-US" w:bidi="ar-SA"/>
              </w:rPr>
            </w:pPr>
            <w:r>
              <w:rPr>
                <w:rFonts w:hint="eastAsia"/>
                <w:bCs/>
                <w:kern w:val="2"/>
                <w:sz w:val="21"/>
                <w:szCs w:val="24"/>
                <w:lang w:val="en-US" w:bidi="ar-SA"/>
              </w:rPr>
              <w:t>医药时讯</w:t>
            </w:r>
          </w:p>
        </w:tc>
        <w:tc>
          <w:tcPr>
            <w:tcW w:w="6379" w:type="dxa"/>
            <w:tcBorders>
              <w:top w:val="single" w:color="auto" w:sz="4" w:space="0"/>
              <w:left w:val="single" w:color="auto" w:sz="4" w:space="0"/>
              <w:bottom w:val="single" w:color="auto" w:sz="4" w:space="0"/>
              <w:right w:val="single" w:color="auto" w:sz="4" w:space="0"/>
            </w:tcBorders>
            <w:vAlign w:val="center"/>
          </w:tcPr>
          <w:p w14:paraId="2661E0CA">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系统应提供国内外政府网站和医药学专业数据库、核心期刊发布的最新药物研究成果、药物警戒信息、新药研发和上市资讯等内容。</w:t>
            </w:r>
          </w:p>
        </w:tc>
      </w:tr>
      <w:tr w14:paraId="6E0E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2677F1E1">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1CE1CFF1">
            <w:pPr>
              <w:autoSpaceDE/>
              <w:autoSpaceDN/>
              <w:adjustRightInd w:val="0"/>
              <w:snapToGrid w:val="0"/>
              <w:jc w:val="center"/>
              <w:rPr>
                <w:bCs/>
                <w:kern w:val="2"/>
                <w:sz w:val="21"/>
                <w:szCs w:val="24"/>
                <w:lang w:val="en-US" w:bidi="ar-SA"/>
              </w:rPr>
            </w:pPr>
            <w:r>
              <w:rPr>
                <w:rFonts w:hint="eastAsia"/>
                <w:bCs/>
                <w:kern w:val="2"/>
                <w:sz w:val="21"/>
                <w:szCs w:val="24"/>
                <w:lang w:val="en-US" w:bidi="ar-SA"/>
              </w:rPr>
              <w:t>医药法规</w:t>
            </w:r>
          </w:p>
        </w:tc>
        <w:tc>
          <w:tcPr>
            <w:tcW w:w="6379" w:type="dxa"/>
            <w:tcBorders>
              <w:top w:val="single" w:color="auto" w:sz="4" w:space="0"/>
              <w:left w:val="single" w:color="auto" w:sz="4" w:space="0"/>
              <w:bottom w:val="single" w:color="auto" w:sz="4" w:space="0"/>
              <w:right w:val="single" w:color="auto" w:sz="4" w:space="0"/>
            </w:tcBorders>
            <w:vAlign w:val="center"/>
          </w:tcPr>
          <w:p w14:paraId="5CD30769">
            <w:pPr>
              <w:autoSpaceDE/>
              <w:autoSpaceDN/>
              <w:adjustRightInd w:val="0"/>
              <w:snapToGrid w:val="0"/>
              <w:jc w:val="both"/>
              <w:rPr>
                <w:bCs/>
                <w:kern w:val="2"/>
                <w:sz w:val="21"/>
                <w:szCs w:val="24"/>
                <w:lang w:val="en-US" w:bidi="ar-SA"/>
              </w:rPr>
            </w:pPr>
            <w:r>
              <w:rPr>
                <w:rFonts w:hint="eastAsia"/>
                <w:bCs/>
                <w:kern w:val="2"/>
                <w:sz w:val="21"/>
                <w:szCs w:val="24"/>
                <w:lang w:val="en-US" w:bidi="ar-SA"/>
              </w:rPr>
              <w:t>系统应收录国家药品监督管理局、国家卫生健康委员会等权威机构发布的关于药品管理、传染病防治、医疗事故管理、医疗机构管理等方面的法律法规文件。应支持关键词检索，可通过发布部门、效力级别分类浏览。</w:t>
            </w:r>
          </w:p>
        </w:tc>
      </w:tr>
      <w:tr w14:paraId="399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15F0DCD5">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6B7BF372">
            <w:pPr>
              <w:autoSpaceDE/>
              <w:autoSpaceDN/>
              <w:adjustRightInd w:val="0"/>
              <w:snapToGrid w:val="0"/>
              <w:jc w:val="center"/>
              <w:rPr>
                <w:bCs/>
                <w:kern w:val="2"/>
                <w:sz w:val="21"/>
                <w:szCs w:val="24"/>
                <w:lang w:val="en-US" w:bidi="ar-SA"/>
              </w:rPr>
            </w:pPr>
            <w:r>
              <w:rPr>
                <w:rFonts w:hint="eastAsia"/>
                <w:bCs/>
                <w:kern w:val="2"/>
                <w:sz w:val="21"/>
                <w:szCs w:val="24"/>
                <w:lang w:val="en-US" w:bidi="ar-SA"/>
              </w:rPr>
              <w:t>药物相互作用审查</w:t>
            </w:r>
          </w:p>
        </w:tc>
        <w:tc>
          <w:tcPr>
            <w:tcW w:w="6379" w:type="dxa"/>
            <w:tcBorders>
              <w:top w:val="single" w:color="auto" w:sz="4" w:space="0"/>
              <w:left w:val="single" w:color="auto" w:sz="4" w:space="0"/>
              <w:bottom w:val="single" w:color="auto" w:sz="4" w:space="0"/>
              <w:right w:val="single" w:color="auto" w:sz="4" w:space="0"/>
            </w:tcBorders>
            <w:vAlign w:val="center"/>
          </w:tcPr>
          <w:p w14:paraId="0D64686C">
            <w:pPr>
              <w:numPr>
                <w:ilvl w:val="0"/>
                <w:numId w:val="16"/>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系统应提供药物-药物、药物-食物、▲药物-咖啡因、药物-酒精、药物-保健品、保健品-保健品之间的相互作用信息，应提供西药和西药、中药和中药、中药和西药的相互作用信息。</w:t>
            </w:r>
          </w:p>
          <w:p w14:paraId="5FF2083F">
            <w:pPr>
              <w:numPr>
                <w:ilvl w:val="0"/>
                <w:numId w:val="16"/>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▲内容应包括药物相互作用的结果、机制、临床处理、严重级别、案例评价及讨论等内容。</w:t>
            </w:r>
          </w:p>
          <w:p w14:paraId="0E9BDF16">
            <w:pPr>
              <w:numPr>
                <w:ilvl w:val="0"/>
                <w:numId w:val="16"/>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▲应可实现单药相互作用分析及多药相互作用审查。</w:t>
            </w:r>
          </w:p>
          <w:p w14:paraId="4ADBAEB3">
            <w:pPr>
              <w:numPr>
                <w:ilvl w:val="0"/>
                <w:numId w:val="16"/>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▲参考文献应包含国内外的期刊文献、数据库等。</w:t>
            </w:r>
          </w:p>
        </w:tc>
      </w:tr>
      <w:tr w14:paraId="03B87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6DEF3C36">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4DBCD4FC">
            <w:pPr>
              <w:autoSpaceDE/>
              <w:autoSpaceDN/>
              <w:adjustRightInd w:val="0"/>
              <w:snapToGrid w:val="0"/>
              <w:jc w:val="center"/>
              <w:rPr>
                <w:bCs/>
                <w:kern w:val="2"/>
                <w:sz w:val="21"/>
                <w:szCs w:val="24"/>
                <w:lang w:val="en-US" w:bidi="ar-SA"/>
              </w:rPr>
            </w:pPr>
            <w:r>
              <w:rPr>
                <w:rFonts w:hint="eastAsia"/>
                <w:bCs/>
                <w:kern w:val="2"/>
                <w:sz w:val="21"/>
                <w:szCs w:val="24"/>
                <w:lang w:val="en-US" w:bidi="ar-SA"/>
              </w:rPr>
              <w:t>注射剂配伍审查</w:t>
            </w:r>
          </w:p>
        </w:tc>
        <w:tc>
          <w:tcPr>
            <w:tcW w:w="6379" w:type="dxa"/>
            <w:tcBorders>
              <w:top w:val="single" w:color="auto" w:sz="4" w:space="0"/>
              <w:left w:val="single" w:color="auto" w:sz="4" w:space="0"/>
              <w:bottom w:val="single" w:color="auto" w:sz="4" w:space="0"/>
              <w:right w:val="single" w:color="auto" w:sz="4" w:space="0"/>
            </w:tcBorders>
            <w:vAlign w:val="center"/>
          </w:tcPr>
          <w:p w14:paraId="22CD89FA">
            <w:pPr>
              <w:autoSpaceDE/>
              <w:autoSpaceDN/>
              <w:adjustRightInd w:val="0"/>
              <w:snapToGrid w:val="0"/>
              <w:jc w:val="both"/>
              <w:rPr>
                <w:bCs/>
                <w:kern w:val="2"/>
                <w:sz w:val="21"/>
                <w:szCs w:val="24"/>
                <w:lang w:val="en-US" w:bidi="ar-SA"/>
              </w:rPr>
            </w:pPr>
            <w:r>
              <w:rPr>
                <w:rFonts w:hint="eastAsia"/>
                <w:bCs/>
                <w:kern w:val="2"/>
                <w:sz w:val="21"/>
                <w:szCs w:val="24"/>
                <w:lang w:val="en-US" w:bidi="ar-SA"/>
              </w:rPr>
              <w:t>系统应提供注射药物配伍的信息，内容包括了注射药物配伍的物理化学变化及药效学变化、支持配伍结论的实验数据等。▲应可实现单药注射剂配伍分析及多药注射配伍进行审查。</w:t>
            </w:r>
          </w:p>
        </w:tc>
      </w:tr>
      <w:tr w14:paraId="7B90D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 w:type="dxa"/>
            <w:tcBorders>
              <w:top w:val="single" w:color="auto" w:sz="4" w:space="0"/>
              <w:left w:val="single" w:color="auto" w:sz="4" w:space="0"/>
              <w:bottom w:val="single" w:color="auto" w:sz="4" w:space="0"/>
              <w:right w:val="single" w:color="auto" w:sz="4" w:space="0"/>
            </w:tcBorders>
            <w:vAlign w:val="center"/>
          </w:tcPr>
          <w:p w14:paraId="15678FEB">
            <w:pPr>
              <w:widowControl/>
              <w:numPr>
                <w:ilvl w:val="0"/>
                <w:numId w:val="14"/>
              </w:numPr>
              <w:autoSpaceDE/>
              <w:autoSpaceDN/>
              <w:adjustRightInd w:val="0"/>
              <w:snapToGrid w:val="0"/>
              <w:spacing w:line="360" w:lineRule="auto"/>
              <w:jc w:val="center"/>
              <w:rPr>
                <w:bCs/>
                <w:kern w:val="2"/>
                <w:sz w:val="24"/>
                <w:szCs w:val="24"/>
                <w:lang w:val="en-US" w:bidi="ar-SA"/>
              </w:rPr>
            </w:pPr>
          </w:p>
        </w:tc>
        <w:tc>
          <w:tcPr>
            <w:tcW w:w="1051" w:type="dxa"/>
            <w:tcBorders>
              <w:top w:val="single" w:color="auto" w:sz="4" w:space="0"/>
              <w:left w:val="single" w:color="auto" w:sz="4" w:space="0"/>
              <w:bottom w:val="single" w:color="auto" w:sz="4" w:space="0"/>
              <w:right w:val="single" w:color="auto" w:sz="4" w:space="0"/>
            </w:tcBorders>
            <w:vAlign w:val="center"/>
          </w:tcPr>
          <w:p w14:paraId="04AF0ADF">
            <w:pPr>
              <w:autoSpaceDE/>
              <w:autoSpaceDN/>
              <w:adjustRightInd w:val="0"/>
              <w:snapToGrid w:val="0"/>
              <w:jc w:val="center"/>
              <w:rPr>
                <w:bCs/>
                <w:kern w:val="2"/>
                <w:sz w:val="21"/>
                <w:szCs w:val="24"/>
                <w:lang w:val="en-US" w:bidi="ar-SA"/>
              </w:rPr>
            </w:pPr>
            <w:r>
              <w:rPr>
                <w:rFonts w:hint="eastAsia"/>
                <w:bCs/>
                <w:kern w:val="2"/>
                <w:sz w:val="21"/>
                <w:szCs w:val="24"/>
                <w:lang w:val="en-US" w:bidi="ar-SA"/>
              </w:rPr>
              <w:t>其他功能</w:t>
            </w:r>
          </w:p>
        </w:tc>
        <w:tc>
          <w:tcPr>
            <w:tcW w:w="6379" w:type="dxa"/>
            <w:tcBorders>
              <w:top w:val="single" w:color="auto" w:sz="4" w:space="0"/>
              <w:left w:val="single" w:color="auto" w:sz="4" w:space="0"/>
              <w:bottom w:val="single" w:color="auto" w:sz="4" w:space="0"/>
              <w:right w:val="single" w:color="auto" w:sz="4" w:space="0"/>
            </w:tcBorders>
            <w:vAlign w:val="center"/>
          </w:tcPr>
          <w:p w14:paraId="18362CE9">
            <w:pPr>
              <w:numPr>
                <w:ilvl w:val="0"/>
                <w:numId w:val="17"/>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系统应支持分类浏览、关键词检索，可通过适应症、禁忌症、不良反应、全文检索等方式检索，支持名称及拼音简码检索，支持单数据库检索及多数据库检索。</w:t>
            </w:r>
          </w:p>
          <w:p w14:paraId="2670C2C4">
            <w:pPr>
              <w:numPr>
                <w:ilvl w:val="0"/>
                <w:numId w:val="17"/>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系统应支持对药物信息进行比较。</w:t>
            </w:r>
          </w:p>
          <w:p w14:paraId="5574C8C6">
            <w:pPr>
              <w:numPr>
                <w:ilvl w:val="0"/>
                <w:numId w:val="17"/>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系统应支持数据库之间相互关联和快速跳转。</w:t>
            </w:r>
          </w:p>
          <w:p w14:paraId="655397FE">
            <w:pPr>
              <w:numPr>
                <w:ilvl w:val="0"/>
                <w:numId w:val="17"/>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▲支持手机APP在线访问。</w:t>
            </w:r>
          </w:p>
          <w:p w14:paraId="4B4689B4">
            <w:pPr>
              <w:numPr>
                <w:ilvl w:val="0"/>
                <w:numId w:val="17"/>
              </w:numPr>
              <w:autoSpaceDE/>
              <w:autoSpaceDN/>
              <w:adjustRightInd w:val="0"/>
              <w:snapToGrid w:val="0"/>
              <w:spacing w:line="360" w:lineRule="auto"/>
              <w:ind w:left="0" w:firstLine="0"/>
              <w:jc w:val="both"/>
              <w:rPr>
                <w:bCs/>
                <w:kern w:val="2"/>
                <w:sz w:val="24"/>
                <w:szCs w:val="24"/>
                <w:lang w:val="en-US" w:bidi="ar-SA"/>
              </w:rPr>
            </w:pPr>
            <w:r>
              <w:rPr>
                <w:rFonts w:hint="eastAsia"/>
                <w:bCs/>
                <w:kern w:val="2"/>
                <w:sz w:val="24"/>
                <w:szCs w:val="24"/>
                <w:lang w:val="en-US" w:bidi="ar-SA"/>
              </w:rPr>
              <w:t>▲定期更新，更新频率应不少于10次/年。</w:t>
            </w:r>
          </w:p>
        </w:tc>
      </w:tr>
    </w:tbl>
    <w:p w14:paraId="54FA1868">
      <w:pPr>
        <w:autoSpaceDE/>
        <w:autoSpaceDN/>
        <w:jc w:val="both"/>
        <w:rPr>
          <w:rFonts w:ascii="等线" w:hAnsi="等线" w:eastAsia="等线" w:cs="Times New Roman"/>
          <w:kern w:val="2"/>
          <w:sz w:val="21"/>
          <w:lang w:val="en-US" w:bidi="ar-SA"/>
        </w:rPr>
      </w:pPr>
    </w:p>
    <w:p w14:paraId="541553F6">
      <w:pPr>
        <w:widowControl/>
        <w:autoSpaceDE/>
        <w:autoSpaceDN/>
        <w:rPr>
          <w:rFonts w:ascii="等线" w:hAnsi="等线" w:eastAsia="等线" w:cs="Times New Roman"/>
          <w:kern w:val="2"/>
          <w:sz w:val="21"/>
          <w:lang w:val="en-US" w:bidi="ar-SA"/>
        </w:rPr>
      </w:pPr>
      <w:r>
        <w:rPr>
          <w:rFonts w:ascii="等线" w:hAnsi="等线" w:eastAsia="等线" w:cs="Times New Roman"/>
          <w:kern w:val="2"/>
          <w:sz w:val="21"/>
          <w:lang w:val="en-US" w:bidi="ar-SA"/>
        </w:rPr>
        <w:br w:type="page"/>
      </w:r>
    </w:p>
    <w:p w14:paraId="58F3F5B2">
      <w:pPr>
        <w:autoSpaceDE/>
        <w:autoSpaceDN/>
        <w:jc w:val="both"/>
        <w:rPr>
          <w:rFonts w:ascii="等线" w:hAnsi="等线" w:eastAsia="等线" w:cs="Times New Roman"/>
          <w:kern w:val="2"/>
          <w:sz w:val="21"/>
          <w:lang w:val="en-US" w:bidi="ar-SA"/>
        </w:rPr>
      </w:pPr>
      <w:r>
        <w:rPr>
          <w:rFonts w:hint="eastAsia" w:ascii="等线" w:hAnsi="等线" w:eastAsia="等线" w:cs="Times New Roman"/>
          <w:kern w:val="2"/>
          <w:sz w:val="21"/>
          <w:lang w:val="en-US" w:bidi="ar-SA"/>
        </w:rPr>
        <w:t>对系统的其它要求</w:t>
      </w:r>
    </w:p>
    <w:tbl>
      <w:tblPr>
        <w:tblStyle w:val="38"/>
        <w:tblW w:w="8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436"/>
        <w:gridCol w:w="6481"/>
      </w:tblGrid>
      <w:tr w14:paraId="47F7F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0" w:type="dxa"/>
            <w:gridSpan w:val="3"/>
          </w:tcPr>
          <w:p w14:paraId="6EAF8461">
            <w:pPr>
              <w:autoSpaceDE/>
              <w:autoSpaceDN/>
              <w:adjustRightInd w:val="0"/>
              <w:snapToGrid w:val="0"/>
              <w:jc w:val="both"/>
              <w:rPr>
                <w:rFonts w:eastAsia="宋体"/>
                <w:bCs/>
                <w:kern w:val="2"/>
                <w:sz w:val="21"/>
                <w:szCs w:val="24"/>
                <w:lang w:val="en-US" w:bidi="ar-SA"/>
              </w:rPr>
            </w:pPr>
            <w:r>
              <w:rPr>
                <w:rFonts w:hint="eastAsia" w:eastAsia="宋体" w:cs="Times New Roman"/>
                <w:kern w:val="2"/>
                <w:sz w:val="21"/>
                <w:szCs w:val="24"/>
                <w:lang w:val="en-US" w:bidi="ar-SA"/>
              </w:rPr>
              <w:t>对系统的其它要求</w:t>
            </w:r>
          </w:p>
        </w:tc>
      </w:tr>
      <w:tr w14:paraId="6B87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14:paraId="29C3784D">
            <w:pPr>
              <w:widowControl/>
              <w:numPr>
                <w:ilvl w:val="0"/>
                <w:numId w:val="18"/>
              </w:numPr>
              <w:autoSpaceDE/>
              <w:autoSpaceDN/>
              <w:adjustRightInd w:val="0"/>
              <w:snapToGrid w:val="0"/>
              <w:spacing w:line="360" w:lineRule="auto"/>
              <w:jc w:val="both"/>
              <w:rPr>
                <w:rFonts w:eastAsia="宋体"/>
                <w:bCs/>
                <w:kern w:val="2"/>
                <w:sz w:val="24"/>
                <w:szCs w:val="24"/>
                <w:lang w:val="en-US" w:bidi="ar-SA"/>
              </w:rPr>
            </w:pPr>
          </w:p>
        </w:tc>
        <w:tc>
          <w:tcPr>
            <w:tcW w:w="1436" w:type="dxa"/>
            <w:vAlign w:val="center"/>
          </w:tcPr>
          <w:p w14:paraId="70B28F86">
            <w:pPr>
              <w:autoSpaceDE/>
              <w:autoSpaceDN/>
              <w:adjustRightInd w:val="0"/>
              <w:snapToGrid w:val="0"/>
              <w:jc w:val="both"/>
              <w:rPr>
                <w:rFonts w:eastAsia="宋体"/>
                <w:bCs/>
                <w:kern w:val="2"/>
                <w:sz w:val="21"/>
                <w:szCs w:val="24"/>
                <w:lang w:val="en-US" w:bidi="ar-SA"/>
              </w:rPr>
            </w:pPr>
            <w:r>
              <w:rPr>
                <w:rFonts w:hint="eastAsia" w:eastAsia="宋体"/>
                <w:bCs/>
                <w:kern w:val="2"/>
                <w:sz w:val="21"/>
                <w:szCs w:val="24"/>
                <w:lang w:val="en-US" w:bidi="ar-SA"/>
              </w:rPr>
              <w:t>软件技术的要求</w:t>
            </w:r>
          </w:p>
        </w:tc>
        <w:tc>
          <w:tcPr>
            <w:tcW w:w="6481" w:type="dxa"/>
          </w:tcPr>
          <w:p w14:paraId="31295149">
            <w:pPr>
              <w:numPr>
                <w:ilvl w:val="0"/>
                <w:numId w:val="19"/>
              </w:numPr>
              <w:autoSpaceDE/>
              <w:autoSpaceDN/>
              <w:adjustRightInd w:val="0"/>
              <w:snapToGrid w:val="0"/>
              <w:spacing w:line="360" w:lineRule="auto"/>
              <w:ind w:left="0" w:firstLine="0"/>
              <w:jc w:val="both"/>
              <w:rPr>
                <w:rFonts w:eastAsia="宋体"/>
                <w:bCs/>
                <w:kern w:val="2"/>
                <w:sz w:val="24"/>
                <w:szCs w:val="24"/>
                <w:lang w:val="en-US" w:bidi="ar-SA"/>
              </w:rPr>
            </w:pPr>
            <w:r>
              <w:rPr>
                <w:rFonts w:hint="eastAsia" w:eastAsia="宋体"/>
                <w:bCs/>
                <w:kern w:val="2"/>
                <w:sz w:val="24"/>
                <w:szCs w:val="24"/>
                <w:lang w:val="en-US" w:bidi="ar-SA"/>
              </w:rPr>
              <w:t>系统应具有良好的稳定性、兼容性、安全性。</w:t>
            </w:r>
          </w:p>
          <w:p w14:paraId="4F65D48C">
            <w:pPr>
              <w:numPr>
                <w:ilvl w:val="0"/>
                <w:numId w:val="19"/>
              </w:numPr>
              <w:autoSpaceDE/>
              <w:autoSpaceDN/>
              <w:adjustRightInd w:val="0"/>
              <w:snapToGrid w:val="0"/>
              <w:spacing w:line="360" w:lineRule="auto"/>
              <w:ind w:left="0" w:firstLine="0"/>
              <w:jc w:val="both"/>
              <w:rPr>
                <w:rFonts w:eastAsia="宋体"/>
                <w:bCs/>
                <w:kern w:val="2"/>
                <w:sz w:val="24"/>
                <w:szCs w:val="24"/>
                <w:lang w:val="en-US" w:bidi="ar-SA"/>
              </w:rPr>
            </w:pPr>
            <w:r>
              <w:rPr>
                <w:rFonts w:hint="eastAsia" w:eastAsia="宋体"/>
                <w:bCs/>
                <w:kern w:val="2"/>
                <w:sz w:val="24"/>
                <w:szCs w:val="24"/>
                <w:lang w:val="en-US" w:bidi="ar-SA"/>
              </w:rPr>
              <w:t>系统应具有良好的架构，易于扩展和维护。</w:t>
            </w:r>
          </w:p>
          <w:p w14:paraId="2151CBB9">
            <w:pPr>
              <w:numPr>
                <w:ilvl w:val="0"/>
                <w:numId w:val="19"/>
              </w:numPr>
              <w:autoSpaceDE/>
              <w:autoSpaceDN/>
              <w:adjustRightInd w:val="0"/>
              <w:snapToGrid w:val="0"/>
              <w:spacing w:line="360" w:lineRule="auto"/>
              <w:ind w:left="0" w:firstLine="0"/>
              <w:jc w:val="both"/>
              <w:rPr>
                <w:rFonts w:eastAsia="宋体"/>
                <w:bCs/>
                <w:kern w:val="2"/>
                <w:sz w:val="24"/>
                <w:szCs w:val="24"/>
                <w:lang w:val="en-US" w:bidi="ar-SA"/>
              </w:rPr>
            </w:pPr>
            <w:r>
              <w:rPr>
                <w:rFonts w:hint="eastAsia" w:eastAsia="宋体"/>
                <w:bCs/>
                <w:kern w:val="2"/>
                <w:sz w:val="24"/>
                <w:szCs w:val="24"/>
                <w:lang w:val="en-US" w:bidi="ar-SA"/>
              </w:rPr>
              <w:t>与医院其它系统的集成：系统应提供可集成到医院其它系统的标准接口，能在Win XP / Win 7 / Windows Vista简体中文操作系统平台上运行。接口应成熟、稳定，集成方便。</w:t>
            </w:r>
          </w:p>
          <w:p w14:paraId="17665724">
            <w:pPr>
              <w:numPr>
                <w:ilvl w:val="0"/>
                <w:numId w:val="19"/>
              </w:numPr>
              <w:autoSpaceDE/>
              <w:autoSpaceDN/>
              <w:adjustRightInd w:val="0"/>
              <w:snapToGrid w:val="0"/>
              <w:spacing w:line="360" w:lineRule="auto"/>
              <w:ind w:left="0" w:firstLine="0"/>
              <w:jc w:val="both"/>
              <w:rPr>
                <w:rFonts w:eastAsia="宋体"/>
                <w:bCs/>
                <w:kern w:val="2"/>
                <w:sz w:val="24"/>
                <w:szCs w:val="24"/>
                <w:lang w:val="en-US" w:bidi="ar-SA"/>
              </w:rPr>
            </w:pPr>
            <w:r>
              <w:rPr>
                <w:rFonts w:hint="eastAsia" w:eastAsia="宋体"/>
                <w:bCs/>
                <w:kern w:val="2"/>
                <w:sz w:val="24"/>
                <w:szCs w:val="24"/>
                <w:lang w:val="en-US" w:bidi="ar-SA"/>
              </w:rPr>
              <w:t>使用要求：界面友好，操作方便，结果清晰明了，允许操作使用人员根据自己的习惯对相关功能进行个性化设置；系统运行速度快，无明显的并发延迟。</w:t>
            </w:r>
          </w:p>
          <w:p w14:paraId="1BC4FD66">
            <w:pPr>
              <w:numPr>
                <w:ilvl w:val="0"/>
                <w:numId w:val="19"/>
              </w:numPr>
              <w:autoSpaceDE/>
              <w:autoSpaceDN/>
              <w:adjustRightInd w:val="0"/>
              <w:snapToGrid w:val="0"/>
              <w:spacing w:line="360" w:lineRule="auto"/>
              <w:ind w:left="0" w:firstLine="0"/>
              <w:jc w:val="both"/>
              <w:rPr>
                <w:rFonts w:eastAsia="宋体"/>
                <w:bCs/>
                <w:kern w:val="2"/>
                <w:sz w:val="24"/>
                <w:szCs w:val="24"/>
                <w:lang w:val="en-US" w:bidi="ar-SA"/>
              </w:rPr>
            </w:pPr>
            <w:r>
              <w:rPr>
                <w:rFonts w:hint="eastAsia" w:eastAsia="宋体"/>
                <w:bCs/>
                <w:kern w:val="2"/>
                <w:sz w:val="24"/>
                <w:szCs w:val="24"/>
                <w:lang w:val="en-US" w:bidi="ar-SA"/>
              </w:rPr>
              <w:t>系统应通过对数据进行预处理等手段以提高系统运行和统计效率。</w:t>
            </w:r>
          </w:p>
        </w:tc>
      </w:tr>
      <w:tr w14:paraId="6663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vAlign w:val="center"/>
          </w:tcPr>
          <w:p w14:paraId="7AD753C5">
            <w:pPr>
              <w:widowControl/>
              <w:numPr>
                <w:ilvl w:val="0"/>
                <w:numId w:val="18"/>
              </w:numPr>
              <w:autoSpaceDE/>
              <w:autoSpaceDN/>
              <w:adjustRightInd w:val="0"/>
              <w:snapToGrid w:val="0"/>
              <w:spacing w:line="360" w:lineRule="auto"/>
              <w:jc w:val="both"/>
              <w:rPr>
                <w:rFonts w:eastAsia="宋体"/>
                <w:bCs/>
                <w:kern w:val="2"/>
                <w:sz w:val="24"/>
                <w:szCs w:val="24"/>
                <w:lang w:val="en-US" w:bidi="ar-SA"/>
              </w:rPr>
            </w:pPr>
          </w:p>
        </w:tc>
        <w:tc>
          <w:tcPr>
            <w:tcW w:w="1436" w:type="dxa"/>
            <w:vAlign w:val="center"/>
          </w:tcPr>
          <w:p w14:paraId="0E5333C5">
            <w:pPr>
              <w:autoSpaceDE/>
              <w:autoSpaceDN/>
              <w:adjustRightInd w:val="0"/>
              <w:snapToGrid w:val="0"/>
              <w:jc w:val="both"/>
              <w:rPr>
                <w:rFonts w:eastAsia="宋体"/>
                <w:bCs/>
                <w:kern w:val="2"/>
                <w:sz w:val="21"/>
                <w:szCs w:val="24"/>
                <w:lang w:val="en-US" w:bidi="ar-SA"/>
              </w:rPr>
            </w:pPr>
            <w:r>
              <w:rPr>
                <w:rFonts w:hint="eastAsia" w:eastAsia="宋体"/>
                <w:bCs/>
                <w:kern w:val="2"/>
                <w:sz w:val="21"/>
                <w:szCs w:val="24"/>
                <w:lang w:val="en-US" w:bidi="ar-SA"/>
              </w:rPr>
              <w:t>售后服务要求</w:t>
            </w:r>
          </w:p>
        </w:tc>
        <w:tc>
          <w:tcPr>
            <w:tcW w:w="6481" w:type="dxa"/>
          </w:tcPr>
          <w:p w14:paraId="05C23A69">
            <w:pPr>
              <w:numPr>
                <w:ilvl w:val="0"/>
                <w:numId w:val="20"/>
              </w:numPr>
              <w:autoSpaceDE/>
              <w:autoSpaceDN/>
              <w:adjustRightInd w:val="0"/>
              <w:snapToGrid w:val="0"/>
              <w:spacing w:line="360" w:lineRule="auto"/>
              <w:ind w:left="0" w:firstLine="0"/>
              <w:jc w:val="both"/>
              <w:rPr>
                <w:rFonts w:eastAsia="宋体"/>
                <w:bCs/>
                <w:kern w:val="2"/>
                <w:sz w:val="24"/>
                <w:szCs w:val="24"/>
                <w:lang w:val="en-US" w:bidi="ar-SA"/>
              </w:rPr>
            </w:pPr>
            <w:r>
              <w:rPr>
                <w:rFonts w:hint="eastAsia" w:eastAsia="宋体"/>
                <w:bCs/>
                <w:kern w:val="2"/>
                <w:sz w:val="24"/>
                <w:szCs w:val="24"/>
                <w:lang w:val="en-US" w:bidi="ar-SA"/>
              </w:rPr>
              <w:t>有专业的售后服务工程师，能为医院提供及时的售后服务，解决医院在系统使用中遇到的问题。</w:t>
            </w:r>
          </w:p>
          <w:p w14:paraId="30D452A3">
            <w:pPr>
              <w:numPr>
                <w:ilvl w:val="0"/>
                <w:numId w:val="20"/>
              </w:numPr>
              <w:autoSpaceDE/>
              <w:autoSpaceDN/>
              <w:adjustRightInd w:val="0"/>
              <w:snapToGrid w:val="0"/>
              <w:spacing w:line="360" w:lineRule="auto"/>
              <w:ind w:left="0" w:firstLine="0"/>
              <w:jc w:val="both"/>
              <w:rPr>
                <w:rFonts w:eastAsia="宋体"/>
                <w:bCs/>
                <w:kern w:val="2"/>
                <w:sz w:val="24"/>
                <w:szCs w:val="24"/>
                <w:lang w:val="en-US" w:bidi="ar-SA"/>
              </w:rPr>
            </w:pPr>
            <w:r>
              <w:rPr>
                <w:rFonts w:hint="eastAsia" w:eastAsia="宋体"/>
                <w:bCs/>
                <w:kern w:val="2"/>
                <w:sz w:val="24"/>
                <w:szCs w:val="24"/>
                <w:lang w:val="en-US" w:bidi="ar-SA"/>
              </w:rPr>
              <w:t>培训：在系统安装实施完成并正式交付医院使用之前，负责培训医院相关的操作使用人员，保证系统的使用效果。</w:t>
            </w:r>
          </w:p>
          <w:p w14:paraId="140275B0">
            <w:pPr>
              <w:numPr>
                <w:ilvl w:val="0"/>
                <w:numId w:val="20"/>
              </w:numPr>
              <w:autoSpaceDE/>
              <w:autoSpaceDN/>
              <w:adjustRightInd w:val="0"/>
              <w:snapToGrid w:val="0"/>
              <w:spacing w:line="360" w:lineRule="auto"/>
              <w:ind w:left="0" w:firstLine="0"/>
              <w:jc w:val="both"/>
              <w:rPr>
                <w:rFonts w:eastAsia="宋体"/>
                <w:bCs/>
                <w:kern w:val="2"/>
                <w:sz w:val="24"/>
                <w:szCs w:val="24"/>
                <w:lang w:val="en-US" w:bidi="ar-SA"/>
              </w:rPr>
            </w:pPr>
            <w:r>
              <w:rPr>
                <w:rFonts w:hint="eastAsia" w:eastAsia="宋体"/>
                <w:bCs/>
                <w:kern w:val="2"/>
                <w:sz w:val="24"/>
                <w:szCs w:val="24"/>
                <w:lang w:val="en-US" w:bidi="ar-SA"/>
              </w:rPr>
              <w:t>系统实施完成后，可提供详细的产品说明、操作规程、维护方法等相关技术资料。</w:t>
            </w:r>
          </w:p>
        </w:tc>
      </w:tr>
    </w:tbl>
    <w:p w14:paraId="3F102D9C">
      <w:pPr>
        <w:keepNext/>
        <w:keepLines/>
        <w:autoSpaceDE/>
        <w:autoSpaceDN/>
        <w:spacing w:afterLines="100" w:line="360" w:lineRule="auto"/>
        <w:jc w:val="both"/>
        <w:outlineLvl w:val="1"/>
        <w:rPr>
          <w:rFonts w:cs="Times New Roman"/>
          <w:b/>
          <w:bCs/>
          <w:kern w:val="2"/>
          <w:sz w:val="24"/>
          <w:szCs w:val="24"/>
          <w:lang w:val="en-US" w:bidi="ar-SA"/>
        </w:rPr>
      </w:pPr>
      <w:r>
        <w:rPr>
          <w:rFonts w:hint="eastAsia" w:cs="Times New Roman"/>
          <w:b/>
          <w:bCs/>
          <w:kern w:val="2"/>
          <w:sz w:val="24"/>
          <w:szCs w:val="24"/>
          <w:lang w:val="en-US" w:bidi="ar-SA"/>
        </w:rPr>
        <w:t>服务器建议配置</w:t>
      </w:r>
    </w:p>
    <w:p w14:paraId="4800E948">
      <w:pPr>
        <w:numPr>
          <w:ilvl w:val="0"/>
          <w:numId w:val="21"/>
        </w:numPr>
        <w:autoSpaceDE/>
        <w:autoSpaceDN/>
        <w:spacing w:line="360" w:lineRule="auto"/>
        <w:ind w:left="368" w:hanging="368" w:hangingChars="175"/>
        <w:jc w:val="both"/>
        <w:outlineLvl w:val="0"/>
        <w:rPr>
          <w:rFonts w:eastAsia="等线" w:cs="Times New Roman"/>
          <w:b/>
          <w:bCs/>
          <w:kern w:val="44"/>
          <w:sz w:val="21"/>
          <w:szCs w:val="21"/>
          <w:lang w:val="en-US" w:bidi="ar-SA"/>
        </w:rPr>
      </w:pPr>
      <w:r>
        <w:rPr>
          <w:rFonts w:hint="eastAsia" w:eastAsia="等线" w:cs="Times New Roman"/>
          <w:b/>
          <w:bCs/>
          <w:kern w:val="44"/>
          <w:sz w:val="21"/>
          <w:szCs w:val="21"/>
          <w:lang w:val="en-US" w:bidi="ar-SA"/>
        </w:rPr>
        <w:t>合理用药服务器配置建议</w:t>
      </w:r>
    </w:p>
    <w:p w14:paraId="38009E25">
      <w:pPr>
        <w:autoSpaceDE/>
        <w:autoSpaceDN/>
        <w:spacing w:line="288" w:lineRule="auto"/>
        <w:ind w:firstLine="420" w:firstLineChars="200"/>
        <w:jc w:val="both"/>
        <w:rPr>
          <w:rFonts w:eastAsia="等线" w:cs="Times New Roman"/>
          <w:kern w:val="2"/>
          <w:sz w:val="21"/>
          <w:szCs w:val="21"/>
          <w:lang w:val="en-US" w:bidi="ar-SA"/>
        </w:rPr>
      </w:pPr>
      <w:r>
        <w:rPr>
          <w:rFonts w:hint="eastAsia" w:eastAsia="等线" w:cs="Times New Roman"/>
          <w:kern w:val="2"/>
          <w:sz w:val="21"/>
          <w:szCs w:val="21"/>
          <w:lang w:val="en-US" w:bidi="ar-SA"/>
        </w:rPr>
        <w:t>建议至少提供1台合理用药专用服务器，根据项目实际使用情况可以增加1台专用的数据库服务器，服务器配置建议如下：</w:t>
      </w:r>
    </w:p>
    <w:tbl>
      <w:tblPr>
        <w:tblStyle w:val="21"/>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656"/>
      </w:tblGrid>
      <w:tr w14:paraId="43A6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7" w:type="dxa"/>
            <w:gridSpan w:val="2"/>
            <w:tcBorders>
              <w:top w:val="single" w:color="auto" w:sz="4" w:space="0"/>
              <w:left w:val="single" w:color="auto" w:sz="4" w:space="0"/>
              <w:bottom w:val="single" w:color="auto" w:sz="4" w:space="0"/>
              <w:right w:val="single" w:color="auto" w:sz="4" w:space="0"/>
            </w:tcBorders>
            <w:shd w:val="clear" w:color="auto" w:fill="F2F2F2"/>
          </w:tcPr>
          <w:p w14:paraId="3D98C2F5">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服务器配置需求</w:t>
            </w:r>
          </w:p>
        </w:tc>
      </w:tr>
      <w:tr w14:paraId="66A15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089FC435">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处理器</w:t>
            </w:r>
          </w:p>
        </w:tc>
        <w:tc>
          <w:tcPr>
            <w:tcW w:w="7656" w:type="dxa"/>
            <w:tcBorders>
              <w:top w:val="single" w:color="auto" w:sz="4" w:space="0"/>
              <w:left w:val="single" w:color="auto" w:sz="4" w:space="0"/>
              <w:bottom w:val="single" w:color="auto" w:sz="4" w:space="0"/>
              <w:right w:val="single" w:color="auto" w:sz="4" w:space="0"/>
            </w:tcBorders>
          </w:tcPr>
          <w:p w14:paraId="67DEABB9">
            <w:pPr>
              <w:autoSpaceDE/>
              <w:autoSpaceDN/>
              <w:jc w:val="center"/>
              <w:rPr>
                <w:rFonts w:eastAsia="等线" w:cs="Times New Roman"/>
                <w:kern w:val="2"/>
                <w:sz w:val="18"/>
                <w:szCs w:val="18"/>
                <w:lang w:val="en-US" w:bidi="ar-SA"/>
              </w:rPr>
            </w:pPr>
            <w:r>
              <w:rPr>
                <w:rFonts w:hint="eastAsia" w:eastAsia="等线" w:cs="Arial"/>
                <w:kern w:val="2"/>
                <w:sz w:val="18"/>
                <w:szCs w:val="18"/>
                <w:lang w:val="en-US" w:bidi="ar-SA"/>
              </w:rPr>
              <w:t>双CPU  10核20线程  2.0GHz（及其以上）</w:t>
            </w:r>
          </w:p>
        </w:tc>
      </w:tr>
      <w:tr w14:paraId="26CFB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701" w:type="dxa"/>
            <w:tcBorders>
              <w:top w:val="single" w:color="auto" w:sz="4" w:space="0"/>
              <w:left w:val="single" w:color="auto" w:sz="4" w:space="0"/>
              <w:bottom w:val="single" w:color="auto" w:sz="4" w:space="0"/>
              <w:right w:val="single" w:color="auto" w:sz="4" w:space="0"/>
            </w:tcBorders>
          </w:tcPr>
          <w:p w14:paraId="410700DB">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内存</w:t>
            </w:r>
          </w:p>
        </w:tc>
        <w:tc>
          <w:tcPr>
            <w:tcW w:w="7656" w:type="dxa"/>
            <w:tcBorders>
              <w:top w:val="single" w:color="auto" w:sz="4" w:space="0"/>
              <w:left w:val="single" w:color="auto" w:sz="4" w:space="0"/>
              <w:bottom w:val="single" w:color="auto" w:sz="4" w:space="0"/>
            </w:tcBorders>
          </w:tcPr>
          <w:p w14:paraId="18415B66">
            <w:pPr>
              <w:autoSpaceDE/>
              <w:autoSpaceDN/>
              <w:jc w:val="center"/>
              <w:rPr>
                <w:rFonts w:eastAsia="等线" w:cs="Times New Roman"/>
                <w:kern w:val="2"/>
                <w:sz w:val="18"/>
                <w:szCs w:val="18"/>
                <w:lang w:val="en-US" w:bidi="ar-SA"/>
              </w:rPr>
            </w:pPr>
            <w:r>
              <w:rPr>
                <w:rFonts w:hint="eastAsia" w:eastAsia="等线" w:cs="Times New Roman"/>
                <w:color w:val="000000"/>
                <w:kern w:val="2"/>
                <w:sz w:val="18"/>
                <w:szCs w:val="18"/>
                <w:lang w:val="en-US" w:bidi="ar-SA"/>
              </w:rPr>
              <w:t>64G及以上</w:t>
            </w:r>
          </w:p>
        </w:tc>
      </w:tr>
      <w:tr w14:paraId="1F2D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701" w:type="dxa"/>
            <w:tcBorders>
              <w:top w:val="single" w:color="auto" w:sz="4" w:space="0"/>
              <w:left w:val="single" w:color="auto" w:sz="4" w:space="0"/>
              <w:bottom w:val="single" w:color="auto" w:sz="4" w:space="0"/>
              <w:right w:val="single" w:color="auto" w:sz="4" w:space="0"/>
            </w:tcBorders>
          </w:tcPr>
          <w:p w14:paraId="5EFA071B">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磁盘空间</w:t>
            </w:r>
          </w:p>
        </w:tc>
        <w:tc>
          <w:tcPr>
            <w:tcW w:w="7656" w:type="dxa"/>
            <w:tcBorders>
              <w:top w:val="single" w:color="auto" w:sz="4" w:space="0"/>
              <w:left w:val="single" w:color="auto" w:sz="4" w:space="0"/>
              <w:bottom w:val="single" w:color="auto" w:sz="4" w:space="0"/>
              <w:right w:val="single" w:color="auto" w:sz="4" w:space="0"/>
            </w:tcBorders>
          </w:tcPr>
          <w:p w14:paraId="328BC76F">
            <w:pPr>
              <w:autoSpaceDE/>
              <w:autoSpaceDN/>
              <w:jc w:val="center"/>
              <w:rPr>
                <w:rFonts w:eastAsia="等线" w:cs="Times New Roman"/>
                <w:kern w:val="2"/>
                <w:sz w:val="18"/>
                <w:szCs w:val="18"/>
                <w:lang w:val="en-US" w:bidi="ar-SA"/>
              </w:rPr>
            </w:pPr>
            <w:r>
              <w:rPr>
                <w:rFonts w:hint="eastAsia" w:eastAsia="等线" w:cs="Times New Roman"/>
                <w:color w:val="000000"/>
                <w:kern w:val="2"/>
                <w:sz w:val="18"/>
                <w:szCs w:val="18"/>
                <w:lang w:val="en-US" w:bidi="ar-SA"/>
              </w:rPr>
              <w:t>&gt;2T</w:t>
            </w:r>
          </w:p>
        </w:tc>
      </w:tr>
      <w:tr w14:paraId="1E959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701" w:type="dxa"/>
            <w:tcBorders>
              <w:top w:val="single" w:color="auto" w:sz="4" w:space="0"/>
              <w:left w:val="single" w:color="auto" w:sz="4" w:space="0"/>
              <w:bottom w:val="single" w:color="auto" w:sz="4" w:space="0"/>
              <w:right w:val="single" w:color="auto" w:sz="4" w:space="0"/>
            </w:tcBorders>
          </w:tcPr>
          <w:p w14:paraId="5A9F16A5">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网卡</w:t>
            </w:r>
          </w:p>
        </w:tc>
        <w:tc>
          <w:tcPr>
            <w:tcW w:w="7656" w:type="dxa"/>
            <w:tcBorders>
              <w:top w:val="single" w:color="auto" w:sz="4" w:space="0"/>
              <w:left w:val="single" w:color="auto" w:sz="4" w:space="0"/>
              <w:bottom w:val="single" w:color="auto" w:sz="4" w:space="0"/>
              <w:right w:val="single" w:color="auto" w:sz="4" w:space="0"/>
            </w:tcBorders>
          </w:tcPr>
          <w:p w14:paraId="02E351B2">
            <w:pPr>
              <w:autoSpaceDE/>
              <w:autoSpaceDN/>
              <w:jc w:val="both"/>
              <w:rPr>
                <w:rFonts w:eastAsia="等线" w:cs="Times New Roman"/>
                <w:kern w:val="2"/>
                <w:sz w:val="18"/>
                <w:szCs w:val="18"/>
                <w:lang w:val="en-US" w:bidi="ar-SA"/>
              </w:rPr>
            </w:pPr>
            <w:r>
              <w:rPr>
                <w:rFonts w:hint="eastAsia" w:eastAsia="等线" w:cs="Arial"/>
                <w:kern w:val="2"/>
                <w:sz w:val="18"/>
                <w:szCs w:val="18"/>
                <w:lang w:val="en-US" w:bidi="ar-SA"/>
              </w:rPr>
              <w:t>1000M</w:t>
            </w:r>
          </w:p>
        </w:tc>
      </w:tr>
      <w:tr w14:paraId="6289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701" w:type="dxa"/>
            <w:tcBorders>
              <w:top w:val="single" w:color="auto" w:sz="4" w:space="0"/>
              <w:left w:val="single" w:color="auto" w:sz="4" w:space="0"/>
              <w:bottom w:val="single" w:color="auto" w:sz="4" w:space="0"/>
              <w:right w:val="single" w:color="auto" w:sz="4" w:space="0"/>
            </w:tcBorders>
          </w:tcPr>
          <w:p w14:paraId="76952023">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操作系统</w:t>
            </w:r>
          </w:p>
        </w:tc>
        <w:tc>
          <w:tcPr>
            <w:tcW w:w="7656" w:type="dxa"/>
            <w:tcBorders>
              <w:top w:val="single" w:color="auto" w:sz="4" w:space="0"/>
              <w:left w:val="single" w:color="auto" w:sz="4" w:space="0"/>
              <w:bottom w:val="single" w:color="auto" w:sz="4" w:space="0"/>
              <w:right w:val="single" w:color="auto" w:sz="4" w:space="0"/>
            </w:tcBorders>
          </w:tcPr>
          <w:p w14:paraId="62C38DD7">
            <w:pPr>
              <w:autoSpaceDE/>
              <w:autoSpaceDN/>
              <w:jc w:val="both"/>
              <w:rPr>
                <w:rFonts w:eastAsia="等线" w:cs="Times New Roman"/>
                <w:kern w:val="2"/>
                <w:sz w:val="18"/>
                <w:szCs w:val="18"/>
                <w:lang w:val="en-US" w:bidi="ar-SA"/>
              </w:rPr>
            </w:pPr>
            <w:r>
              <w:rPr>
                <w:rFonts w:hint="eastAsia" w:eastAsia="等线" w:cs="Times New Roman"/>
                <w:b/>
                <w:kern w:val="2"/>
                <w:sz w:val="18"/>
                <w:szCs w:val="18"/>
                <w:lang w:val="en-US" w:bidi="ar-SA"/>
              </w:rPr>
              <w:t>仅支持：</w:t>
            </w:r>
            <w:r>
              <w:rPr>
                <w:rFonts w:hint="eastAsia" w:eastAsia="等线" w:cs="Times New Roman"/>
                <w:kern w:val="2"/>
                <w:sz w:val="18"/>
                <w:szCs w:val="18"/>
                <w:lang w:val="en-US" w:bidi="ar-SA"/>
              </w:rPr>
              <w:t>Windows Server 2008（64位）、Windows Server 2012（64位）、Windows Server 2016（64位）、Windows Server 2019（64位）</w:t>
            </w:r>
          </w:p>
          <w:p w14:paraId="22706AD7">
            <w:pPr>
              <w:autoSpaceDE/>
              <w:autoSpaceDN/>
              <w:jc w:val="both"/>
              <w:rPr>
                <w:rFonts w:eastAsia="等线" w:cs="Times New Roman"/>
                <w:kern w:val="2"/>
                <w:sz w:val="18"/>
                <w:szCs w:val="18"/>
                <w:lang w:val="en-US" w:bidi="ar-SA"/>
              </w:rPr>
            </w:pPr>
            <w:r>
              <w:rPr>
                <w:rFonts w:hint="eastAsia" w:eastAsia="等线" w:cs="Times New Roman"/>
                <w:b/>
                <w:bCs/>
                <w:kern w:val="2"/>
                <w:sz w:val="18"/>
                <w:szCs w:val="18"/>
                <w:lang w:val="en-US" w:bidi="ar-SA"/>
              </w:rPr>
              <w:t>推荐</w:t>
            </w:r>
            <w:r>
              <w:rPr>
                <w:rFonts w:hint="eastAsia" w:eastAsia="等线" w:cs="Times New Roman"/>
                <w:b/>
                <w:kern w:val="2"/>
                <w:sz w:val="18"/>
                <w:szCs w:val="18"/>
                <w:lang w:val="en-US" w:bidi="ar-SA"/>
              </w:rPr>
              <w:t>：</w:t>
            </w:r>
            <w:r>
              <w:rPr>
                <w:rFonts w:hint="eastAsia" w:eastAsia="等线" w:cs="Times New Roman"/>
                <w:kern w:val="2"/>
                <w:sz w:val="18"/>
                <w:szCs w:val="18"/>
                <w:lang w:val="en-US" w:bidi="ar-SA"/>
              </w:rPr>
              <w:t>Windows Server 2016（64位）、Windows Server 2019（64位）</w:t>
            </w:r>
          </w:p>
        </w:tc>
      </w:tr>
      <w:tr w14:paraId="13AD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701" w:type="dxa"/>
            <w:tcBorders>
              <w:top w:val="single" w:color="auto" w:sz="4" w:space="0"/>
              <w:left w:val="single" w:color="auto" w:sz="4" w:space="0"/>
              <w:bottom w:val="single" w:color="auto" w:sz="4" w:space="0"/>
              <w:right w:val="single" w:color="auto" w:sz="4" w:space="0"/>
            </w:tcBorders>
          </w:tcPr>
          <w:p w14:paraId="52938B04">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数据库</w:t>
            </w:r>
          </w:p>
        </w:tc>
        <w:tc>
          <w:tcPr>
            <w:tcW w:w="7656" w:type="dxa"/>
            <w:tcBorders>
              <w:top w:val="single" w:color="auto" w:sz="4" w:space="0"/>
              <w:left w:val="single" w:color="auto" w:sz="4" w:space="0"/>
              <w:bottom w:val="single" w:color="auto" w:sz="4" w:space="0"/>
              <w:right w:val="single" w:color="auto" w:sz="4" w:space="0"/>
            </w:tcBorders>
          </w:tcPr>
          <w:p w14:paraId="49D8C704">
            <w:pPr>
              <w:autoSpaceDE/>
              <w:autoSpaceDN/>
              <w:jc w:val="both"/>
              <w:rPr>
                <w:rFonts w:eastAsia="等线" w:cs="Times New Roman"/>
                <w:kern w:val="2"/>
                <w:sz w:val="18"/>
                <w:szCs w:val="18"/>
                <w:lang w:val="en-US" w:bidi="ar-SA"/>
              </w:rPr>
            </w:pPr>
            <w:r>
              <w:rPr>
                <w:rFonts w:hint="eastAsia" w:eastAsia="等线" w:cs="Times New Roman"/>
                <w:b/>
                <w:kern w:val="2"/>
                <w:sz w:val="18"/>
                <w:szCs w:val="18"/>
                <w:lang w:val="en-US" w:bidi="ar-SA"/>
              </w:rPr>
              <w:t>仅支持:</w:t>
            </w:r>
            <w:r>
              <w:rPr>
                <w:rFonts w:hint="eastAsia" w:eastAsia="等线" w:cs="Times New Roman"/>
                <w:kern w:val="2"/>
                <w:sz w:val="18"/>
                <w:szCs w:val="18"/>
                <w:lang w:val="en-US" w:bidi="ar-SA"/>
              </w:rPr>
              <w:t xml:space="preserve"> SQLSERVER 2008(企业版64位)、SQLSERVER 2012(企业版64位)、SQLSERVER 2016(企业版64位)、SQLSERVER 2019(企业版64位)</w:t>
            </w:r>
          </w:p>
          <w:p w14:paraId="5AAE4A6D">
            <w:pPr>
              <w:autoSpaceDE/>
              <w:autoSpaceDN/>
              <w:jc w:val="both"/>
              <w:rPr>
                <w:rFonts w:eastAsia="等线" w:cs="Times New Roman"/>
                <w:kern w:val="2"/>
                <w:sz w:val="18"/>
                <w:szCs w:val="18"/>
                <w:lang w:val="en-US" w:bidi="ar-SA"/>
              </w:rPr>
            </w:pPr>
            <w:r>
              <w:rPr>
                <w:rFonts w:hint="eastAsia" w:eastAsia="等线" w:cs="Times New Roman"/>
                <w:b/>
                <w:bCs/>
                <w:kern w:val="2"/>
                <w:sz w:val="18"/>
                <w:szCs w:val="18"/>
                <w:lang w:val="en-US" w:bidi="ar-SA"/>
              </w:rPr>
              <w:t>推荐</w:t>
            </w:r>
            <w:r>
              <w:rPr>
                <w:rFonts w:hint="eastAsia" w:eastAsia="等线" w:cs="Times New Roman"/>
                <w:b/>
                <w:kern w:val="2"/>
                <w:sz w:val="18"/>
                <w:szCs w:val="18"/>
                <w:lang w:val="en-US" w:bidi="ar-SA"/>
              </w:rPr>
              <w:t>：</w:t>
            </w:r>
            <w:r>
              <w:rPr>
                <w:rFonts w:hint="eastAsia" w:eastAsia="等线" w:cs="Times New Roman"/>
                <w:kern w:val="2"/>
                <w:sz w:val="18"/>
                <w:szCs w:val="18"/>
                <w:lang w:val="en-US" w:bidi="ar-SA"/>
              </w:rPr>
              <w:t>SQLSERVER 2016(企业版64位)、SQLSERVER 2019(企业版64位)</w:t>
            </w:r>
          </w:p>
        </w:tc>
      </w:tr>
      <w:tr w14:paraId="158C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58941483">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IIS</w:t>
            </w:r>
          </w:p>
        </w:tc>
        <w:tc>
          <w:tcPr>
            <w:tcW w:w="7656" w:type="dxa"/>
            <w:tcBorders>
              <w:top w:val="single" w:color="auto" w:sz="4" w:space="0"/>
              <w:left w:val="single" w:color="auto" w:sz="4" w:space="0"/>
              <w:bottom w:val="single" w:color="auto" w:sz="4" w:space="0"/>
              <w:right w:val="single" w:color="auto" w:sz="4" w:space="0"/>
            </w:tcBorders>
          </w:tcPr>
          <w:p w14:paraId="5FB4FA7F">
            <w:pPr>
              <w:autoSpaceDE/>
              <w:autoSpaceDN/>
              <w:jc w:val="both"/>
              <w:rPr>
                <w:rFonts w:eastAsia="等线" w:cs="Times New Roman"/>
                <w:kern w:val="2"/>
                <w:sz w:val="18"/>
                <w:szCs w:val="18"/>
                <w:lang w:val="en-US" w:bidi="ar-SA"/>
              </w:rPr>
            </w:pPr>
            <w:r>
              <w:rPr>
                <w:rFonts w:hint="eastAsia" w:eastAsia="等线" w:cs="Times New Roman"/>
                <w:kern w:val="2"/>
                <w:sz w:val="18"/>
                <w:szCs w:val="18"/>
                <w:lang w:val="en-US" w:bidi="ar-SA"/>
              </w:rPr>
              <w:t>需搭建IIS6.0及以上</w:t>
            </w:r>
          </w:p>
        </w:tc>
      </w:tr>
      <w:tr w14:paraId="3019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701" w:type="dxa"/>
            <w:tcBorders>
              <w:top w:val="single" w:color="auto" w:sz="4" w:space="0"/>
              <w:left w:val="single" w:color="auto" w:sz="4" w:space="0"/>
              <w:bottom w:val="single" w:color="auto" w:sz="4" w:space="0"/>
              <w:right w:val="single" w:color="auto" w:sz="4" w:space="0"/>
            </w:tcBorders>
          </w:tcPr>
          <w:p w14:paraId="280100B3">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平台架构组件</w:t>
            </w:r>
          </w:p>
        </w:tc>
        <w:tc>
          <w:tcPr>
            <w:tcW w:w="7656" w:type="dxa"/>
            <w:tcBorders>
              <w:top w:val="single" w:color="auto" w:sz="4" w:space="0"/>
              <w:left w:val="single" w:color="auto" w:sz="4" w:space="0"/>
              <w:bottom w:val="single" w:color="auto" w:sz="4" w:space="0"/>
              <w:right w:val="single" w:color="auto" w:sz="4" w:space="0"/>
            </w:tcBorders>
          </w:tcPr>
          <w:p w14:paraId="47700F82">
            <w:pPr>
              <w:autoSpaceDE/>
              <w:autoSpaceDN/>
              <w:jc w:val="both"/>
              <w:rPr>
                <w:rFonts w:eastAsia="等线" w:cs="Times New Roman"/>
                <w:kern w:val="2"/>
                <w:sz w:val="18"/>
                <w:szCs w:val="18"/>
                <w:lang w:val="en-US" w:bidi="ar-SA"/>
              </w:rPr>
            </w:pPr>
            <w:r>
              <w:rPr>
                <w:rFonts w:hint="eastAsia" w:eastAsia="等线" w:cs="Times New Roman"/>
                <w:kern w:val="2"/>
                <w:sz w:val="18"/>
                <w:szCs w:val="18"/>
                <w:lang w:val="en-US" w:bidi="ar-SA"/>
              </w:rPr>
              <w:t>Microsoft.NET Framework4.0</w:t>
            </w:r>
          </w:p>
        </w:tc>
      </w:tr>
      <w:tr w14:paraId="55B2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24B7EBE8">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浏览器</w:t>
            </w:r>
          </w:p>
        </w:tc>
        <w:tc>
          <w:tcPr>
            <w:tcW w:w="7656" w:type="dxa"/>
            <w:tcBorders>
              <w:top w:val="single" w:color="auto" w:sz="4" w:space="0"/>
              <w:left w:val="single" w:color="auto" w:sz="4" w:space="0"/>
              <w:bottom w:val="single" w:color="auto" w:sz="4" w:space="0"/>
              <w:right w:val="single" w:color="auto" w:sz="4" w:space="0"/>
            </w:tcBorders>
          </w:tcPr>
          <w:p w14:paraId="651FC30B">
            <w:pPr>
              <w:autoSpaceDE/>
              <w:autoSpaceDN/>
              <w:jc w:val="both"/>
              <w:rPr>
                <w:rFonts w:eastAsia="等线" w:cs="Times New Roman"/>
                <w:kern w:val="2"/>
                <w:sz w:val="18"/>
                <w:szCs w:val="18"/>
                <w:lang w:val="en-US" w:bidi="ar-SA"/>
              </w:rPr>
            </w:pPr>
            <w:r>
              <w:rPr>
                <w:rFonts w:hint="eastAsia" w:eastAsia="等线" w:cs="Times New Roman"/>
                <w:kern w:val="2"/>
                <w:sz w:val="18"/>
                <w:szCs w:val="18"/>
                <w:lang w:val="en-US" w:bidi="ar-SA"/>
              </w:rPr>
              <w:t>IE11.0及以上、Google Chrome70及以上</w:t>
            </w:r>
          </w:p>
        </w:tc>
      </w:tr>
      <w:tr w14:paraId="317D4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44F77AC6">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网络端口设置</w:t>
            </w:r>
          </w:p>
        </w:tc>
        <w:tc>
          <w:tcPr>
            <w:tcW w:w="7656" w:type="dxa"/>
            <w:tcBorders>
              <w:top w:val="single" w:color="auto" w:sz="4" w:space="0"/>
              <w:left w:val="single" w:color="auto" w:sz="4" w:space="0"/>
              <w:bottom w:val="single" w:color="auto" w:sz="4" w:space="0"/>
              <w:right w:val="single" w:color="auto" w:sz="4" w:space="0"/>
            </w:tcBorders>
          </w:tcPr>
          <w:p w14:paraId="33783C74">
            <w:pPr>
              <w:numPr>
                <w:ilvl w:val="0"/>
                <w:numId w:val="22"/>
              </w:numPr>
              <w:autoSpaceDE/>
              <w:autoSpaceDN/>
              <w:jc w:val="both"/>
              <w:rPr>
                <w:rFonts w:eastAsia="等线" w:cs="Times New Roman"/>
                <w:color w:val="000000"/>
                <w:kern w:val="2"/>
                <w:sz w:val="18"/>
                <w:szCs w:val="18"/>
                <w:lang w:val="en-US" w:bidi="ar-SA"/>
              </w:rPr>
            </w:pPr>
            <w:r>
              <w:rPr>
                <w:rFonts w:hint="eastAsia" w:eastAsia="等线" w:cs="Times New Roman"/>
                <w:kern w:val="2"/>
                <w:sz w:val="18"/>
                <w:szCs w:val="18"/>
                <w:lang w:val="en-US" w:bidi="ar-SA"/>
              </w:rPr>
              <w:t>系统默认端口</w:t>
            </w:r>
          </w:p>
          <w:p w14:paraId="2B6EB7A2">
            <w:pPr>
              <w:autoSpaceDE/>
              <w:autoSpaceDN/>
              <w:ind w:left="420"/>
              <w:jc w:val="both"/>
              <w:rPr>
                <w:rFonts w:eastAsia="等线" w:cs="Times New Roman"/>
                <w:color w:val="000000"/>
                <w:kern w:val="2"/>
                <w:sz w:val="18"/>
                <w:szCs w:val="18"/>
                <w:lang w:val="en-US" w:bidi="ar-SA"/>
              </w:rPr>
            </w:pPr>
            <w:r>
              <w:rPr>
                <w:rFonts w:hint="eastAsia" w:eastAsia="等线" w:cs="Times New Roman"/>
                <w:color w:val="000000"/>
                <w:kern w:val="2"/>
                <w:sz w:val="18"/>
                <w:szCs w:val="18"/>
                <w:lang w:val="en-US" w:bidi="ar-SA"/>
              </w:rPr>
              <w:t>80（PASSV4产品所需）、1433（SQLSERVER）、5551（客户端自动更新）、5555（核心服务）、6379（PASSV4产品Redis）、10000（MCDEX）、10008（处方集）、9091（PIP服务中心）、6380（PIP Redis）、9010（PIP主服务）、9020（PIP医生自查平台）、9100（PIP IDM）、9090（PIP路由中心）</w:t>
            </w:r>
          </w:p>
          <w:p w14:paraId="36692B02">
            <w:pPr>
              <w:numPr>
                <w:ilvl w:val="0"/>
                <w:numId w:val="22"/>
              </w:numPr>
              <w:autoSpaceDE/>
              <w:autoSpaceDN/>
              <w:jc w:val="both"/>
              <w:rPr>
                <w:rFonts w:eastAsia="等线" w:cs="Times New Roman"/>
                <w:color w:val="000000"/>
                <w:kern w:val="2"/>
                <w:sz w:val="18"/>
                <w:szCs w:val="18"/>
                <w:lang w:val="en-US" w:bidi="ar-SA"/>
              </w:rPr>
            </w:pPr>
            <w:r>
              <w:rPr>
                <w:rFonts w:hint="eastAsia" w:eastAsia="等线" w:cs="Times New Roman"/>
                <w:kern w:val="2"/>
                <w:sz w:val="18"/>
                <w:szCs w:val="18"/>
                <w:lang w:val="en-US" w:bidi="ar-SA"/>
              </w:rPr>
              <w:t>系统默认预留端口</w:t>
            </w:r>
          </w:p>
          <w:p w14:paraId="0E5F3EF0">
            <w:pPr>
              <w:autoSpaceDE/>
              <w:autoSpaceDN/>
              <w:ind w:left="420"/>
              <w:jc w:val="both"/>
              <w:rPr>
                <w:rFonts w:eastAsia="等线" w:cs="Times New Roman"/>
                <w:color w:val="000000"/>
                <w:kern w:val="2"/>
                <w:sz w:val="18"/>
                <w:szCs w:val="18"/>
                <w:lang w:val="en-US" w:bidi="ar-SA"/>
              </w:rPr>
            </w:pPr>
            <w:r>
              <w:rPr>
                <w:rFonts w:hint="eastAsia" w:eastAsia="等线" w:cs="Times New Roman"/>
                <w:color w:val="000000"/>
                <w:kern w:val="2"/>
                <w:sz w:val="18"/>
                <w:szCs w:val="18"/>
                <w:lang w:val="en-US" w:bidi="ar-SA"/>
              </w:rPr>
              <w:t xml:space="preserve">Redis服务：6380-6389作为缓存或非关系型数据库使用; </w:t>
            </w:r>
          </w:p>
          <w:p w14:paraId="7CD44FFD">
            <w:pPr>
              <w:autoSpaceDE/>
              <w:autoSpaceDN/>
              <w:ind w:left="420"/>
              <w:jc w:val="both"/>
              <w:rPr>
                <w:rFonts w:eastAsia="等线" w:cs="Times New Roman"/>
                <w:color w:val="000000"/>
                <w:kern w:val="2"/>
                <w:sz w:val="18"/>
                <w:szCs w:val="18"/>
                <w:lang w:val="en-US" w:bidi="ar-SA"/>
              </w:rPr>
            </w:pPr>
            <w:r>
              <w:rPr>
                <w:rFonts w:hint="eastAsia" w:eastAsia="等线" w:cs="Times New Roman"/>
                <w:kern w:val="2"/>
                <w:sz w:val="18"/>
                <w:szCs w:val="18"/>
                <w:lang w:val="en-US" w:bidi="ar-SA"/>
              </w:rPr>
              <w:t>前端静态资源</w:t>
            </w:r>
            <w:r>
              <w:rPr>
                <w:rFonts w:hint="eastAsia" w:eastAsia="等线" w:cs="Times New Roman"/>
                <w:color w:val="000000"/>
                <w:kern w:val="2"/>
                <w:sz w:val="18"/>
                <w:szCs w:val="18"/>
                <w:lang w:val="en-US" w:bidi="ar-SA"/>
              </w:rPr>
              <w:t>Nginx</w:t>
            </w:r>
            <w:r>
              <w:rPr>
                <w:rFonts w:hint="eastAsia" w:eastAsia="等线" w:cs="Times New Roman"/>
                <w:kern w:val="2"/>
                <w:sz w:val="18"/>
                <w:szCs w:val="18"/>
                <w:lang w:val="en-US" w:bidi="ar-SA"/>
              </w:rPr>
              <w:t>服务</w:t>
            </w:r>
            <w:r>
              <w:rPr>
                <w:rFonts w:hint="eastAsia" w:eastAsia="等线" w:cs="Times New Roman"/>
                <w:color w:val="000000"/>
                <w:kern w:val="2"/>
                <w:sz w:val="18"/>
                <w:szCs w:val="18"/>
                <w:lang w:val="en-US" w:bidi="ar-SA"/>
              </w:rPr>
              <w:t>：9000-9009作为Nginx集群或分布式网关使用</w:t>
            </w:r>
          </w:p>
          <w:p w14:paraId="403E5F5C">
            <w:pPr>
              <w:autoSpaceDE/>
              <w:autoSpaceDN/>
              <w:ind w:left="420"/>
              <w:jc w:val="both"/>
              <w:rPr>
                <w:rFonts w:eastAsia="等线" w:cs="Times New Roman"/>
                <w:color w:val="000000"/>
                <w:kern w:val="2"/>
                <w:sz w:val="18"/>
                <w:szCs w:val="18"/>
                <w:lang w:val="en-US" w:bidi="ar-SA"/>
              </w:rPr>
            </w:pPr>
            <w:r>
              <w:rPr>
                <w:rFonts w:hint="eastAsia" w:eastAsia="等线" w:cs="Times New Roman"/>
                <w:color w:val="000000"/>
                <w:kern w:val="2"/>
                <w:sz w:val="18"/>
                <w:szCs w:val="18"/>
                <w:lang w:val="en-US" w:bidi="ar-SA"/>
              </w:rPr>
              <w:t>后端服务: 9010-9019作为后端程序集群或分布式部署使用</w:t>
            </w:r>
          </w:p>
          <w:p w14:paraId="29526898">
            <w:pPr>
              <w:numPr>
                <w:ilvl w:val="0"/>
                <w:numId w:val="23"/>
              </w:numPr>
              <w:autoSpaceDE/>
              <w:autoSpaceDN/>
              <w:jc w:val="both"/>
              <w:rPr>
                <w:rFonts w:eastAsia="等线" w:cs="Times New Roman"/>
                <w:kern w:val="2"/>
                <w:sz w:val="18"/>
                <w:szCs w:val="18"/>
                <w:lang w:val="en-US" w:bidi="ar-SA"/>
              </w:rPr>
            </w:pPr>
            <w:r>
              <w:rPr>
                <w:rFonts w:hint="eastAsia" w:eastAsia="等线" w:cs="Times New Roman"/>
                <w:kern w:val="2"/>
                <w:sz w:val="18"/>
                <w:szCs w:val="18"/>
                <w:lang w:val="en-US" w:bidi="ar-SA"/>
              </w:rPr>
              <w:t>补充说明</w:t>
            </w:r>
          </w:p>
          <w:p w14:paraId="511D8275">
            <w:pPr>
              <w:autoSpaceDE/>
              <w:autoSpaceDN/>
              <w:ind w:left="420"/>
              <w:jc w:val="both"/>
              <w:rPr>
                <w:rFonts w:eastAsia="等线" w:cs="Times New Roman"/>
                <w:kern w:val="2"/>
                <w:sz w:val="18"/>
                <w:szCs w:val="18"/>
                <w:lang w:val="en-US" w:bidi="ar-SA"/>
              </w:rPr>
            </w:pPr>
            <w:r>
              <w:rPr>
                <w:rFonts w:hint="eastAsia" w:eastAsia="等线" w:cs="Times New Roman"/>
                <w:kern w:val="2"/>
                <w:sz w:val="18"/>
                <w:szCs w:val="18"/>
                <w:lang w:val="en-US" w:bidi="ar-SA"/>
              </w:rPr>
              <w:t>工程实施与维护工作尽量按系统默认开放与预留端口配置，如遇端口冲突，用户可根据实际情况指定和修改端口号。</w:t>
            </w:r>
          </w:p>
        </w:tc>
      </w:tr>
      <w:tr w14:paraId="17AE0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77DD7486">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IP设置</w:t>
            </w:r>
          </w:p>
        </w:tc>
        <w:tc>
          <w:tcPr>
            <w:tcW w:w="7656" w:type="dxa"/>
            <w:tcBorders>
              <w:top w:val="single" w:color="auto" w:sz="4" w:space="0"/>
              <w:left w:val="single" w:color="auto" w:sz="4" w:space="0"/>
              <w:bottom w:val="single" w:color="auto" w:sz="4" w:space="0"/>
              <w:right w:val="single" w:color="auto" w:sz="4" w:space="0"/>
            </w:tcBorders>
          </w:tcPr>
          <w:p w14:paraId="30A19905">
            <w:pPr>
              <w:autoSpaceDE/>
              <w:autoSpaceDN/>
              <w:jc w:val="both"/>
              <w:rPr>
                <w:rFonts w:eastAsia="等线" w:cs="Times New Roman"/>
                <w:kern w:val="2"/>
                <w:sz w:val="18"/>
                <w:szCs w:val="18"/>
                <w:lang w:val="en-US" w:bidi="ar-SA"/>
              </w:rPr>
            </w:pPr>
            <w:r>
              <w:rPr>
                <w:rFonts w:hint="eastAsia" w:eastAsia="等线" w:cs="Times New Roman"/>
                <w:kern w:val="2"/>
                <w:sz w:val="18"/>
                <w:szCs w:val="18"/>
                <w:lang w:val="en-US" w:bidi="ar-SA"/>
              </w:rPr>
              <w:t>固定IP，一般不允许修改</w:t>
            </w:r>
          </w:p>
        </w:tc>
      </w:tr>
      <w:tr w14:paraId="4AA8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14:paraId="6B913C77">
            <w:pPr>
              <w:autoSpaceDE/>
              <w:autoSpaceDN/>
              <w:jc w:val="center"/>
              <w:rPr>
                <w:rFonts w:eastAsia="等线" w:cs="Times New Roman"/>
                <w:b/>
                <w:kern w:val="2"/>
                <w:sz w:val="18"/>
                <w:szCs w:val="18"/>
                <w:lang w:val="en-US" w:bidi="ar-SA"/>
              </w:rPr>
            </w:pPr>
            <w:r>
              <w:rPr>
                <w:rFonts w:hint="eastAsia" w:eastAsia="等线" w:cs="Times New Roman"/>
                <w:b/>
                <w:kern w:val="2"/>
                <w:sz w:val="18"/>
                <w:szCs w:val="18"/>
                <w:lang w:val="en-US" w:bidi="ar-SA"/>
              </w:rPr>
              <w:t>其它软件</w:t>
            </w:r>
          </w:p>
        </w:tc>
        <w:tc>
          <w:tcPr>
            <w:tcW w:w="7656" w:type="dxa"/>
            <w:tcBorders>
              <w:top w:val="single" w:color="auto" w:sz="4" w:space="0"/>
              <w:left w:val="single" w:color="auto" w:sz="4" w:space="0"/>
              <w:bottom w:val="single" w:color="auto" w:sz="4" w:space="0"/>
              <w:right w:val="single" w:color="auto" w:sz="4" w:space="0"/>
            </w:tcBorders>
          </w:tcPr>
          <w:p w14:paraId="7177D6F4">
            <w:pPr>
              <w:autoSpaceDE/>
              <w:autoSpaceDN/>
              <w:jc w:val="both"/>
              <w:rPr>
                <w:rFonts w:eastAsia="等线" w:cs="Times New Roman"/>
                <w:kern w:val="2"/>
                <w:sz w:val="18"/>
                <w:szCs w:val="18"/>
                <w:lang w:val="en-US" w:bidi="ar-SA"/>
              </w:rPr>
            </w:pPr>
            <w:r>
              <w:rPr>
                <w:rFonts w:hint="eastAsia" w:eastAsia="等线" w:cs="Times New Roman"/>
                <w:kern w:val="2"/>
                <w:sz w:val="18"/>
                <w:szCs w:val="18"/>
                <w:lang w:val="en-US" w:bidi="ar-SA"/>
              </w:rPr>
              <w:t>NotePad++、Office2010及以上、Winrar压缩软件</w:t>
            </w:r>
          </w:p>
        </w:tc>
      </w:tr>
    </w:tbl>
    <w:p w14:paraId="58C2F75A">
      <w:pPr>
        <w:autoSpaceDE/>
        <w:autoSpaceDN/>
        <w:spacing w:line="288" w:lineRule="auto"/>
        <w:ind w:left="313"/>
        <w:jc w:val="both"/>
        <w:rPr>
          <w:rFonts w:eastAsia="等线" w:cs="Times New Roman"/>
          <w:bCs/>
          <w:kern w:val="2"/>
          <w:sz w:val="21"/>
          <w:szCs w:val="21"/>
          <w:lang w:val="en-US" w:bidi="ar-SA"/>
        </w:rPr>
      </w:pPr>
    </w:p>
    <w:bookmarkEnd w:id="85"/>
    <w:p w14:paraId="118A8734">
      <w:pPr>
        <w:widowControl/>
        <w:autoSpaceDE/>
        <w:autoSpaceDN/>
        <w:rPr>
          <w:rFonts w:asciiTheme="minorEastAsia" w:hAnsiTheme="minorEastAsia" w:eastAsiaTheme="minorEastAsia"/>
          <w:b/>
          <w:bCs/>
          <w:sz w:val="32"/>
          <w:szCs w:val="32"/>
          <w:lang w:val="en-US"/>
        </w:rPr>
      </w:pPr>
      <w:r>
        <w:rPr>
          <w:rFonts w:asciiTheme="minorEastAsia" w:hAnsiTheme="minorEastAsia" w:eastAsiaTheme="minorEastAsia"/>
          <w:lang w:val="en-US"/>
        </w:rPr>
        <w:br w:type="page"/>
      </w:r>
    </w:p>
    <w:p w14:paraId="2056BDA1">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第五部分 谈判响应文件格式</w:t>
      </w:r>
      <w:bookmarkEnd w:id="84"/>
    </w:p>
    <w:p w14:paraId="54AEF0DE">
      <w:pPr>
        <w:widowControl/>
        <w:autoSpaceDE/>
        <w:autoSpaceDN/>
        <w:rPr>
          <w:rFonts w:asciiTheme="minorEastAsia" w:hAnsiTheme="minorEastAsia" w:eastAsiaTheme="minorEastAsia"/>
          <w:b/>
          <w:sz w:val="20"/>
        </w:rPr>
      </w:pPr>
    </w:p>
    <w:p w14:paraId="66A315A8">
      <w:pPr>
        <w:widowControl/>
        <w:autoSpaceDE/>
        <w:autoSpaceDN/>
        <w:jc w:val="center"/>
        <w:rPr>
          <w:b/>
          <w:bCs/>
          <w:kern w:val="2"/>
          <w:sz w:val="32"/>
          <w:szCs w:val="32"/>
          <w:lang w:val="en-US" w:bidi="ar-SA"/>
        </w:rPr>
      </w:pPr>
    </w:p>
    <w:p w14:paraId="048BDACA">
      <w:pPr>
        <w:widowControl/>
        <w:autoSpaceDE/>
        <w:autoSpaceDN/>
        <w:rPr>
          <w:rFonts w:asciiTheme="minorEastAsia" w:hAnsiTheme="minorEastAsia" w:eastAsiaTheme="minorEastAsia"/>
          <w:b/>
          <w:sz w:val="20"/>
          <w:szCs w:val="24"/>
        </w:rPr>
      </w:pPr>
    </w:p>
    <w:p w14:paraId="2DF3F913">
      <w:pPr>
        <w:widowControl/>
        <w:autoSpaceDE/>
        <w:autoSpaceDN/>
        <w:rPr>
          <w:rFonts w:cs="黑体" w:asciiTheme="minorEastAsia" w:hAnsiTheme="minorEastAsia" w:eastAsiaTheme="minorEastAsia"/>
          <w:b/>
          <w:sz w:val="28"/>
          <w:szCs w:val="28"/>
        </w:rPr>
      </w:pPr>
      <w:r>
        <w:rPr>
          <w:rFonts w:cs="黑体" w:asciiTheme="minorEastAsia" w:hAnsiTheme="minorEastAsia" w:eastAsiaTheme="minorEastAsia"/>
          <w:b/>
          <w:sz w:val="28"/>
          <w:szCs w:val="28"/>
        </w:rPr>
        <w:br w:type="page"/>
      </w:r>
    </w:p>
    <w:p w14:paraId="5C1EE1F7">
      <w:pPr>
        <w:adjustRightInd w:val="0"/>
        <w:rPr>
          <w:rFonts w:asciiTheme="minorEastAsia" w:hAnsiTheme="minorEastAsia" w:eastAsiaTheme="minorEastAsia"/>
          <w:b/>
          <w:sz w:val="28"/>
          <w:szCs w:val="28"/>
        </w:rPr>
      </w:pPr>
      <w:r>
        <w:rPr>
          <w:rFonts w:hint="eastAsia" w:cs="黑体" w:asciiTheme="minorEastAsia" w:hAnsiTheme="minorEastAsia" w:eastAsiaTheme="minorEastAsia"/>
          <w:b/>
          <w:sz w:val="28"/>
          <w:szCs w:val="28"/>
        </w:rPr>
        <w:t>附件１：</w:t>
      </w:r>
    </w:p>
    <w:p w14:paraId="578B1F6B">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FEC14A0">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致：（采购人、采购代理机构）</w:t>
      </w:r>
    </w:p>
    <w:p w14:paraId="6A024AA5">
      <w:pPr>
        <w:adjustRightInd w:val="0"/>
        <w:spacing w:line="360" w:lineRule="auto"/>
        <w:ind w:left="484" w:leftChars="220" w:firstLine="316" w:firstLineChars="132"/>
        <w:jc w:val="both"/>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（全名、职务）经正式授权并代表谈判供应商</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（谈判供应商名称、地址）提交下述文件，并对之负法律责任。</w:t>
      </w:r>
    </w:p>
    <w:p w14:paraId="2C519436">
      <w:pPr>
        <w:adjustRightInd w:val="0"/>
        <w:spacing w:line="360" w:lineRule="auto"/>
        <w:ind w:firstLine="676" w:firstLineChars="282"/>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07C8C97D">
      <w:pPr>
        <w:adjustRightInd w:val="0"/>
        <w:spacing w:line="360" w:lineRule="auto"/>
        <w:ind w:firstLine="676" w:firstLineChars="282"/>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48FDC3F3">
      <w:pPr>
        <w:adjustRightInd w:val="0"/>
        <w:spacing w:line="360" w:lineRule="auto"/>
        <w:ind w:firstLine="676" w:firstLineChars="282"/>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37CFA011">
      <w:pPr>
        <w:adjustRightInd w:val="0"/>
        <w:spacing w:line="360" w:lineRule="auto"/>
        <w:ind w:firstLine="676" w:firstLineChars="282"/>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305CEAB7">
      <w:pPr>
        <w:adjustRightInd w:val="0"/>
        <w:spacing w:line="360" w:lineRule="auto"/>
        <w:ind w:firstLine="676" w:firstLineChars="282"/>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1C5D6C1F">
      <w:pPr>
        <w:adjustRightInd w:val="0"/>
        <w:spacing w:line="360" w:lineRule="auto"/>
        <w:ind w:firstLine="676" w:firstLineChars="282"/>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13E041C">
      <w:pPr>
        <w:adjustRightInd w:val="0"/>
        <w:spacing w:line="360" w:lineRule="auto"/>
        <w:ind w:firstLine="676" w:firstLineChars="282"/>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资格证明文件</w:t>
      </w:r>
    </w:p>
    <w:p w14:paraId="16A5EF28">
      <w:pPr>
        <w:adjustRightInd w:val="0"/>
        <w:spacing w:line="360" w:lineRule="auto"/>
        <w:ind w:firstLine="676" w:firstLineChars="282"/>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8</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其他资料</w:t>
      </w:r>
    </w:p>
    <w:p w14:paraId="05E70AEF">
      <w:pPr>
        <w:adjustRightInd w:val="0"/>
        <w:spacing w:line="360" w:lineRule="auto"/>
        <w:ind w:firstLine="676" w:firstLineChars="282"/>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9</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政府采购供应商诚信承诺书</w:t>
      </w:r>
    </w:p>
    <w:p w14:paraId="66C64679">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B8200FC">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、所附谈判响应报价表中规定的应提供和交付的货物总价为人民币，即（大写）</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w:t>
      </w:r>
    </w:p>
    <w:p w14:paraId="411E86A7">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09079E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、我方愿按《中华人民共和国民法典》履行我方的全部责任。</w:t>
      </w:r>
    </w:p>
    <w:p w14:paraId="39DB3137">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本函由投标单位加盖公章，并由投标单位法定代表人或其授权代表人签字和盖章。</w:t>
      </w:r>
    </w:p>
    <w:p w14:paraId="24C9604B">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562DAE52">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10CC50A0">
      <w:pPr>
        <w:adjustRightInd w:val="0"/>
        <w:spacing w:line="360" w:lineRule="auto"/>
        <w:ind w:firstLine="468"/>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7</w:t>
      </w:r>
      <w:r>
        <w:rPr>
          <w:rFonts w:hint="eastAsia" w:cs="仿宋_GB2312" w:asciiTheme="minorEastAsia" w:hAnsiTheme="minorEastAsia" w:eastAsiaTheme="minorEastAsia"/>
          <w:sz w:val="24"/>
          <w:szCs w:val="24"/>
        </w:rPr>
        <w:t>、我方同意从竞争性谈判文件规定的开标日期起日内遵循本投标文件，并在竞争性谈判文件规定的投标有效期之前均具有约束力。</w:t>
      </w:r>
    </w:p>
    <w:p w14:paraId="46F02B54">
      <w:pPr>
        <w:adjustRightInd w:val="0"/>
        <w:spacing w:line="360" w:lineRule="auto"/>
        <w:ind w:firstLine="468"/>
        <w:rPr>
          <w:rFonts w:asciiTheme="minorEastAsia" w:hAnsiTheme="minorEastAsia" w:eastAsiaTheme="minorEastAsia"/>
          <w:sz w:val="24"/>
          <w:szCs w:val="24"/>
        </w:rPr>
      </w:pPr>
      <w:r>
        <w:rPr>
          <w:rFonts w:asciiTheme="minorEastAsia" w:hAnsiTheme="minorEastAsia" w:eastAsiaTheme="minorEastAsia"/>
          <w:sz w:val="24"/>
          <w:szCs w:val="24"/>
        </w:rPr>
        <w:t>8、如果被确定为成交供应商，我方同意在采购人通知领取成交通知书的天内进行领取，并尽快联系采购人签订合同。</w:t>
      </w:r>
    </w:p>
    <w:p w14:paraId="63D36CBE">
      <w:pPr>
        <w:adjustRightInd w:val="0"/>
        <w:spacing w:line="360" w:lineRule="auto"/>
        <w:ind w:firstLine="468"/>
        <w:rPr>
          <w:rFonts w:asciiTheme="minorEastAsia" w:hAnsiTheme="minorEastAsia" w:eastAsiaTheme="minorEastAsia"/>
          <w:sz w:val="24"/>
          <w:szCs w:val="24"/>
        </w:rPr>
      </w:pPr>
      <w:r>
        <w:rPr>
          <w:rFonts w:asciiTheme="minorEastAsia" w:hAnsiTheme="minorEastAsia" w:eastAsiaTheme="minorEastAsia"/>
          <w:sz w:val="24"/>
          <w:szCs w:val="24"/>
        </w:rPr>
        <w:t>9、我方已详细审核全部竞争性谈判文件，包括竞争性谈判文件修改书（如有），参考资料及有关附件，我方正式认可本次竞争性谈判文件，并对竞争性谈判文件各项条款（包括开标时间）均无异议。我方知道必须放弃提出含糊不清或误解的问题的权利。</w:t>
      </w:r>
    </w:p>
    <w:p w14:paraId="74A20BDA">
      <w:pPr>
        <w:adjustRightInd w:val="0"/>
        <w:spacing w:line="360" w:lineRule="auto"/>
        <w:rPr>
          <w:rFonts w:asciiTheme="minorEastAsia" w:hAnsiTheme="minorEastAsia" w:eastAsiaTheme="minorEastAsia"/>
          <w:bCs/>
          <w:sz w:val="24"/>
          <w:szCs w:val="24"/>
        </w:rPr>
      </w:pPr>
      <w:r>
        <w:rPr>
          <w:rFonts w:cs="仿宋_GB2312" w:asciiTheme="minorEastAsia" w:hAnsiTheme="minorEastAsia" w:eastAsiaTheme="minorEastAsia"/>
          <w:bCs/>
          <w:sz w:val="24"/>
          <w:szCs w:val="24"/>
        </w:rPr>
        <w:t xml:space="preserve">   </w:t>
      </w:r>
      <w:r>
        <w:rPr>
          <w:rFonts w:hint="eastAsia" w:cs="仿宋_GB2312" w:asciiTheme="minorEastAsia" w:hAnsiTheme="minorEastAsia" w:eastAsiaTheme="minorEastAsia"/>
          <w:bCs/>
          <w:sz w:val="24"/>
          <w:szCs w:val="24"/>
        </w:rPr>
        <w:t>10、我方保证谈判响应文件中的所有资料均为真实、有效的，如有虚假，我方承诺谈判响应文件无效并愿承担一切责任。</w:t>
      </w:r>
    </w:p>
    <w:p w14:paraId="6088DC55">
      <w:pPr>
        <w:adjustRightInd w:val="0"/>
        <w:spacing w:line="360" w:lineRule="auto"/>
        <w:ind w:firstLine="56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11、与本谈判有关的一切正式往来请寄：</w:t>
      </w:r>
    </w:p>
    <w:p w14:paraId="04EBE805">
      <w:pPr>
        <w:adjustRightInd w:val="0"/>
        <w:spacing w:line="360" w:lineRule="auto"/>
        <w:rPr>
          <w:rFonts w:asciiTheme="minorEastAsia" w:hAnsiTheme="minorEastAsia" w:eastAsiaTheme="minorEastAsia"/>
          <w:sz w:val="24"/>
          <w:szCs w:val="24"/>
        </w:rPr>
      </w:pPr>
    </w:p>
    <w:p w14:paraId="237F8084">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408153D">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1B92C117">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593A56F">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63D4F1D2">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876653C">
      <w:pPr>
        <w:adjustRightInd w:val="0"/>
        <w:rPr>
          <w:rFonts w:asciiTheme="minorEastAsia" w:hAnsiTheme="minorEastAsia" w:eastAsiaTheme="minorEastAsia"/>
          <w:sz w:val="28"/>
          <w:szCs w:val="28"/>
        </w:rPr>
      </w:pPr>
    </w:p>
    <w:p w14:paraId="3FF150A6">
      <w:pPr>
        <w:adjustRightInd w:val="0"/>
        <w:rPr>
          <w:rFonts w:asciiTheme="minorEastAsia" w:hAnsiTheme="minorEastAsia" w:eastAsiaTheme="minorEastAsia"/>
        </w:rPr>
        <w:sectPr>
          <w:footerReference r:id="rId10" w:type="default"/>
          <w:pgSz w:w="11906" w:h="16838"/>
          <w:pgMar w:top="1440" w:right="1080" w:bottom="1440" w:left="1080" w:header="720" w:footer="720" w:gutter="0"/>
          <w:cols w:space="720" w:num="1"/>
          <w:docGrid w:linePitch="299" w:charSpace="0"/>
        </w:sectPr>
      </w:pPr>
    </w:p>
    <w:p w14:paraId="7547D949">
      <w:pPr>
        <w:adjustRightInd w:val="0"/>
        <w:rPr>
          <w:rFonts w:cs="黑体" w:asciiTheme="minorEastAsia" w:hAnsiTheme="minorEastAsia" w:eastAsiaTheme="minorEastAsia"/>
          <w:b/>
          <w:sz w:val="28"/>
          <w:szCs w:val="28"/>
        </w:rPr>
      </w:pPr>
      <w:r>
        <w:rPr>
          <w:rFonts w:hint="eastAsia" w:cs="黑体" w:asciiTheme="minorEastAsia" w:hAnsiTheme="minorEastAsia" w:eastAsiaTheme="minorEastAsia"/>
          <w:b/>
          <w:sz w:val="28"/>
          <w:szCs w:val="28"/>
        </w:rPr>
        <w:t>附件</w:t>
      </w:r>
      <w:r>
        <w:rPr>
          <w:rFonts w:cs="黑体" w:asciiTheme="minorEastAsia" w:hAnsiTheme="minorEastAsia" w:eastAsiaTheme="minorEastAsia"/>
          <w:b/>
          <w:sz w:val="28"/>
          <w:szCs w:val="28"/>
        </w:rPr>
        <w:t>2</w:t>
      </w:r>
      <w:r>
        <w:rPr>
          <w:rFonts w:hint="eastAsia" w:cs="黑体" w:asciiTheme="minorEastAsia" w:hAnsiTheme="minorEastAsia" w:eastAsiaTheme="minorEastAsia"/>
          <w:b/>
          <w:sz w:val="28"/>
          <w:szCs w:val="28"/>
        </w:rPr>
        <w:t>：</w:t>
      </w:r>
    </w:p>
    <w:p w14:paraId="6856518F">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0D520074">
      <w:pPr>
        <w:adjustRightInd w:val="0"/>
        <w:spacing w:line="240" w:lineRule="exact"/>
        <w:jc w:val="center"/>
        <w:rPr>
          <w:rFonts w:asciiTheme="minorEastAsia" w:hAnsiTheme="minorEastAsia" w:eastAsiaTheme="minorEastAsia"/>
          <w:sz w:val="36"/>
          <w:szCs w:val="36"/>
        </w:rPr>
      </w:pPr>
    </w:p>
    <w:p w14:paraId="6F658F4F">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6CF5811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1470FBF9">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E50955C">
            <w:pPr>
              <w:adjustRightInd w:val="0"/>
              <w:jc w:val="center"/>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6828961F">
            <w:pPr>
              <w:adjustRightInd w:val="0"/>
              <w:jc w:val="center"/>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8F1047E">
            <w:pPr>
              <w:adjustRightInd w:val="0"/>
              <w:jc w:val="center"/>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投标</w:t>
            </w:r>
          </w:p>
          <w:p w14:paraId="56EA383A">
            <w:pPr>
              <w:adjustRightInd w:val="0"/>
              <w:jc w:val="center"/>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9075C3B">
            <w:pPr>
              <w:adjustRightInd w:val="0"/>
              <w:jc w:val="center"/>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服务期</w:t>
            </w:r>
          </w:p>
        </w:tc>
      </w:tr>
      <w:tr w14:paraId="1CD7EDB7">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F110FAB">
            <w:pPr>
              <w:adjustRightInd w:val="0"/>
              <w:jc w:val="center"/>
              <w:rPr>
                <w:rFonts w:asciiTheme="minorEastAsia" w:hAnsiTheme="minorEastAsia" w:eastAsiaTheme="minorEastAsia"/>
                <w:b/>
                <w:bCs/>
                <w:sz w:val="24"/>
                <w:szCs w:val="24"/>
              </w:rPr>
            </w:pPr>
          </w:p>
        </w:tc>
        <w:tc>
          <w:tcPr>
            <w:tcW w:w="4367" w:type="dxa"/>
            <w:tcBorders>
              <w:top w:val="single" w:color="auto" w:sz="6" w:space="0"/>
              <w:left w:val="single" w:color="auto" w:sz="6" w:space="0"/>
              <w:right w:val="single" w:color="auto" w:sz="6" w:space="0"/>
            </w:tcBorders>
            <w:vAlign w:val="center"/>
          </w:tcPr>
          <w:p w14:paraId="69B90973">
            <w:pPr>
              <w:adjustRightInd w:val="0"/>
              <w:jc w:val="center"/>
              <w:rPr>
                <w:rFonts w:asciiTheme="minorEastAsia" w:hAnsiTheme="minorEastAsia" w:eastAsiaTheme="minorEastAsia"/>
                <w:b/>
                <w:bCs/>
                <w:sz w:val="24"/>
                <w:szCs w:val="24"/>
              </w:rPr>
            </w:pPr>
          </w:p>
        </w:tc>
        <w:tc>
          <w:tcPr>
            <w:tcW w:w="1620" w:type="dxa"/>
            <w:tcBorders>
              <w:top w:val="single" w:color="auto" w:sz="6" w:space="0"/>
              <w:left w:val="single" w:color="auto" w:sz="6" w:space="0"/>
              <w:right w:val="single" w:color="auto" w:sz="6" w:space="0"/>
            </w:tcBorders>
            <w:vAlign w:val="center"/>
          </w:tcPr>
          <w:p w14:paraId="633B1317">
            <w:pPr>
              <w:adjustRightInd w:val="0"/>
              <w:jc w:val="center"/>
              <w:rPr>
                <w:rFonts w:asciiTheme="minorEastAsia" w:hAnsiTheme="minorEastAsia" w:eastAsiaTheme="minorEastAsia"/>
                <w:sz w:val="24"/>
                <w:szCs w:val="24"/>
              </w:rPr>
            </w:pPr>
          </w:p>
        </w:tc>
        <w:tc>
          <w:tcPr>
            <w:tcW w:w="1361" w:type="dxa"/>
            <w:tcBorders>
              <w:top w:val="single" w:color="auto" w:sz="6" w:space="0"/>
              <w:left w:val="single" w:color="auto" w:sz="6" w:space="0"/>
              <w:right w:val="single" w:color="auto" w:sz="6" w:space="0"/>
            </w:tcBorders>
            <w:vAlign w:val="center"/>
          </w:tcPr>
          <w:p w14:paraId="7C400583">
            <w:pPr>
              <w:adjustRightInd w:val="0"/>
              <w:jc w:val="center"/>
              <w:rPr>
                <w:rFonts w:asciiTheme="minorEastAsia" w:hAnsiTheme="minorEastAsia" w:eastAsiaTheme="minorEastAsia"/>
                <w:sz w:val="24"/>
                <w:szCs w:val="24"/>
              </w:rPr>
            </w:pPr>
          </w:p>
        </w:tc>
      </w:tr>
      <w:tr w14:paraId="5291731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32E621D">
            <w:pPr>
              <w:adjustRightInd w:val="0"/>
              <w:jc w:val="center"/>
              <w:rPr>
                <w:rFonts w:asciiTheme="minorEastAsia" w:hAnsiTheme="minorEastAsia" w:eastAsiaTheme="minorEastAsia"/>
                <w:b/>
                <w:bCs/>
                <w:sz w:val="24"/>
                <w:szCs w:val="24"/>
              </w:rPr>
            </w:pPr>
          </w:p>
        </w:tc>
        <w:tc>
          <w:tcPr>
            <w:tcW w:w="4367" w:type="dxa"/>
            <w:tcBorders>
              <w:top w:val="single" w:color="auto" w:sz="6" w:space="0"/>
              <w:left w:val="single" w:color="auto" w:sz="6" w:space="0"/>
              <w:bottom w:val="single" w:color="auto" w:sz="6" w:space="0"/>
              <w:right w:val="single" w:color="auto" w:sz="6" w:space="0"/>
            </w:tcBorders>
            <w:vAlign w:val="center"/>
          </w:tcPr>
          <w:p w14:paraId="48DF2F6F">
            <w:pPr>
              <w:adjustRightInd w:val="0"/>
              <w:jc w:val="center"/>
              <w:rPr>
                <w:rFonts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vAlign w:val="center"/>
          </w:tcPr>
          <w:p w14:paraId="6B1680FE">
            <w:pPr>
              <w:adjustRightInd w:val="0"/>
              <w:jc w:val="center"/>
              <w:rPr>
                <w:rFonts w:asciiTheme="minorEastAsia" w:hAnsiTheme="minorEastAsia" w:eastAsiaTheme="minorEastAsia"/>
                <w:sz w:val="24"/>
                <w:szCs w:val="24"/>
              </w:rPr>
            </w:pPr>
          </w:p>
        </w:tc>
        <w:tc>
          <w:tcPr>
            <w:tcW w:w="1361" w:type="dxa"/>
            <w:tcBorders>
              <w:top w:val="single" w:color="auto" w:sz="6" w:space="0"/>
              <w:left w:val="single" w:color="auto" w:sz="6" w:space="0"/>
              <w:bottom w:val="single" w:color="auto" w:sz="6" w:space="0"/>
              <w:right w:val="single" w:color="auto" w:sz="6" w:space="0"/>
            </w:tcBorders>
            <w:vAlign w:val="center"/>
          </w:tcPr>
          <w:p w14:paraId="65126E46">
            <w:pPr>
              <w:adjustRightInd w:val="0"/>
              <w:jc w:val="center"/>
              <w:rPr>
                <w:rFonts w:asciiTheme="minorEastAsia" w:hAnsiTheme="minorEastAsia" w:eastAsiaTheme="minorEastAsia"/>
                <w:sz w:val="24"/>
                <w:szCs w:val="24"/>
              </w:rPr>
            </w:pPr>
          </w:p>
        </w:tc>
      </w:tr>
      <w:tr w14:paraId="72B325B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27F4B61">
            <w:pPr>
              <w:adjustRightInd w:val="0"/>
              <w:jc w:val="center"/>
              <w:rPr>
                <w:rFonts w:asciiTheme="minorEastAsia" w:hAnsiTheme="minorEastAsia" w:eastAsiaTheme="minorEastAsia"/>
                <w:sz w:val="24"/>
                <w:szCs w:val="24"/>
              </w:rPr>
            </w:pPr>
          </w:p>
        </w:tc>
        <w:tc>
          <w:tcPr>
            <w:tcW w:w="4367" w:type="dxa"/>
            <w:tcBorders>
              <w:top w:val="single" w:color="auto" w:sz="6" w:space="0"/>
              <w:left w:val="single" w:color="auto" w:sz="6" w:space="0"/>
              <w:bottom w:val="single" w:color="auto" w:sz="6" w:space="0"/>
              <w:right w:val="single" w:color="auto" w:sz="6" w:space="0"/>
            </w:tcBorders>
            <w:vAlign w:val="center"/>
          </w:tcPr>
          <w:p w14:paraId="4E13D1FF">
            <w:pPr>
              <w:adjustRightInd w:val="0"/>
              <w:jc w:val="center"/>
              <w:rPr>
                <w:rFonts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vAlign w:val="center"/>
          </w:tcPr>
          <w:p w14:paraId="142E990C">
            <w:pPr>
              <w:adjustRightInd w:val="0"/>
              <w:jc w:val="center"/>
              <w:rPr>
                <w:rFonts w:asciiTheme="minorEastAsia" w:hAnsiTheme="minorEastAsia" w:eastAsiaTheme="minorEastAsia"/>
                <w:sz w:val="24"/>
                <w:szCs w:val="24"/>
              </w:rPr>
            </w:pPr>
          </w:p>
        </w:tc>
        <w:tc>
          <w:tcPr>
            <w:tcW w:w="1361" w:type="dxa"/>
            <w:tcBorders>
              <w:top w:val="single" w:color="auto" w:sz="6" w:space="0"/>
              <w:left w:val="single" w:color="auto" w:sz="6" w:space="0"/>
              <w:bottom w:val="single" w:color="auto" w:sz="6" w:space="0"/>
              <w:right w:val="single" w:color="auto" w:sz="6" w:space="0"/>
            </w:tcBorders>
            <w:vAlign w:val="center"/>
          </w:tcPr>
          <w:p w14:paraId="794DD114">
            <w:pPr>
              <w:adjustRightInd w:val="0"/>
              <w:jc w:val="center"/>
              <w:rPr>
                <w:rFonts w:asciiTheme="minorEastAsia" w:hAnsiTheme="minorEastAsia" w:eastAsiaTheme="minorEastAsia"/>
                <w:sz w:val="24"/>
                <w:szCs w:val="24"/>
              </w:rPr>
            </w:pPr>
          </w:p>
        </w:tc>
      </w:tr>
      <w:tr w14:paraId="7713D64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FB16E20">
            <w:pPr>
              <w:adjustRightInd w:val="0"/>
              <w:jc w:val="center"/>
              <w:rPr>
                <w:rFonts w:asciiTheme="minorEastAsia" w:hAnsiTheme="minorEastAsia" w:eastAsiaTheme="minorEastAsia"/>
                <w:sz w:val="24"/>
                <w:szCs w:val="24"/>
              </w:rPr>
            </w:pPr>
          </w:p>
        </w:tc>
        <w:tc>
          <w:tcPr>
            <w:tcW w:w="4367" w:type="dxa"/>
            <w:tcBorders>
              <w:top w:val="single" w:color="auto" w:sz="6" w:space="0"/>
              <w:left w:val="single" w:color="auto" w:sz="6" w:space="0"/>
              <w:bottom w:val="single" w:color="auto" w:sz="6" w:space="0"/>
              <w:right w:val="single" w:color="auto" w:sz="6" w:space="0"/>
            </w:tcBorders>
            <w:vAlign w:val="center"/>
          </w:tcPr>
          <w:p w14:paraId="5396E8D6">
            <w:pPr>
              <w:adjustRightInd w:val="0"/>
              <w:jc w:val="center"/>
              <w:rPr>
                <w:rFonts w:asciiTheme="minorEastAsia" w:hAnsiTheme="minorEastAsia" w:eastAsiaTheme="minorEastAsia"/>
                <w:b/>
                <w:bCs/>
                <w:sz w:val="24"/>
                <w:szCs w:val="24"/>
              </w:rPr>
            </w:pPr>
          </w:p>
        </w:tc>
        <w:tc>
          <w:tcPr>
            <w:tcW w:w="1620" w:type="dxa"/>
            <w:tcBorders>
              <w:top w:val="single" w:color="auto" w:sz="6" w:space="0"/>
              <w:left w:val="single" w:color="auto" w:sz="6" w:space="0"/>
              <w:bottom w:val="single" w:color="auto" w:sz="6" w:space="0"/>
              <w:right w:val="single" w:color="auto" w:sz="6" w:space="0"/>
            </w:tcBorders>
            <w:vAlign w:val="center"/>
          </w:tcPr>
          <w:p w14:paraId="580F4632">
            <w:pPr>
              <w:adjustRightInd w:val="0"/>
              <w:jc w:val="center"/>
              <w:rPr>
                <w:rFonts w:asciiTheme="minorEastAsia" w:hAnsiTheme="minorEastAsia" w:eastAsiaTheme="minorEastAsia"/>
                <w:sz w:val="24"/>
                <w:szCs w:val="24"/>
              </w:rPr>
            </w:pPr>
          </w:p>
        </w:tc>
        <w:tc>
          <w:tcPr>
            <w:tcW w:w="1361" w:type="dxa"/>
            <w:tcBorders>
              <w:top w:val="single" w:color="auto" w:sz="6" w:space="0"/>
              <w:left w:val="single" w:color="auto" w:sz="6" w:space="0"/>
              <w:bottom w:val="single" w:color="auto" w:sz="6" w:space="0"/>
              <w:right w:val="single" w:color="auto" w:sz="6" w:space="0"/>
            </w:tcBorders>
            <w:vAlign w:val="center"/>
          </w:tcPr>
          <w:p w14:paraId="2AF47F7D">
            <w:pPr>
              <w:adjustRightInd w:val="0"/>
              <w:jc w:val="center"/>
              <w:rPr>
                <w:rFonts w:asciiTheme="minorEastAsia" w:hAnsiTheme="minorEastAsia" w:eastAsiaTheme="minorEastAsia"/>
                <w:sz w:val="24"/>
                <w:szCs w:val="24"/>
              </w:rPr>
            </w:pPr>
          </w:p>
        </w:tc>
      </w:tr>
      <w:tr w14:paraId="53ADD83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460BA35">
            <w:pPr>
              <w:adjustRightInd w:val="0"/>
              <w:jc w:val="center"/>
              <w:rPr>
                <w:rFonts w:asciiTheme="minorEastAsia" w:hAnsiTheme="minorEastAsia" w:eastAsiaTheme="minorEastAsia"/>
                <w:sz w:val="24"/>
                <w:szCs w:val="24"/>
              </w:rPr>
            </w:pPr>
            <w:r>
              <w:rPr>
                <w:rFonts w:hint="eastAsia" w:cs="仿宋_GB2312" w:asciiTheme="minorEastAsia" w:hAnsiTheme="minorEastAsia" w:eastAsiaTheme="minorEastAsia"/>
                <w:b/>
                <w:bCs/>
                <w:sz w:val="24"/>
                <w:szCs w:val="24"/>
              </w:rPr>
              <w:t>投标总价（人民币大写）：</w:t>
            </w:r>
            <w:r>
              <w:rPr>
                <w:rFonts w:hint="eastAsia" w:cs="仿宋_GB2312" w:asciiTheme="minorEastAsia" w:hAnsiTheme="minorEastAsia" w:eastAsiaTheme="minorEastAsia"/>
                <w:sz w:val="24"/>
                <w:szCs w:val="24"/>
              </w:rPr>
              <w:t>￥           元</w:t>
            </w:r>
          </w:p>
        </w:tc>
      </w:tr>
    </w:tbl>
    <w:p w14:paraId="49114E55">
      <w:pPr>
        <w:adjustRightInd w:val="0"/>
        <w:rPr>
          <w:rFonts w:asciiTheme="minorEastAsia" w:hAnsiTheme="minorEastAsia" w:eastAsiaTheme="minorEastAsia"/>
          <w:sz w:val="24"/>
          <w:szCs w:val="24"/>
        </w:rPr>
      </w:pPr>
    </w:p>
    <w:p w14:paraId="3805131C">
      <w:pPr>
        <w:adjustRightInd w:val="0"/>
        <w:rPr>
          <w:rFonts w:asciiTheme="minorEastAsia" w:hAnsiTheme="minorEastAsia" w:eastAsiaTheme="minorEastAsia"/>
          <w:sz w:val="24"/>
          <w:szCs w:val="24"/>
        </w:rPr>
      </w:pPr>
    </w:p>
    <w:p w14:paraId="59EEB263">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F1069B6">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324003AF">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DDA3E19">
      <w:pPr>
        <w:adjustRightInd w:val="0"/>
        <w:rPr>
          <w:rFonts w:cs="仿宋_GB2312" w:asciiTheme="minorEastAsia" w:hAnsiTheme="minorEastAsia" w:eastAsiaTheme="minorEastAsia"/>
          <w:b/>
          <w:bCs/>
          <w:sz w:val="24"/>
          <w:szCs w:val="24"/>
        </w:rPr>
      </w:pPr>
    </w:p>
    <w:p w14:paraId="15318586">
      <w:pPr>
        <w:adjustRightInd w:val="0"/>
        <w:rPr>
          <w:rFonts w:cs="仿宋_GB2312" w:asciiTheme="minorEastAsia" w:hAnsiTheme="minorEastAsia" w:eastAsiaTheme="minorEastAsia"/>
          <w:b/>
          <w:bCs/>
          <w:sz w:val="24"/>
          <w:szCs w:val="24"/>
        </w:rPr>
      </w:pPr>
    </w:p>
    <w:p w14:paraId="41F2BBBC">
      <w:pPr>
        <w:adjustRightInd w:val="0"/>
        <w:rPr>
          <w:rFonts w:cs="仿宋_GB2312" w:asciiTheme="minorEastAsia" w:hAnsiTheme="minorEastAsia" w:eastAsiaTheme="minorEastAsia"/>
          <w:b/>
          <w:bCs/>
          <w:sz w:val="24"/>
          <w:szCs w:val="24"/>
        </w:rPr>
      </w:pPr>
    </w:p>
    <w:p w14:paraId="4F221A15">
      <w:pPr>
        <w:adjustRightInd w:val="0"/>
        <w:rPr>
          <w:rFonts w:cs="仿宋_GB2312" w:asciiTheme="minorEastAsia" w:hAnsiTheme="minorEastAsia" w:eastAsiaTheme="minorEastAsia"/>
          <w:b/>
          <w:bCs/>
          <w:sz w:val="24"/>
          <w:szCs w:val="24"/>
        </w:rPr>
      </w:pPr>
    </w:p>
    <w:p w14:paraId="27587772">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430E95E5">
      <w:pPr>
        <w:adjustRightInd w:val="0"/>
        <w:rPr>
          <w:rFonts w:cs="黑体" w:asciiTheme="minorEastAsia" w:hAnsiTheme="minorEastAsia" w:eastAsiaTheme="minorEastAsia"/>
          <w:b/>
          <w:sz w:val="28"/>
          <w:szCs w:val="28"/>
        </w:rPr>
      </w:pPr>
      <w:r>
        <w:rPr>
          <w:rFonts w:hint="eastAsia" w:cs="黑体" w:asciiTheme="minorEastAsia" w:hAnsiTheme="minorEastAsia" w:eastAsiaTheme="minorEastAsia"/>
          <w:b/>
          <w:sz w:val="28"/>
          <w:szCs w:val="28"/>
        </w:rPr>
        <w:t>附件3：</w:t>
      </w:r>
    </w:p>
    <w:p w14:paraId="790A0B4C">
      <w:pPr>
        <w:adjustRightInd w:val="0"/>
        <w:rPr>
          <w:rFonts w:cs="黑体" w:asciiTheme="minorEastAsia" w:hAnsiTheme="minorEastAsia" w:eastAsiaTheme="minorEastAsia"/>
          <w:b/>
          <w:bCs/>
          <w:sz w:val="32"/>
          <w:szCs w:val="32"/>
        </w:rPr>
      </w:pPr>
    </w:p>
    <w:p w14:paraId="153A7E2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22594A26">
      <w:pPr>
        <w:adjustRightInd w:val="0"/>
        <w:rPr>
          <w:rFonts w:asciiTheme="minorEastAsia" w:hAnsiTheme="minorEastAsia" w:eastAsiaTheme="minorEastAsia"/>
        </w:rPr>
      </w:pPr>
    </w:p>
    <w:p w14:paraId="2A29C875">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0E8FC97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05FB9CA">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0FC97793">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6382A7A">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6626D07C">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2A7B338">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20AB8A19">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3FBA9C8">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E749113">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506C05CC">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5BA0900F">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3ADF138B">
            <w:pPr>
              <w:rPr>
                <w:rFonts w:asciiTheme="minorEastAsia" w:hAnsiTheme="minorEastAsia" w:eastAsiaTheme="minorEastAsia"/>
                <w:sz w:val="24"/>
                <w:szCs w:val="24"/>
              </w:rPr>
            </w:pPr>
          </w:p>
        </w:tc>
      </w:tr>
      <w:tr w14:paraId="65B8D04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CB55DE3">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59DAC85">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894A4AC">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48DA190">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82B0427">
            <w:pPr>
              <w:spacing w:beforeLines="20" w:afterLines="20"/>
              <w:ind w:left="110" w:leftChars="50" w:right="110" w:rightChars="50"/>
              <w:jc w:val="center"/>
              <w:rPr>
                <w:rFonts w:asciiTheme="minorEastAsia" w:hAnsiTheme="minorEastAsia" w:eastAsiaTheme="minorEastAsia"/>
              </w:rPr>
            </w:pPr>
          </w:p>
        </w:tc>
      </w:tr>
      <w:tr w14:paraId="3C83ED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74B89C8">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7D80E3B">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F637E29">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8F756B6">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8B7656A">
            <w:pPr>
              <w:spacing w:beforeLines="20" w:afterLines="20"/>
              <w:ind w:left="110" w:leftChars="50" w:right="110" w:rightChars="50"/>
              <w:jc w:val="center"/>
              <w:rPr>
                <w:rFonts w:asciiTheme="minorEastAsia" w:hAnsiTheme="minorEastAsia" w:eastAsiaTheme="minorEastAsia"/>
              </w:rPr>
            </w:pPr>
          </w:p>
        </w:tc>
      </w:tr>
      <w:tr w14:paraId="0E150A7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2B493DF">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647A24B">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7164B61">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A37EAB9">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CDE84FB">
            <w:pPr>
              <w:spacing w:beforeLines="20" w:afterLines="20"/>
              <w:ind w:left="110" w:leftChars="50" w:right="110" w:rightChars="50"/>
              <w:jc w:val="center"/>
              <w:rPr>
                <w:rFonts w:asciiTheme="minorEastAsia" w:hAnsiTheme="minorEastAsia" w:eastAsiaTheme="minorEastAsia"/>
              </w:rPr>
            </w:pPr>
          </w:p>
        </w:tc>
      </w:tr>
      <w:tr w14:paraId="225B47B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C007E6D">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1C8DC17">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896D3D8">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A4E8CEB">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B740222">
            <w:pPr>
              <w:spacing w:beforeLines="20" w:afterLines="20"/>
              <w:ind w:left="110" w:leftChars="50" w:right="110" w:rightChars="50"/>
              <w:jc w:val="center"/>
              <w:rPr>
                <w:rFonts w:asciiTheme="minorEastAsia" w:hAnsiTheme="minorEastAsia" w:eastAsiaTheme="minorEastAsia"/>
              </w:rPr>
            </w:pPr>
          </w:p>
        </w:tc>
      </w:tr>
      <w:tr w14:paraId="5EA0D9C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9CEF7B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66358938">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5805BE4">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4A1FD72">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74BCFE9">
            <w:pPr>
              <w:spacing w:beforeLines="20" w:afterLines="20"/>
              <w:ind w:left="110" w:leftChars="50" w:right="110" w:rightChars="50"/>
              <w:jc w:val="center"/>
              <w:rPr>
                <w:rFonts w:asciiTheme="minorEastAsia" w:hAnsiTheme="minorEastAsia" w:eastAsiaTheme="minorEastAsia"/>
              </w:rPr>
            </w:pPr>
          </w:p>
        </w:tc>
      </w:tr>
    </w:tbl>
    <w:p w14:paraId="65C04FCA">
      <w:pPr>
        <w:adjustRightInd w:val="0"/>
        <w:rPr>
          <w:rFonts w:asciiTheme="minorEastAsia" w:hAnsiTheme="minorEastAsia" w:eastAsiaTheme="minorEastAsia"/>
          <w:sz w:val="24"/>
          <w:szCs w:val="24"/>
        </w:rPr>
      </w:pPr>
    </w:p>
    <w:p w14:paraId="6ED55394">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F756032">
      <w:pPr>
        <w:adjustRightInd w:val="0"/>
        <w:rPr>
          <w:rFonts w:asciiTheme="minorEastAsia" w:hAnsiTheme="minorEastAsia" w:eastAsiaTheme="minorEastAsia"/>
          <w:sz w:val="24"/>
          <w:szCs w:val="24"/>
        </w:rPr>
      </w:pPr>
    </w:p>
    <w:p w14:paraId="235A0DCE">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24D78C1B">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2FDF2871">
      <w:pPr>
        <w:adjustRightInd w:val="0"/>
        <w:ind w:firstLine="390"/>
        <w:rPr>
          <w:rFonts w:asciiTheme="minorEastAsia" w:hAnsiTheme="minorEastAsia" w:eastAsiaTheme="minorEastAsia"/>
          <w:sz w:val="18"/>
          <w:szCs w:val="18"/>
        </w:rPr>
      </w:pPr>
    </w:p>
    <w:p w14:paraId="46915677">
      <w:pPr>
        <w:adjustRightInd w:val="0"/>
        <w:rPr>
          <w:rFonts w:asciiTheme="minorEastAsia" w:hAnsiTheme="minorEastAsia" w:eastAsiaTheme="minorEastAsia"/>
          <w:sz w:val="28"/>
          <w:szCs w:val="28"/>
        </w:rPr>
      </w:pPr>
    </w:p>
    <w:p w14:paraId="0A7E2AF7">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3D65A393">
      <w:pPr>
        <w:adjustRightInd w:val="0"/>
        <w:rPr>
          <w:rFonts w:cs="黑体" w:asciiTheme="minorEastAsia" w:hAnsiTheme="minorEastAsia" w:eastAsiaTheme="minorEastAsia"/>
          <w:b/>
          <w:sz w:val="28"/>
          <w:szCs w:val="28"/>
        </w:rPr>
      </w:pPr>
      <w:r>
        <w:rPr>
          <w:rFonts w:hint="eastAsia" w:cs="黑体" w:asciiTheme="minorEastAsia" w:hAnsiTheme="minorEastAsia" w:eastAsiaTheme="minorEastAsia"/>
          <w:b/>
          <w:sz w:val="28"/>
          <w:szCs w:val="28"/>
        </w:rPr>
        <w:t>附件4：</w:t>
      </w:r>
    </w:p>
    <w:p w14:paraId="735A0EDA">
      <w:pPr>
        <w:adjustRightInd w:val="0"/>
        <w:jc w:val="center"/>
        <w:rPr>
          <w:rFonts w:cs="黑体" w:asciiTheme="minorEastAsia" w:hAnsiTheme="minorEastAsia" w:eastAsiaTheme="minorEastAsia"/>
          <w:b/>
          <w:bCs/>
          <w:sz w:val="32"/>
          <w:szCs w:val="32"/>
        </w:rPr>
      </w:pPr>
    </w:p>
    <w:p w14:paraId="02B60E07">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3C96F21A">
      <w:pPr>
        <w:adjustRightInd w:val="0"/>
        <w:jc w:val="center"/>
        <w:rPr>
          <w:rFonts w:asciiTheme="minorEastAsia" w:hAnsiTheme="minorEastAsia" w:eastAsiaTheme="minorEastAsia"/>
          <w:sz w:val="28"/>
          <w:szCs w:val="28"/>
        </w:rPr>
      </w:pPr>
    </w:p>
    <w:p w14:paraId="4E8B0304">
      <w:pPr>
        <w:adjustRightInd w:val="0"/>
        <w:ind w:firstLine="439" w:firstLineChars="183"/>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656764C8">
      <w:pPr>
        <w:adjustRightInd w:val="0"/>
        <w:ind w:firstLine="439" w:firstLineChars="183"/>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7AF589AC">
      <w:pPr>
        <w:adjustRightInd w:val="0"/>
        <w:ind w:firstLine="439" w:firstLineChars="183"/>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B5F558D">
      <w:pPr>
        <w:adjustRightInd w:val="0"/>
        <w:ind w:firstLine="439" w:firstLineChars="183"/>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23D6B1EB">
      <w:pPr>
        <w:adjustRightInd w:val="0"/>
        <w:rPr>
          <w:rFonts w:asciiTheme="minorEastAsia" w:hAnsiTheme="minorEastAsia" w:eastAsiaTheme="minorEastAsia"/>
          <w:sz w:val="28"/>
          <w:szCs w:val="28"/>
        </w:rPr>
      </w:pPr>
    </w:p>
    <w:p w14:paraId="0CEF47CE">
      <w:pPr>
        <w:adjustRightInd w:val="0"/>
        <w:rPr>
          <w:rFonts w:asciiTheme="minorEastAsia" w:hAnsiTheme="minorEastAsia" w:eastAsiaTheme="minorEastAsia"/>
          <w:sz w:val="28"/>
          <w:szCs w:val="28"/>
        </w:rPr>
      </w:pPr>
    </w:p>
    <w:p w14:paraId="72AA0780">
      <w:pPr>
        <w:adjustRightInd w:val="0"/>
        <w:rPr>
          <w:rFonts w:asciiTheme="minorEastAsia" w:hAnsiTheme="minorEastAsia" w:eastAsiaTheme="minorEastAsia"/>
          <w:sz w:val="24"/>
          <w:szCs w:val="24"/>
        </w:rPr>
      </w:pPr>
    </w:p>
    <w:p w14:paraId="3B02CEAA">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4B09F66C">
      <w:pPr>
        <w:adjustRightInd w:val="0"/>
        <w:rPr>
          <w:rFonts w:cs="楷体_GB2312" w:asciiTheme="minorEastAsia" w:hAnsiTheme="minorEastAsia" w:eastAsiaTheme="minorEastAsia"/>
          <w:sz w:val="24"/>
          <w:szCs w:val="24"/>
        </w:rPr>
      </w:pPr>
    </w:p>
    <w:p w14:paraId="15D2F622">
      <w:pPr>
        <w:adjustRightInd w:val="0"/>
        <w:ind w:firstLine="280"/>
        <w:rPr>
          <w:rFonts w:cs="楷体_GB2312" w:asciiTheme="minorEastAsia" w:hAnsiTheme="minorEastAsia" w:eastAsiaTheme="minorEastAsia"/>
          <w:sz w:val="24"/>
          <w:szCs w:val="24"/>
        </w:rPr>
      </w:pPr>
    </w:p>
    <w:p w14:paraId="14FB00DD">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F6DED8F">
      <w:pPr>
        <w:adjustRightInd w:val="0"/>
        <w:rPr>
          <w:rFonts w:asciiTheme="minorEastAsia" w:hAnsiTheme="minorEastAsia" w:eastAsiaTheme="minorEastAsia"/>
          <w:sz w:val="28"/>
          <w:szCs w:val="28"/>
        </w:rPr>
      </w:pPr>
    </w:p>
    <w:p w14:paraId="08E0CD97">
      <w:pPr>
        <w:adjustRightInd w:val="0"/>
        <w:rPr>
          <w:rFonts w:asciiTheme="minorEastAsia" w:hAnsiTheme="minorEastAsia" w:eastAsiaTheme="minorEastAsia"/>
          <w:sz w:val="28"/>
          <w:szCs w:val="28"/>
        </w:rPr>
      </w:pPr>
    </w:p>
    <w:p w14:paraId="6490D339">
      <w:pPr>
        <w:adjustRightInd w:val="0"/>
        <w:rPr>
          <w:rFonts w:asciiTheme="minorEastAsia" w:hAnsiTheme="minorEastAsia" w:eastAsiaTheme="minorEastAsia"/>
        </w:rPr>
        <w:sectPr>
          <w:pgSz w:w="11906" w:h="16838"/>
          <w:pgMar w:top="1440" w:right="1797" w:bottom="1440" w:left="1797" w:header="720" w:footer="720" w:gutter="0"/>
          <w:cols w:space="720" w:num="1"/>
        </w:sectPr>
      </w:pPr>
    </w:p>
    <w:p w14:paraId="7571F4E7">
      <w:pPr>
        <w:adjustRightInd w:val="0"/>
        <w:rPr>
          <w:rFonts w:cs="黑体" w:asciiTheme="minorEastAsia" w:hAnsiTheme="minorEastAsia" w:eastAsiaTheme="minorEastAsia"/>
          <w:b/>
          <w:sz w:val="28"/>
          <w:szCs w:val="28"/>
        </w:rPr>
      </w:pPr>
      <w:r>
        <w:rPr>
          <w:rFonts w:hint="eastAsia" w:cs="黑体" w:asciiTheme="minorEastAsia" w:hAnsiTheme="minorEastAsia" w:eastAsiaTheme="minorEastAsia"/>
          <w:b/>
          <w:sz w:val="28"/>
          <w:szCs w:val="28"/>
        </w:rPr>
        <w:t>附件5：</w:t>
      </w:r>
    </w:p>
    <w:p w14:paraId="1E95F613">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5CF14B40">
      <w:pPr>
        <w:adjustRightInd w:val="0"/>
        <w:rPr>
          <w:rFonts w:asciiTheme="minorEastAsia" w:hAnsiTheme="minorEastAsia" w:eastAsiaTheme="minorEastAsia"/>
          <w:sz w:val="36"/>
          <w:szCs w:val="36"/>
        </w:rPr>
      </w:pPr>
    </w:p>
    <w:p w14:paraId="3E21BBB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周口市公共资源交易中心政府采购中心：</w:t>
      </w:r>
    </w:p>
    <w:p w14:paraId="6DD6553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项目名称）谈判邀请，本签字人愿意参加谈判，提供谈判项目一览表中规定的货物，并声明提交的下列文件是准确和真实的。</w:t>
      </w:r>
    </w:p>
    <w:p w14:paraId="08B190F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5E2A0E87">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asciiTheme="minorEastAsia" w:hAnsiTheme="minorEastAsia" w:eastAsiaTheme="minorEastAsia"/>
          <w:szCs w:val="24"/>
        </w:rPr>
        <w:t>（</w:t>
      </w:r>
      <w:r>
        <w:rPr>
          <w:rFonts w:hint="eastAsia" w:asciiTheme="minorEastAsia" w:hAnsiTheme="minorEastAsia" w:eastAsiaTheme="minorEastAsia"/>
          <w:szCs w:val="24"/>
          <w:lang w:val="en-US"/>
        </w:rPr>
        <w:t>多证合一的不需要</w:t>
      </w:r>
      <w:r>
        <w:rPr>
          <w:rFonts w:hint="eastAsia" w:asciiTheme="minorEastAsia" w:hAnsiTheme="minorEastAsia" w:eastAsiaTheme="minorEastAsia"/>
          <w:szCs w:val="24"/>
        </w:rPr>
        <w:t>）</w:t>
      </w:r>
      <w:r>
        <w:rPr>
          <w:rFonts w:hint="eastAsia" w:cs="仿宋_GB2312" w:asciiTheme="minorEastAsia" w:hAnsiTheme="minorEastAsia" w:eastAsiaTheme="minorEastAsia"/>
          <w:sz w:val="24"/>
          <w:szCs w:val="24"/>
        </w:rPr>
        <w:t>。</w:t>
      </w:r>
    </w:p>
    <w:p w14:paraId="21D0227C">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r>
        <w:rPr>
          <w:rFonts w:hint="eastAsia" w:asciiTheme="minorEastAsia" w:hAnsiTheme="minorEastAsia" w:eastAsiaTheme="minorEastAsia"/>
          <w:szCs w:val="24"/>
        </w:rPr>
        <w:t>（</w:t>
      </w:r>
      <w:r>
        <w:rPr>
          <w:rFonts w:hint="eastAsia" w:asciiTheme="minorEastAsia" w:hAnsiTheme="minorEastAsia" w:eastAsiaTheme="minorEastAsia"/>
          <w:szCs w:val="24"/>
          <w:lang w:val="en-US"/>
        </w:rPr>
        <w:t>多证合一的不需要</w:t>
      </w:r>
      <w:r>
        <w:rPr>
          <w:rFonts w:hint="eastAsia" w:asciiTheme="minorEastAsia" w:hAnsiTheme="minorEastAsia" w:eastAsiaTheme="minorEastAsia"/>
          <w:szCs w:val="24"/>
        </w:rPr>
        <w:t>）</w:t>
      </w:r>
      <w:r>
        <w:rPr>
          <w:rFonts w:hint="eastAsia" w:cs="仿宋_GB2312" w:asciiTheme="minorEastAsia" w:hAnsiTheme="minorEastAsia" w:eastAsiaTheme="minorEastAsia"/>
          <w:sz w:val="24"/>
          <w:szCs w:val="24"/>
        </w:rPr>
        <w:t>。</w:t>
      </w:r>
    </w:p>
    <w:p w14:paraId="48195F0F">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5CAD31CD">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4B84E8B5">
      <w:pPr>
        <w:adjustRightInd w:val="0"/>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6、其它证明文件或证件。</w:t>
      </w:r>
    </w:p>
    <w:p w14:paraId="649706DE">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030E617C">
      <w:pPr>
        <w:adjustRightInd w:val="0"/>
        <w:ind w:firstLine="480"/>
        <w:rPr>
          <w:rFonts w:asciiTheme="minorEastAsia" w:hAnsiTheme="minorEastAsia" w:eastAsiaTheme="minorEastAsia"/>
          <w:sz w:val="24"/>
          <w:szCs w:val="24"/>
        </w:rPr>
      </w:pPr>
    </w:p>
    <w:p w14:paraId="4A578901">
      <w:pPr>
        <w:adjustRightInd w:val="0"/>
        <w:ind w:firstLine="480"/>
        <w:rPr>
          <w:rFonts w:asciiTheme="minorEastAsia" w:hAnsiTheme="minorEastAsia" w:eastAsiaTheme="minorEastAsia"/>
          <w:sz w:val="24"/>
          <w:szCs w:val="24"/>
        </w:rPr>
      </w:pPr>
    </w:p>
    <w:p w14:paraId="417EB1FD">
      <w:pPr>
        <w:adjustRightInd w:val="0"/>
        <w:ind w:firstLine="480"/>
        <w:rPr>
          <w:rFonts w:asciiTheme="minorEastAsia" w:hAnsiTheme="minorEastAsia" w:eastAsiaTheme="minorEastAsia"/>
          <w:sz w:val="24"/>
          <w:szCs w:val="24"/>
        </w:rPr>
      </w:pPr>
    </w:p>
    <w:p w14:paraId="52BC717D">
      <w:pPr>
        <w:adjustRightInd w:val="0"/>
        <w:ind w:firstLine="480"/>
        <w:rPr>
          <w:rFonts w:asciiTheme="minorEastAsia" w:hAnsiTheme="minorEastAsia" w:eastAsiaTheme="minorEastAsia"/>
          <w:sz w:val="24"/>
          <w:szCs w:val="24"/>
        </w:rPr>
      </w:pPr>
    </w:p>
    <w:p w14:paraId="7E43D60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单位名称（签章）：法定代表人（签字）：</w:t>
      </w:r>
    </w:p>
    <w:p w14:paraId="466E6F8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5C7C501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07C1CB69">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1FC5372A">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1E76A421">
      <w:pPr>
        <w:adjustRightInd w:val="0"/>
        <w:rPr>
          <w:rFonts w:cs="仿宋_GB2312" w:asciiTheme="minorEastAsia" w:hAnsiTheme="minorEastAsia" w:eastAsiaTheme="minorEastAsia"/>
          <w:sz w:val="24"/>
          <w:szCs w:val="24"/>
        </w:rPr>
      </w:pPr>
    </w:p>
    <w:p w14:paraId="5F5CFBD2">
      <w:pPr>
        <w:adjustRightInd w:val="0"/>
        <w:rPr>
          <w:rFonts w:asciiTheme="minorEastAsia" w:hAnsiTheme="minorEastAsia" w:eastAsiaTheme="minorEastAsia"/>
          <w:sz w:val="28"/>
          <w:szCs w:val="28"/>
        </w:rPr>
      </w:pPr>
    </w:p>
    <w:p w14:paraId="3CAD6B0F">
      <w:pPr>
        <w:adjustRightInd w:val="0"/>
        <w:rPr>
          <w:rFonts w:asciiTheme="minorEastAsia" w:hAnsiTheme="minorEastAsia" w:eastAsiaTheme="minorEastAsia"/>
          <w:sz w:val="28"/>
          <w:szCs w:val="28"/>
        </w:rPr>
      </w:pPr>
    </w:p>
    <w:p w14:paraId="55CFB8BC">
      <w:pPr>
        <w:adjustRightInd w:val="0"/>
        <w:rPr>
          <w:rFonts w:asciiTheme="minorEastAsia" w:hAnsiTheme="minorEastAsia" w:eastAsiaTheme="minorEastAsia"/>
        </w:rPr>
        <w:sectPr>
          <w:pgSz w:w="11906" w:h="16838"/>
          <w:pgMar w:top="1440" w:right="1797" w:bottom="1440" w:left="1797" w:header="720" w:footer="720" w:gutter="0"/>
          <w:cols w:space="720" w:num="1"/>
        </w:sectPr>
      </w:pPr>
    </w:p>
    <w:p w14:paraId="3292D037">
      <w:pPr>
        <w:adjustRightInd w:val="0"/>
        <w:rPr>
          <w:rFonts w:cs="黑体" w:asciiTheme="minorEastAsia" w:hAnsiTheme="minorEastAsia" w:eastAsiaTheme="minorEastAsia"/>
          <w:b/>
          <w:sz w:val="28"/>
          <w:szCs w:val="28"/>
        </w:rPr>
      </w:pPr>
      <w:r>
        <w:rPr>
          <w:rFonts w:hint="eastAsia" w:cs="黑体" w:asciiTheme="minorEastAsia" w:hAnsiTheme="minorEastAsia" w:eastAsiaTheme="minorEastAsia"/>
          <w:b/>
          <w:sz w:val="28"/>
          <w:szCs w:val="28"/>
        </w:rPr>
        <w:t>附件6：</w:t>
      </w:r>
    </w:p>
    <w:p w14:paraId="35123CE1">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3A7C3DF1">
      <w:pPr>
        <w:adjustRightInd w:val="0"/>
        <w:jc w:val="center"/>
        <w:rPr>
          <w:rFonts w:asciiTheme="minorEastAsia" w:hAnsiTheme="minorEastAsia" w:eastAsiaTheme="minorEastAsia"/>
          <w:b/>
          <w:bCs/>
          <w:sz w:val="32"/>
          <w:szCs w:val="32"/>
        </w:rPr>
      </w:pPr>
    </w:p>
    <w:p w14:paraId="5814266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bookmarkStart w:id="86" w:name="OLE_LINK67"/>
      <w:bookmarkStart w:id="87" w:name="OLE_LINK68"/>
      <w:r>
        <w:rPr>
          <w:rFonts w:hint="eastAsia" w:cs="仿宋_GB2312" w:asciiTheme="minorEastAsia" w:hAnsiTheme="minorEastAsia" w:eastAsiaTheme="minorEastAsia"/>
          <w:sz w:val="24"/>
          <w:szCs w:val="24"/>
          <w:u w:val="single"/>
        </w:rPr>
        <w:t xml:space="preserve">             </w:t>
      </w:r>
      <w:bookmarkEnd w:id="86"/>
      <w:bookmarkEnd w:id="87"/>
      <w:r>
        <w:rPr>
          <w:rFonts w:hint="eastAsia" w:cs="仿宋_GB2312" w:asciiTheme="minorEastAsia" w:hAnsiTheme="minorEastAsia" w:eastAsiaTheme="minorEastAsia"/>
          <w:sz w:val="24"/>
          <w:szCs w:val="24"/>
          <w:u w:val="single"/>
        </w:rPr>
        <w:t xml:space="preserve">     </w:t>
      </w:r>
    </w:p>
    <w:p w14:paraId="41E75D5D">
      <w:pPr>
        <w:adjustRightInd w:val="0"/>
        <w:rPr>
          <w:rFonts w:cs="仿宋_GB2312" w:asciiTheme="minorEastAsia" w:hAnsiTheme="minorEastAsia" w:eastAsiaTheme="minorEastAsia"/>
          <w:sz w:val="24"/>
          <w:szCs w:val="24"/>
        </w:rPr>
      </w:pPr>
    </w:p>
    <w:p w14:paraId="60459EFE">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 xml:space="preserve">             </w:t>
      </w:r>
    </w:p>
    <w:p w14:paraId="0C4E5372">
      <w:pPr>
        <w:adjustRightInd w:val="0"/>
        <w:rPr>
          <w:rFonts w:cs="仿宋_GB2312" w:asciiTheme="minorEastAsia" w:hAnsiTheme="minorEastAsia" w:eastAsiaTheme="minorEastAsia"/>
          <w:sz w:val="24"/>
          <w:szCs w:val="24"/>
        </w:rPr>
      </w:pPr>
    </w:p>
    <w:p w14:paraId="4ACA348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性别：</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出生日期：</w:t>
      </w:r>
      <w:bookmarkStart w:id="88" w:name="OLE_LINK69"/>
      <w:r>
        <w:rPr>
          <w:rFonts w:hint="eastAsia" w:cs="仿宋_GB2312" w:asciiTheme="minorEastAsia" w:hAnsiTheme="minorEastAsia" w:eastAsiaTheme="minorEastAsia"/>
          <w:sz w:val="24"/>
          <w:szCs w:val="24"/>
          <w:u w:val="single"/>
        </w:rPr>
        <w:t xml:space="preserve">    </w:t>
      </w:r>
      <w:bookmarkEnd w:id="88"/>
      <w:r>
        <w:rPr>
          <w:rFonts w:hint="eastAsia" w:cs="仿宋_GB2312" w:asciiTheme="minorEastAsia" w:hAnsiTheme="minorEastAsia" w:eastAsiaTheme="minorEastAsia"/>
          <w:sz w:val="24"/>
          <w:szCs w:val="24"/>
        </w:rPr>
        <w:t>年</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月</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日</w:t>
      </w:r>
    </w:p>
    <w:p w14:paraId="6BC41607">
      <w:pPr>
        <w:adjustRightInd w:val="0"/>
        <w:rPr>
          <w:rFonts w:cs="仿宋_GB2312" w:asciiTheme="minorEastAsia" w:hAnsiTheme="minorEastAsia" w:eastAsiaTheme="minorEastAsia"/>
          <w:sz w:val="24"/>
          <w:szCs w:val="24"/>
        </w:rPr>
      </w:pPr>
    </w:p>
    <w:p w14:paraId="44E29A10">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职务：</w:t>
      </w:r>
      <w:r>
        <w:rPr>
          <w:rFonts w:hint="eastAsia" w:cs="仿宋_GB2312" w:asciiTheme="minorEastAsia" w:hAnsiTheme="minorEastAsia" w:eastAsiaTheme="minorEastAsia"/>
          <w:sz w:val="24"/>
          <w:szCs w:val="24"/>
          <w:u w:val="single"/>
        </w:rPr>
        <w:t xml:space="preserve">             </w:t>
      </w:r>
    </w:p>
    <w:p w14:paraId="14C666AB">
      <w:pPr>
        <w:adjustRightInd w:val="0"/>
        <w:rPr>
          <w:rFonts w:cs="仿宋_GB2312" w:asciiTheme="minorEastAsia" w:hAnsiTheme="minorEastAsia" w:eastAsiaTheme="minorEastAsia"/>
          <w:sz w:val="24"/>
          <w:szCs w:val="24"/>
        </w:rPr>
      </w:pPr>
    </w:p>
    <w:p w14:paraId="1B87D5C4">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现住：</w:t>
      </w:r>
      <w:r>
        <w:rPr>
          <w:rFonts w:hint="eastAsia" w:cs="仿宋_GB2312" w:asciiTheme="minorEastAsia" w:hAnsiTheme="minorEastAsia" w:eastAsiaTheme="minorEastAsia"/>
          <w:sz w:val="24"/>
          <w:szCs w:val="24"/>
          <w:u w:val="single"/>
        </w:rPr>
        <w:t xml:space="preserve">             </w:t>
      </w:r>
    </w:p>
    <w:p w14:paraId="00F01B7F">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w:t>
      </w:r>
      <w:r>
        <w:rPr>
          <w:rFonts w:hint="eastAsia" w:cs="仿宋_GB2312" w:asciiTheme="minorEastAsia" w:hAnsiTheme="minorEastAsia" w:eastAsiaTheme="minorEastAsia"/>
          <w:sz w:val="24"/>
          <w:szCs w:val="24"/>
          <w:u w:val="single"/>
        </w:rPr>
        <w:t xml:space="preserve">             （</w:t>
      </w:r>
      <w:r>
        <w:rPr>
          <w:rFonts w:hint="eastAsia" w:cs="仿宋_GB2312" w:asciiTheme="minorEastAsia" w:hAnsiTheme="minorEastAsia" w:eastAsiaTheme="minorEastAsia"/>
          <w:sz w:val="24"/>
          <w:szCs w:val="24"/>
        </w:rPr>
        <w:t>项目名称）谈判事宜，并授权其全权办理以下事宜：</w:t>
      </w:r>
    </w:p>
    <w:p w14:paraId="3BB34366">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40C037CC">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E10E31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694D93A4">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4D7108F1">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B4DE378">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146C7153">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1BE2FDC4">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06B71B71">
      <w:pPr>
        <w:adjustRightInd w:val="0"/>
        <w:rPr>
          <w:rFonts w:cs="仿宋_GB2312" w:asciiTheme="minorEastAsia" w:hAnsiTheme="minorEastAsia" w:eastAsiaTheme="minorEastAsia"/>
          <w:sz w:val="24"/>
          <w:szCs w:val="24"/>
        </w:rPr>
      </w:pPr>
    </w:p>
    <w:p w14:paraId="362C9487">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2A66A0C3">
      <w:pPr>
        <w:adjustRightInd w:val="0"/>
        <w:rPr>
          <w:rFonts w:cs="仿宋_GB2312" w:asciiTheme="minorEastAsia" w:hAnsiTheme="minorEastAsia" w:eastAsiaTheme="minorEastAsia"/>
          <w:sz w:val="24"/>
          <w:szCs w:val="24"/>
        </w:rPr>
      </w:pPr>
    </w:p>
    <w:p w14:paraId="3FE5FF17">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741FAAF9">
      <w:pPr>
        <w:adjustRightInd w:val="0"/>
        <w:rPr>
          <w:rFonts w:cs="仿宋_GB2312" w:asciiTheme="minorEastAsia" w:hAnsiTheme="minorEastAsia" w:eastAsiaTheme="minorEastAsia"/>
          <w:sz w:val="24"/>
          <w:szCs w:val="24"/>
        </w:rPr>
      </w:pPr>
    </w:p>
    <w:p w14:paraId="21BBDD34">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p>
    <w:p w14:paraId="1F270A9F">
      <w:pPr>
        <w:adjustRightInd w:val="0"/>
        <w:rPr>
          <w:rFonts w:asciiTheme="minorEastAsia" w:hAnsiTheme="minorEastAsia" w:eastAsiaTheme="minorEastAsia"/>
        </w:rPr>
      </w:pPr>
    </w:p>
    <w:p w14:paraId="1B881C1A">
      <w:pPr>
        <w:adjustRightInd w:val="0"/>
        <w:spacing w:line="320" w:lineRule="exact"/>
        <w:ind w:firstLine="5520" w:firstLineChars="2300"/>
        <w:rPr>
          <w:rFonts w:cs="仿宋_GB2312" w:asciiTheme="minorEastAsia" w:hAnsiTheme="minorEastAsia" w:eastAsiaTheme="minorEastAsia"/>
          <w:sz w:val="24"/>
          <w:szCs w:val="24"/>
        </w:rPr>
      </w:pPr>
    </w:p>
    <w:p w14:paraId="213A65DD">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7DA72027">
      <w:pPr>
        <w:adjustRightInd w:val="0"/>
        <w:spacing w:line="320" w:lineRule="exact"/>
        <w:ind w:firstLine="6120" w:firstLineChars="2550"/>
        <w:rPr>
          <w:rFonts w:cs="仿宋_GB2312" w:asciiTheme="minorEastAsia" w:hAnsiTheme="minorEastAsia" w:eastAsiaTheme="minorEastAsia"/>
          <w:sz w:val="24"/>
          <w:szCs w:val="24"/>
        </w:rPr>
      </w:pPr>
    </w:p>
    <w:p w14:paraId="71257193">
      <w:pPr>
        <w:adjustRightInd w:val="0"/>
        <w:spacing w:line="320" w:lineRule="exact"/>
        <w:ind w:firstLine="6120" w:firstLineChars="2550"/>
        <w:rPr>
          <w:rFonts w:cs="仿宋_GB2312" w:asciiTheme="minorEastAsia" w:hAnsiTheme="minorEastAsia" w:eastAsiaTheme="minorEastAsia"/>
          <w:sz w:val="24"/>
          <w:szCs w:val="24"/>
        </w:rPr>
      </w:pPr>
    </w:p>
    <w:p w14:paraId="7C2026DB">
      <w:pPr>
        <w:adjustRightInd w:val="0"/>
        <w:spacing w:line="320" w:lineRule="exact"/>
        <w:ind w:firstLine="6120" w:firstLineChars="2550"/>
        <w:rPr>
          <w:rFonts w:cs="仿宋_GB2312" w:asciiTheme="minorEastAsia" w:hAnsiTheme="minorEastAsia" w:eastAsiaTheme="minorEastAsia"/>
          <w:sz w:val="24"/>
          <w:szCs w:val="24"/>
        </w:rPr>
      </w:pPr>
    </w:p>
    <w:p w14:paraId="5C87364F">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06248F49">
      <w:pPr>
        <w:adjustRightInd w:val="0"/>
        <w:spacing w:line="320" w:lineRule="exact"/>
        <w:ind w:firstLine="6120" w:firstLineChars="2550"/>
        <w:rPr>
          <w:rFonts w:cs="仿宋_GB2312" w:asciiTheme="minorEastAsia" w:hAnsiTheme="minorEastAsia" w:eastAsiaTheme="minorEastAsia"/>
          <w:sz w:val="24"/>
          <w:szCs w:val="24"/>
        </w:rPr>
      </w:pPr>
    </w:p>
    <w:p w14:paraId="069034A4">
      <w:pPr>
        <w:adjustRightInd w:val="0"/>
        <w:spacing w:line="320" w:lineRule="exact"/>
        <w:ind w:firstLine="6120" w:firstLineChars="2550"/>
        <w:rPr>
          <w:rFonts w:cs="仿宋_GB2312" w:asciiTheme="minorEastAsia" w:hAnsiTheme="minorEastAsia" w:eastAsiaTheme="minorEastAsia"/>
          <w:sz w:val="24"/>
          <w:szCs w:val="24"/>
        </w:rPr>
      </w:pPr>
    </w:p>
    <w:p w14:paraId="0A44AEB5">
      <w:pPr>
        <w:adjustRightInd w:val="0"/>
        <w:spacing w:line="320" w:lineRule="exact"/>
        <w:ind w:firstLine="6120" w:firstLineChars="2550"/>
        <w:rPr>
          <w:rFonts w:cs="仿宋_GB2312" w:asciiTheme="minorEastAsia" w:hAnsiTheme="minorEastAsia" w:eastAsiaTheme="minorEastAsia"/>
          <w:sz w:val="24"/>
          <w:szCs w:val="24"/>
        </w:rPr>
      </w:pPr>
    </w:p>
    <w:p w14:paraId="00DB4A2E">
      <w:pPr>
        <w:pStyle w:val="29"/>
        <w:ind w:firstLine="240"/>
        <w:rPr>
          <w:rFonts w:cs="仿宋_GB2312" w:asciiTheme="minorEastAsia" w:hAnsiTheme="minorEastAsia" w:eastAsiaTheme="minorEastAsia"/>
          <w:sz w:val="24"/>
          <w:szCs w:val="24"/>
        </w:rPr>
      </w:pPr>
    </w:p>
    <w:p w14:paraId="100F4BE6">
      <w:pPr>
        <w:pStyle w:val="29"/>
        <w:ind w:firstLine="240"/>
        <w:rPr>
          <w:rFonts w:cs="仿宋_GB2312" w:asciiTheme="minorEastAsia" w:hAnsiTheme="minorEastAsia" w:eastAsiaTheme="minorEastAsia"/>
          <w:sz w:val="24"/>
          <w:szCs w:val="24"/>
        </w:rPr>
      </w:pPr>
    </w:p>
    <w:p w14:paraId="3E929D56">
      <w:pPr>
        <w:pStyle w:val="29"/>
        <w:ind w:firstLine="240"/>
        <w:rPr>
          <w:rFonts w:cs="仿宋_GB2312" w:asciiTheme="minorEastAsia" w:hAnsiTheme="minorEastAsia" w:eastAsiaTheme="minorEastAsia"/>
          <w:sz w:val="24"/>
          <w:szCs w:val="24"/>
        </w:rPr>
      </w:pPr>
    </w:p>
    <w:p w14:paraId="7CF0BD27">
      <w:pPr>
        <w:pStyle w:val="29"/>
        <w:ind w:firstLine="240"/>
        <w:rPr>
          <w:rFonts w:cs="仿宋_GB2312" w:asciiTheme="minorEastAsia" w:hAnsiTheme="minorEastAsia" w:eastAsiaTheme="minorEastAsia"/>
          <w:sz w:val="24"/>
          <w:szCs w:val="24"/>
        </w:rPr>
      </w:pPr>
    </w:p>
    <w:p w14:paraId="33740BBD">
      <w:pPr>
        <w:adjustRightInd w:val="0"/>
        <w:spacing w:line="320" w:lineRule="exact"/>
        <w:ind w:firstLine="6120" w:firstLineChars="2550"/>
        <w:rPr>
          <w:rFonts w:cs="仿宋_GB2312" w:asciiTheme="minorEastAsia" w:hAnsiTheme="minorEastAsia" w:eastAsiaTheme="minorEastAsia"/>
          <w:sz w:val="24"/>
          <w:szCs w:val="24"/>
        </w:rPr>
      </w:pPr>
    </w:p>
    <w:p w14:paraId="46CEEA0E">
      <w:pPr>
        <w:adjustRightInd w:val="0"/>
        <w:rPr>
          <w:rFonts w:cs="黑体" w:asciiTheme="minorEastAsia" w:hAnsiTheme="minorEastAsia" w:eastAsiaTheme="minorEastAsia"/>
          <w:b/>
          <w:sz w:val="28"/>
          <w:szCs w:val="28"/>
        </w:rPr>
      </w:pPr>
      <w:r>
        <w:rPr>
          <w:rFonts w:hint="eastAsia" w:cs="黑体" w:asciiTheme="minorEastAsia" w:hAnsiTheme="minorEastAsia" w:eastAsiaTheme="minorEastAsia"/>
          <w:b/>
          <w:sz w:val="28"/>
          <w:szCs w:val="28"/>
        </w:rPr>
        <w:t>附件7：</w:t>
      </w:r>
    </w:p>
    <w:p w14:paraId="26F048F8">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4687D442">
      <w:pPr>
        <w:pStyle w:val="9"/>
        <w:rPr>
          <w:rFonts w:asciiTheme="minorEastAsia" w:hAnsiTheme="minorEastAsia" w:eastAsiaTheme="minorEastAsia"/>
        </w:rPr>
      </w:pPr>
    </w:p>
    <w:p w14:paraId="6536A757">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营业执照、纳税和社保缴纳凭证、信用中国、中国政府采购网查询截图、参加政府采购活动前三年内，在经营活动中没有重大违法记录书面声明等材料。</w:t>
      </w:r>
    </w:p>
    <w:p w14:paraId="637AECF6">
      <w:pPr>
        <w:adjustRightInd w:val="0"/>
        <w:spacing w:line="320" w:lineRule="exact"/>
        <w:ind w:firstLine="6120" w:firstLineChars="2550"/>
        <w:rPr>
          <w:rFonts w:cs="仿宋_GB2312" w:asciiTheme="minorEastAsia" w:hAnsiTheme="minorEastAsia" w:eastAsiaTheme="minorEastAsia"/>
          <w:sz w:val="24"/>
          <w:szCs w:val="24"/>
        </w:rPr>
      </w:pPr>
    </w:p>
    <w:p w14:paraId="2B31328A">
      <w:pPr>
        <w:adjustRightInd w:val="0"/>
        <w:spacing w:line="320" w:lineRule="exact"/>
        <w:ind w:firstLine="6120" w:firstLineChars="2550"/>
        <w:rPr>
          <w:rFonts w:cs="仿宋_GB2312" w:asciiTheme="minorEastAsia" w:hAnsiTheme="minorEastAsia" w:eastAsiaTheme="minorEastAsia"/>
          <w:sz w:val="24"/>
          <w:szCs w:val="24"/>
        </w:rPr>
      </w:pPr>
    </w:p>
    <w:p w14:paraId="49A4DD1A">
      <w:pPr>
        <w:pStyle w:val="29"/>
        <w:ind w:firstLine="240"/>
        <w:rPr>
          <w:rFonts w:cs="仿宋_GB2312" w:asciiTheme="minorEastAsia" w:hAnsiTheme="minorEastAsia" w:eastAsiaTheme="minorEastAsia"/>
          <w:sz w:val="24"/>
          <w:szCs w:val="24"/>
        </w:rPr>
      </w:pPr>
    </w:p>
    <w:p w14:paraId="26E9DEED">
      <w:pPr>
        <w:pStyle w:val="29"/>
        <w:ind w:firstLine="240"/>
        <w:rPr>
          <w:rFonts w:cs="仿宋_GB2312" w:asciiTheme="minorEastAsia" w:hAnsiTheme="minorEastAsia" w:eastAsiaTheme="minorEastAsia"/>
          <w:sz w:val="24"/>
          <w:szCs w:val="24"/>
        </w:rPr>
      </w:pPr>
    </w:p>
    <w:p w14:paraId="196DB74D">
      <w:pPr>
        <w:pStyle w:val="29"/>
        <w:ind w:firstLine="240"/>
        <w:rPr>
          <w:rFonts w:cs="仿宋_GB2312" w:asciiTheme="minorEastAsia" w:hAnsiTheme="minorEastAsia" w:eastAsiaTheme="minorEastAsia"/>
          <w:sz w:val="24"/>
          <w:szCs w:val="24"/>
        </w:rPr>
      </w:pPr>
    </w:p>
    <w:p w14:paraId="126B1ACE">
      <w:pPr>
        <w:pStyle w:val="29"/>
        <w:ind w:firstLine="240"/>
        <w:rPr>
          <w:rFonts w:cs="仿宋_GB2312" w:asciiTheme="minorEastAsia" w:hAnsiTheme="minorEastAsia" w:eastAsiaTheme="minorEastAsia"/>
          <w:sz w:val="24"/>
          <w:szCs w:val="24"/>
        </w:rPr>
      </w:pPr>
    </w:p>
    <w:p w14:paraId="1CAE27FB">
      <w:pPr>
        <w:pStyle w:val="29"/>
        <w:ind w:firstLine="240"/>
        <w:rPr>
          <w:rFonts w:cs="仿宋_GB2312" w:asciiTheme="minorEastAsia" w:hAnsiTheme="minorEastAsia" w:eastAsiaTheme="minorEastAsia"/>
          <w:sz w:val="24"/>
          <w:szCs w:val="24"/>
        </w:rPr>
      </w:pPr>
    </w:p>
    <w:p w14:paraId="6527873F">
      <w:pPr>
        <w:pStyle w:val="29"/>
        <w:ind w:firstLine="240"/>
        <w:rPr>
          <w:rFonts w:cs="仿宋_GB2312" w:asciiTheme="minorEastAsia" w:hAnsiTheme="minorEastAsia" w:eastAsiaTheme="minorEastAsia"/>
          <w:sz w:val="24"/>
          <w:szCs w:val="24"/>
        </w:rPr>
      </w:pPr>
    </w:p>
    <w:p w14:paraId="6B7DC5F6">
      <w:pPr>
        <w:pStyle w:val="29"/>
        <w:ind w:firstLine="240"/>
        <w:rPr>
          <w:rFonts w:cs="仿宋_GB2312" w:asciiTheme="minorEastAsia" w:hAnsiTheme="minorEastAsia" w:eastAsiaTheme="minorEastAsia"/>
          <w:sz w:val="24"/>
          <w:szCs w:val="24"/>
        </w:rPr>
      </w:pPr>
    </w:p>
    <w:p w14:paraId="3E6EB378">
      <w:pPr>
        <w:pStyle w:val="29"/>
        <w:ind w:firstLine="240"/>
        <w:rPr>
          <w:rFonts w:cs="仿宋_GB2312" w:asciiTheme="minorEastAsia" w:hAnsiTheme="minorEastAsia" w:eastAsiaTheme="minorEastAsia"/>
          <w:sz w:val="24"/>
          <w:szCs w:val="24"/>
        </w:rPr>
      </w:pPr>
    </w:p>
    <w:p w14:paraId="6ACE0EDD">
      <w:pPr>
        <w:pStyle w:val="29"/>
        <w:ind w:firstLine="240"/>
        <w:rPr>
          <w:rFonts w:cs="仿宋_GB2312" w:asciiTheme="minorEastAsia" w:hAnsiTheme="minorEastAsia" w:eastAsiaTheme="minorEastAsia"/>
          <w:sz w:val="24"/>
          <w:szCs w:val="24"/>
        </w:rPr>
      </w:pPr>
    </w:p>
    <w:p w14:paraId="4E82003C">
      <w:pPr>
        <w:pStyle w:val="29"/>
        <w:ind w:firstLine="240"/>
        <w:rPr>
          <w:rFonts w:cs="仿宋_GB2312" w:asciiTheme="minorEastAsia" w:hAnsiTheme="minorEastAsia" w:eastAsiaTheme="minorEastAsia"/>
          <w:sz w:val="24"/>
          <w:szCs w:val="24"/>
        </w:rPr>
      </w:pPr>
    </w:p>
    <w:p w14:paraId="70535581">
      <w:pPr>
        <w:pStyle w:val="29"/>
        <w:ind w:firstLine="240"/>
        <w:rPr>
          <w:rFonts w:cs="仿宋_GB2312" w:asciiTheme="minorEastAsia" w:hAnsiTheme="minorEastAsia" w:eastAsiaTheme="minorEastAsia"/>
          <w:sz w:val="24"/>
          <w:szCs w:val="24"/>
        </w:rPr>
      </w:pPr>
    </w:p>
    <w:p w14:paraId="64E650EF">
      <w:pPr>
        <w:pStyle w:val="29"/>
        <w:ind w:firstLine="240"/>
        <w:rPr>
          <w:rFonts w:cs="仿宋_GB2312" w:asciiTheme="minorEastAsia" w:hAnsiTheme="minorEastAsia" w:eastAsiaTheme="minorEastAsia"/>
          <w:sz w:val="24"/>
          <w:szCs w:val="24"/>
        </w:rPr>
      </w:pPr>
    </w:p>
    <w:p w14:paraId="06CED3F3">
      <w:pPr>
        <w:pStyle w:val="29"/>
        <w:ind w:firstLine="240"/>
        <w:rPr>
          <w:rFonts w:cs="仿宋_GB2312" w:asciiTheme="minorEastAsia" w:hAnsiTheme="minorEastAsia" w:eastAsiaTheme="minorEastAsia"/>
          <w:sz w:val="24"/>
          <w:szCs w:val="24"/>
        </w:rPr>
      </w:pPr>
    </w:p>
    <w:p w14:paraId="1E246737">
      <w:pPr>
        <w:pStyle w:val="29"/>
        <w:ind w:firstLine="240"/>
        <w:rPr>
          <w:rFonts w:cs="仿宋_GB2312" w:asciiTheme="minorEastAsia" w:hAnsiTheme="minorEastAsia" w:eastAsiaTheme="minorEastAsia"/>
          <w:sz w:val="24"/>
          <w:szCs w:val="24"/>
        </w:rPr>
      </w:pPr>
    </w:p>
    <w:p w14:paraId="5031A394">
      <w:pPr>
        <w:pStyle w:val="29"/>
        <w:ind w:firstLine="240"/>
        <w:rPr>
          <w:rFonts w:cs="仿宋_GB2312" w:asciiTheme="minorEastAsia" w:hAnsiTheme="minorEastAsia" w:eastAsiaTheme="minorEastAsia"/>
          <w:sz w:val="24"/>
          <w:szCs w:val="24"/>
        </w:rPr>
      </w:pPr>
    </w:p>
    <w:p w14:paraId="4841C3FB">
      <w:pPr>
        <w:pStyle w:val="29"/>
        <w:ind w:firstLine="240"/>
        <w:rPr>
          <w:rFonts w:cs="仿宋_GB2312" w:asciiTheme="minorEastAsia" w:hAnsiTheme="minorEastAsia" w:eastAsiaTheme="minorEastAsia"/>
          <w:sz w:val="24"/>
          <w:szCs w:val="24"/>
        </w:rPr>
      </w:pPr>
    </w:p>
    <w:p w14:paraId="05F72FDE">
      <w:pPr>
        <w:pStyle w:val="29"/>
        <w:ind w:firstLine="240"/>
        <w:rPr>
          <w:rFonts w:cs="仿宋_GB2312" w:asciiTheme="minorEastAsia" w:hAnsiTheme="minorEastAsia" w:eastAsiaTheme="minorEastAsia"/>
          <w:sz w:val="24"/>
          <w:szCs w:val="24"/>
        </w:rPr>
      </w:pPr>
    </w:p>
    <w:p w14:paraId="1DFBE820">
      <w:pPr>
        <w:pStyle w:val="29"/>
        <w:ind w:firstLine="240"/>
        <w:rPr>
          <w:rFonts w:cs="仿宋_GB2312" w:asciiTheme="minorEastAsia" w:hAnsiTheme="minorEastAsia" w:eastAsiaTheme="minorEastAsia"/>
          <w:sz w:val="24"/>
          <w:szCs w:val="24"/>
        </w:rPr>
      </w:pPr>
    </w:p>
    <w:p w14:paraId="754ED60C">
      <w:pPr>
        <w:pStyle w:val="29"/>
        <w:ind w:firstLine="240"/>
        <w:rPr>
          <w:rFonts w:cs="仿宋_GB2312" w:asciiTheme="minorEastAsia" w:hAnsiTheme="minorEastAsia" w:eastAsiaTheme="minorEastAsia"/>
          <w:sz w:val="24"/>
          <w:szCs w:val="24"/>
        </w:rPr>
      </w:pPr>
    </w:p>
    <w:p w14:paraId="684F38CD">
      <w:pPr>
        <w:pStyle w:val="29"/>
        <w:ind w:firstLine="240"/>
        <w:rPr>
          <w:rFonts w:cs="仿宋_GB2312" w:asciiTheme="minorEastAsia" w:hAnsiTheme="minorEastAsia" w:eastAsiaTheme="minorEastAsia"/>
          <w:sz w:val="24"/>
          <w:szCs w:val="24"/>
        </w:rPr>
      </w:pPr>
    </w:p>
    <w:p w14:paraId="3D27C472">
      <w:pPr>
        <w:pStyle w:val="29"/>
        <w:ind w:firstLine="240"/>
        <w:rPr>
          <w:rFonts w:cs="仿宋_GB2312" w:asciiTheme="minorEastAsia" w:hAnsiTheme="minorEastAsia" w:eastAsiaTheme="minorEastAsia"/>
          <w:sz w:val="24"/>
          <w:szCs w:val="24"/>
        </w:rPr>
      </w:pPr>
    </w:p>
    <w:p w14:paraId="61AB0980">
      <w:pPr>
        <w:pStyle w:val="29"/>
        <w:ind w:firstLine="240"/>
        <w:rPr>
          <w:rFonts w:cs="仿宋_GB2312" w:asciiTheme="minorEastAsia" w:hAnsiTheme="minorEastAsia" w:eastAsiaTheme="minorEastAsia"/>
          <w:sz w:val="24"/>
          <w:szCs w:val="24"/>
        </w:rPr>
      </w:pPr>
    </w:p>
    <w:p w14:paraId="356EBDF5">
      <w:pPr>
        <w:pStyle w:val="29"/>
        <w:ind w:firstLine="240"/>
        <w:rPr>
          <w:rFonts w:cs="仿宋_GB2312" w:asciiTheme="minorEastAsia" w:hAnsiTheme="minorEastAsia" w:eastAsiaTheme="minorEastAsia"/>
          <w:sz w:val="24"/>
          <w:szCs w:val="24"/>
        </w:rPr>
      </w:pPr>
    </w:p>
    <w:p w14:paraId="0E999AE4">
      <w:pPr>
        <w:pStyle w:val="29"/>
        <w:ind w:firstLine="240"/>
        <w:rPr>
          <w:rFonts w:cs="仿宋_GB2312" w:asciiTheme="minorEastAsia" w:hAnsiTheme="minorEastAsia" w:eastAsiaTheme="minorEastAsia"/>
          <w:sz w:val="24"/>
          <w:szCs w:val="24"/>
        </w:rPr>
      </w:pPr>
    </w:p>
    <w:p w14:paraId="24C70D73">
      <w:pPr>
        <w:pStyle w:val="29"/>
        <w:ind w:firstLine="240"/>
        <w:rPr>
          <w:rFonts w:cs="仿宋_GB2312" w:asciiTheme="minorEastAsia" w:hAnsiTheme="minorEastAsia" w:eastAsiaTheme="minorEastAsia"/>
          <w:sz w:val="24"/>
          <w:szCs w:val="24"/>
        </w:rPr>
      </w:pPr>
    </w:p>
    <w:p w14:paraId="09F1B903">
      <w:pPr>
        <w:pStyle w:val="29"/>
        <w:ind w:firstLine="240"/>
        <w:rPr>
          <w:rFonts w:cs="仿宋_GB2312" w:asciiTheme="minorEastAsia" w:hAnsiTheme="minorEastAsia" w:eastAsiaTheme="minorEastAsia"/>
          <w:sz w:val="24"/>
          <w:szCs w:val="24"/>
        </w:rPr>
      </w:pPr>
    </w:p>
    <w:p w14:paraId="2AC4B447">
      <w:pPr>
        <w:pStyle w:val="29"/>
        <w:ind w:firstLine="240"/>
        <w:rPr>
          <w:rFonts w:cs="仿宋_GB2312" w:asciiTheme="minorEastAsia" w:hAnsiTheme="minorEastAsia" w:eastAsiaTheme="minorEastAsia"/>
          <w:sz w:val="24"/>
          <w:szCs w:val="24"/>
        </w:rPr>
      </w:pPr>
    </w:p>
    <w:p w14:paraId="173A378D">
      <w:pPr>
        <w:jc w:val="center"/>
        <w:rPr>
          <w:rFonts w:cs="黑体" w:asciiTheme="minorEastAsia" w:hAnsiTheme="minorEastAsia" w:eastAsiaTheme="minorEastAsia"/>
          <w:b/>
          <w:bCs/>
          <w:sz w:val="28"/>
          <w:szCs w:val="28"/>
        </w:rPr>
        <w:sectPr>
          <w:pgSz w:w="11850" w:h="16790"/>
          <w:pgMar w:top="1400" w:right="1180" w:bottom="920" w:left="1580" w:header="0" w:footer="721" w:gutter="0"/>
          <w:cols w:space="720" w:num="1"/>
        </w:sectPr>
      </w:pPr>
    </w:p>
    <w:p w14:paraId="5D1213E6">
      <w:pPr>
        <w:adjustRightInd w:val="0"/>
        <w:rPr>
          <w:rFonts w:cs="黑体" w:asciiTheme="minorEastAsia" w:hAnsiTheme="minorEastAsia" w:eastAsiaTheme="minorEastAsia"/>
          <w:b/>
          <w:sz w:val="28"/>
          <w:szCs w:val="28"/>
        </w:rPr>
      </w:pPr>
      <w:r>
        <w:rPr>
          <w:rFonts w:hint="eastAsia" w:cs="黑体" w:asciiTheme="minorEastAsia" w:hAnsiTheme="minorEastAsia" w:eastAsiaTheme="minorEastAsia"/>
          <w:b/>
          <w:sz w:val="28"/>
          <w:szCs w:val="28"/>
        </w:rPr>
        <w:t>附件8：</w:t>
      </w:r>
    </w:p>
    <w:p w14:paraId="78772AEC">
      <w:pPr>
        <w:spacing w:line="380" w:lineRule="exact"/>
        <w:jc w:val="center"/>
        <w:rPr>
          <w:b/>
          <w:bCs/>
          <w:sz w:val="24"/>
        </w:rPr>
      </w:pPr>
      <w:r>
        <w:rPr>
          <w:rFonts w:hint="eastAsia"/>
          <w:b/>
          <w:bCs/>
          <w:sz w:val="28"/>
          <w:szCs w:val="28"/>
        </w:rPr>
        <w:t>中小企业声明函（工程、服务）</w:t>
      </w:r>
    </w:p>
    <w:p w14:paraId="37B01C83">
      <w:pPr>
        <w:autoSpaceDE/>
        <w:spacing w:line="360" w:lineRule="auto"/>
        <w:jc w:val="both"/>
        <w:rPr>
          <w:b/>
          <w:bCs/>
          <w:sz w:val="32"/>
          <w:szCs w:val="32"/>
        </w:rPr>
      </w:pPr>
    </w:p>
    <w:p w14:paraId="42DBC0F2">
      <w:pPr>
        <w:autoSpaceDE/>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394C4246">
      <w:pPr>
        <w:autoSpaceDE/>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xml:space="preserve">； 承建（承接）企业为（企业名称），从业人员人，营业收入为万元，资产总额为万元1，属于（中型企业、小型企业、微型企业）； </w:t>
      </w:r>
    </w:p>
    <w:p w14:paraId="1C559F37">
      <w:pPr>
        <w:autoSpaceDE/>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，从业人员人，营业收入为万元，资产总额为万元，属于</w:t>
      </w:r>
      <w:r>
        <w:rPr>
          <w:rFonts w:hint="eastAsia"/>
          <w:sz w:val="24"/>
          <w:szCs w:val="24"/>
          <w:u w:val="single"/>
        </w:rPr>
        <w:t>（中型企业、 小型企业、微型企业）</w:t>
      </w:r>
      <w:r>
        <w:rPr>
          <w:rFonts w:hint="eastAsia"/>
          <w:sz w:val="24"/>
          <w:szCs w:val="24"/>
        </w:rPr>
        <w:t>； ……</w:t>
      </w:r>
    </w:p>
    <w:p w14:paraId="499F2482">
      <w:pPr>
        <w:autoSpaceDE/>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1D293B6A">
      <w:pPr>
        <w:autoSpaceDE/>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35348038">
      <w:pPr>
        <w:autoSpaceDE/>
        <w:spacing w:line="360" w:lineRule="auto"/>
        <w:ind w:firstLine="3600" w:firstLineChars="1500"/>
        <w:rPr>
          <w:sz w:val="24"/>
          <w:szCs w:val="24"/>
        </w:rPr>
      </w:pPr>
      <w:r>
        <w:rPr>
          <w:rFonts w:hint="eastAsia"/>
          <w:sz w:val="24"/>
          <w:szCs w:val="24"/>
        </w:rPr>
        <w:t xml:space="preserve">企业名称（盖章）： </w:t>
      </w:r>
    </w:p>
    <w:p w14:paraId="7F70C1EF">
      <w:pPr>
        <w:autoSpaceDE/>
        <w:spacing w:line="360" w:lineRule="auto"/>
        <w:ind w:firstLine="4800" w:firstLineChars="2000"/>
        <w:rPr>
          <w:sz w:val="24"/>
          <w:szCs w:val="24"/>
        </w:rPr>
      </w:pPr>
      <w:r>
        <w:rPr>
          <w:rFonts w:hint="eastAsia"/>
          <w:sz w:val="24"/>
          <w:szCs w:val="24"/>
        </w:rPr>
        <w:t xml:space="preserve">日 期： </w:t>
      </w:r>
    </w:p>
    <w:p w14:paraId="42396F79">
      <w:pPr>
        <w:pStyle w:val="28"/>
        <w:rPr>
          <w:rFonts w:ascii="宋体" w:hAnsi="宋体" w:cs="宋体"/>
          <w:sz w:val="24"/>
          <w:szCs w:val="24"/>
        </w:rPr>
      </w:pPr>
    </w:p>
    <w:p w14:paraId="1C8D602A">
      <w:pPr>
        <w:pStyle w:val="6"/>
        <w:rPr>
          <w:rFonts w:ascii="宋体" w:hAnsi="宋体" w:eastAsia="宋体"/>
          <w:sz w:val="24"/>
          <w:szCs w:val="24"/>
        </w:rPr>
      </w:pPr>
    </w:p>
    <w:p w14:paraId="6B93FE0D">
      <w:pPr>
        <w:rPr>
          <w:sz w:val="24"/>
          <w:szCs w:val="24"/>
        </w:rPr>
      </w:pPr>
    </w:p>
    <w:p w14:paraId="3DA2B642">
      <w:pPr>
        <w:pStyle w:val="28"/>
        <w:rPr>
          <w:rFonts w:ascii="宋体" w:hAnsi="宋体" w:cs="宋体"/>
          <w:kern w:val="0"/>
          <w:sz w:val="22"/>
          <w:lang w:bidi="zh-CN"/>
        </w:rPr>
      </w:pPr>
    </w:p>
    <w:p w14:paraId="07760D99">
      <w:pPr>
        <w:pStyle w:val="6"/>
        <w:rPr>
          <w:rFonts w:ascii="宋体" w:hAnsi="宋体" w:eastAsia="宋体"/>
          <w:sz w:val="22"/>
          <w:lang w:val="en-US"/>
        </w:rPr>
      </w:pPr>
    </w:p>
    <w:p w14:paraId="243D8635">
      <w:pPr>
        <w:autoSpaceDE/>
        <w:spacing w:line="360" w:lineRule="auto"/>
        <w:rPr>
          <w:lang w:val="en-US"/>
        </w:rPr>
      </w:pPr>
      <w:r>
        <w:rPr>
          <w:rFonts w:hint="eastAsia"/>
          <w:lang w:val="en-US"/>
        </w:rPr>
        <w:t>注：1.从业人员、营业收入、资产总额填报上一年度数据，无上一年度数据的新成立企业可不填报。</w:t>
      </w:r>
    </w:p>
    <w:p w14:paraId="4786E0BE">
      <w:pPr>
        <w:rPr>
          <w:rFonts w:ascii="Times New Roman" w:hAnsi="Times New Roman" w:cs="Times New Roman"/>
          <w:lang w:val="en-US"/>
        </w:rPr>
      </w:pPr>
      <w:r>
        <w:rPr>
          <w:rFonts w:hint="eastAsia"/>
          <w:lang w:val="en-US"/>
        </w:rPr>
        <w:t>2.本项目如是只面向中小企业采购的应当必须提供。</w:t>
      </w:r>
      <w:r>
        <w:rPr>
          <w:rFonts w:ascii="Times New Roman" w:hAnsi="Times New Roman" w:cs="Times New Roman"/>
          <w:lang w:val="en-US"/>
        </w:rPr>
        <w:t xml:space="preserve"> </w:t>
      </w:r>
    </w:p>
    <w:p w14:paraId="4F813B95">
      <w:pPr>
        <w:autoSpaceDE/>
        <w:autoSpaceDN/>
        <w:spacing w:line="360" w:lineRule="auto"/>
        <w:ind w:firstLine="440" w:firstLineChars="200"/>
        <w:rPr>
          <w:rFonts w:ascii="Times New Roman" w:hAnsi="Times New Roman" w:cs="Times New Roman"/>
          <w:lang w:val="en-US"/>
        </w:rPr>
      </w:pPr>
    </w:p>
    <w:p w14:paraId="2D2B02F5">
      <w:pPr>
        <w:adjustRightInd w:val="0"/>
        <w:spacing w:line="320" w:lineRule="exact"/>
        <w:ind w:firstLine="6120" w:firstLineChars="2550"/>
        <w:rPr>
          <w:rFonts w:cs="仿宋_GB2312" w:asciiTheme="minorEastAsia" w:hAnsiTheme="minorEastAsia" w:eastAsiaTheme="minorEastAsia"/>
          <w:sz w:val="24"/>
          <w:szCs w:val="24"/>
        </w:rPr>
      </w:pPr>
    </w:p>
    <w:p w14:paraId="09A55EB4">
      <w:pPr>
        <w:pStyle w:val="29"/>
        <w:ind w:firstLine="220"/>
      </w:pPr>
    </w:p>
    <w:p w14:paraId="3BB6AF16">
      <w:pPr>
        <w:pStyle w:val="29"/>
        <w:ind w:firstLine="220"/>
      </w:pPr>
    </w:p>
    <w:p w14:paraId="5F2CFFFB">
      <w:pPr>
        <w:pStyle w:val="29"/>
        <w:ind w:firstLine="220"/>
      </w:pPr>
    </w:p>
    <w:p w14:paraId="7CAA2450">
      <w:pPr>
        <w:pStyle w:val="29"/>
        <w:ind w:firstLine="220"/>
      </w:pPr>
    </w:p>
    <w:p w14:paraId="40A6C042">
      <w:pPr>
        <w:pStyle w:val="29"/>
        <w:ind w:firstLine="220"/>
      </w:pPr>
    </w:p>
    <w:p w14:paraId="37E3EB69">
      <w:pPr>
        <w:rPr>
          <w:rFonts w:cs="黑体" w:asciiTheme="minorEastAsia" w:hAnsiTheme="minorEastAsia" w:eastAsiaTheme="minorEastAsia"/>
          <w:b/>
          <w:bCs/>
          <w:sz w:val="28"/>
          <w:szCs w:val="28"/>
          <w:lang w:val="en-US"/>
        </w:rPr>
      </w:pPr>
      <w:r>
        <w:rPr>
          <w:rFonts w:hint="eastAsia" w:cs="黑体" w:asciiTheme="minorEastAsia" w:hAnsiTheme="minorEastAsia" w:eastAsiaTheme="minorEastAsia"/>
          <w:b/>
          <w:bCs/>
          <w:sz w:val="28"/>
          <w:szCs w:val="28"/>
          <w:lang w:val="en-US"/>
        </w:rPr>
        <w:t>附件9：</w:t>
      </w:r>
    </w:p>
    <w:p w14:paraId="67A4C487">
      <w:pPr>
        <w:jc w:val="center"/>
        <w:rPr>
          <w:rFonts w:cs="黑体" w:asciiTheme="minorEastAsia" w:hAnsiTheme="minorEastAsia" w:eastAsiaTheme="minorEastAsia"/>
          <w:b/>
          <w:bCs/>
          <w:sz w:val="28"/>
          <w:szCs w:val="28"/>
          <w:lang w:val="en-US"/>
        </w:rPr>
      </w:pPr>
      <w:r>
        <w:rPr>
          <w:rFonts w:hint="eastAsia" w:cs="黑体" w:asciiTheme="minorEastAsia" w:hAnsiTheme="minorEastAsia" w:eastAsiaTheme="minorEastAsia"/>
          <w:b/>
          <w:bCs/>
          <w:sz w:val="28"/>
          <w:szCs w:val="28"/>
          <w:lang w:val="en-US"/>
        </w:rPr>
        <w:t>关于符合本国产品标准的声明函</w:t>
      </w:r>
    </w:p>
    <w:p w14:paraId="3E18B6AB">
      <w:pPr>
        <w:pStyle w:val="19"/>
        <w:spacing w:before="30" w:beforeAutospacing="0" w:after="30" w:afterAutospacing="0"/>
        <w:ind w:firstLine="420"/>
        <w:textAlignment w:val="baseline"/>
      </w:pPr>
    </w:p>
    <w:p w14:paraId="1DD27670">
      <w:pPr>
        <w:pStyle w:val="19"/>
        <w:spacing w:before="30" w:beforeAutospacing="0" w:after="30" w:afterAutospacing="0" w:line="360" w:lineRule="auto"/>
        <w:ind w:firstLine="420"/>
        <w:textAlignment w:val="baseline"/>
      </w:pPr>
      <w:r>
        <w:t>本公司（单位）郑重声明，根据《国务院办公厅关于在政府采购中实施本国产品标准及相关政策的通知》（国办发〔2025〕34号）的规定，本公司（单位）提供的以下产品属于本国产品。具体情况如下：</w:t>
      </w:r>
    </w:p>
    <w:p w14:paraId="5C44087B">
      <w:pPr>
        <w:pStyle w:val="19"/>
        <w:spacing w:before="30" w:beforeAutospacing="0" w:after="30" w:afterAutospacing="0" w:line="360" w:lineRule="auto"/>
        <w:ind w:firstLine="420"/>
        <w:textAlignment w:val="baseline"/>
      </w:pPr>
      <w:r>
        <w:t>1.</w:t>
      </w:r>
      <w:r>
        <w:rPr>
          <w:rStyle w:val="25"/>
          <w:u w:val="single"/>
        </w:rPr>
        <w:t>（产品名称1）</w:t>
      </w:r>
      <w:r>
        <w:rPr>
          <w:rStyle w:val="25"/>
        </w:rPr>
        <w:t>1</w:t>
      </w:r>
      <w:r>
        <w:t>，生产厂为</w:t>
      </w:r>
      <w:r>
        <w:rPr>
          <w:rStyle w:val="25"/>
          <w:u w:val="single"/>
        </w:rPr>
        <w:t>（厂名）</w:t>
      </w:r>
      <w:r>
        <w:rPr>
          <w:rStyle w:val="25"/>
        </w:rPr>
        <w:t>2</w:t>
      </w:r>
      <w:r>
        <w:t>，厂址为</w:t>
      </w:r>
      <w:r>
        <w:rPr>
          <w:rStyle w:val="25"/>
          <w:u w:val="single"/>
        </w:rPr>
        <w:t>（生产厂址）</w:t>
      </w:r>
      <w:r>
        <w:t>。</w:t>
      </w:r>
      <w:r>
        <w:rPr>
          <w:rStyle w:val="25"/>
          <w:u w:val="single"/>
        </w:rPr>
        <w:t>（产品名称1）</w:t>
      </w:r>
      <w:r>
        <w:t>的中国境内生产的组件成本占比≥</w:t>
      </w:r>
      <w:r>
        <w:rPr>
          <w:rStyle w:val="25"/>
          <w:u w:val="single"/>
        </w:rPr>
        <w:t>（规定比例）</w:t>
      </w:r>
      <w:r>
        <w:rPr>
          <w:rStyle w:val="25"/>
        </w:rPr>
        <w:t>3</w:t>
      </w:r>
      <w:r>
        <w:t>。</w:t>
      </w:r>
      <w:r>
        <w:rPr>
          <w:rStyle w:val="25"/>
          <w:u w:val="single"/>
        </w:rPr>
        <w:t>（产品名称1）</w:t>
      </w:r>
      <w:r>
        <w:t>的</w:t>
      </w:r>
      <w:r>
        <w:rPr>
          <w:rStyle w:val="25"/>
          <w:u w:val="single"/>
        </w:rPr>
        <w:t>（关键组件）</w:t>
      </w:r>
      <w:r>
        <w:rPr>
          <w:rStyle w:val="25"/>
        </w:rPr>
        <w:t>4</w:t>
      </w:r>
      <w:r>
        <w:t>在中国境内生产。</w:t>
      </w:r>
      <w:r>
        <w:rPr>
          <w:rStyle w:val="25"/>
          <w:u w:val="single"/>
        </w:rPr>
        <w:t>（产品名称1）</w:t>
      </w:r>
      <w:r>
        <w:t>的</w:t>
      </w:r>
      <w:r>
        <w:rPr>
          <w:rStyle w:val="25"/>
          <w:u w:val="single"/>
        </w:rPr>
        <w:t>（关键工序）</w:t>
      </w:r>
      <w:r>
        <w:rPr>
          <w:rStyle w:val="25"/>
        </w:rPr>
        <w:t>5</w:t>
      </w:r>
      <w:r>
        <w:t>在中国境内完成。</w:t>
      </w:r>
    </w:p>
    <w:p w14:paraId="4814204C">
      <w:pPr>
        <w:adjustRightInd w:val="0"/>
        <w:spacing w:line="360" w:lineRule="auto"/>
        <w:jc w:val="both"/>
        <w:rPr>
          <w:rFonts w:cs="黑体" w:asciiTheme="minorEastAsia" w:hAnsiTheme="minorEastAsia" w:eastAsiaTheme="minorEastAsia"/>
          <w:b/>
          <w:bCs/>
          <w:sz w:val="24"/>
          <w:szCs w:val="24"/>
        </w:rPr>
      </w:pPr>
    </w:p>
    <w:p w14:paraId="03767900">
      <w:pPr>
        <w:pStyle w:val="19"/>
        <w:spacing w:before="30" w:beforeAutospacing="0" w:after="30" w:afterAutospacing="0" w:line="360" w:lineRule="auto"/>
        <w:ind w:firstLine="420"/>
        <w:textAlignment w:val="baseline"/>
      </w:pPr>
      <w:r>
        <w:t>2.</w:t>
      </w:r>
      <w:r>
        <w:rPr>
          <w:rStyle w:val="25"/>
          <w:u w:val="single"/>
        </w:rPr>
        <w:t>（产品名称2）</w:t>
      </w:r>
      <w:r>
        <w:t>，生产厂为</w:t>
      </w:r>
      <w:r>
        <w:rPr>
          <w:rStyle w:val="25"/>
          <w:u w:val="single"/>
        </w:rPr>
        <w:t>（厂名）</w:t>
      </w:r>
      <w:r>
        <w:t>，厂址为</w:t>
      </w:r>
      <w:r>
        <w:rPr>
          <w:rStyle w:val="25"/>
          <w:u w:val="single"/>
        </w:rPr>
        <w:t>（生产厂址）</w:t>
      </w:r>
      <w:r>
        <w:t>。</w:t>
      </w:r>
      <w:r>
        <w:rPr>
          <w:rStyle w:val="25"/>
          <w:u w:val="single"/>
        </w:rPr>
        <w:t>（产品名称2）</w:t>
      </w:r>
      <w:r>
        <w:t>的中国境内生产的组件成本占比≥</w:t>
      </w:r>
      <w:r>
        <w:rPr>
          <w:rStyle w:val="25"/>
          <w:u w:val="single"/>
        </w:rPr>
        <w:t>（规定比例）</w:t>
      </w:r>
      <w:r>
        <w:t>。</w:t>
      </w:r>
      <w:r>
        <w:rPr>
          <w:rStyle w:val="25"/>
          <w:u w:val="single"/>
        </w:rPr>
        <w:t>（产品名称2）</w:t>
      </w:r>
      <w:r>
        <w:t>的</w:t>
      </w:r>
      <w:r>
        <w:rPr>
          <w:rStyle w:val="25"/>
          <w:u w:val="single"/>
        </w:rPr>
        <w:t>（关键组件）</w:t>
      </w:r>
      <w:r>
        <w:t>在中国境内生产。</w:t>
      </w:r>
      <w:r>
        <w:rPr>
          <w:rStyle w:val="25"/>
          <w:u w:val="single"/>
        </w:rPr>
        <w:t>（产品名称2）</w:t>
      </w:r>
      <w:r>
        <w:t>的</w:t>
      </w:r>
      <w:r>
        <w:rPr>
          <w:rStyle w:val="25"/>
          <w:u w:val="single"/>
        </w:rPr>
        <w:t>（关键工序）</w:t>
      </w:r>
      <w:r>
        <w:t>在中国境内完成。</w:t>
      </w:r>
    </w:p>
    <w:p w14:paraId="42509947">
      <w:pPr>
        <w:pStyle w:val="19"/>
        <w:spacing w:before="30" w:beforeAutospacing="0" w:after="30" w:afterAutospacing="0" w:line="360" w:lineRule="auto"/>
        <w:ind w:firstLine="420"/>
        <w:textAlignment w:val="baseline"/>
      </w:pPr>
      <w:r>
        <w:t>……</w:t>
      </w:r>
    </w:p>
    <w:p w14:paraId="784BFC92">
      <w:pPr>
        <w:pStyle w:val="19"/>
        <w:spacing w:before="30" w:beforeAutospacing="0" w:after="30" w:afterAutospacing="0" w:line="360" w:lineRule="auto"/>
        <w:ind w:firstLine="420"/>
        <w:textAlignment w:val="baseline"/>
      </w:pPr>
      <w:r>
        <w:t>本公司（单位）对上述声明内容的真实性负责。如有虚假，愿承担相应法律责任。</w:t>
      </w:r>
    </w:p>
    <w:p w14:paraId="11FED150">
      <w:pPr>
        <w:pStyle w:val="19"/>
        <w:spacing w:before="30" w:beforeAutospacing="0" w:after="30" w:afterAutospacing="0" w:line="360" w:lineRule="auto"/>
        <w:textAlignment w:val="baseline"/>
      </w:pPr>
    </w:p>
    <w:p w14:paraId="223DCBAE">
      <w:pPr>
        <w:pStyle w:val="19"/>
        <w:wordWrap w:val="0"/>
        <w:spacing w:before="30" w:beforeAutospacing="0" w:after="30" w:afterAutospacing="0" w:line="360" w:lineRule="auto"/>
        <w:jc w:val="right"/>
        <w:textAlignment w:val="baseline"/>
      </w:pPr>
      <w:r>
        <w:t>公司（单位）名称（盖章）：</w:t>
      </w:r>
    </w:p>
    <w:p w14:paraId="58C1CEEC">
      <w:pPr>
        <w:pStyle w:val="19"/>
        <w:spacing w:before="30" w:beforeAutospacing="0" w:after="30" w:afterAutospacing="0" w:line="360" w:lineRule="auto"/>
        <w:jc w:val="right"/>
        <w:textAlignment w:val="baseline"/>
      </w:pPr>
      <w:r>
        <w:t>日期：年月日</w:t>
      </w:r>
    </w:p>
    <w:p w14:paraId="23FB23E5">
      <w:pPr>
        <w:adjustRightInd w:val="0"/>
        <w:spacing w:line="320" w:lineRule="exact"/>
        <w:jc w:val="both"/>
        <w:rPr>
          <w:rFonts w:cs="黑体" w:asciiTheme="minorEastAsia" w:hAnsiTheme="minorEastAsia" w:eastAsiaTheme="minorEastAsia"/>
          <w:b/>
          <w:bCs/>
          <w:sz w:val="24"/>
          <w:szCs w:val="24"/>
        </w:rPr>
      </w:pPr>
    </w:p>
    <w:p w14:paraId="74BBCFA2">
      <w:pPr>
        <w:spacing w:line="360" w:lineRule="auto"/>
      </w:pPr>
      <w:r>
        <w:rPr>
          <w:rFonts w:hint="eastAsia"/>
        </w:rPr>
        <w:t>1.产品如有型号，请在“产品名称”栏一并填写。</w:t>
      </w:r>
    </w:p>
    <w:p w14:paraId="58721910">
      <w:pPr>
        <w:spacing w:line="360" w:lineRule="auto"/>
      </w:pPr>
      <w:r>
        <w:rPr>
          <w:rFonts w:hint="eastAsia"/>
        </w:rPr>
        <w:t>2.生产厂名与厂址应与生产厂营业执照载明的相关信息保持一致。</w:t>
      </w:r>
    </w:p>
    <w:p w14:paraId="3AC5F950">
      <w:pPr>
        <w:spacing w:line="360" w:lineRule="auto"/>
      </w:pPr>
      <w:r>
        <w:rPr>
          <w:rFonts w:hint="eastAsia"/>
        </w:rPr>
        <w:t>3.该产品的中国境内生产的组件成本占比相关要求实施前，“规定比例”栏可不填，下同。</w:t>
      </w:r>
    </w:p>
    <w:p w14:paraId="05734AFC">
      <w:pPr>
        <w:spacing w:line="360" w:lineRule="auto"/>
      </w:pPr>
      <w:r>
        <w:rPr>
          <w:rFonts w:hint="eastAsia"/>
        </w:rPr>
        <w:t>4.该产品的关键组件要求实施前，“关键组件”栏可不填，下同。</w:t>
      </w:r>
    </w:p>
    <w:p w14:paraId="5DF669F5">
      <w:pPr>
        <w:spacing w:line="360" w:lineRule="auto"/>
      </w:pPr>
      <w:r>
        <w:rPr>
          <w:rFonts w:hint="eastAsia"/>
        </w:rPr>
        <w:t>5.该产品的关键工序要求实施前，“关键工序”栏可不填，下同。</w:t>
      </w:r>
    </w:p>
    <w:p w14:paraId="0BE2BDA5">
      <w:pPr>
        <w:adjustRightInd w:val="0"/>
        <w:spacing w:line="320" w:lineRule="exact"/>
        <w:jc w:val="both"/>
        <w:rPr>
          <w:rFonts w:cs="黑体" w:asciiTheme="minorEastAsia" w:hAnsiTheme="minorEastAsia" w:eastAsiaTheme="minorEastAsia"/>
          <w:b/>
          <w:bCs/>
          <w:sz w:val="24"/>
          <w:szCs w:val="24"/>
        </w:rPr>
        <w:sectPr>
          <w:pgSz w:w="11850" w:h="16790"/>
          <w:pgMar w:top="1400" w:right="1180" w:bottom="920" w:left="1580" w:header="0" w:footer="721" w:gutter="0"/>
          <w:cols w:space="720" w:num="1"/>
        </w:sectPr>
      </w:pPr>
    </w:p>
    <w:p w14:paraId="290B087B">
      <w:pPr>
        <w:adjustRightInd w:val="0"/>
        <w:spacing w:line="320" w:lineRule="exact"/>
        <w:jc w:val="both"/>
        <w:rPr>
          <w:rFonts w:cs="黑体" w:asciiTheme="minorEastAsia" w:hAnsiTheme="minorEastAsia" w:eastAsiaTheme="minorEastAsia"/>
          <w:b/>
          <w:bCs/>
          <w:sz w:val="28"/>
          <w:szCs w:val="28"/>
          <w:lang w:val="en-US"/>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10</w:t>
      </w:r>
      <w:r>
        <w:rPr>
          <w:rFonts w:hint="eastAsia" w:cs="黑体" w:asciiTheme="minorEastAsia" w:hAnsiTheme="minorEastAsia" w:eastAsiaTheme="minorEastAsia"/>
          <w:b/>
          <w:bCs/>
          <w:sz w:val="28"/>
          <w:szCs w:val="28"/>
        </w:rPr>
        <w:t>：</w:t>
      </w:r>
    </w:p>
    <w:p w14:paraId="1137EB23">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236E0974">
      <w:pPr>
        <w:adjustRightInd w:val="0"/>
        <w:spacing w:line="320" w:lineRule="exact"/>
        <w:ind w:firstLine="6120" w:firstLineChars="2550"/>
        <w:rPr>
          <w:rFonts w:cs="仿宋_GB2312" w:asciiTheme="minorEastAsia" w:hAnsiTheme="minorEastAsia" w:eastAsiaTheme="minorEastAsia"/>
          <w:sz w:val="24"/>
          <w:szCs w:val="24"/>
        </w:rPr>
      </w:pPr>
    </w:p>
    <w:p w14:paraId="7AC87BFD">
      <w:pPr>
        <w:adjustRightInd w:val="0"/>
        <w:spacing w:line="320" w:lineRule="exact"/>
        <w:ind w:firstLine="6120" w:firstLineChars="2550"/>
        <w:rPr>
          <w:rFonts w:cs="仿宋_GB2312" w:asciiTheme="minorEastAsia" w:hAnsiTheme="minorEastAsia" w:eastAsiaTheme="minorEastAsia"/>
          <w:sz w:val="24"/>
          <w:szCs w:val="24"/>
        </w:rPr>
      </w:pPr>
    </w:p>
    <w:p w14:paraId="5E82B73E">
      <w:pPr>
        <w:adjustRightInd w:val="0"/>
        <w:spacing w:line="320" w:lineRule="exact"/>
        <w:ind w:firstLine="6120" w:firstLineChars="2550"/>
        <w:rPr>
          <w:rFonts w:cs="仿宋_GB2312" w:asciiTheme="minorEastAsia" w:hAnsiTheme="minorEastAsia" w:eastAsiaTheme="minorEastAsia"/>
          <w:sz w:val="24"/>
          <w:szCs w:val="24"/>
        </w:rPr>
      </w:pPr>
    </w:p>
    <w:p w14:paraId="4BDB4079">
      <w:pPr>
        <w:adjustRightInd w:val="0"/>
        <w:spacing w:line="320" w:lineRule="exact"/>
        <w:ind w:firstLine="6120" w:firstLineChars="2550"/>
        <w:rPr>
          <w:rFonts w:cs="仿宋_GB2312" w:asciiTheme="minorEastAsia" w:hAnsiTheme="minorEastAsia" w:eastAsiaTheme="minorEastAsia"/>
          <w:sz w:val="24"/>
          <w:szCs w:val="24"/>
        </w:rPr>
      </w:pPr>
    </w:p>
    <w:p w14:paraId="2663CB23">
      <w:pPr>
        <w:adjustRightInd w:val="0"/>
        <w:spacing w:line="320" w:lineRule="exact"/>
        <w:ind w:firstLine="6120" w:firstLineChars="2550"/>
        <w:rPr>
          <w:rFonts w:cs="仿宋_GB2312" w:asciiTheme="minorEastAsia" w:hAnsiTheme="minorEastAsia" w:eastAsiaTheme="minorEastAsia"/>
          <w:sz w:val="24"/>
          <w:szCs w:val="24"/>
        </w:rPr>
      </w:pPr>
    </w:p>
    <w:p w14:paraId="21C76427">
      <w:pPr>
        <w:adjustRightInd w:val="0"/>
        <w:spacing w:line="320" w:lineRule="exact"/>
        <w:ind w:firstLine="6120" w:firstLineChars="2550"/>
        <w:rPr>
          <w:rFonts w:cs="仿宋_GB2312" w:asciiTheme="minorEastAsia" w:hAnsiTheme="minorEastAsia" w:eastAsiaTheme="minorEastAsia"/>
          <w:sz w:val="24"/>
          <w:szCs w:val="24"/>
        </w:rPr>
      </w:pPr>
    </w:p>
    <w:p w14:paraId="205F1D86">
      <w:pPr>
        <w:adjustRightInd w:val="0"/>
        <w:spacing w:line="320" w:lineRule="exact"/>
        <w:ind w:firstLine="6120" w:firstLineChars="2550"/>
        <w:rPr>
          <w:rFonts w:cs="仿宋_GB2312" w:asciiTheme="minorEastAsia" w:hAnsiTheme="minorEastAsia" w:eastAsiaTheme="minorEastAsia"/>
          <w:sz w:val="24"/>
          <w:szCs w:val="24"/>
        </w:rPr>
      </w:pPr>
    </w:p>
    <w:p w14:paraId="56FF7330">
      <w:pPr>
        <w:adjustRightInd w:val="0"/>
        <w:spacing w:line="320" w:lineRule="exact"/>
        <w:ind w:firstLine="6120" w:firstLineChars="2550"/>
        <w:rPr>
          <w:rFonts w:cs="仿宋_GB2312" w:asciiTheme="minorEastAsia" w:hAnsiTheme="minorEastAsia" w:eastAsiaTheme="minorEastAsia"/>
          <w:sz w:val="24"/>
          <w:szCs w:val="24"/>
        </w:rPr>
      </w:pPr>
    </w:p>
    <w:p w14:paraId="64C164D0">
      <w:pPr>
        <w:adjustRightInd w:val="0"/>
        <w:spacing w:line="320" w:lineRule="exact"/>
        <w:ind w:firstLine="6120" w:firstLineChars="2550"/>
        <w:rPr>
          <w:rFonts w:cs="仿宋_GB2312" w:asciiTheme="minorEastAsia" w:hAnsiTheme="minorEastAsia" w:eastAsiaTheme="minorEastAsia"/>
          <w:sz w:val="24"/>
          <w:szCs w:val="24"/>
        </w:rPr>
      </w:pPr>
    </w:p>
    <w:p w14:paraId="6C3010D5">
      <w:pPr>
        <w:adjustRightInd w:val="0"/>
        <w:spacing w:line="320" w:lineRule="exact"/>
        <w:ind w:firstLine="6120" w:firstLineChars="2550"/>
        <w:rPr>
          <w:rFonts w:cs="仿宋_GB2312" w:asciiTheme="minorEastAsia" w:hAnsiTheme="minorEastAsia" w:eastAsiaTheme="minorEastAsia"/>
          <w:sz w:val="24"/>
          <w:szCs w:val="24"/>
        </w:rPr>
      </w:pPr>
    </w:p>
    <w:p w14:paraId="6299DD47">
      <w:pPr>
        <w:adjustRightInd w:val="0"/>
        <w:spacing w:line="320" w:lineRule="exact"/>
        <w:ind w:firstLine="6120" w:firstLineChars="2550"/>
        <w:rPr>
          <w:rFonts w:cs="仿宋_GB2312" w:asciiTheme="minorEastAsia" w:hAnsiTheme="minorEastAsia" w:eastAsiaTheme="minorEastAsia"/>
          <w:sz w:val="24"/>
          <w:szCs w:val="24"/>
        </w:rPr>
      </w:pPr>
    </w:p>
    <w:p w14:paraId="1E6FB06E">
      <w:pPr>
        <w:adjustRightInd w:val="0"/>
        <w:spacing w:line="320" w:lineRule="exact"/>
        <w:ind w:firstLine="6120" w:firstLineChars="2550"/>
        <w:rPr>
          <w:rFonts w:cs="仿宋_GB2312" w:asciiTheme="minorEastAsia" w:hAnsiTheme="minorEastAsia" w:eastAsiaTheme="minorEastAsia"/>
          <w:sz w:val="24"/>
          <w:szCs w:val="24"/>
        </w:rPr>
      </w:pPr>
    </w:p>
    <w:p w14:paraId="21900E00">
      <w:pPr>
        <w:adjustRightInd w:val="0"/>
        <w:spacing w:line="320" w:lineRule="exact"/>
        <w:ind w:firstLine="6120" w:firstLineChars="2550"/>
        <w:rPr>
          <w:rFonts w:cs="仿宋_GB2312" w:asciiTheme="minorEastAsia" w:hAnsiTheme="minorEastAsia" w:eastAsiaTheme="minorEastAsia"/>
          <w:sz w:val="24"/>
          <w:szCs w:val="24"/>
        </w:rPr>
      </w:pPr>
    </w:p>
    <w:p w14:paraId="1896A8B3">
      <w:pPr>
        <w:adjustRightInd w:val="0"/>
        <w:spacing w:line="320" w:lineRule="exact"/>
        <w:ind w:firstLine="6120" w:firstLineChars="2550"/>
        <w:rPr>
          <w:rFonts w:cs="仿宋_GB2312" w:asciiTheme="minorEastAsia" w:hAnsiTheme="minorEastAsia" w:eastAsiaTheme="minorEastAsia"/>
          <w:sz w:val="24"/>
          <w:szCs w:val="24"/>
        </w:rPr>
      </w:pPr>
    </w:p>
    <w:p w14:paraId="5AD4C9F6">
      <w:pPr>
        <w:adjustRightInd w:val="0"/>
        <w:spacing w:line="320" w:lineRule="exact"/>
        <w:ind w:firstLine="6120" w:firstLineChars="2550"/>
        <w:rPr>
          <w:rFonts w:cs="仿宋_GB2312" w:asciiTheme="minorEastAsia" w:hAnsiTheme="minorEastAsia" w:eastAsiaTheme="minorEastAsia"/>
          <w:sz w:val="24"/>
          <w:szCs w:val="24"/>
        </w:rPr>
      </w:pPr>
    </w:p>
    <w:p w14:paraId="4894AC71">
      <w:pPr>
        <w:adjustRightInd w:val="0"/>
        <w:spacing w:line="320" w:lineRule="exact"/>
        <w:ind w:firstLine="6120" w:firstLineChars="2550"/>
        <w:rPr>
          <w:rFonts w:cs="仿宋_GB2312" w:asciiTheme="minorEastAsia" w:hAnsiTheme="minorEastAsia" w:eastAsiaTheme="minorEastAsia"/>
          <w:sz w:val="24"/>
          <w:szCs w:val="24"/>
        </w:rPr>
      </w:pPr>
    </w:p>
    <w:p w14:paraId="5704B310">
      <w:pPr>
        <w:adjustRightInd w:val="0"/>
        <w:spacing w:line="320" w:lineRule="exact"/>
        <w:ind w:firstLine="6120" w:firstLineChars="2550"/>
        <w:rPr>
          <w:rFonts w:cs="仿宋_GB2312" w:asciiTheme="minorEastAsia" w:hAnsiTheme="minorEastAsia" w:eastAsiaTheme="minorEastAsia"/>
          <w:sz w:val="24"/>
          <w:szCs w:val="24"/>
        </w:rPr>
      </w:pPr>
    </w:p>
    <w:p w14:paraId="792626C6">
      <w:pPr>
        <w:adjustRightInd w:val="0"/>
        <w:spacing w:line="320" w:lineRule="exact"/>
        <w:ind w:firstLine="6120" w:firstLineChars="2550"/>
        <w:rPr>
          <w:rFonts w:cs="仿宋_GB2312" w:asciiTheme="minorEastAsia" w:hAnsiTheme="minorEastAsia" w:eastAsiaTheme="minorEastAsia"/>
          <w:sz w:val="24"/>
          <w:szCs w:val="24"/>
        </w:rPr>
      </w:pPr>
    </w:p>
    <w:p w14:paraId="72F66B74">
      <w:pPr>
        <w:adjustRightInd w:val="0"/>
        <w:spacing w:line="320" w:lineRule="exact"/>
        <w:ind w:firstLine="6120" w:firstLineChars="2550"/>
        <w:rPr>
          <w:rFonts w:cs="仿宋_GB2312" w:asciiTheme="minorEastAsia" w:hAnsiTheme="minorEastAsia" w:eastAsiaTheme="minorEastAsia"/>
          <w:sz w:val="24"/>
          <w:szCs w:val="24"/>
        </w:rPr>
      </w:pPr>
    </w:p>
    <w:p w14:paraId="20E4B0F6">
      <w:pPr>
        <w:adjustRightInd w:val="0"/>
        <w:spacing w:line="320" w:lineRule="exact"/>
        <w:ind w:firstLine="6120" w:firstLineChars="2550"/>
        <w:rPr>
          <w:rFonts w:cs="仿宋_GB2312" w:asciiTheme="minorEastAsia" w:hAnsiTheme="minorEastAsia" w:eastAsiaTheme="minorEastAsia"/>
          <w:sz w:val="24"/>
          <w:szCs w:val="24"/>
        </w:rPr>
      </w:pPr>
    </w:p>
    <w:p w14:paraId="56D07356">
      <w:pPr>
        <w:adjustRightInd w:val="0"/>
        <w:spacing w:line="320" w:lineRule="exact"/>
        <w:ind w:firstLine="6120" w:firstLineChars="2550"/>
        <w:rPr>
          <w:rFonts w:cs="仿宋_GB2312" w:asciiTheme="minorEastAsia" w:hAnsiTheme="minorEastAsia" w:eastAsiaTheme="minorEastAsia"/>
          <w:sz w:val="24"/>
          <w:szCs w:val="24"/>
        </w:rPr>
      </w:pPr>
    </w:p>
    <w:p w14:paraId="6EDFA296">
      <w:pPr>
        <w:adjustRightInd w:val="0"/>
        <w:spacing w:line="320" w:lineRule="exact"/>
        <w:ind w:firstLine="6120" w:firstLineChars="2550"/>
        <w:rPr>
          <w:rFonts w:cs="仿宋_GB2312" w:asciiTheme="minorEastAsia" w:hAnsiTheme="minorEastAsia" w:eastAsiaTheme="minorEastAsia"/>
          <w:sz w:val="24"/>
          <w:szCs w:val="24"/>
        </w:rPr>
      </w:pPr>
    </w:p>
    <w:p w14:paraId="0DA0A6AE">
      <w:pPr>
        <w:adjustRightInd w:val="0"/>
        <w:spacing w:line="320" w:lineRule="exact"/>
        <w:ind w:firstLine="6120" w:firstLineChars="2550"/>
        <w:rPr>
          <w:rFonts w:cs="仿宋_GB2312" w:asciiTheme="minorEastAsia" w:hAnsiTheme="minorEastAsia" w:eastAsiaTheme="minorEastAsia"/>
          <w:sz w:val="24"/>
          <w:szCs w:val="24"/>
        </w:rPr>
      </w:pPr>
    </w:p>
    <w:p w14:paraId="3AA65CF2">
      <w:pPr>
        <w:adjustRightInd w:val="0"/>
        <w:spacing w:line="320" w:lineRule="exact"/>
        <w:ind w:firstLine="6120" w:firstLineChars="2550"/>
        <w:rPr>
          <w:rFonts w:cs="仿宋_GB2312" w:asciiTheme="minorEastAsia" w:hAnsiTheme="minorEastAsia" w:eastAsiaTheme="minorEastAsia"/>
          <w:sz w:val="24"/>
          <w:szCs w:val="24"/>
        </w:rPr>
      </w:pPr>
    </w:p>
    <w:p w14:paraId="5145ADBA">
      <w:pPr>
        <w:adjustRightInd w:val="0"/>
        <w:spacing w:line="320" w:lineRule="exact"/>
        <w:ind w:firstLine="6120" w:firstLineChars="2550"/>
        <w:rPr>
          <w:rFonts w:cs="仿宋_GB2312" w:asciiTheme="minorEastAsia" w:hAnsiTheme="minorEastAsia" w:eastAsiaTheme="minorEastAsia"/>
          <w:sz w:val="24"/>
          <w:szCs w:val="24"/>
        </w:rPr>
      </w:pPr>
    </w:p>
    <w:p w14:paraId="5D18C05A">
      <w:pPr>
        <w:adjustRightInd w:val="0"/>
        <w:spacing w:line="320" w:lineRule="exact"/>
        <w:ind w:firstLine="6120" w:firstLineChars="2550"/>
        <w:rPr>
          <w:rFonts w:cs="仿宋_GB2312" w:asciiTheme="minorEastAsia" w:hAnsiTheme="minorEastAsia" w:eastAsiaTheme="minorEastAsia"/>
          <w:sz w:val="24"/>
          <w:szCs w:val="24"/>
        </w:rPr>
      </w:pPr>
    </w:p>
    <w:p w14:paraId="249BCBA8">
      <w:pPr>
        <w:adjustRightInd w:val="0"/>
        <w:spacing w:line="320" w:lineRule="exact"/>
        <w:ind w:firstLine="6120" w:firstLineChars="2550"/>
        <w:rPr>
          <w:rFonts w:cs="仿宋_GB2312" w:asciiTheme="minorEastAsia" w:hAnsiTheme="minorEastAsia" w:eastAsiaTheme="minorEastAsia"/>
          <w:sz w:val="24"/>
          <w:szCs w:val="24"/>
        </w:rPr>
      </w:pPr>
    </w:p>
    <w:p w14:paraId="20187AAC">
      <w:pPr>
        <w:adjustRightInd w:val="0"/>
        <w:spacing w:line="320" w:lineRule="exact"/>
        <w:ind w:firstLine="6120" w:firstLineChars="2550"/>
        <w:rPr>
          <w:rFonts w:cs="仿宋_GB2312" w:asciiTheme="minorEastAsia" w:hAnsiTheme="minorEastAsia" w:eastAsiaTheme="minorEastAsia"/>
          <w:sz w:val="24"/>
          <w:szCs w:val="24"/>
        </w:rPr>
      </w:pPr>
    </w:p>
    <w:p w14:paraId="7C362012">
      <w:pPr>
        <w:adjustRightInd w:val="0"/>
        <w:spacing w:line="320" w:lineRule="exact"/>
        <w:ind w:firstLine="6120" w:firstLineChars="2550"/>
        <w:rPr>
          <w:rFonts w:cs="仿宋_GB2312" w:asciiTheme="minorEastAsia" w:hAnsiTheme="minorEastAsia" w:eastAsiaTheme="minorEastAsia"/>
          <w:sz w:val="24"/>
          <w:szCs w:val="24"/>
        </w:rPr>
      </w:pPr>
    </w:p>
    <w:p w14:paraId="29FDDB5A">
      <w:pPr>
        <w:adjustRightInd w:val="0"/>
        <w:spacing w:line="320" w:lineRule="exact"/>
        <w:ind w:firstLine="6120" w:firstLineChars="2550"/>
        <w:rPr>
          <w:rFonts w:cs="仿宋_GB2312" w:asciiTheme="minorEastAsia" w:hAnsiTheme="minorEastAsia" w:eastAsiaTheme="minorEastAsia"/>
          <w:sz w:val="24"/>
          <w:szCs w:val="24"/>
        </w:rPr>
      </w:pPr>
    </w:p>
    <w:p w14:paraId="48643A70">
      <w:pPr>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br w:type="page"/>
      </w:r>
    </w:p>
    <w:p w14:paraId="5022CB9F">
      <w:pPr>
        <w:adjustRightInd w:val="0"/>
        <w:spacing w:line="320" w:lineRule="exact"/>
        <w:jc w:val="both"/>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附件11：</w:t>
      </w:r>
    </w:p>
    <w:p w14:paraId="0018F1A1">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578D7A40">
      <w:pPr>
        <w:adjustRightInd w:val="0"/>
        <w:spacing w:line="360" w:lineRule="auto"/>
        <w:jc w:val="center"/>
        <w:rPr>
          <w:rFonts w:asciiTheme="minorEastAsia" w:hAnsiTheme="minorEastAsia" w:eastAsiaTheme="minorEastAsia"/>
          <w:b/>
          <w:sz w:val="24"/>
          <w:szCs w:val="24"/>
        </w:rPr>
      </w:pPr>
    </w:p>
    <w:p w14:paraId="733F4E93">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BC372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2E0F497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2C15C48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61F2D6D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590EA38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14C72C1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0C5BC55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23C106E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0850C8F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48EA40F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21B1CF4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0CCF2D6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2DC3373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546FA820">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6D56E50E">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2C362EFC">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253ADFF9">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340FAEDE">
      <w:pPr>
        <w:adjustRightInd w:val="0"/>
        <w:spacing w:line="360" w:lineRule="auto"/>
        <w:rPr>
          <w:rFonts w:asciiTheme="minorEastAsia" w:hAnsiTheme="minorEastAsia" w:eastAsiaTheme="minorEastAsia"/>
          <w:sz w:val="24"/>
          <w:szCs w:val="24"/>
        </w:rPr>
      </w:pPr>
    </w:p>
    <w:p w14:paraId="2A28826C">
      <w:pPr>
        <w:rPr>
          <w:rFonts w:asciiTheme="minorEastAsia" w:hAnsiTheme="minorEastAsia" w:eastAsiaTheme="minorEastAsia"/>
          <w:sz w:val="24"/>
          <w:szCs w:val="24"/>
        </w:rPr>
      </w:pPr>
      <w:r>
        <w:rPr>
          <w:rFonts w:hint="eastAsia" w:asciiTheme="minorEastAsia" w:hAnsiTheme="minorEastAsia" w:eastAsiaTheme="minorEastAsia"/>
          <w:sz w:val="24"/>
          <w:szCs w:val="24"/>
        </w:rPr>
        <w:br w:type="page"/>
      </w:r>
    </w:p>
    <w:p w14:paraId="3852C2B9">
      <w:pPr>
        <w:adjustRightInd w:val="0"/>
        <w:spacing w:line="360" w:lineRule="auto"/>
        <w:ind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33E6EBF7">
      <w:pPr>
        <w:adjustRightInd w:val="0"/>
        <w:spacing w:line="360" w:lineRule="auto"/>
        <w:ind w:right="640" w:firstLine="1560" w:firstLineChars="650"/>
        <w:jc w:val="right"/>
        <w:rPr>
          <w:rFonts w:asciiTheme="minorEastAsia" w:hAnsiTheme="minorEastAsia" w:eastAsiaTheme="minorEastAsia"/>
          <w:sz w:val="24"/>
          <w:szCs w:val="24"/>
        </w:rPr>
      </w:pPr>
    </w:p>
    <w:p w14:paraId="08459969">
      <w:pPr>
        <w:adjustRightInd w:val="0"/>
        <w:spacing w:line="360" w:lineRule="auto"/>
        <w:ind w:right="640"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法人代表和授权委托人：（签字）</w:t>
      </w:r>
    </w:p>
    <w:p w14:paraId="74726656">
      <w:pPr>
        <w:adjustRightInd w:val="0"/>
        <w:spacing w:line="360" w:lineRule="auto"/>
        <w:jc w:val="right"/>
        <w:rPr>
          <w:rFonts w:asciiTheme="minorEastAsia" w:hAnsiTheme="minorEastAsia" w:eastAsiaTheme="minorEastAsia"/>
          <w:sz w:val="24"/>
          <w:szCs w:val="24"/>
        </w:rPr>
      </w:pPr>
    </w:p>
    <w:p w14:paraId="654B1AC4">
      <w:pPr>
        <w:adjustRightInd w:val="0"/>
        <w:spacing w:line="360" w:lineRule="auto"/>
        <w:ind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1F0F3F23">
      <w:pPr>
        <w:pStyle w:val="31"/>
        <w:adjustRightInd w:val="0"/>
        <w:spacing w:line="360" w:lineRule="auto"/>
        <w:ind w:firstLine="480"/>
        <w:jc w:val="right"/>
        <w:rPr>
          <w:rFonts w:asciiTheme="minorEastAsia" w:hAnsiTheme="minorEastAsia" w:eastAsiaTheme="minorEastAsia"/>
          <w:sz w:val="24"/>
          <w:szCs w:val="24"/>
        </w:rPr>
      </w:pPr>
    </w:p>
    <w:p w14:paraId="76DB7C82">
      <w:pPr>
        <w:pStyle w:val="31"/>
        <w:adjustRightInd w:val="0"/>
        <w:spacing w:line="360" w:lineRule="auto"/>
        <w:ind w:firstLine="1440" w:firstLineChars="60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3EBDC587">
      <w:pPr>
        <w:pStyle w:val="31"/>
        <w:adjustRightInd w:val="0"/>
        <w:spacing w:line="360" w:lineRule="auto"/>
        <w:ind w:firstLine="1440" w:firstLineChars="600"/>
        <w:rPr>
          <w:rFonts w:asciiTheme="minorEastAsia" w:hAnsiTheme="minorEastAsia" w:eastAsiaTheme="minorEastAsia"/>
          <w:sz w:val="24"/>
          <w:szCs w:val="24"/>
        </w:rPr>
      </w:pPr>
    </w:p>
    <w:p w14:paraId="49ECC84A">
      <w:pPr>
        <w:rPr>
          <w:rFonts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19351B2A">
      <w:pPr>
        <w:pStyle w:val="3"/>
        <w:spacing w:before="0" w:line="500" w:lineRule="exact"/>
        <w:rPr>
          <w:rFonts w:ascii="方正小标宋简体" w:hAnsi="黑体" w:eastAsia="方正小标宋简体" w:cs="黑体"/>
          <w:b w:val="0"/>
          <w:sz w:val="44"/>
          <w:szCs w:val="44"/>
          <w:lang w:val="en-US"/>
        </w:rPr>
      </w:pPr>
      <w:bookmarkStart w:id="89" w:name="_Toc218688623"/>
      <w:r>
        <w:rPr>
          <w:rFonts w:hint="eastAsia" w:asciiTheme="minorEastAsia" w:hAnsiTheme="minorEastAsia" w:eastAsiaTheme="minorEastAsia"/>
          <w:lang w:val="en-US"/>
        </w:rPr>
        <w:t>第六部分 周口市政府采购合同（服务类）标准文本</w:t>
      </w:r>
      <w:bookmarkEnd w:id="89"/>
    </w:p>
    <w:p w14:paraId="1B574DD5">
      <w:pPr>
        <w:rPr>
          <w:rFonts w:ascii="黑体" w:hAnsi="黑体" w:eastAsia="黑体" w:cs="黑体"/>
          <w:sz w:val="32"/>
          <w:szCs w:val="32"/>
          <w:lang w:val="en-US"/>
        </w:rPr>
      </w:pPr>
    </w:p>
    <w:p w14:paraId="5B082100">
      <w:pPr>
        <w:pStyle w:val="32"/>
        <w:spacing w:beforeLines="0" w:afterLines="0"/>
        <w:ind w:left="0"/>
        <w:rPr>
          <w:rFonts w:ascii="黑体" w:hAnsi="黑体" w:eastAsia="黑体" w:cs="黑体"/>
          <w:sz w:val="32"/>
          <w:szCs w:val="32"/>
          <w:lang w:val="en-US"/>
        </w:rPr>
      </w:pPr>
    </w:p>
    <w:p w14:paraId="2085BDF5">
      <w:pPr>
        <w:pStyle w:val="32"/>
        <w:spacing w:beforeLines="0" w:afterLines="0"/>
        <w:ind w:left="0"/>
        <w:rPr>
          <w:rFonts w:ascii="黑体" w:hAnsi="黑体" w:eastAsia="黑体" w:cs="黑体"/>
          <w:sz w:val="32"/>
          <w:szCs w:val="32"/>
          <w:lang w:val="en-US"/>
        </w:rPr>
      </w:pPr>
    </w:p>
    <w:p w14:paraId="62C9B46C">
      <w:pPr>
        <w:pStyle w:val="32"/>
        <w:spacing w:beforeLines="0" w:afterLines="0"/>
        <w:ind w:left="0"/>
        <w:rPr>
          <w:rFonts w:ascii="黑体" w:hAnsi="黑体" w:eastAsia="黑体" w:cs="黑体"/>
          <w:sz w:val="32"/>
          <w:szCs w:val="32"/>
          <w:lang w:val="en-US"/>
        </w:rPr>
      </w:pPr>
    </w:p>
    <w:p w14:paraId="150DD49F">
      <w:pPr>
        <w:pStyle w:val="32"/>
        <w:spacing w:beforeLines="0" w:afterLines="0"/>
        <w:ind w:left="0"/>
        <w:jc w:val="center"/>
        <w:rPr>
          <w:rFonts w:ascii="黑体" w:hAnsi="黑体" w:eastAsia="黑体" w:cs="黑体"/>
          <w:sz w:val="32"/>
          <w:szCs w:val="32"/>
          <w:lang w:val="en-US"/>
        </w:rPr>
      </w:pPr>
      <w:r>
        <w:rPr>
          <w:rFonts w:hint="eastAsia"/>
          <w:b/>
          <w:sz w:val="24"/>
        </w:rPr>
        <w:t>（本合同版本仅供参考，最终以采购人确定的版本为准。）</w:t>
      </w:r>
    </w:p>
    <w:p w14:paraId="09342DE9">
      <w:pPr>
        <w:pStyle w:val="32"/>
        <w:spacing w:beforeLines="0" w:afterLines="0"/>
        <w:ind w:left="0"/>
        <w:rPr>
          <w:rFonts w:ascii="黑体" w:hAnsi="黑体" w:eastAsia="黑体" w:cs="黑体"/>
          <w:sz w:val="30"/>
          <w:szCs w:val="30"/>
          <w:lang w:val="en-US"/>
        </w:rPr>
      </w:pPr>
    </w:p>
    <w:p w14:paraId="293F3D1D">
      <w:pPr>
        <w:pStyle w:val="32"/>
        <w:spacing w:beforeLines="0" w:afterLines="0"/>
        <w:ind w:left="0"/>
        <w:rPr>
          <w:rFonts w:ascii="黑体" w:hAnsi="黑体" w:eastAsia="黑体" w:cs="黑体"/>
          <w:sz w:val="30"/>
          <w:szCs w:val="30"/>
          <w:lang w:val="en-US"/>
        </w:rPr>
      </w:pPr>
    </w:p>
    <w:p w14:paraId="2333EBDD">
      <w:pPr>
        <w:pStyle w:val="32"/>
        <w:spacing w:beforeLines="0" w:afterLines="0"/>
        <w:ind w:left="0"/>
        <w:rPr>
          <w:rFonts w:ascii="黑体" w:hAnsi="黑体" w:eastAsia="黑体" w:cs="黑体"/>
          <w:sz w:val="30"/>
          <w:szCs w:val="30"/>
          <w:lang w:val="en-US"/>
        </w:rPr>
      </w:pPr>
    </w:p>
    <w:p w14:paraId="7E23470E">
      <w:pPr>
        <w:pStyle w:val="32"/>
        <w:spacing w:beforeLines="0" w:afterLines="0"/>
        <w:ind w:left="0"/>
        <w:rPr>
          <w:rFonts w:ascii="黑体" w:hAnsi="黑体" w:eastAsia="黑体" w:cs="黑体"/>
          <w:sz w:val="30"/>
          <w:szCs w:val="30"/>
          <w:lang w:val="en-US"/>
        </w:rPr>
      </w:pPr>
    </w:p>
    <w:p w14:paraId="31B6FE6D">
      <w:pPr>
        <w:pStyle w:val="32"/>
        <w:spacing w:beforeLines="0" w:afterLines="0"/>
        <w:ind w:left="0"/>
        <w:rPr>
          <w:rFonts w:ascii="黑体" w:hAnsi="黑体" w:eastAsia="黑体" w:cs="黑体"/>
          <w:sz w:val="30"/>
          <w:szCs w:val="30"/>
          <w:lang w:val="en-US"/>
        </w:rPr>
      </w:pPr>
    </w:p>
    <w:p w14:paraId="069926D4">
      <w:pPr>
        <w:pStyle w:val="32"/>
        <w:spacing w:beforeLines="0" w:afterLines="0"/>
        <w:ind w:left="0"/>
        <w:rPr>
          <w:rFonts w:ascii="黑体" w:hAnsi="黑体" w:eastAsia="黑体" w:cs="黑体"/>
          <w:sz w:val="30"/>
          <w:szCs w:val="30"/>
          <w:lang w:val="en-US"/>
        </w:rPr>
      </w:pPr>
    </w:p>
    <w:p w14:paraId="64E79B44">
      <w:pPr>
        <w:pStyle w:val="32"/>
        <w:spacing w:beforeLines="0" w:afterLines="0"/>
        <w:ind w:left="0"/>
        <w:rPr>
          <w:rFonts w:ascii="黑体" w:hAnsi="黑体" w:eastAsia="黑体" w:cs="黑体"/>
          <w:sz w:val="30"/>
          <w:szCs w:val="30"/>
          <w:lang w:val="en-US"/>
        </w:rPr>
      </w:pPr>
    </w:p>
    <w:p w14:paraId="5E949B90">
      <w:pPr>
        <w:pStyle w:val="32"/>
        <w:spacing w:beforeLines="0" w:afterLines="0"/>
        <w:ind w:left="0"/>
        <w:rPr>
          <w:rFonts w:ascii="黑体" w:hAnsi="黑体" w:eastAsia="黑体" w:cs="黑体"/>
          <w:sz w:val="30"/>
          <w:szCs w:val="30"/>
          <w:lang w:val="en-US"/>
        </w:rPr>
      </w:pPr>
    </w:p>
    <w:p w14:paraId="523CEF0E">
      <w:pPr>
        <w:pStyle w:val="32"/>
        <w:spacing w:beforeLines="0" w:afterLines="0"/>
        <w:ind w:left="0"/>
        <w:rPr>
          <w:rFonts w:ascii="黑体" w:hAnsi="黑体" w:eastAsia="黑体" w:cs="黑体"/>
          <w:sz w:val="30"/>
          <w:szCs w:val="30"/>
          <w:lang w:val="en-US"/>
        </w:rPr>
      </w:pPr>
    </w:p>
    <w:p w14:paraId="72FD5012">
      <w:pPr>
        <w:pStyle w:val="32"/>
        <w:spacing w:beforeLines="0" w:afterLines="0"/>
        <w:ind w:left="0"/>
        <w:rPr>
          <w:rFonts w:ascii="黑体" w:hAnsi="黑体" w:eastAsia="黑体" w:cs="黑体"/>
          <w:sz w:val="30"/>
          <w:szCs w:val="30"/>
          <w:lang w:val="en-US"/>
        </w:rPr>
      </w:pPr>
    </w:p>
    <w:p w14:paraId="4B098DAB">
      <w:pPr>
        <w:pStyle w:val="32"/>
        <w:spacing w:beforeLines="0" w:afterLines="0"/>
        <w:ind w:left="0"/>
        <w:rPr>
          <w:rFonts w:ascii="黑体" w:hAnsi="黑体" w:eastAsia="黑体" w:cs="黑体"/>
          <w:sz w:val="30"/>
          <w:szCs w:val="30"/>
          <w:lang w:val="en-US"/>
        </w:rPr>
      </w:pPr>
    </w:p>
    <w:p w14:paraId="5C066E42">
      <w:pPr>
        <w:pStyle w:val="32"/>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34FC0001">
      <w:pPr>
        <w:pStyle w:val="32"/>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4F32A03F">
      <w:pPr>
        <w:pStyle w:val="32"/>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21B8C953">
      <w:pPr>
        <w:pStyle w:val="32"/>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0D98C963">
      <w:pPr>
        <w:pStyle w:val="32"/>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70C0708F">
      <w:pPr>
        <w:pStyle w:val="32"/>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497CA32D">
      <w:pPr>
        <w:pStyle w:val="32"/>
        <w:spacing w:beforeLines="0" w:afterLines="0"/>
        <w:ind w:left="0"/>
        <w:rPr>
          <w:rFonts w:ascii="黑体" w:hAnsi="黑体" w:eastAsia="黑体" w:cs="黑体"/>
          <w:sz w:val="30"/>
          <w:szCs w:val="30"/>
          <w:lang w:val="en-US"/>
        </w:rPr>
      </w:pPr>
    </w:p>
    <w:p w14:paraId="2AD6AB7A">
      <w:pPr>
        <w:pStyle w:val="32"/>
        <w:spacing w:beforeLines="0" w:afterLines="0"/>
        <w:ind w:left="0"/>
        <w:rPr>
          <w:rFonts w:ascii="黑体" w:hAnsi="黑体" w:eastAsia="黑体" w:cs="黑体"/>
          <w:sz w:val="30"/>
          <w:szCs w:val="30"/>
          <w:lang w:val="en-US"/>
        </w:rPr>
      </w:pPr>
    </w:p>
    <w:p w14:paraId="522BBD2A">
      <w:pPr>
        <w:pStyle w:val="32"/>
        <w:spacing w:beforeLines="0" w:afterLines="0"/>
        <w:ind w:left="0"/>
        <w:jc w:val="center"/>
        <w:rPr>
          <w:rFonts w:ascii="方正小标宋简体" w:eastAsia="方正小标宋简体"/>
          <w:sz w:val="32"/>
          <w:szCs w:val="32"/>
        </w:rPr>
      </w:pPr>
    </w:p>
    <w:p w14:paraId="1966BF23">
      <w:pPr>
        <w:widowControl/>
        <w:autoSpaceDE/>
        <w:autoSpaceDN/>
        <w:rPr>
          <w:rFonts w:ascii="方正小标宋简体" w:eastAsia="方正小标宋简体"/>
          <w:sz w:val="32"/>
          <w:szCs w:val="32"/>
        </w:rPr>
      </w:pPr>
      <w:r>
        <w:rPr>
          <w:rFonts w:ascii="方正小标宋简体" w:eastAsia="方正小标宋简体"/>
          <w:sz w:val="32"/>
          <w:szCs w:val="32"/>
        </w:rPr>
        <w:br w:type="page"/>
      </w:r>
    </w:p>
    <w:p w14:paraId="5489EFA0">
      <w:pPr>
        <w:pStyle w:val="32"/>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3373DC27">
      <w:pPr>
        <w:pStyle w:val="32"/>
        <w:spacing w:beforeLines="0" w:afterLines="0" w:line="460" w:lineRule="exact"/>
        <w:ind w:left="0" w:firstLine="420" w:firstLineChars="200"/>
        <w:jc w:val="both"/>
        <w:rPr>
          <w:sz w:val="21"/>
          <w:szCs w:val="21"/>
        </w:rPr>
      </w:pPr>
    </w:p>
    <w:p w14:paraId="32C22ED7">
      <w:pPr>
        <w:pStyle w:val="32"/>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2914B39D">
      <w:pPr>
        <w:pStyle w:val="32"/>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E312FF5">
      <w:pPr>
        <w:pStyle w:val="32"/>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67B8A437">
      <w:pPr>
        <w:pStyle w:val="32"/>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1BC8EB27">
      <w:pPr>
        <w:pStyle w:val="32"/>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28F0BA9">
      <w:pPr>
        <w:pStyle w:val="32"/>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4157353D">
      <w:pPr>
        <w:pStyle w:val="32"/>
        <w:spacing w:beforeLines="0" w:afterLines="0" w:line="46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32A37344">
      <w:pPr>
        <w:pStyle w:val="32"/>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01B2BD92">
      <w:pPr>
        <w:pStyle w:val="32"/>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042BCBF">
      <w:pPr>
        <w:pStyle w:val="32"/>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57F8DCAA">
      <w:pPr>
        <w:pStyle w:val="32"/>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5DF89CE0">
      <w:pPr>
        <w:pStyle w:val="32"/>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6FE8DE58">
      <w:pPr>
        <w:pStyle w:val="32"/>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326FC99">
      <w:pPr>
        <w:pStyle w:val="32"/>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8E3FEF0">
      <w:pPr>
        <w:pStyle w:val="32"/>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23CCCDBA">
      <w:pPr>
        <w:pStyle w:val="32"/>
        <w:spacing w:beforeLines="0" w:afterLines="0" w:line="460" w:lineRule="exact"/>
        <w:ind w:left="0" w:firstLine="640" w:firstLineChars="200"/>
        <w:jc w:val="center"/>
        <w:rPr>
          <w:rFonts w:ascii="方正小标宋简体" w:eastAsia="方正小标宋简体"/>
          <w:bCs/>
          <w:sz w:val="32"/>
          <w:szCs w:val="32"/>
        </w:rPr>
      </w:pPr>
    </w:p>
    <w:p w14:paraId="673D02E2">
      <w:pPr>
        <w:pStyle w:val="32"/>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1544534E">
      <w:pPr>
        <w:pStyle w:val="32"/>
        <w:numPr>
          <w:ilvl w:val="0"/>
          <w:numId w:val="24"/>
        </w:numPr>
        <w:spacing w:beforeLines="0" w:afterLines="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擅自变更合同标的服务内容；</w:t>
      </w:r>
    </w:p>
    <w:p w14:paraId="63BEF93C">
      <w:pPr>
        <w:pStyle w:val="32"/>
        <w:spacing w:beforeLines="0" w:afterLines="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不得以次充好、高投低配，供应商在响应文件里需对此单独做出书面保证，否则视为不响应招标文件，确因在合同执行中不可抗力因素造成的，应提供相关依据；</w:t>
      </w:r>
    </w:p>
    <w:p w14:paraId="236E27CE">
      <w:pPr>
        <w:pStyle w:val="32"/>
        <w:spacing w:beforeLines="0" w:afterLines="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6CA4820E">
      <w:pPr>
        <w:pStyle w:val="32"/>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CE766BA">
      <w:pPr>
        <w:pStyle w:val="32"/>
        <w:spacing w:beforeLines="0" w:afterLines="0" w:line="46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1A991683">
      <w:pPr>
        <w:pStyle w:val="32"/>
        <w:spacing w:beforeLines="0" w:afterLines="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45DAFE93">
      <w:pPr>
        <w:pStyle w:val="32"/>
        <w:spacing w:beforeLines="0" w:afterLines="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41F3047F">
      <w:pPr>
        <w:widowControl/>
        <w:autoSpaceDE/>
        <w:autoSpaceDN/>
        <w:rPr>
          <w:rFonts w:ascii="方正小标宋简体" w:eastAsia="方正小标宋简体"/>
          <w:bCs/>
          <w:sz w:val="32"/>
          <w:szCs w:val="32"/>
        </w:rPr>
      </w:pPr>
      <w:bookmarkStart w:id="90" w:name="_Toc220232392"/>
      <w:bookmarkStart w:id="91" w:name="_Toc30481"/>
      <w:r>
        <w:rPr>
          <w:rFonts w:ascii="方正小标宋简体" w:eastAsia="方正小标宋简体"/>
          <w:bCs/>
          <w:sz w:val="32"/>
          <w:szCs w:val="32"/>
        </w:rPr>
        <w:br w:type="page"/>
      </w:r>
    </w:p>
    <w:bookmarkEnd w:id="90"/>
    <w:p w14:paraId="0591FD86">
      <w:pPr>
        <w:pStyle w:val="32"/>
        <w:spacing w:beforeLines="0" w:afterLines="0" w:line="460" w:lineRule="exact"/>
        <w:ind w:left="0" w:firstLine="640" w:firstLineChars="200"/>
        <w:jc w:val="center"/>
        <w:rPr>
          <w:rFonts w:ascii="方正小标宋简体" w:eastAsia="方正小标宋简体"/>
          <w:bCs/>
          <w:sz w:val="32"/>
          <w:szCs w:val="32"/>
        </w:rPr>
      </w:pPr>
      <w:r>
        <w:rPr>
          <w:rFonts w:hint="eastAsia" w:ascii="方正小标宋简体" w:eastAsia="方正小标宋简体"/>
          <w:bCs/>
          <w:sz w:val="32"/>
          <w:szCs w:val="32"/>
        </w:rPr>
        <w:t>服务合同内容</w:t>
      </w:r>
      <w:bookmarkEnd w:id="91"/>
    </w:p>
    <w:p w14:paraId="2AE114D1">
      <w:pPr>
        <w:spacing w:line="520" w:lineRule="exact"/>
        <w:ind w:firstLine="440" w:firstLineChars="200"/>
        <w:jc w:val="both"/>
        <w:rPr>
          <w:szCs w:val="27"/>
        </w:rPr>
      </w:pPr>
    </w:p>
    <w:p w14:paraId="2644766C">
      <w:pPr>
        <w:spacing w:line="360" w:lineRule="auto"/>
        <w:ind w:firstLine="440" w:firstLineChars="200"/>
        <w:jc w:val="both"/>
        <w:rPr>
          <w:szCs w:val="27"/>
          <w:u w:val="single"/>
        </w:rPr>
      </w:pPr>
      <w:r>
        <w:rPr>
          <w:rFonts w:hint="eastAsia"/>
          <w:szCs w:val="27"/>
        </w:rPr>
        <w:t>采购人</w:t>
      </w:r>
      <w:r>
        <w:rPr>
          <w:szCs w:val="27"/>
        </w:rPr>
        <w:t>（甲方）：</w:t>
      </w:r>
    </w:p>
    <w:p w14:paraId="1FB97E91">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5F9C0B1E">
      <w:pPr>
        <w:spacing w:line="360" w:lineRule="auto"/>
        <w:ind w:firstLine="440" w:firstLineChars="200"/>
        <w:jc w:val="both"/>
        <w:rPr>
          <w:szCs w:val="27"/>
          <w:u w:val="single"/>
        </w:rPr>
      </w:pPr>
      <w:r>
        <w:rPr>
          <w:rFonts w:hint="eastAsia"/>
          <w:szCs w:val="27"/>
        </w:rPr>
        <w:t>签订地点：</w:t>
      </w:r>
    </w:p>
    <w:p w14:paraId="19B31A91">
      <w:pPr>
        <w:spacing w:line="360" w:lineRule="auto"/>
        <w:ind w:firstLine="440" w:firstLineChars="200"/>
        <w:jc w:val="both"/>
        <w:rPr>
          <w:szCs w:val="27"/>
          <w:u w:val="single"/>
        </w:rPr>
      </w:pPr>
      <w:r>
        <w:rPr>
          <w:rFonts w:hint="eastAsia"/>
          <w:szCs w:val="27"/>
        </w:rPr>
        <w:t>项目名称：</w:t>
      </w:r>
    </w:p>
    <w:p w14:paraId="3AEDC271">
      <w:pPr>
        <w:spacing w:line="360" w:lineRule="auto"/>
        <w:ind w:firstLine="440" w:firstLineChars="200"/>
        <w:jc w:val="both"/>
        <w:rPr>
          <w:szCs w:val="27"/>
          <w:u w:val="single"/>
        </w:rPr>
      </w:pPr>
      <w:r>
        <w:rPr>
          <w:rFonts w:hint="eastAsia"/>
          <w:szCs w:val="27"/>
        </w:rPr>
        <w:t>项目编号：</w:t>
      </w:r>
    </w:p>
    <w:p w14:paraId="5115A7B6">
      <w:pPr>
        <w:spacing w:line="360" w:lineRule="auto"/>
        <w:ind w:firstLine="440" w:firstLineChars="200"/>
        <w:jc w:val="both"/>
      </w:pPr>
      <w:r>
        <w:rPr>
          <w:rFonts w:hint="eastAsia"/>
          <w:szCs w:val="27"/>
        </w:rPr>
        <w:t>财政委托号：(财政资金项目必须填写)</w:t>
      </w:r>
    </w:p>
    <w:p w14:paraId="27D605FB">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w:t>
      </w:r>
      <w:r>
        <w:rPr>
          <w:rFonts w:hint="eastAsia"/>
          <w:szCs w:val="27"/>
        </w:rPr>
        <w:t>民法典</w:t>
      </w:r>
      <w:r>
        <w:rPr>
          <w:szCs w:val="27"/>
        </w:rPr>
        <w:t>》之规定，经甲乙双方充分协商，特订立</w:t>
      </w:r>
      <w:r>
        <w:rPr>
          <w:rFonts w:hint="eastAsia"/>
          <w:szCs w:val="27"/>
        </w:rPr>
        <w:t>本</w:t>
      </w:r>
      <w:r>
        <w:rPr>
          <w:szCs w:val="27"/>
        </w:rPr>
        <w:t>合同，以便共同遵守。</w:t>
      </w:r>
    </w:p>
    <w:p w14:paraId="13AD25BC">
      <w:pPr>
        <w:spacing w:line="360" w:lineRule="auto"/>
        <w:ind w:firstLine="442" w:firstLineChars="200"/>
        <w:jc w:val="both"/>
        <w:rPr>
          <w:u w:val="single"/>
        </w:rPr>
      </w:pPr>
      <w:r>
        <w:rPr>
          <w:b/>
          <w:bCs/>
          <w:szCs w:val="27"/>
        </w:rPr>
        <w:t>第一条</w:t>
      </w:r>
      <w:r>
        <w:rPr>
          <w:szCs w:val="27"/>
        </w:rPr>
        <w:t> </w:t>
      </w:r>
      <w:r>
        <w:rPr>
          <w:rFonts w:hint="eastAsia"/>
          <w:szCs w:val="27"/>
        </w:rPr>
        <w:t>服务的内容、标准、数量和价格：（若服务项目过多则见附表，如有附表则必须加盖印章）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A8DD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F70C56D">
            <w:pPr>
              <w:spacing w:line="360" w:lineRule="auto"/>
              <w:jc w:val="both"/>
            </w:pPr>
            <w:r>
              <w:rPr>
                <w:rFonts w:hint="eastAsia"/>
              </w:rPr>
              <w:t>服务内容</w:t>
            </w:r>
          </w:p>
        </w:tc>
        <w:tc>
          <w:tcPr>
            <w:tcW w:w="1623" w:type="dxa"/>
          </w:tcPr>
          <w:p w14:paraId="1E3E1F0F">
            <w:pPr>
              <w:spacing w:line="360" w:lineRule="auto"/>
              <w:jc w:val="both"/>
            </w:pPr>
            <w:r>
              <w:rPr>
                <w:rFonts w:hint="eastAsia"/>
              </w:rPr>
              <w:t>标准水平</w:t>
            </w:r>
          </w:p>
        </w:tc>
        <w:tc>
          <w:tcPr>
            <w:tcW w:w="902" w:type="dxa"/>
          </w:tcPr>
          <w:p w14:paraId="02CE27F7">
            <w:pPr>
              <w:spacing w:line="360" w:lineRule="auto"/>
              <w:jc w:val="both"/>
            </w:pPr>
            <w:r>
              <w:rPr>
                <w:rFonts w:hint="eastAsia"/>
              </w:rPr>
              <w:t>单位</w:t>
            </w:r>
          </w:p>
        </w:tc>
        <w:tc>
          <w:tcPr>
            <w:tcW w:w="902" w:type="dxa"/>
          </w:tcPr>
          <w:p w14:paraId="392717E9">
            <w:pPr>
              <w:spacing w:line="360" w:lineRule="auto"/>
              <w:jc w:val="both"/>
            </w:pPr>
            <w:r>
              <w:rPr>
                <w:rFonts w:hint="eastAsia"/>
              </w:rPr>
              <w:t>数量</w:t>
            </w:r>
          </w:p>
        </w:tc>
        <w:tc>
          <w:tcPr>
            <w:tcW w:w="1071" w:type="dxa"/>
          </w:tcPr>
          <w:p w14:paraId="358D8B1F">
            <w:pPr>
              <w:spacing w:line="360" w:lineRule="auto"/>
              <w:jc w:val="both"/>
            </w:pPr>
            <w:r>
              <w:rPr>
                <w:rFonts w:hint="eastAsia"/>
              </w:rPr>
              <w:t>单价</w:t>
            </w:r>
          </w:p>
        </w:tc>
        <w:tc>
          <w:tcPr>
            <w:tcW w:w="1250" w:type="dxa"/>
          </w:tcPr>
          <w:p w14:paraId="19EB8819">
            <w:pPr>
              <w:spacing w:line="360" w:lineRule="auto"/>
              <w:jc w:val="both"/>
            </w:pPr>
            <w:r>
              <w:rPr>
                <w:rFonts w:hint="eastAsia"/>
              </w:rPr>
              <w:t>小计</w:t>
            </w:r>
          </w:p>
        </w:tc>
        <w:tc>
          <w:tcPr>
            <w:tcW w:w="1106" w:type="dxa"/>
          </w:tcPr>
          <w:p w14:paraId="31C5D8B8">
            <w:pPr>
              <w:spacing w:line="360" w:lineRule="auto"/>
              <w:jc w:val="both"/>
            </w:pPr>
            <w:r>
              <w:rPr>
                <w:rFonts w:hint="eastAsia"/>
              </w:rPr>
              <w:t>备注</w:t>
            </w:r>
          </w:p>
        </w:tc>
      </w:tr>
      <w:tr w14:paraId="5F04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C453D8">
            <w:pPr>
              <w:spacing w:line="360" w:lineRule="auto"/>
              <w:ind w:firstLine="440" w:firstLineChars="200"/>
              <w:jc w:val="both"/>
            </w:pPr>
          </w:p>
        </w:tc>
        <w:tc>
          <w:tcPr>
            <w:tcW w:w="1623" w:type="dxa"/>
          </w:tcPr>
          <w:p w14:paraId="7A8895B5">
            <w:pPr>
              <w:spacing w:line="360" w:lineRule="auto"/>
              <w:ind w:firstLine="440" w:firstLineChars="200"/>
              <w:jc w:val="both"/>
            </w:pPr>
          </w:p>
        </w:tc>
        <w:tc>
          <w:tcPr>
            <w:tcW w:w="902" w:type="dxa"/>
          </w:tcPr>
          <w:p w14:paraId="41D758E7">
            <w:pPr>
              <w:spacing w:line="360" w:lineRule="auto"/>
              <w:ind w:firstLine="440" w:firstLineChars="200"/>
              <w:jc w:val="both"/>
            </w:pPr>
          </w:p>
        </w:tc>
        <w:tc>
          <w:tcPr>
            <w:tcW w:w="902" w:type="dxa"/>
          </w:tcPr>
          <w:p w14:paraId="2477219B">
            <w:pPr>
              <w:spacing w:line="360" w:lineRule="auto"/>
              <w:ind w:firstLine="440" w:firstLineChars="200"/>
              <w:jc w:val="both"/>
            </w:pPr>
          </w:p>
        </w:tc>
        <w:tc>
          <w:tcPr>
            <w:tcW w:w="1071" w:type="dxa"/>
          </w:tcPr>
          <w:p w14:paraId="5E88DE87">
            <w:pPr>
              <w:spacing w:line="360" w:lineRule="auto"/>
              <w:ind w:firstLine="440" w:firstLineChars="200"/>
              <w:jc w:val="both"/>
            </w:pPr>
          </w:p>
        </w:tc>
        <w:tc>
          <w:tcPr>
            <w:tcW w:w="1250" w:type="dxa"/>
          </w:tcPr>
          <w:p w14:paraId="067CF33B">
            <w:pPr>
              <w:spacing w:line="360" w:lineRule="auto"/>
              <w:ind w:firstLine="440" w:firstLineChars="200"/>
              <w:jc w:val="both"/>
            </w:pPr>
          </w:p>
        </w:tc>
        <w:tc>
          <w:tcPr>
            <w:tcW w:w="1106" w:type="dxa"/>
          </w:tcPr>
          <w:p w14:paraId="150CCCC6">
            <w:pPr>
              <w:spacing w:line="360" w:lineRule="auto"/>
              <w:ind w:firstLine="440" w:firstLineChars="200"/>
              <w:jc w:val="both"/>
            </w:pPr>
          </w:p>
        </w:tc>
      </w:tr>
      <w:tr w14:paraId="770C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9A724B1">
            <w:pPr>
              <w:spacing w:line="360" w:lineRule="auto"/>
              <w:ind w:firstLine="440" w:firstLineChars="200"/>
              <w:jc w:val="both"/>
            </w:pPr>
          </w:p>
        </w:tc>
        <w:tc>
          <w:tcPr>
            <w:tcW w:w="1623" w:type="dxa"/>
          </w:tcPr>
          <w:p w14:paraId="03277439">
            <w:pPr>
              <w:spacing w:line="360" w:lineRule="auto"/>
              <w:ind w:firstLine="440" w:firstLineChars="200"/>
              <w:jc w:val="both"/>
            </w:pPr>
          </w:p>
        </w:tc>
        <w:tc>
          <w:tcPr>
            <w:tcW w:w="902" w:type="dxa"/>
          </w:tcPr>
          <w:p w14:paraId="1EBC4775">
            <w:pPr>
              <w:spacing w:line="360" w:lineRule="auto"/>
              <w:ind w:firstLine="440" w:firstLineChars="200"/>
              <w:jc w:val="both"/>
            </w:pPr>
          </w:p>
        </w:tc>
        <w:tc>
          <w:tcPr>
            <w:tcW w:w="902" w:type="dxa"/>
          </w:tcPr>
          <w:p w14:paraId="6AE13B73">
            <w:pPr>
              <w:spacing w:line="360" w:lineRule="auto"/>
              <w:ind w:firstLine="440" w:firstLineChars="200"/>
              <w:jc w:val="both"/>
            </w:pPr>
          </w:p>
        </w:tc>
        <w:tc>
          <w:tcPr>
            <w:tcW w:w="1071" w:type="dxa"/>
          </w:tcPr>
          <w:p w14:paraId="10A1933C">
            <w:pPr>
              <w:spacing w:line="360" w:lineRule="auto"/>
              <w:ind w:firstLine="440" w:firstLineChars="200"/>
              <w:jc w:val="both"/>
            </w:pPr>
          </w:p>
        </w:tc>
        <w:tc>
          <w:tcPr>
            <w:tcW w:w="1250" w:type="dxa"/>
          </w:tcPr>
          <w:p w14:paraId="1C4EFCD2">
            <w:pPr>
              <w:spacing w:line="360" w:lineRule="auto"/>
              <w:ind w:firstLine="440" w:firstLineChars="200"/>
              <w:jc w:val="both"/>
            </w:pPr>
          </w:p>
        </w:tc>
        <w:tc>
          <w:tcPr>
            <w:tcW w:w="1106" w:type="dxa"/>
          </w:tcPr>
          <w:p w14:paraId="0F4BDE1E">
            <w:pPr>
              <w:spacing w:line="360" w:lineRule="auto"/>
              <w:ind w:firstLine="440" w:firstLineChars="200"/>
              <w:jc w:val="both"/>
            </w:pPr>
          </w:p>
        </w:tc>
      </w:tr>
      <w:tr w14:paraId="3CB7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2818716">
            <w:pPr>
              <w:spacing w:line="360" w:lineRule="auto"/>
              <w:ind w:firstLine="440" w:firstLineChars="200"/>
              <w:jc w:val="both"/>
            </w:pPr>
          </w:p>
        </w:tc>
        <w:tc>
          <w:tcPr>
            <w:tcW w:w="1623" w:type="dxa"/>
          </w:tcPr>
          <w:p w14:paraId="585B965C">
            <w:pPr>
              <w:spacing w:line="360" w:lineRule="auto"/>
              <w:ind w:firstLine="440" w:firstLineChars="200"/>
              <w:jc w:val="both"/>
            </w:pPr>
          </w:p>
        </w:tc>
        <w:tc>
          <w:tcPr>
            <w:tcW w:w="902" w:type="dxa"/>
          </w:tcPr>
          <w:p w14:paraId="65559C9C">
            <w:pPr>
              <w:spacing w:line="360" w:lineRule="auto"/>
              <w:ind w:firstLine="440" w:firstLineChars="200"/>
              <w:jc w:val="both"/>
            </w:pPr>
          </w:p>
        </w:tc>
        <w:tc>
          <w:tcPr>
            <w:tcW w:w="902" w:type="dxa"/>
          </w:tcPr>
          <w:p w14:paraId="791C6C20">
            <w:pPr>
              <w:spacing w:line="360" w:lineRule="auto"/>
              <w:ind w:firstLine="440" w:firstLineChars="200"/>
              <w:jc w:val="both"/>
            </w:pPr>
          </w:p>
        </w:tc>
        <w:tc>
          <w:tcPr>
            <w:tcW w:w="1071" w:type="dxa"/>
          </w:tcPr>
          <w:p w14:paraId="094BE5CF">
            <w:pPr>
              <w:spacing w:line="360" w:lineRule="auto"/>
              <w:ind w:firstLine="440" w:firstLineChars="200"/>
              <w:jc w:val="both"/>
            </w:pPr>
          </w:p>
        </w:tc>
        <w:tc>
          <w:tcPr>
            <w:tcW w:w="1250" w:type="dxa"/>
          </w:tcPr>
          <w:p w14:paraId="54618A05">
            <w:pPr>
              <w:spacing w:line="360" w:lineRule="auto"/>
              <w:ind w:firstLine="440" w:firstLineChars="200"/>
              <w:jc w:val="both"/>
            </w:pPr>
          </w:p>
        </w:tc>
        <w:tc>
          <w:tcPr>
            <w:tcW w:w="1106" w:type="dxa"/>
          </w:tcPr>
          <w:p w14:paraId="474A7B56">
            <w:pPr>
              <w:spacing w:line="360" w:lineRule="auto"/>
              <w:ind w:firstLine="440" w:firstLineChars="200"/>
              <w:jc w:val="both"/>
            </w:pPr>
          </w:p>
        </w:tc>
      </w:tr>
      <w:tr w14:paraId="5AB5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6CB3D">
            <w:pPr>
              <w:spacing w:line="360" w:lineRule="auto"/>
              <w:ind w:firstLine="440" w:firstLineChars="200"/>
              <w:jc w:val="both"/>
            </w:pPr>
            <w:r>
              <w:rPr>
                <w:rFonts w:hint="eastAsia"/>
              </w:rPr>
              <w:t>合同总价款（大小写）：</w:t>
            </w:r>
          </w:p>
          <w:p w14:paraId="3219AB88">
            <w:pPr>
              <w:spacing w:line="360" w:lineRule="auto"/>
              <w:ind w:firstLine="440" w:firstLineChars="200"/>
              <w:jc w:val="both"/>
            </w:pPr>
            <w:r>
              <w:rPr>
                <w:rFonts w:hint="eastAsia"/>
                <w:szCs w:val="28"/>
              </w:rPr>
              <w:t>备注：上述服务包含相关设备购置、人员工资及售后服务、税金、劳保基金、人员培训等费用。</w:t>
            </w:r>
          </w:p>
        </w:tc>
      </w:tr>
    </w:tbl>
    <w:p w14:paraId="4398A503">
      <w:pPr>
        <w:spacing w:line="360" w:lineRule="auto"/>
        <w:ind w:firstLine="442" w:firstLineChars="200"/>
        <w:jc w:val="both"/>
      </w:pPr>
      <w:r>
        <w:rPr>
          <w:rFonts w:hint="eastAsia"/>
          <w:b/>
          <w:bCs/>
          <w:szCs w:val="27"/>
        </w:rPr>
        <w:t xml:space="preserve">第二条  </w:t>
      </w:r>
      <w:r>
        <w:rPr>
          <w:rFonts w:hint="eastAsia"/>
          <w:szCs w:val="27"/>
        </w:rPr>
        <w:t>服务</w:t>
      </w:r>
      <w:r>
        <w:rPr>
          <w:szCs w:val="27"/>
        </w:rPr>
        <w:t>标准（</w:t>
      </w:r>
      <w:r>
        <w:rPr>
          <w:rFonts w:hint="eastAsia"/>
          <w:szCs w:val="27"/>
        </w:rPr>
        <w:t>包括达到的水平要求</w:t>
      </w:r>
      <w:r>
        <w:rPr>
          <w:szCs w:val="27"/>
        </w:rPr>
        <w:t>），按下列第（ ）项执行：</w:t>
      </w:r>
    </w:p>
    <w:p w14:paraId="0681B450">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③若无以上标准，则应不低于同行业服务标准；④</w:t>
      </w:r>
      <w:r>
        <w:rPr>
          <w:szCs w:val="27"/>
        </w:rPr>
        <w:t>有特殊要求的，按甲乙双方在合同中商定的要求执行</w:t>
      </w:r>
      <w:r>
        <w:rPr>
          <w:rFonts w:hint="eastAsia"/>
          <w:szCs w:val="27"/>
        </w:rPr>
        <w:t>；</w:t>
      </w:r>
    </w:p>
    <w:p w14:paraId="2E9B3F26">
      <w:pPr>
        <w:spacing w:line="360" w:lineRule="auto"/>
        <w:ind w:firstLine="440" w:firstLineChars="200"/>
        <w:jc w:val="both"/>
        <w:rPr>
          <w:szCs w:val="27"/>
        </w:rPr>
      </w:pPr>
      <w:r>
        <w:rPr>
          <w:rFonts w:hint="eastAsia"/>
        </w:rPr>
        <w:t>乙方提供的服务标准和水平应与招标采购文件规定的标准和水平相一致。</w:t>
      </w:r>
    </w:p>
    <w:p w14:paraId="758834E7">
      <w:pPr>
        <w:spacing w:line="360" w:lineRule="auto"/>
        <w:ind w:firstLine="442" w:firstLineChars="200"/>
        <w:jc w:val="both"/>
        <w:rPr>
          <w:szCs w:val="27"/>
        </w:rPr>
      </w:pPr>
      <w:r>
        <w:rPr>
          <w:rFonts w:hint="eastAsia"/>
          <w:b/>
          <w:bCs/>
          <w:szCs w:val="27"/>
        </w:rPr>
        <w:t xml:space="preserve">第三条  </w:t>
      </w:r>
      <w:r>
        <w:rPr>
          <w:rFonts w:hint="eastAsia"/>
          <w:szCs w:val="27"/>
        </w:rPr>
        <w:t>服务的方式、方法、、地点和期限</w:t>
      </w:r>
    </w:p>
    <w:p w14:paraId="525797D1">
      <w:pPr>
        <w:spacing w:line="360" w:lineRule="auto"/>
        <w:ind w:firstLine="440" w:firstLineChars="200"/>
        <w:jc w:val="both"/>
      </w:pPr>
      <w:r>
        <w:rPr>
          <w:rFonts w:hint="eastAsia"/>
          <w:szCs w:val="27"/>
        </w:rPr>
        <w:t>1、服务方式：</w:t>
      </w:r>
    </w:p>
    <w:p w14:paraId="16374B62">
      <w:pPr>
        <w:spacing w:line="360" w:lineRule="auto"/>
        <w:ind w:firstLine="440" w:firstLineChars="200"/>
        <w:jc w:val="both"/>
        <w:rPr>
          <w:lang w:val="en-US"/>
        </w:rPr>
      </w:pPr>
      <w:r>
        <w:rPr>
          <w:rFonts w:hint="eastAsia"/>
          <w:lang w:val="en-US"/>
        </w:rPr>
        <w:t>2、服务方法：</w:t>
      </w:r>
    </w:p>
    <w:p w14:paraId="1959FAE3">
      <w:pPr>
        <w:spacing w:line="360" w:lineRule="auto"/>
        <w:ind w:firstLine="440" w:firstLineChars="200"/>
        <w:jc w:val="both"/>
        <w:rPr>
          <w:szCs w:val="27"/>
        </w:rPr>
      </w:pPr>
      <w:r>
        <w:rPr>
          <w:rFonts w:hint="eastAsia"/>
          <w:szCs w:val="27"/>
        </w:rPr>
        <w:t>2、服务地点：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p>
    <w:p w14:paraId="56EEC41B">
      <w:pPr>
        <w:spacing w:line="360" w:lineRule="auto"/>
        <w:ind w:firstLine="440" w:firstLineChars="200"/>
        <w:jc w:val="both"/>
        <w:rPr>
          <w:szCs w:val="27"/>
        </w:rPr>
      </w:pPr>
      <w:r>
        <w:rPr>
          <w:rFonts w:hint="eastAsia"/>
          <w:szCs w:val="27"/>
        </w:rPr>
        <w:t>3、服务期限：</w:t>
      </w:r>
    </w:p>
    <w:p w14:paraId="219A3DB0">
      <w:pPr>
        <w:spacing w:line="360" w:lineRule="auto"/>
        <w:ind w:firstLine="442" w:firstLineChars="200"/>
        <w:jc w:val="both"/>
      </w:pPr>
      <w:r>
        <w:rPr>
          <w:rFonts w:hint="eastAsia"/>
          <w:b/>
        </w:rPr>
        <w:t>第四条</w:t>
      </w:r>
      <w:r>
        <w:rPr>
          <w:rFonts w:hint="eastAsia"/>
        </w:rPr>
        <w:t xml:space="preserve"> 费用及支付方式</w:t>
      </w:r>
    </w:p>
    <w:p w14:paraId="44092ECF">
      <w:pPr>
        <w:pStyle w:val="9"/>
        <w:kinsoku w:val="0"/>
        <w:overflowPunct w:val="0"/>
        <w:spacing w:line="362" w:lineRule="auto"/>
        <w:ind w:firstLine="422" w:firstLineChars="200"/>
        <w:jc w:val="both"/>
        <w:rPr>
          <w:b/>
        </w:rPr>
      </w:pPr>
      <w:r>
        <w:rPr>
          <w:rFonts w:hint="eastAsia"/>
          <w:b/>
          <w:sz w:val="21"/>
        </w:rPr>
        <w:t>(一)</w:t>
      </w:r>
      <w:r>
        <w:rPr>
          <w:rFonts w:hint="eastAsia"/>
          <w:b/>
        </w:rPr>
        <w:t>本项目</w:t>
      </w:r>
      <w:r>
        <w:rPr>
          <w:rFonts w:hint="eastAsia"/>
          <w:b/>
          <w:lang w:val="en-US"/>
        </w:rPr>
        <w:t>费用有以</w:t>
      </w:r>
      <w:r>
        <w:rPr>
          <w:rFonts w:hint="eastAsia"/>
          <w:b/>
        </w:rPr>
        <w:t>下组成：</w:t>
      </w:r>
    </w:p>
    <w:p w14:paraId="5F89B361">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 xml:space="preserve"> 1、XX 万元；</w:t>
      </w:r>
    </w:p>
    <w:p w14:paraId="0228A241">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2、XX 万元；</w:t>
      </w:r>
    </w:p>
    <w:p w14:paraId="0651041C">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w:t>
      </w:r>
    </w:p>
    <w:p w14:paraId="1DDBA5EF">
      <w:pPr>
        <w:pStyle w:val="9"/>
        <w:kinsoku w:val="0"/>
        <w:overflowPunct w:val="0"/>
        <w:ind w:firstLine="422" w:firstLineChars="200"/>
        <w:jc w:val="both"/>
        <w:rPr>
          <w:b/>
        </w:rPr>
      </w:pPr>
      <w:r>
        <w:rPr>
          <w:rFonts w:hint="eastAsia"/>
          <w:b/>
          <w:sz w:val="21"/>
        </w:rPr>
        <w:t>(二)</w:t>
      </w:r>
      <w:r>
        <w:rPr>
          <w:rFonts w:hint="eastAsia"/>
          <w:b/>
        </w:rPr>
        <w:t>费用支付方式：</w:t>
      </w:r>
    </w:p>
    <w:p w14:paraId="5ADCA438">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1、XXXX；</w:t>
      </w:r>
    </w:p>
    <w:p w14:paraId="60D58623">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2、XXXX ；</w:t>
      </w:r>
    </w:p>
    <w:p w14:paraId="4F0EF9E6">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3、在支付前甲方对乙方的服务进行考核或验收，合格的支付相应款 项。乙方须向甲方出具合法有效完整的完税发票及凭证资料进行支付结算。</w:t>
      </w:r>
    </w:p>
    <w:p w14:paraId="1E5360AB">
      <w:pPr>
        <w:spacing w:line="360" w:lineRule="auto"/>
        <w:ind w:firstLine="442" w:firstLineChars="200"/>
        <w:jc w:val="both"/>
      </w:pPr>
      <w:r>
        <w:rPr>
          <w:rFonts w:hint="eastAsia"/>
          <w:b/>
        </w:rPr>
        <w:t>第五条</w:t>
      </w:r>
      <w:r>
        <w:rPr>
          <w:rFonts w:hint="eastAsia"/>
        </w:rPr>
        <w:t xml:space="preserve"> 付款条件   </w:t>
      </w:r>
    </w:p>
    <w:p w14:paraId="558F4B14">
      <w:pPr>
        <w:spacing w:line="360" w:lineRule="auto"/>
        <w:ind w:firstLine="440" w:firstLineChars="200"/>
        <w:jc w:val="both"/>
      </w:pPr>
      <w:r>
        <w:rPr>
          <w:rFonts w:hint="eastAsia"/>
        </w:rPr>
        <w:t>本合同以人民币付款。</w:t>
      </w:r>
    </w:p>
    <w:p w14:paraId="6040AA56">
      <w:pPr>
        <w:spacing w:line="360" w:lineRule="auto"/>
        <w:ind w:firstLine="440" w:firstLineChars="200"/>
        <w:jc w:val="both"/>
      </w:pPr>
      <w:r>
        <w:rPr>
          <w:rFonts w:hint="eastAsia"/>
        </w:rPr>
        <w:t>该项目是否实行预付款：</w:t>
      </w:r>
    </w:p>
    <w:p w14:paraId="7DDE69F0">
      <w:pPr>
        <w:spacing w:line="360" w:lineRule="auto"/>
        <w:ind w:firstLine="440" w:firstLineChars="200"/>
        <w:jc w:val="both"/>
      </w:pPr>
      <w:r>
        <w:rPr>
          <w:rFonts w:hint="eastAsia"/>
        </w:rPr>
        <w:t>实行预付款的条件和比例：</w:t>
      </w:r>
    </w:p>
    <w:p w14:paraId="75A7DAEC">
      <w:pPr>
        <w:spacing w:line="360" w:lineRule="auto"/>
        <w:ind w:firstLine="440" w:firstLineChars="200"/>
        <w:jc w:val="both"/>
      </w:pPr>
      <w:r>
        <w:rPr>
          <w:rFonts w:hint="eastAsia"/>
        </w:rPr>
        <w:t>合同款项结算方式和支付比例：</w:t>
      </w:r>
    </w:p>
    <w:p w14:paraId="2B58A63E">
      <w:pPr>
        <w:spacing w:line="360" w:lineRule="auto"/>
        <w:ind w:firstLine="440" w:firstLineChars="200"/>
        <w:jc w:val="both"/>
        <w:rPr>
          <w:u w:val="single"/>
        </w:rPr>
      </w:pPr>
      <w:r>
        <w:rPr>
          <w:rFonts w:hint="eastAsia"/>
          <w:lang w:val="en-US"/>
        </w:rPr>
        <w:t>(</w:t>
      </w:r>
      <w:r>
        <w:rPr>
          <w:rFonts w:hint="eastAsia"/>
        </w:rPr>
        <w:t>具体付款方式</w:t>
      </w:r>
      <w:r>
        <w:rPr>
          <w:rFonts w:hint="eastAsia"/>
          <w:u w:val="single"/>
        </w:rPr>
        <w:t>按投标人须知前附表以及采、购双方的具体约定</w:t>
      </w:r>
    </w:p>
    <w:p w14:paraId="74FD923A">
      <w:pPr>
        <w:pStyle w:val="9"/>
        <w:kinsoku w:val="0"/>
        <w:overflowPunct w:val="0"/>
        <w:spacing w:line="362" w:lineRule="auto"/>
        <w:ind w:firstLine="422" w:firstLineChars="200"/>
        <w:jc w:val="both"/>
        <w:rPr>
          <w:kern w:val="2"/>
          <w:sz w:val="21"/>
          <w:lang w:val="en-US" w:bidi="ar-SA"/>
        </w:rPr>
      </w:pPr>
      <w:r>
        <w:rPr>
          <w:rFonts w:hint="eastAsia"/>
          <w:b/>
          <w:kern w:val="2"/>
          <w:sz w:val="21"/>
          <w:lang w:val="en-US" w:bidi="ar-SA"/>
        </w:rPr>
        <w:t>第六条</w:t>
      </w:r>
      <w:r>
        <w:rPr>
          <w:rFonts w:hint="eastAsia"/>
          <w:kern w:val="2"/>
          <w:sz w:val="21"/>
          <w:lang w:val="en-US" w:bidi="ar-SA"/>
        </w:rPr>
        <w:t xml:space="preserve">  验收方法</w:t>
      </w:r>
    </w:p>
    <w:p w14:paraId="10252C24">
      <w:pPr>
        <w:spacing w:line="360" w:lineRule="auto"/>
        <w:ind w:firstLine="440" w:firstLineChars="200"/>
        <w:jc w:val="both"/>
        <w:rPr>
          <w:lang w:val="en-US"/>
        </w:rPr>
      </w:pPr>
      <w:r>
        <w:rPr>
          <w:rFonts w:hint="eastAsia"/>
          <w:lang w:val="en-US"/>
        </w:rPr>
        <w:t>1.甲、乙双方应严格履行合同有关条款，如果验收过程中发现乙方在没有征得采购人同意的情况下擅自变更合同服务内容，将拒绝通过验收，由此引起的一切后果及损失由乙方承担。</w:t>
      </w:r>
    </w:p>
    <w:p w14:paraId="3DEFAD94">
      <w:pPr>
        <w:spacing w:line="360" w:lineRule="auto"/>
        <w:ind w:firstLine="440" w:firstLineChars="200"/>
        <w:jc w:val="both"/>
        <w:rPr>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3B6771">
      <w:pPr>
        <w:spacing w:line="360" w:lineRule="auto"/>
        <w:ind w:firstLine="440" w:firstLineChars="200"/>
        <w:jc w:val="both"/>
        <w:rPr>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14AEAA85">
      <w:pPr>
        <w:spacing w:line="360" w:lineRule="auto"/>
        <w:ind w:firstLine="440" w:firstLineChars="200"/>
        <w:jc w:val="both"/>
        <w:rPr>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669B82A4">
      <w:pPr>
        <w:spacing w:line="360" w:lineRule="auto"/>
        <w:ind w:firstLine="440" w:firstLineChars="200"/>
        <w:jc w:val="both"/>
        <w:rPr>
          <w:lang w:val="en-US"/>
        </w:rPr>
      </w:pPr>
      <w:r>
        <w:rPr>
          <w:rFonts w:hint="eastAsia"/>
          <w:lang w:val="en-US"/>
        </w:rPr>
        <w:t>检测、验收费用承担方式：</w:t>
      </w:r>
    </w:p>
    <w:p w14:paraId="13FE8868">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第七条  知识产权</w:t>
      </w:r>
    </w:p>
    <w:p w14:paraId="20FE3C04">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乙方应保证所提供的服务或其任何一部分均不会侵犯任何第三方的专利权、商标权或著作权。</w:t>
      </w:r>
    </w:p>
    <w:p w14:paraId="40EB027B">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第八条 无产权瑕疵条款</w:t>
      </w:r>
    </w:p>
    <w:p w14:paraId="72311419">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乙方保证所提供的服务的所有权完全属于乙方且无任何抵押、查封等产权瑕疵。如有产权瑕疵的，视为乙方违约。乙方应负担由此而产生的一切损失。</w:t>
      </w:r>
    </w:p>
    <w:p w14:paraId="19E9C294">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第九条  履约（或质量）保证金</w:t>
      </w:r>
    </w:p>
    <w:p w14:paraId="629D897B">
      <w:pPr>
        <w:spacing w:line="360" w:lineRule="auto"/>
        <w:ind w:firstLine="440" w:firstLineChars="200"/>
        <w:jc w:val="both"/>
        <w:rPr>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2C72F164">
      <w:pPr>
        <w:spacing w:line="360" w:lineRule="auto"/>
        <w:ind w:firstLine="440" w:firstLineChars="200"/>
        <w:jc w:val="both"/>
        <w:rPr>
          <w:lang w:val="en-US"/>
        </w:rPr>
      </w:pPr>
      <w:r>
        <w:rPr>
          <w:rFonts w:hint="eastAsia"/>
          <w:lang w:val="en-US"/>
        </w:rPr>
        <w:t>2.若确需质量保证金的，质量保证金不得超过合同总价款的5%</w:t>
      </w:r>
    </w:p>
    <w:p w14:paraId="0A2D000D">
      <w:pPr>
        <w:spacing w:line="360" w:lineRule="auto"/>
        <w:ind w:firstLine="440" w:firstLineChars="200"/>
        <w:jc w:val="both"/>
        <w:rPr>
          <w:lang w:val="en-US"/>
        </w:rPr>
      </w:pPr>
      <w:r>
        <w:rPr>
          <w:rFonts w:hint="eastAsia"/>
          <w:lang w:val="en-US"/>
        </w:rPr>
        <w:t>3.如乙方未能履行其合同规定的任何义务，甲方有权从履约保证金中取得补偿。</w:t>
      </w:r>
    </w:p>
    <w:p w14:paraId="467B3EE7">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第十条 甲方的权利和义务</w:t>
      </w:r>
    </w:p>
    <w:p w14:paraId="40447B75">
      <w:pPr>
        <w:spacing w:line="360" w:lineRule="auto"/>
        <w:ind w:firstLine="440" w:firstLineChars="200"/>
        <w:jc w:val="both"/>
        <w:rPr>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24F19BE6">
      <w:pPr>
        <w:spacing w:line="360" w:lineRule="auto"/>
        <w:ind w:firstLine="440" w:firstLineChars="200"/>
        <w:jc w:val="both"/>
        <w:rPr>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74F9E069">
      <w:pPr>
        <w:spacing w:line="360" w:lineRule="auto"/>
        <w:ind w:firstLine="440" w:firstLineChars="200"/>
        <w:jc w:val="both"/>
        <w:rPr>
          <w:lang w:val="en-US"/>
        </w:rPr>
      </w:pPr>
      <w:r>
        <w:rPr>
          <w:rFonts w:hint="eastAsia"/>
          <w:lang w:val="en-US"/>
        </w:rPr>
        <w:t>3、负责检查监督乙方管理工作的实施及制度的执行情况。</w:t>
      </w:r>
    </w:p>
    <w:p w14:paraId="2FBCD02A">
      <w:pPr>
        <w:spacing w:line="360" w:lineRule="auto"/>
        <w:ind w:firstLine="440" w:firstLineChars="200"/>
        <w:jc w:val="both"/>
        <w:rPr>
          <w:lang w:val="en-US"/>
        </w:rPr>
      </w:pPr>
      <w:r>
        <w:rPr>
          <w:rFonts w:hint="eastAsia"/>
          <w:lang w:val="en-US"/>
        </w:rPr>
        <w:t>4、根据本合同规定，按时向乙方支付应付服务费用。</w:t>
      </w:r>
    </w:p>
    <w:p w14:paraId="170F7077">
      <w:pPr>
        <w:spacing w:line="360" w:lineRule="auto"/>
        <w:ind w:firstLine="440" w:firstLineChars="200"/>
        <w:jc w:val="both"/>
      </w:pPr>
      <w:r>
        <w:rPr>
          <w:rFonts w:hint="eastAsia"/>
          <w:lang w:val="en-US"/>
        </w:rPr>
        <w:t xml:space="preserve">5、国家法律、法规所规定由甲方承担的其他责任    </w:t>
      </w:r>
    </w:p>
    <w:p w14:paraId="0C5B73A0">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第十一条 乙方的权利和义务</w:t>
      </w:r>
    </w:p>
    <w:p w14:paraId="366481ED">
      <w:pPr>
        <w:spacing w:line="360" w:lineRule="auto"/>
        <w:ind w:firstLine="440" w:firstLineChars="200"/>
        <w:jc w:val="both"/>
        <w:rPr>
          <w:lang w:val="en-US"/>
        </w:rPr>
      </w:pPr>
      <w:r>
        <w:rPr>
          <w:rFonts w:hint="eastAsia"/>
          <w:lang w:val="en-US"/>
        </w:rPr>
        <w:t>1、对本合同规定的委托服务范围内的项目享有管理权及服务义务。</w:t>
      </w:r>
    </w:p>
    <w:p w14:paraId="47E8A206">
      <w:pPr>
        <w:spacing w:line="360" w:lineRule="auto"/>
        <w:ind w:firstLine="440" w:firstLineChars="200"/>
        <w:jc w:val="both"/>
        <w:rPr>
          <w:lang w:val="en-US"/>
        </w:rPr>
      </w:pPr>
      <w:r>
        <w:rPr>
          <w:rFonts w:hint="eastAsia"/>
          <w:lang w:val="en-US"/>
        </w:rPr>
        <w:t>2、根据本合同的规定向甲方收取相关服务费用，并有权在本项目管理范围内管理及合理使用。</w:t>
      </w:r>
    </w:p>
    <w:p w14:paraId="4E91C63C">
      <w:pPr>
        <w:spacing w:line="360" w:lineRule="auto"/>
        <w:ind w:firstLine="440" w:firstLineChars="200"/>
        <w:jc w:val="both"/>
        <w:rPr>
          <w:lang w:val="en-US"/>
        </w:rPr>
      </w:pPr>
      <w:r>
        <w:rPr>
          <w:rFonts w:hint="eastAsia"/>
          <w:lang w:val="en-US"/>
        </w:rPr>
        <w:t>3、及时向甲方通告本项目服务范围内有关服务的重大事项，及时配合处理投诉。</w:t>
      </w:r>
    </w:p>
    <w:p w14:paraId="7A955508">
      <w:pPr>
        <w:spacing w:line="360" w:lineRule="auto"/>
        <w:ind w:firstLine="440" w:firstLineChars="200"/>
        <w:jc w:val="both"/>
        <w:rPr>
          <w:lang w:val="en-US"/>
        </w:rPr>
      </w:pPr>
      <w:r>
        <w:rPr>
          <w:rFonts w:hint="eastAsia"/>
          <w:lang w:val="en-US"/>
        </w:rPr>
        <w:t>4、接受项目行业管理部门及政府有关部门的指导，接受甲方的监督。</w:t>
      </w:r>
    </w:p>
    <w:p w14:paraId="56B84628">
      <w:pPr>
        <w:spacing w:line="360" w:lineRule="auto"/>
        <w:ind w:firstLine="440" w:firstLineChars="200"/>
        <w:jc w:val="both"/>
        <w:rPr>
          <w:lang w:val="en-US"/>
        </w:rPr>
      </w:pPr>
      <w:r>
        <w:rPr>
          <w:rFonts w:hint="eastAsia"/>
          <w:lang w:val="en-US"/>
        </w:rPr>
        <w:t>5、国家法律、法规所规定由乙方承担的其它责任。</w:t>
      </w:r>
    </w:p>
    <w:p w14:paraId="0F6EC48C">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第十二条 违约责任</w:t>
      </w:r>
    </w:p>
    <w:p w14:paraId="26554508">
      <w:pPr>
        <w:pStyle w:val="9"/>
        <w:kinsoku w:val="0"/>
        <w:overflowPunct w:val="0"/>
        <w:ind w:firstLine="420" w:firstLineChars="200"/>
        <w:jc w:val="both"/>
        <w:rPr>
          <w:kern w:val="2"/>
          <w:sz w:val="21"/>
          <w:lang w:val="en-US" w:bidi="ar-SA"/>
        </w:rPr>
      </w:pPr>
      <w:r>
        <w:rPr>
          <w:rFonts w:hint="eastAsia"/>
          <w:kern w:val="2"/>
          <w:sz w:val="21"/>
          <w:lang w:val="en-US" w:bidi="ar-SA"/>
        </w:rPr>
        <w:t>1、甲乙双方必须遵守本合同并执行合同中的各项规定，保证本合同的正常履行。</w:t>
      </w:r>
    </w:p>
    <w:p w14:paraId="53878A9F">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14:paraId="208F6E3F">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6EB7935">
      <w:pPr>
        <w:pStyle w:val="9"/>
        <w:kinsoku w:val="0"/>
        <w:overflowPunct w:val="0"/>
        <w:spacing w:line="362" w:lineRule="auto"/>
        <w:ind w:firstLine="420" w:firstLineChars="200"/>
        <w:jc w:val="both"/>
        <w:rPr>
          <w:kern w:val="2"/>
          <w:sz w:val="21"/>
          <w:lang w:val="en-US" w:bidi="ar-SA"/>
        </w:rPr>
      </w:pPr>
      <w:r>
        <w:rPr>
          <w:rFonts w:hint="eastAsia"/>
          <w:kern w:val="2"/>
          <w:sz w:val="21"/>
          <w:lang w:val="en-US" w:bidi="ar-SA"/>
        </w:rPr>
        <w:t>4、变更、中止或者终止合同，有过错的一方应当承担赔偿责任，双方都有过错的，各自承担相应的责任。</w:t>
      </w:r>
    </w:p>
    <w:p w14:paraId="6ECAEE47">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第十三条 转让与分包</w:t>
      </w:r>
    </w:p>
    <w:p w14:paraId="57C732ED">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46E811A0">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EA1E513">
      <w:pPr>
        <w:spacing w:line="360" w:lineRule="auto"/>
        <w:ind w:firstLine="440" w:firstLineChars="200"/>
        <w:jc w:val="both"/>
      </w:pPr>
      <w:r>
        <w:t>3.供应商需在响应文件中出具保证书，保证本项目不挂靠、不转包、不违法分包，一旦发现挂靠、转包、违法分包等情形，甲方有权解除合同，且供应商承诺自愿接受甲方的经济处罚及其他处罚。</w:t>
      </w:r>
    </w:p>
    <w:p w14:paraId="632CA713">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第十四条 合同文件及资料的使用</w:t>
      </w:r>
    </w:p>
    <w:p w14:paraId="240AD2FE">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乙方在未经甲方同意的情况下，不得将合同、合同中的规定、有关计划、图纸、样本或甲方为上述内容向乙方提供的资料透露给任何人。供应商在响应文件中需对上述单独做出保证，并附到响应文件中；</w:t>
      </w:r>
    </w:p>
    <w:p w14:paraId="2FCDD019">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1971B886">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第十五条 不可抗力事件处理</w:t>
      </w:r>
    </w:p>
    <w:p w14:paraId="2D698B75">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4855DC9">
      <w:pPr>
        <w:spacing w:line="360" w:lineRule="auto"/>
        <w:ind w:firstLine="440" w:firstLineChars="200"/>
        <w:jc w:val="both"/>
        <w:rPr>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DCB4824">
      <w:pPr>
        <w:pStyle w:val="9"/>
        <w:kinsoku w:val="0"/>
        <w:overflowPunct w:val="0"/>
        <w:spacing w:line="362" w:lineRule="auto"/>
        <w:ind w:firstLine="422" w:firstLineChars="200"/>
        <w:jc w:val="both"/>
        <w:rPr>
          <w:b/>
          <w:kern w:val="2"/>
          <w:sz w:val="21"/>
          <w:lang w:val="en-US" w:bidi="ar-SA"/>
        </w:rPr>
      </w:pPr>
      <w:r>
        <w:rPr>
          <w:rFonts w:hint="eastAsia"/>
          <w:b/>
          <w:kern w:val="2"/>
          <w:sz w:val="21"/>
          <w:lang w:val="en-US" w:bidi="ar-SA"/>
        </w:rPr>
        <w:t>第十六条 合同纠纷调处</w:t>
      </w:r>
    </w:p>
    <w:p w14:paraId="20A4AF4B">
      <w:pPr>
        <w:spacing w:line="360" w:lineRule="auto"/>
        <w:ind w:firstLine="440" w:firstLineChars="200"/>
        <w:jc w:val="both"/>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07BBD8D0">
      <w:pPr>
        <w:spacing w:line="360" w:lineRule="auto"/>
        <w:ind w:firstLine="440" w:firstLineChars="200"/>
        <w:jc w:val="both"/>
        <w:rPr>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6F870A52">
      <w:pPr>
        <w:spacing w:line="360" w:lineRule="auto"/>
        <w:ind w:firstLine="440" w:firstLineChars="200"/>
        <w:jc w:val="both"/>
      </w:pPr>
      <w:r>
        <w:rPr>
          <w:rFonts w:hint="eastAsia"/>
        </w:rPr>
        <w:t>3、甲、乙双方均有权利向本项目具有监管职能的政府采购监督管理部门举报反映对方在合同履约中的违法违纪行为。</w:t>
      </w:r>
    </w:p>
    <w:p w14:paraId="0918345F">
      <w:pPr>
        <w:spacing w:line="360" w:lineRule="auto"/>
        <w:ind w:firstLine="442" w:firstLineChars="200"/>
        <w:jc w:val="both"/>
        <w:rPr>
          <w:b/>
          <w:bCs/>
          <w:szCs w:val="27"/>
        </w:rPr>
      </w:pPr>
      <w:r>
        <w:rPr>
          <w:rFonts w:hint="eastAsia"/>
          <w:b/>
          <w:bCs/>
          <w:szCs w:val="27"/>
        </w:rPr>
        <w:t>第十七条 其他</w:t>
      </w:r>
    </w:p>
    <w:p w14:paraId="7990EA23">
      <w:pPr>
        <w:spacing w:line="360" w:lineRule="auto"/>
        <w:ind w:firstLine="440" w:firstLineChars="200"/>
        <w:jc w:val="both"/>
        <w:rPr>
          <w:szCs w:val="27"/>
        </w:rPr>
      </w:pP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16AAE02">
      <w:pPr>
        <w:spacing w:line="360" w:lineRule="auto"/>
        <w:ind w:firstLine="440" w:firstLineChars="200"/>
        <w:jc w:val="both"/>
        <w:rPr>
          <w:szCs w:val="27"/>
        </w:rPr>
      </w:pPr>
      <w:r>
        <w:rPr>
          <w:rFonts w:hint="eastAsia"/>
        </w:rPr>
        <w:t>本合同一式份，甲乙双方各执份，自双方当事人签字盖章之日起生效。</w:t>
      </w:r>
    </w:p>
    <w:p w14:paraId="191705E2">
      <w:pPr>
        <w:pStyle w:val="29"/>
        <w:ind w:firstLine="220"/>
      </w:pPr>
    </w:p>
    <w:p w14:paraId="782409C9">
      <w:pPr>
        <w:spacing w:line="360" w:lineRule="auto"/>
        <w:ind w:firstLine="440" w:firstLineChars="200"/>
        <w:jc w:val="both"/>
        <w:rPr>
          <w:szCs w:val="27"/>
        </w:rPr>
      </w:pPr>
      <w:r>
        <w:rPr>
          <w:rFonts w:hint="eastAsia"/>
          <w:szCs w:val="27"/>
        </w:rPr>
        <w:t xml:space="preserve">采购人（甲方）：    （公章）           供货人（乙方）：     （公章）  </w:t>
      </w:r>
    </w:p>
    <w:p w14:paraId="3C6A1B75">
      <w:pPr>
        <w:spacing w:line="360" w:lineRule="auto"/>
        <w:ind w:firstLine="440" w:firstLineChars="200"/>
        <w:jc w:val="both"/>
      </w:pPr>
      <w:r>
        <w:rPr>
          <w:rFonts w:hint="eastAsia"/>
          <w:szCs w:val="27"/>
        </w:rPr>
        <w:t>地址：                               地址：</w:t>
      </w:r>
    </w:p>
    <w:p w14:paraId="2FBAB9EA">
      <w:pPr>
        <w:spacing w:line="360" w:lineRule="auto"/>
        <w:ind w:firstLine="440" w:firstLineChars="200"/>
        <w:jc w:val="both"/>
        <w:rPr>
          <w:szCs w:val="27"/>
        </w:rPr>
      </w:pPr>
      <w:r>
        <w:rPr>
          <w:rFonts w:hint="eastAsia"/>
          <w:szCs w:val="27"/>
        </w:rPr>
        <w:t>法定代表人：                         法定代表人：</w:t>
      </w:r>
    </w:p>
    <w:p w14:paraId="7267E583">
      <w:pPr>
        <w:spacing w:line="360" w:lineRule="auto"/>
        <w:ind w:firstLine="440" w:firstLineChars="200"/>
        <w:jc w:val="both"/>
        <w:rPr>
          <w:u w:val="single"/>
        </w:rPr>
      </w:pPr>
      <w:r>
        <w:rPr>
          <w:rFonts w:hint="eastAsia"/>
          <w:szCs w:val="27"/>
        </w:rPr>
        <w:t>委托代理人：                         委托代理人：</w:t>
      </w:r>
    </w:p>
    <w:p w14:paraId="58D91F7E">
      <w:pPr>
        <w:spacing w:line="360" w:lineRule="auto"/>
        <w:ind w:firstLine="440" w:firstLineChars="200"/>
        <w:jc w:val="both"/>
      </w:pPr>
      <w:r>
        <w:rPr>
          <w:rFonts w:hint="eastAsia"/>
        </w:rPr>
        <w:t>电话：                               电话：</w:t>
      </w:r>
    </w:p>
    <w:p w14:paraId="2475D412">
      <w:pPr>
        <w:spacing w:line="360" w:lineRule="auto"/>
        <w:ind w:firstLine="440" w:firstLineChars="200"/>
        <w:jc w:val="both"/>
        <w:rPr>
          <w:szCs w:val="27"/>
        </w:rPr>
      </w:pPr>
      <w:r>
        <w:rPr>
          <w:rFonts w:hint="eastAsia"/>
          <w:szCs w:val="27"/>
        </w:rPr>
        <w:t>开户银行：                           开户银行：</w:t>
      </w:r>
    </w:p>
    <w:p w14:paraId="31E7154E">
      <w:pPr>
        <w:spacing w:line="360" w:lineRule="auto"/>
        <w:ind w:firstLine="440" w:firstLineChars="200"/>
        <w:jc w:val="both"/>
      </w:pPr>
      <w:r>
        <w:rPr>
          <w:rFonts w:hint="eastAsia"/>
          <w:szCs w:val="27"/>
        </w:rPr>
        <w:t>账号：                               账号：</w:t>
      </w:r>
    </w:p>
    <w:p w14:paraId="33794400">
      <w:pPr>
        <w:pStyle w:val="29"/>
        <w:ind w:firstLine="220"/>
        <w:jc w:val="center"/>
        <w:rPr>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5EE045A4">
      <w:pPr>
        <w:pStyle w:val="29"/>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2D452C3A">
      <w:pPr>
        <w:pStyle w:val="29"/>
        <w:ind w:firstLine="240"/>
        <w:rPr>
          <w:rFonts w:asciiTheme="minorEastAsia" w:hAnsiTheme="minorEastAsia" w:eastAsiaTheme="minorEastAsia"/>
          <w:sz w:val="24"/>
          <w:szCs w:val="24"/>
        </w:rPr>
      </w:pPr>
    </w:p>
    <w:p w14:paraId="3AAAA0E7">
      <w:pPr>
        <w:pStyle w:val="29"/>
        <w:ind w:firstLine="240"/>
        <w:rPr>
          <w:rFonts w:asciiTheme="minorEastAsia" w:hAnsiTheme="minorEastAsia" w:eastAsiaTheme="minorEastAsia"/>
          <w:sz w:val="24"/>
        </w:rPr>
      </w:pPr>
    </w:p>
    <w:p w14:paraId="5F563FCF">
      <w:pPr>
        <w:pStyle w:val="29"/>
        <w:ind w:firstLine="240"/>
        <w:rPr>
          <w:rFonts w:asciiTheme="minorEastAsia" w:hAnsiTheme="minorEastAsia" w:eastAsiaTheme="minorEastAsia"/>
          <w:sz w:val="24"/>
        </w:rPr>
      </w:pPr>
    </w:p>
    <w:p w14:paraId="12966948">
      <w:pPr>
        <w:pStyle w:val="29"/>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D2BFD41">
      <w:pPr>
        <w:pStyle w:val="29"/>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48A32EF">
      <w:pPr>
        <w:pStyle w:val="29"/>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1DB0A57">
      <w:pPr>
        <w:pStyle w:val="29"/>
        <w:spacing w:line="360" w:lineRule="auto"/>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346C5EC">
      <w:pPr>
        <w:pStyle w:val="19"/>
        <w:spacing w:before="0" w:beforeAutospacing="0" w:after="0" w:afterAutospacing="0" w:line="330" w:lineRule="atLeast"/>
        <w:rPr>
          <w:b/>
          <w:bCs/>
          <w:sz w:val="21"/>
          <w:szCs w:val="21"/>
        </w:rPr>
      </w:pPr>
    </w:p>
    <w:p w14:paraId="4B7CCA57">
      <w:pPr>
        <w:pStyle w:val="19"/>
        <w:spacing w:before="0" w:beforeAutospacing="0" w:after="0" w:afterAutospacing="0" w:line="330" w:lineRule="atLeast"/>
        <w:rPr>
          <w:b/>
          <w:bCs/>
          <w:sz w:val="21"/>
          <w:szCs w:val="21"/>
        </w:rPr>
      </w:pPr>
    </w:p>
    <w:p w14:paraId="38F20CB6">
      <w:pPr>
        <w:pStyle w:val="19"/>
        <w:spacing w:before="0" w:beforeAutospacing="0" w:after="0" w:afterAutospacing="0" w:line="330" w:lineRule="atLeast"/>
        <w:rPr>
          <w:b/>
          <w:bCs/>
          <w:sz w:val="21"/>
          <w:szCs w:val="21"/>
        </w:rPr>
      </w:pPr>
    </w:p>
    <w:p w14:paraId="5196DF1C">
      <w:pPr>
        <w:pStyle w:val="19"/>
        <w:spacing w:before="0" w:beforeAutospacing="0" w:after="0" w:afterAutospacing="0" w:line="330" w:lineRule="atLeast"/>
        <w:rPr>
          <w:b/>
          <w:bCs/>
          <w:sz w:val="21"/>
          <w:szCs w:val="21"/>
        </w:rPr>
      </w:pPr>
    </w:p>
    <w:p w14:paraId="16F9FEFB">
      <w:pPr>
        <w:pStyle w:val="19"/>
        <w:spacing w:before="0" w:beforeAutospacing="0" w:after="0" w:afterAutospacing="0" w:line="330" w:lineRule="atLeast"/>
        <w:rPr>
          <w:b/>
          <w:bCs/>
          <w:sz w:val="21"/>
          <w:szCs w:val="21"/>
        </w:rPr>
      </w:pPr>
    </w:p>
    <w:p w14:paraId="65A6322A">
      <w:pPr>
        <w:pStyle w:val="19"/>
        <w:spacing w:before="0" w:beforeAutospacing="0" w:after="0" w:afterAutospacing="0" w:line="330" w:lineRule="atLeast"/>
        <w:rPr>
          <w:b/>
          <w:bCs/>
          <w:sz w:val="21"/>
          <w:szCs w:val="21"/>
        </w:rPr>
      </w:pPr>
    </w:p>
    <w:p w14:paraId="682B495B">
      <w:pPr>
        <w:pStyle w:val="19"/>
        <w:spacing w:before="0" w:beforeAutospacing="0" w:after="0" w:afterAutospacing="0" w:line="330" w:lineRule="atLeast"/>
        <w:rPr>
          <w:b/>
          <w:bCs/>
          <w:sz w:val="21"/>
          <w:szCs w:val="21"/>
        </w:rPr>
      </w:pPr>
    </w:p>
    <w:p w14:paraId="3E18FAB9">
      <w:pPr>
        <w:pStyle w:val="19"/>
        <w:spacing w:before="0" w:beforeAutospacing="0" w:after="0" w:afterAutospacing="0" w:line="330" w:lineRule="atLeast"/>
        <w:rPr>
          <w:b/>
          <w:bCs/>
          <w:sz w:val="21"/>
          <w:szCs w:val="21"/>
        </w:rPr>
      </w:pPr>
    </w:p>
    <w:p w14:paraId="3F863EDB">
      <w:pPr>
        <w:pStyle w:val="19"/>
        <w:spacing w:before="0" w:beforeAutospacing="0" w:after="0" w:afterAutospacing="0" w:line="330" w:lineRule="atLeast"/>
        <w:rPr>
          <w:b/>
          <w:bCs/>
          <w:sz w:val="21"/>
          <w:szCs w:val="21"/>
        </w:rPr>
      </w:pPr>
    </w:p>
    <w:p w14:paraId="59EDCAA3">
      <w:pPr>
        <w:pStyle w:val="19"/>
        <w:spacing w:before="0" w:beforeAutospacing="0" w:after="0" w:afterAutospacing="0" w:line="330" w:lineRule="atLeast"/>
        <w:rPr>
          <w:b/>
          <w:bCs/>
          <w:sz w:val="21"/>
          <w:szCs w:val="21"/>
        </w:rPr>
      </w:pPr>
    </w:p>
    <w:p w14:paraId="6F482FF0">
      <w:pPr>
        <w:pStyle w:val="19"/>
        <w:spacing w:before="0" w:beforeAutospacing="0" w:after="0" w:afterAutospacing="0" w:line="330" w:lineRule="atLeast"/>
        <w:rPr>
          <w:b/>
          <w:bCs/>
          <w:sz w:val="21"/>
          <w:szCs w:val="21"/>
        </w:rPr>
      </w:pPr>
    </w:p>
    <w:p w14:paraId="417C47C6">
      <w:pPr>
        <w:pStyle w:val="19"/>
        <w:spacing w:before="0" w:beforeAutospacing="0" w:after="0" w:afterAutospacing="0" w:line="330" w:lineRule="atLeast"/>
        <w:rPr>
          <w:b/>
          <w:bCs/>
          <w:sz w:val="21"/>
          <w:szCs w:val="21"/>
        </w:rPr>
      </w:pPr>
    </w:p>
    <w:p w14:paraId="5289FE50">
      <w:pPr>
        <w:pStyle w:val="19"/>
        <w:spacing w:before="0" w:beforeAutospacing="0" w:after="0" w:afterAutospacing="0" w:line="330" w:lineRule="atLeast"/>
        <w:rPr>
          <w:b/>
          <w:bCs/>
          <w:sz w:val="21"/>
          <w:szCs w:val="21"/>
        </w:rPr>
      </w:pPr>
    </w:p>
    <w:p w14:paraId="65E1D9AE">
      <w:pPr>
        <w:pStyle w:val="19"/>
        <w:spacing w:before="0" w:beforeAutospacing="0" w:after="0" w:afterAutospacing="0" w:line="330" w:lineRule="atLeast"/>
        <w:rPr>
          <w:b/>
          <w:bCs/>
          <w:sz w:val="21"/>
          <w:szCs w:val="21"/>
        </w:rPr>
      </w:pPr>
    </w:p>
    <w:p w14:paraId="696E860A">
      <w:pPr>
        <w:pStyle w:val="19"/>
        <w:spacing w:before="0" w:beforeAutospacing="0" w:after="0" w:afterAutospacing="0" w:line="330" w:lineRule="atLeast"/>
        <w:rPr>
          <w:b/>
          <w:bCs/>
          <w:sz w:val="21"/>
          <w:szCs w:val="21"/>
        </w:rPr>
      </w:pPr>
    </w:p>
    <w:p w14:paraId="4DD5C797">
      <w:pPr>
        <w:pStyle w:val="19"/>
        <w:spacing w:before="0" w:beforeAutospacing="0" w:after="0" w:afterAutospacing="0" w:line="330" w:lineRule="atLeast"/>
        <w:rPr>
          <w:b/>
          <w:bCs/>
          <w:sz w:val="21"/>
          <w:szCs w:val="21"/>
        </w:rPr>
      </w:pPr>
    </w:p>
    <w:p w14:paraId="5533F786">
      <w:pPr>
        <w:pStyle w:val="19"/>
        <w:spacing w:before="0" w:beforeAutospacing="0" w:after="0" w:afterAutospacing="0" w:line="330" w:lineRule="atLeast"/>
        <w:rPr>
          <w:b/>
          <w:bCs/>
          <w:sz w:val="21"/>
          <w:szCs w:val="21"/>
        </w:rPr>
      </w:pPr>
    </w:p>
    <w:p w14:paraId="2F19DD36">
      <w:pPr>
        <w:pStyle w:val="19"/>
        <w:spacing w:before="0" w:beforeAutospacing="0" w:after="0" w:afterAutospacing="0" w:line="330" w:lineRule="atLeast"/>
        <w:rPr>
          <w:b/>
          <w:bCs/>
          <w:sz w:val="21"/>
          <w:szCs w:val="21"/>
        </w:rPr>
      </w:pPr>
    </w:p>
    <w:p w14:paraId="2ADFA449">
      <w:pPr>
        <w:pStyle w:val="19"/>
        <w:spacing w:before="0" w:beforeAutospacing="0" w:after="0" w:afterAutospacing="0" w:line="330" w:lineRule="atLeast"/>
        <w:rPr>
          <w:b/>
          <w:bCs/>
          <w:sz w:val="21"/>
          <w:szCs w:val="21"/>
        </w:rPr>
      </w:pPr>
    </w:p>
    <w:p w14:paraId="79975723">
      <w:pPr>
        <w:pStyle w:val="19"/>
        <w:spacing w:before="0" w:beforeAutospacing="0" w:after="0" w:afterAutospacing="0" w:line="330" w:lineRule="atLeast"/>
        <w:rPr>
          <w:b/>
          <w:bCs/>
          <w:sz w:val="21"/>
          <w:szCs w:val="21"/>
        </w:rPr>
      </w:pPr>
    </w:p>
    <w:p w14:paraId="06DB93CC">
      <w:pPr>
        <w:pStyle w:val="19"/>
        <w:spacing w:before="0" w:beforeAutospacing="0" w:after="0" w:afterAutospacing="0" w:line="330" w:lineRule="atLeast"/>
        <w:rPr>
          <w:b/>
          <w:bCs/>
          <w:sz w:val="21"/>
          <w:szCs w:val="21"/>
        </w:rPr>
      </w:pPr>
    </w:p>
    <w:p w14:paraId="410B439C">
      <w:pPr>
        <w:spacing w:before="1"/>
        <w:ind w:left="218"/>
        <w:rPr>
          <w:rFonts w:asciiTheme="minorEastAsia" w:hAnsiTheme="minorEastAsia" w:eastAsiaTheme="minorEastAsia"/>
          <w:b/>
          <w:sz w:val="28"/>
        </w:rPr>
      </w:pPr>
    </w:p>
    <w:p w14:paraId="4A9320D1"/>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627019"/>
      <w:docPartObj>
        <w:docPartGallery w:val="autotext"/>
      </w:docPartObj>
    </w:sdtPr>
    <w:sdtContent>
      <w:p w14:paraId="0F88AB93">
        <w:pPr>
          <w:pStyle w:val="13"/>
          <w:jc w:val="center"/>
        </w:pPr>
        <w:r>
          <w:fldChar w:fldCharType="begin"/>
        </w:r>
        <w:r>
          <w:instrText xml:space="preserve"> PAGE   \* MERGEFORMAT </w:instrText>
        </w:r>
        <w:r>
          <w:fldChar w:fldCharType="separate"/>
        </w:r>
        <w:r>
          <w:t>1</w:t>
        </w:r>
        <w:r>
          <w:fldChar w:fldCharType="end"/>
        </w:r>
      </w:p>
    </w:sdtContent>
  </w:sdt>
  <w:p w14:paraId="245A40C8">
    <w:pP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A4A3D">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B4C62">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B3E85">
    <w:pPr>
      <w:pStyle w:val="13"/>
    </w:pPr>
    <w:r>
      <w:pict>
        <v:shape id="文本框 6"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TiyUj5wEAAMcD&#10;AAAOAAAAAAAAAAEAIAAAAB4BAABkcnMvZTJvRG9jLnhtbFBLBQYAAAAABgAGAFkBAAB3BQAAAAA=&#10;">
          <v:path/>
          <v:fill on="f" focussize="0,0"/>
          <v:stroke on="f" joinstyle="miter"/>
          <v:imagedata o:title=""/>
          <o:lock v:ext="edit"/>
          <v:textbox inset="0mm,0mm,0mm,0mm" style="mso-fit-shape-to-text:t;">
            <w:txbxContent>
              <w:p w14:paraId="0E078E91">
                <w:pPr>
                  <w:pStyle w:val="13"/>
                </w:pPr>
                <w:r>
                  <w:fldChar w:fldCharType="begin"/>
                </w:r>
                <w:r>
                  <w:instrText xml:space="preserve"> PAGE  \* MERGEFORMAT </w:instrText>
                </w:r>
                <w:r>
                  <w:fldChar w:fldCharType="separate"/>
                </w:r>
                <w:r>
                  <w:t>6</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FFAF6">
    <w:pPr>
      <w:pStyle w:val="9"/>
      <w:spacing w:line="14" w:lineRule="auto"/>
      <w:rPr>
        <w:sz w:val="20"/>
      </w:rPr>
    </w:pPr>
    <w:r>
      <w:rPr>
        <w:sz w:val="20"/>
      </w:rPr>
      <w:pict>
        <v:shape id="文本框 7" o:spid="_x0000_s1027" o:spt="202" type="#_x0000_t202" style="position:absolute;left:0pt;margin-left:222.75pt;margin-top:-2.4pt;height:13.85pt;width:19.2pt;mso-position-horizontal-relative:margin;z-index:251660288;mso-width-relative:page;mso-height-relative:page;" filled="f" stroked="f" coordsize="21600,21600" o:gfxdata="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kovgPZAAAACQEAAA8AAAAAAAAAAQAgAAAAIgAAAGRycy9kb3ducmV2LnhtbFBLAQIUABQAAAAI&#10;AIdO4kBuLqqQ7AEAAMcDAAAOAAAAAAAAAAEAIAAAACgBAABkcnMvZTJvRG9jLnhtbFBLBQYAAAAA&#10;BgAGAFkBAACGBQAAAAA=&#10;">
          <v:path/>
          <v:fill on="f" focussize="0,0"/>
          <v:stroke on="f" joinstyle="miter"/>
          <v:imagedata o:title=""/>
          <o:lock v:ext="edit"/>
          <v:textbox inset="0mm,0mm,0mm,0mm">
            <w:txbxContent>
              <w:p w14:paraId="3C066A57">
                <w:pPr>
                  <w:pStyle w:val="13"/>
                </w:pPr>
                <w:r>
                  <w:fldChar w:fldCharType="begin"/>
                </w:r>
                <w:r>
                  <w:instrText xml:space="preserve"> PAGE  \* MERGEFORMAT </w:instrText>
                </w:r>
                <w:r>
                  <w:fldChar w:fldCharType="separate"/>
                </w:r>
                <w:r>
                  <w:t>25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96570">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54D69">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843DD">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D238B"/>
    <w:multiLevelType w:val="multilevel"/>
    <w:tmpl w:val="01DD238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44A2A9B"/>
    <w:multiLevelType w:val="multilevel"/>
    <w:tmpl w:val="044A2A9B"/>
    <w:lvl w:ilvl="0" w:tentative="0">
      <w:start w:val="1"/>
      <w:numFmt w:val="decimal"/>
      <w:lvlText w:val="7.%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7409FA"/>
    <w:multiLevelType w:val="multilevel"/>
    <w:tmpl w:val="047409FA"/>
    <w:lvl w:ilvl="0" w:tentative="0">
      <w:start w:val="1"/>
      <w:numFmt w:val="decimal"/>
      <w:lvlText w:val="%1"/>
      <w:lvlJc w:val="left"/>
      <w:pPr>
        <w:ind w:left="360" w:hanging="360"/>
      </w:pPr>
      <w:rPr>
        <w:rFonts w:hint="default"/>
      </w:rPr>
    </w:lvl>
    <w:lvl w:ilvl="1" w:tentative="0">
      <w:start w:val="1"/>
      <w:numFmt w:val="decimal"/>
      <w:suff w:val="space"/>
      <w:lvlText w:val="1.%2"/>
      <w:lvlJc w:val="left"/>
      <w:pPr>
        <w:ind w:left="0" w:firstLine="0"/>
      </w:pPr>
      <w:rPr>
        <w:rFonts w:hint="eastAsia"/>
        <w:color w:val="auto"/>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3">
    <w:nsid w:val="0B207EE0"/>
    <w:multiLevelType w:val="multilevel"/>
    <w:tmpl w:val="0B207EE0"/>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57F625E"/>
    <w:multiLevelType w:val="multilevel"/>
    <w:tmpl w:val="157F625E"/>
    <w:lvl w:ilvl="0" w:tentative="0">
      <w:start w:val="1"/>
      <w:numFmt w:val="decimal"/>
      <w:lvlText w:val="9.%1"/>
      <w:lvlJc w:val="left"/>
      <w:pPr>
        <w:ind w:left="420" w:hanging="420"/>
      </w:pPr>
      <w:rPr>
        <w:rFonts w:hint="eastAsia"/>
        <w:b w:val="0"/>
        <w:bCs/>
        <w:i w:val="0"/>
        <w:sz w:val="24"/>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6112F95"/>
    <w:multiLevelType w:val="multilevel"/>
    <w:tmpl w:val="16112F95"/>
    <w:lvl w:ilvl="0" w:tentative="0">
      <w:start w:val="1"/>
      <w:numFmt w:val="decimal"/>
      <w:lvlText w:val="%1."/>
      <w:lvlJc w:val="left"/>
      <w:pPr>
        <w:ind w:left="420" w:hanging="420"/>
      </w:pPr>
      <w:rPr>
        <w:rFonts w:hint="eastAsia"/>
      </w:rPr>
    </w:lvl>
    <w:lvl w:ilvl="1" w:tentative="0">
      <w:start w:val="0"/>
      <w:numFmt w:val="bullet"/>
      <w:lvlText w:val="▲"/>
      <w:lvlJc w:val="left"/>
      <w:pPr>
        <w:ind w:left="780" w:hanging="360"/>
      </w:pPr>
      <w:rPr>
        <w:rFonts w:hint="eastAsia" w:ascii="宋体" w:hAnsi="宋体" w:eastAsia="宋体" w:cs="Arial"/>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781748D"/>
    <w:multiLevelType w:val="multilevel"/>
    <w:tmpl w:val="1781748D"/>
    <w:lvl w:ilvl="0" w:tentative="0">
      <w:start w:val="1"/>
      <w:numFmt w:val="decimal"/>
      <w:lvlText w:val="8.%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38028C8"/>
    <w:multiLevelType w:val="multilevel"/>
    <w:tmpl w:val="238028C8"/>
    <w:lvl w:ilvl="0" w:tentative="0">
      <w:start w:val="1"/>
      <w:numFmt w:val="decimal"/>
      <w:suff w:val="space"/>
      <w:lvlText w:val="（%1）"/>
      <w:lvlJc w:val="left"/>
      <w:pPr>
        <w:ind w:left="250" w:hanging="25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5E161EB"/>
    <w:multiLevelType w:val="multilevel"/>
    <w:tmpl w:val="25E161EB"/>
    <w:lvl w:ilvl="0" w:tentative="0">
      <w:start w:val="1"/>
      <w:numFmt w:val="decimal"/>
      <w:lvlText w:val="6.%1"/>
      <w:lvlJc w:val="left"/>
      <w:pPr>
        <w:ind w:left="440" w:hanging="440"/>
      </w:pPr>
      <w:rPr>
        <w:rFonts w:hint="eastAsia" w:asciiTheme="minorEastAsia" w:hAnsiTheme="minorEastAsia" w:eastAsiaTheme="minorEastAsia"/>
        <w:b w:val="0"/>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27AF10EB"/>
    <w:multiLevelType w:val="multilevel"/>
    <w:tmpl w:val="27AF10EB"/>
    <w:lvl w:ilvl="0" w:tentative="0">
      <w:start w:val="1"/>
      <w:numFmt w:val="decimal"/>
      <w:suff w:val="space"/>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0F97BDB"/>
    <w:multiLevelType w:val="multilevel"/>
    <w:tmpl w:val="30F97BD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25D595F"/>
    <w:multiLevelType w:val="multilevel"/>
    <w:tmpl w:val="325D595F"/>
    <w:lvl w:ilvl="0" w:tentative="0">
      <w:start w:val="1"/>
      <w:numFmt w:val="decimal"/>
      <w:suff w:val="space"/>
      <w:lvlText w:val="1.%1"/>
      <w:lvlJc w:val="left"/>
      <w:pPr>
        <w:ind w:left="284" w:hanging="28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2FB72B2"/>
    <w:multiLevelType w:val="multilevel"/>
    <w:tmpl w:val="32FB72B2"/>
    <w:lvl w:ilvl="0" w:tentative="0">
      <w:start w:val="1"/>
      <w:numFmt w:val="decimal"/>
      <w:suff w:val="space"/>
      <w:lvlText w:val="3.%1"/>
      <w:lvlJc w:val="left"/>
      <w:pPr>
        <w:ind w:left="170" w:firstLine="0"/>
      </w:pPr>
      <w:rPr>
        <w:rFonts w:hint="eastAsia"/>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5FD61ED"/>
    <w:multiLevelType w:val="multilevel"/>
    <w:tmpl w:val="35FD61ED"/>
    <w:lvl w:ilvl="0" w:tentative="0">
      <w:start w:val="1"/>
      <w:numFmt w:val="decimal"/>
      <w:suff w:val="space"/>
      <w:lvlText w:val="2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A906B61"/>
    <w:multiLevelType w:val="multilevel"/>
    <w:tmpl w:val="3A906B61"/>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0F37C8B"/>
    <w:multiLevelType w:val="multilevel"/>
    <w:tmpl w:val="40F37C8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69009D9"/>
    <w:multiLevelType w:val="multilevel"/>
    <w:tmpl w:val="569009D9"/>
    <w:lvl w:ilvl="0" w:tentative="0">
      <w:start w:val="1"/>
      <w:numFmt w:val="decimal"/>
      <w:lvlText w:val="1.%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058BAAF"/>
    <w:multiLevelType w:val="singleLevel"/>
    <w:tmpl w:val="6058BAAF"/>
    <w:lvl w:ilvl="0" w:tentative="0">
      <w:start w:val="1"/>
      <w:numFmt w:val="decimal"/>
      <w:suff w:val="nothing"/>
      <w:lvlText w:val="%1、"/>
      <w:lvlJc w:val="left"/>
    </w:lvl>
  </w:abstractNum>
  <w:abstractNum w:abstractNumId="18">
    <w:nsid w:val="64E87014"/>
    <w:multiLevelType w:val="multilevel"/>
    <w:tmpl w:val="64E8701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652E5E59"/>
    <w:multiLevelType w:val="multilevel"/>
    <w:tmpl w:val="652E5E59"/>
    <w:lvl w:ilvl="0" w:tentative="0">
      <w:start w:val="1"/>
      <w:numFmt w:val="decimal"/>
      <w:suff w:val="space"/>
      <w:lvlText w:val="2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84F7082"/>
    <w:multiLevelType w:val="multilevel"/>
    <w:tmpl w:val="684F7082"/>
    <w:lvl w:ilvl="0" w:tentative="0">
      <w:start w:val="1"/>
      <w:numFmt w:val="decimal"/>
      <w:lvlText w:val="%1."/>
      <w:lvlJc w:val="left"/>
      <w:pPr>
        <w:ind w:left="420" w:hanging="420"/>
      </w:pPr>
      <w:rPr>
        <w:rFonts w:hint="eastAsia"/>
      </w:rPr>
    </w:lvl>
    <w:lvl w:ilvl="1" w:tentative="0">
      <w:start w:val="0"/>
      <w:numFmt w:val="bullet"/>
      <w:lvlText w:val="▲"/>
      <w:lvlJc w:val="left"/>
      <w:pPr>
        <w:ind w:left="780" w:hanging="360"/>
      </w:pPr>
      <w:rPr>
        <w:rFonts w:hint="eastAsia" w:ascii="宋体" w:hAnsi="宋体" w:eastAsia="宋体" w:cs="Arial"/>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9A81D21"/>
    <w:multiLevelType w:val="multilevel"/>
    <w:tmpl w:val="69A81D21"/>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2">
    <w:nsid w:val="79951150"/>
    <w:multiLevelType w:val="multilevel"/>
    <w:tmpl w:val="79951150"/>
    <w:lvl w:ilvl="0" w:tentative="0">
      <w:start w:val="1"/>
      <w:numFmt w:val="decimal"/>
      <w:lvlText w:val="3.%1"/>
      <w:lvlJc w:val="left"/>
      <w:pPr>
        <w:ind w:left="420" w:hanging="420"/>
      </w:pPr>
      <w:rPr>
        <w:rFonts w:hint="default" w:cs="Times New Roman" w:asciiTheme="minorEastAsia" w:hAnsiTheme="minorEastAsia" w:eastAsiaTheme="minorEastAsia"/>
        <w:b w:val="0"/>
        <w:bCs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AE321E6"/>
    <w:multiLevelType w:val="multilevel"/>
    <w:tmpl w:val="7AE321E6"/>
    <w:lvl w:ilvl="0" w:tentative="0">
      <w:start w:val="1"/>
      <w:numFmt w:val="decimal"/>
      <w:lvlText w:val="2.%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2"/>
  </w:num>
  <w:num w:numId="3">
    <w:abstractNumId w:val="12"/>
  </w:num>
  <w:num w:numId="4">
    <w:abstractNumId w:val="8"/>
  </w:num>
  <w:num w:numId="5">
    <w:abstractNumId w:val="6"/>
  </w:num>
  <w:num w:numId="6">
    <w:abstractNumId w:val="7"/>
  </w:num>
  <w:num w:numId="7">
    <w:abstractNumId w:val="4"/>
  </w:num>
  <w:num w:numId="8">
    <w:abstractNumId w:val="5"/>
  </w:num>
  <w:num w:numId="9">
    <w:abstractNumId w:val="9"/>
  </w:num>
  <w:num w:numId="10">
    <w:abstractNumId w:val="22"/>
  </w:num>
  <w:num w:numId="11">
    <w:abstractNumId w:val="14"/>
  </w:num>
  <w:num w:numId="12">
    <w:abstractNumId w:val="3"/>
  </w:num>
  <w:num w:numId="13">
    <w:abstractNumId w:val="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10"/>
  <w:drawingGridVerticalSpacing w:val="156"/>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1ED10308"/>
    <w:rsid w:val="000470DD"/>
    <w:rsid w:val="00056F01"/>
    <w:rsid w:val="000630C4"/>
    <w:rsid w:val="0007639F"/>
    <w:rsid w:val="0008771E"/>
    <w:rsid w:val="000A1467"/>
    <w:rsid w:val="000D1697"/>
    <w:rsid w:val="000D3A3B"/>
    <w:rsid w:val="000D5F5C"/>
    <w:rsid w:val="000E7820"/>
    <w:rsid w:val="000E7E22"/>
    <w:rsid w:val="000F56EB"/>
    <w:rsid w:val="001055AA"/>
    <w:rsid w:val="00106FD3"/>
    <w:rsid w:val="00141A46"/>
    <w:rsid w:val="00143266"/>
    <w:rsid w:val="001463DA"/>
    <w:rsid w:val="00152AE2"/>
    <w:rsid w:val="00153BA3"/>
    <w:rsid w:val="001873EA"/>
    <w:rsid w:val="00187408"/>
    <w:rsid w:val="001B48EC"/>
    <w:rsid w:val="001B72DB"/>
    <w:rsid w:val="001C2204"/>
    <w:rsid w:val="001C6398"/>
    <w:rsid w:val="001D5A68"/>
    <w:rsid w:val="001E46E0"/>
    <w:rsid w:val="00215EA7"/>
    <w:rsid w:val="0022301D"/>
    <w:rsid w:val="0024054B"/>
    <w:rsid w:val="0025124C"/>
    <w:rsid w:val="00275482"/>
    <w:rsid w:val="00292030"/>
    <w:rsid w:val="002A567E"/>
    <w:rsid w:val="002B4B5D"/>
    <w:rsid w:val="002C3FD0"/>
    <w:rsid w:val="002C7A51"/>
    <w:rsid w:val="002F6A3F"/>
    <w:rsid w:val="0030459D"/>
    <w:rsid w:val="003120C6"/>
    <w:rsid w:val="0031235F"/>
    <w:rsid w:val="00312C76"/>
    <w:rsid w:val="00321EB7"/>
    <w:rsid w:val="00323D51"/>
    <w:rsid w:val="00350A27"/>
    <w:rsid w:val="003521E2"/>
    <w:rsid w:val="00354CE1"/>
    <w:rsid w:val="0037524C"/>
    <w:rsid w:val="00376374"/>
    <w:rsid w:val="003775D0"/>
    <w:rsid w:val="00380718"/>
    <w:rsid w:val="00380E1C"/>
    <w:rsid w:val="00385884"/>
    <w:rsid w:val="003908CF"/>
    <w:rsid w:val="00392390"/>
    <w:rsid w:val="003936EF"/>
    <w:rsid w:val="00412739"/>
    <w:rsid w:val="00425F78"/>
    <w:rsid w:val="00441566"/>
    <w:rsid w:val="00447599"/>
    <w:rsid w:val="00474AA2"/>
    <w:rsid w:val="004A13A5"/>
    <w:rsid w:val="004C6C94"/>
    <w:rsid w:val="004D2B41"/>
    <w:rsid w:val="004D2E65"/>
    <w:rsid w:val="004F4C33"/>
    <w:rsid w:val="00504B9E"/>
    <w:rsid w:val="00530630"/>
    <w:rsid w:val="00557740"/>
    <w:rsid w:val="00577952"/>
    <w:rsid w:val="00581696"/>
    <w:rsid w:val="0058369C"/>
    <w:rsid w:val="005878CE"/>
    <w:rsid w:val="005A1E66"/>
    <w:rsid w:val="005A49B8"/>
    <w:rsid w:val="005B3F45"/>
    <w:rsid w:val="005C06B5"/>
    <w:rsid w:val="00623F6A"/>
    <w:rsid w:val="00624C6E"/>
    <w:rsid w:val="0062526B"/>
    <w:rsid w:val="00660583"/>
    <w:rsid w:val="00677834"/>
    <w:rsid w:val="00692760"/>
    <w:rsid w:val="006D272C"/>
    <w:rsid w:val="006D2A46"/>
    <w:rsid w:val="006E65E0"/>
    <w:rsid w:val="006E74F9"/>
    <w:rsid w:val="00711D4E"/>
    <w:rsid w:val="00730D94"/>
    <w:rsid w:val="007375BA"/>
    <w:rsid w:val="00787EC6"/>
    <w:rsid w:val="007A39DA"/>
    <w:rsid w:val="007A5003"/>
    <w:rsid w:val="007B4ADE"/>
    <w:rsid w:val="007C5F86"/>
    <w:rsid w:val="007C7C80"/>
    <w:rsid w:val="007D775F"/>
    <w:rsid w:val="007F46B0"/>
    <w:rsid w:val="008014D9"/>
    <w:rsid w:val="00806379"/>
    <w:rsid w:val="0081246D"/>
    <w:rsid w:val="00830C84"/>
    <w:rsid w:val="00864D19"/>
    <w:rsid w:val="0087229D"/>
    <w:rsid w:val="0089036D"/>
    <w:rsid w:val="008E3C19"/>
    <w:rsid w:val="008F57CD"/>
    <w:rsid w:val="009023D0"/>
    <w:rsid w:val="00907B26"/>
    <w:rsid w:val="0093190B"/>
    <w:rsid w:val="009833BD"/>
    <w:rsid w:val="009A0B1B"/>
    <w:rsid w:val="009B528B"/>
    <w:rsid w:val="009D060D"/>
    <w:rsid w:val="009E6B29"/>
    <w:rsid w:val="009F5ADB"/>
    <w:rsid w:val="00A16489"/>
    <w:rsid w:val="00A37980"/>
    <w:rsid w:val="00A379C9"/>
    <w:rsid w:val="00A50916"/>
    <w:rsid w:val="00A7267A"/>
    <w:rsid w:val="00A97124"/>
    <w:rsid w:val="00AD51F1"/>
    <w:rsid w:val="00B02B52"/>
    <w:rsid w:val="00B2367C"/>
    <w:rsid w:val="00B31425"/>
    <w:rsid w:val="00B52993"/>
    <w:rsid w:val="00B5572C"/>
    <w:rsid w:val="00B57A13"/>
    <w:rsid w:val="00B80EC6"/>
    <w:rsid w:val="00B97EA5"/>
    <w:rsid w:val="00BB0BAD"/>
    <w:rsid w:val="00BD6E91"/>
    <w:rsid w:val="00BE1DDA"/>
    <w:rsid w:val="00BE2B06"/>
    <w:rsid w:val="00C10239"/>
    <w:rsid w:val="00C12E24"/>
    <w:rsid w:val="00C2579E"/>
    <w:rsid w:val="00C337F5"/>
    <w:rsid w:val="00C53310"/>
    <w:rsid w:val="00CA1499"/>
    <w:rsid w:val="00CB3B83"/>
    <w:rsid w:val="00CC366E"/>
    <w:rsid w:val="00CC48C5"/>
    <w:rsid w:val="00CD4E5E"/>
    <w:rsid w:val="00CD78D8"/>
    <w:rsid w:val="00D00C12"/>
    <w:rsid w:val="00D2114E"/>
    <w:rsid w:val="00D2232F"/>
    <w:rsid w:val="00D378EB"/>
    <w:rsid w:val="00D400F6"/>
    <w:rsid w:val="00D53AED"/>
    <w:rsid w:val="00D543BB"/>
    <w:rsid w:val="00D83093"/>
    <w:rsid w:val="00DA78AD"/>
    <w:rsid w:val="00DB6276"/>
    <w:rsid w:val="00DB636E"/>
    <w:rsid w:val="00DC4BED"/>
    <w:rsid w:val="00DC5602"/>
    <w:rsid w:val="00DD39EE"/>
    <w:rsid w:val="00DF129A"/>
    <w:rsid w:val="00DF4023"/>
    <w:rsid w:val="00E00810"/>
    <w:rsid w:val="00E269C0"/>
    <w:rsid w:val="00E36551"/>
    <w:rsid w:val="00E370DB"/>
    <w:rsid w:val="00E473FC"/>
    <w:rsid w:val="00E620C2"/>
    <w:rsid w:val="00EF0F59"/>
    <w:rsid w:val="00F02735"/>
    <w:rsid w:val="00F0758F"/>
    <w:rsid w:val="00F14638"/>
    <w:rsid w:val="00F21EB3"/>
    <w:rsid w:val="00F234E8"/>
    <w:rsid w:val="00F32933"/>
    <w:rsid w:val="00F52ED5"/>
    <w:rsid w:val="00F62856"/>
    <w:rsid w:val="00F84AE4"/>
    <w:rsid w:val="00F85DFE"/>
    <w:rsid w:val="00F90586"/>
    <w:rsid w:val="00FA020C"/>
    <w:rsid w:val="00FB660F"/>
    <w:rsid w:val="00FD1A04"/>
    <w:rsid w:val="00FD3963"/>
    <w:rsid w:val="00FD745B"/>
    <w:rsid w:val="00FE6530"/>
    <w:rsid w:val="0DF00984"/>
    <w:rsid w:val="0EC47A70"/>
    <w:rsid w:val="107378DF"/>
    <w:rsid w:val="18E77229"/>
    <w:rsid w:val="18F85F7A"/>
    <w:rsid w:val="1CBA46E1"/>
    <w:rsid w:val="1ED10308"/>
    <w:rsid w:val="22E542B8"/>
    <w:rsid w:val="245B3106"/>
    <w:rsid w:val="292661EF"/>
    <w:rsid w:val="2A815A10"/>
    <w:rsid w:val="2D850B71"/>
    <w:rsid w:val="3076266C"/>
    <w:rsid w:val="35822A03"/>
    <w:rsid w:val="35B53FBD"/>
    <w:rsid w:val="36CD7594"/>
    <w:rsid w:val="36DE22FC"/>
    <w:rsid w:val="3DA959CA"/>
    <w:rsid w:val="3F3B0B46"/>
    <w:rsid w:val="457A48DC"/>
    <w:rsid w:val="469A0A47"/>
    <w:rsid w:val="47637D9A"/>
    <w:rsid w:val="4AC40AD3"/>
    <w:rsid w:val="5367691E"/>
    <w:rsid w:val="559B4B94"/>
    <w:rsid w:val="55EE109D"/>
    <w:rsid w:val="57A00397"/>
    <w:rsid w:val="5C8555C9"/>
    <w:rsid w:val="5DBF4DC1"/>
    <w:rsid w:val="5E31494A"/>
    <w:rsid w:val="64A91C00"/>
    <w:rsid w:val="64CD4B95"/>
    <w:rsid w:val="65A3544F"/>
    <w:rsid w:val="67483581"/>
    <w:rsid w:val="680C4DB4"/>
    <w:rsid w:val="69BC080C"/>
    <w:rsid w:val="75412B9C"/>
    <w:rsid w:val="78E952D1"/>
    <w:rsid w:val="7BC82AD2"/>
    <w:rsid w:val="7FD66D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39"/>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4"/>
    <w:basedOn w:val="1"/>
    <w:next w:val="1"/>
    <w:link w:val="4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5">
    <w:name w:val="heading 5"/>
    <w:basedOn w:val="1"/>
    <w:next w:val="1"/>
    <w:link w:val="44"/>
    <w:semiHidden/>
    <w:unhideWhenUsed/>
    <w:qFormat/>
    <w:uiPriority w:val="0"/>
    <w:pPr>
      <w:keepNext/>
      <w:keepLines/>
      <w:spacing w:before="280" w:after="290" w:line="376" w:lineRule="auto"/>
      <w:outlineLvl w:val="4"/>
    </w:pPr>
    <w:rPr>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36"/>
    <w:qFormat/>
    <w:uiPriority w:val="0"/>
    <w:rPr>
      <w:sz w:val="18"/>
      <w:szCs w:val="18"/>
    </w:rPr>
  </w:style>
  <w:style w:type="paragraph" w:styleId="8">
    <w:name w:val="annotation text"/>
    <w:basedOn w:val="1"/>
    <w:link w:val="42"/>
    <w:qFormat/>
    <w:uiPriority w:val="0"/>
  </w:style>
  <w:style w:type="paragraph" w:styleId="9">
    <w:name w:val="Body Text"/>
    <w:basedOn w:val="1"/>
    <w:link w:val="40"/>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Balloon Text"/>
    <w:basedOn w:val="1"/>
    <w:link w:val="35"/>
    <w:qFormat/>
    <w:uiPriority w:val="0"/>
    <w:rPr>
      <w:sz w:val="18"/>
      <w:szCs w:val="18"/>
    </w:rPr>
  </w:style>
  <w:style w:type="paragraph" w:styleId="13">
    <w:name w:val="footer"/>
    <w:basedOn w:val="1"/>
    <w:link w:val="41"/>
    <w:qFormat/>
    <w:uiPriority w:val="99"/>
    <w:pPr>
      <w:tabs>
        <w:tab w:val="center" w:pos="4153"/>
        <w:tab w:val="right" w:pos="8306"/>
      </w:tabs>
      <w:snapToGrid w:val="0"/>
    </w:pPr>
    <w:rPr>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toc 2"/>
    <w:basedOn w:val="1"/>
    <w:next w:val="1"/>
    <w:qFormat/>
    <w:uiPriority w:val="39"/>
    <w:pPr>
      <w:ind w:left="420" w:leftChars="200"/>
    </w:pPr>
  </w:style>
  <w:style w:type="paragraph" w:styleId="18">
    <w:name w:val="Body Text 2"/>
    <w:basedOn w:val="1"/>
    <w:link w:val="45"/>
    <w:unhideWhenUsed/>
    <w:qFormat/>
    <w:uiPriority w:val="99"/>
    <w:pPr>
      <w:autoSpaceDE/>
      <w:autoSpaceDN/>
      <w:spacing w:after="120" w:line="480" w:lineRule="auto"/>
      <w:jc w:val="both"/>
    </w:pPr>
    <w:rPr>
      <w:rFonts w:asciiTheme="minorHAnsi" w:hAnsiTheme="minorHAnsi" w:eastAsiaTheme="minorEastAsia" w:cstheme="minorBidi"/>
      <w:kern w:val="2"/>
      <w:sz w:val="21"/>
      <w:lang w:val="en-US" w:bidi="ar-SA"/>
    </w:r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Emphasis"/>
    <w:basedOn w:val="23"/>
    <w:qFormat/>
    <w:uiPriority w:val="0"/>
    <w:rPr>
      <w:i/>
    </w:rPr>
  </w:style>
  <w:style w:type="character" w:styleId="26">
    <w:name w:val="Hyperlink"/>
    <w:basedOn w:val="23"/>
    <w:unhideWhenUsed/>
    <w:qFormat/>
    <w:uiPriority w:val="99"/>
    <w:rPr>
      <w:color w:val="0026E5" w:themeColor="hyperlink"/>
      <w:u w:val="single"/>
    </w:rPr>
  </w:style>
  <w:style w:type="character" w:styleId="27">
    <w:name w:val="annotation reference"/>
    <w:basedOn w:val="23"/>
    <w:qFormat/>
    <w:uiPriority w:val="0"/>
    <w:rPr>
      <w:sz w:val="21"/>
      <w:szCs w:val="21"/>
    </w:rPr>
  </w:style>
  <w:style w:type="paragraph" w:customStyle="1" w:styleId="2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BodyText1I"/>
    <w:basedOn w:val="30"/>
    <w:qFormat/>
    <w:uiPriority w:val="99"/>
    <w:pPr>
      <w:ind w:firstLine="420" w:firstLineChars="100"/>
    </w:pPr>
  </w:style>
  <w:style w:type="paragraph" w:customStyle="1" w:styleId="30">
    <w:name w:val="BodyText"/>
    <w:basedOn w:val="1"/>
    <w:qFormat/>
    <w:uiPriority w:val="99"/>
    <w:pPr>
      <w:spacing w:after="120"/>
    </w:pPr>
  </w:style>
  <w:style w:type="paragraph" w:customStyle="1" w:styleId="31">
    <w:name w:val="正文文本缩进1"/>
    <w:basedOn w:val="1"/>
    <w:qFormat/>
    <w:uiPriority w:val="0"/>
    <w:pPr>
      <w:widowControl/>
      <w:spacing w:line="400" w:lineRule="exact"/>
      <w:ind w:firstLine="420" w:firstLineChars="200"/>
    </w:pPr>
    <w:rPr>
      <w:sz w:val="20"/>
      <w:szCs w:val="20"/>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Char Char Char Char Char Char Char1 Char"/>
    <w:basedOn w:val="1"/>
    <w:qFormat/>
    <w:uiPriority w:val="0"/>
    <w:rPr>
      <w:rFonts w:ascii="Tahoma" w:hAnsi="Tahoma"/>
    </w:rPr>
  </w:style>
  <w:style w:type="character" w:customStyle="1" w:styleId="34">
    <w:name w:val="页眉 Char"/>
    <w:basedOn w:val="23"/>
    <w:link w:val="14"/>
    <w:qFormat/>
    <w:uiPriority w:val="99"/>
    <w:rPr>
      <w:rFonts w:ascii="宋体" w:hAnsi="宋体" w:cs="宋体"/>
      <w:sz w:val="18"/>
      <w:szCs w:val="18"/>
      <w:lang w:val="zh-CN" w:bidi="zh-CN"/>
    </w:rPr>
  </w:style>
  <w:style w:type="character" w:customStyle="1" w:styleId="35">
    <w:name w:val="批注框文本 Char"/>
    <w:basedOn w:val="23"/>
    <w:link w:val="12"/>
    <w:qFormat/>
    <w:uiPriority w:val="0"/>
    <w:rPr>
      <w:rFonts w:ascii="宋体" w:hAnsi="宋体" w:cs="宋体"/>
      <w:sz w:val="18"/>
      <w:szCs w:val="18"/>
      <w:lang w:val="zh-CN" w:bidi="zh-CN"/>
    </w:rPr>
  </w:style>
  <w:style w:type="character" w:customStyle="1" w:styleId="36">
    <w:name w:val="文档结构图 Char"/>
    <w:basedOn w:val="23"/>
    <w:link w:val="7"/>
    <w:qFormat/>
    <w:uiPriority w:val="0"/>
    <w:rPr>
      <w:rFonts w:ascii="宋体" w:hAnsi="宋体" w:cs="宋体"/>
      <w:sz w:val="18"/>
      <w:szCs w:val="18"/>
      <w:lang w:val="zh-CN" w:bidi="zh-CN"/>
    </w:rPr>
  </w:style>
  <w:style w:type="paragraph" w:styleId="37">
    <w:name w:val="List Paragraph"/>
    <w:basedOn w:val="1"/>
    <w:link w:val="46"/>
    <w:qFormat/>
    <w:uiPriority w:val="34"/>
    <w:pPr>
      <w:ind w:left="218" w:firstLine="239"/>
    </w:pPr>
  </w:style>
  <w:style w:type="table" w:customStyle="1" w:styleId="38">
    <w:name w:val="网格型1"/>
    <w:basedOn w:val="21"/>
    <w:qFormat/>
    <w:uiPriority w:val="59"/>
    <w:rPr>
      <w:rFonts w:ascii="Calibri" w:hAnsi="Calibri"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9">
    <w:name w:val="标题 1 Char"/>
    <w:basedOn w:val="23"/>
    <w:link w:val="2"/>
    <w:qFormat/>
    <w:uiPriority w:val="1"/>
    <w:rPr>
      <w:rFonts w:ascii="宋体" w:hAnsi="宋体" w:cs="宋体"/>
      <w:b/>
      <w:bCs/>
      <w:sz w:val="44"/>
      <w:szCs w:val="44"/>
      <w:lang w:val="zh-CN" w:bidi="zh-CN"/>
    </w:rPr>
  </w:style>
  <w:style w:type="character" w:customStyle="1" w:styleId="40">
    <w:name w:val="正文文本 Char"/>
    <w:basedOn w:val="23"/>
    <w:link w:val="9"/>
    <w:qFormat/>
    <w:uiPriority w:val="1"/>
    <w:rPr>
      <w:rFonts w:ascii="宋体" w:hAnsi="宋体" w:cs="宋体"/>
      <w:sz w:val="24"/>
      <w:szCs w:val="24"/>
      <w:lang w:val="zh-CN" w:bidi="zh-CN"/>
    </w:rPr>
  </w:style>
  <w:style w:type="character" w:customStyle="1" w:styleId="41">
    <w:name w:val="页脚 Char"/>
    <w:basedOn w:val="23"/>
    <w:link w:val="13"/>
    <w:qFormat/>
    <w:uiPriority w:val="99"/>
    <w:rPr>
      <w:rFonts w:ascii="宋体" w:hAnsi="宋体" w:cs="宋体"/>
      <w:sz w:val="18"/>
      <w:szCs w:val="18"/>
      <w:lang w:val="zh-CN" w:bidi="zh-CN"/>
    </w:rPr>
  </w:style>
  <w:style w:type="character" w:customStyle="1" w:styleId="42">
    <w:name w:val="批注文字 Char"/>
    <w:basedOn w:val="23"/>
    <w:link w:val="8"/>
    <w:qFormat/>
    <w:uiPriority w:val="0"/>
    <w:rPr>
      <w:rFonts w:ascii="宋体" w:hAnsi="宋体" w:cs="宋体"/>
      <w:sz w:val="22"/>
      <w:szCs w:val="22"/>
      <w:lang w:val="zh-CN" w:bidi="zh-CN"/>
    </w:rPr>
  </w:style>
  <w:style w:type="character" w:customStyle="1" w:styleId="43">
    <w:name w:val="标题 4 Char"/>
    <w:basedOn w:val="23"/>
    <w:link w:val="4"/>
    <w:semiHidden/>
    <w:qFormat/>
    <w:uiPriority w:val="0"/>
    <w:rPr>
      <w:rFonts w:asciiTheme="majorHAnsi" w:hAnsiTheme="majorHAnsi" w:eastAsiaTheme="majorEastAsia" w:cstheme="majorBidi"/>
      <w:b/>
      <w:bCs/>
      <w:sz w:val="28"/>
      <w:szCs w:val="28"/>
      <w:lang w:val="zh-CN" w:bidi="zh-CN"/>
    </w:rPr>
  </w:style>
  <w:style w:type="character" w:customStyle="1" w:styleId="44">
    <w:name w:val="标题 5 Char"/>
    <w:basedOn w:val="23"/>
    <w:link w:val="5"/>
    <w:semiHidden/>
    <w:qFormat/>
    <w:uiPriority w:val="0"/>
    <w:rPr>
      <w:rFonts w:ascii="宋体" w:hAnsi="宋体" w:cs="宋体"/>
      <w:b/>
      <w:bCs/>
      <w:sz w:val="28"/>
      <w:szCs w:val="28"/>
      <w:lang w:val="zh-CN" w:bidi="zh-CN"/>
    </w:rPr>
  </w:style>
  <w:style w:type="character" w:customStyle="1" w:styleId="45">
    <w:name w:val="正文文本 2 Char"/>
    <w:basedOn w:val="23"/>
    <w:link w:val="18"/>
    <w:qFormat/>
    <w:uiPriority w:val="99"/>
    <w:rPr>
      <w:rFonts w:asciiTheme="minorHAnsi" w:hAnsiTheme="minorHAnsi" w:eastAsiaTheme="minorEastAsia" w:cstheme="minorBidi"/>
      <w:kern w:val="2"/>
      <w:sz w:val="21"/>
      <w:szCs w:val="22"/>
    </w:rPr>
  </w:style>
  <w:style w:type="character" w:customStyle="1" w:styleId="46">
    <w:name w:val="列出段落 Char"/>
    <w:link w:val="37"/>
    <w:qFormat/>
    <w:locked/>
    <w:uiPriority w:val="34"/>
    <w:rPr>
      <w:rFonts w:ascii="宋体" w:hAnsi="宋体" w:cs="宋体"/>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49</Pages>
  <Words>13113</Words>
  <Characters>13980</Characters>
  <Lines>190</Lines>
  <Paragraphs>53</Paragraphs>
  <TotalTime>2</TotalTime>
  <ScaleCrop>false</ScaleCrop>
  <LinksUpToDate>false</LinksUpToDate>
  <CharactersWithSpaces>14161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2025-12-17T08:03:00Z</dcterms:created>
  <dc:creator>Administrator</dc:creator>
  <cp:lastModifiedBy>Administrator</cp:lastModifiedBy>
  <dcterms:modified xsi:type="dcterms:W3CDTF">2026-01-12T07:23:51Z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DF4DF12224514FD7BDE0194B9F5E6B53_13</vt:lpwstr>
  </property>
  <property fmtid="{D5CDD505-2E9C-101B-9397-08002B2CF9AE}" pid="4" name="KSOTemplateDocerSaveRecord">
    <vt:lpwstr>eyJoZGlkIjoiMWQ5NTFkZjg3ZTFjOWE3NmM0NWZmYWUyYjc2ODE4NjMifQ==</vt:lpwstr>
  </property>
</Properties>
</file>