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B9676F">
      <w:pPr>
        <w:spacing w:line="360" w:lineRule="auto"/>
        <w:rPr>
          <w:rFonts w:ascii="仿宋" w:hAnsi="仿宋" w:eastAsia="仿宋" w:cs="仿宋"/>
          <w:b/>
          <w:sz w:val="30"/>
          <w:szCs w:val="30"/>
        </w:rPr>
      </w:pPr>
    </w:p>
    <w:p w14:paraId="2A2FC389">
      <w:pPr>
        <w:spacing w:line="360" w:lineRule="auto"/>
        <w:jc w:val="center"/>
        <w:rPr>
          <w:rFonts w:hint="eastAsia" w:ascii="仿宋" w:hAnsi="仿宋" w:eastAsia="仿宋" w:cs="仿宋"/>
          <w:b/>
          <w:snapToGrid w:val="0"/>
          <w:spacing w:val="-23"/>
          <w:kern w:val="0"/>
          <w:sz w:val="52"/>
          <w:szCs w:val="52"/>
          <w:highlight w:val="yellow"/>
          <w:lang w:eastAsia="zh-CN"/>
        </w:rPr>
      </w:pPr>
      <w:r>
        <w:rPr>
          <w:rFonts w:hint="eastAsia" w:ascii="仿宋" w:hAnsi="仿宋" w:eastAsia="仿宋" w:cs="仿宋"/>
          <w:b/>
          <w:snapToGrid w:val="0"/>
          <w:spacing w:val="-23"/>
          <w:kern w:val="0"/>
          <w:sz w:val="44"/>
          <w:szCs w:val="44"/>
          <w:lang w:eastAsia="zh-CN"/>
        </w:rPr>
        <w:t>洛宁县污水处理厂设施提标改造设备更新项目（一期）</w:t>
      </w:r>
    </w:p>
    <w:p w14:paraId="48B9FA2E">
      <w:pPr>
        <w:pStyle w:val="8"/>
        <w:adjustRightInd w:val="0"/>
        <w:snapToGrid w:val="0"/>
        <w:ind w:firstLine="0"/>
        <w:rPr>
          <w:rFonts w:ascii="仿宋" w:hAnsi="仿宋" w:eastAsia="仿宋" w:cs="仿宋"/>
          <w:b/>
          <w:sz w:val="48"/>
          <w:szCs w:val="48"/>
        </w:rPr>
      </w:pPr>
    </w:p>
    <w:p w14:paraId="0FF9C4AF">
      <w:pPr>
        <w:pStyle w:val="8"/>
        <w:adjustRightInd w:val="0"/>
        <w:snapToGrid w:val="0"/>
        <w:ind w:firstLine="0"/>
        <w:jc w:val="center"/>
        <w:rPr>
          <w:rFonts w:hint="eastAsia" w:ascii="仿宋" w:hAnsi="仿宋" w:eastAsia="仿宋" w:cs="仿宋"/>
          <w:b/>
          <w:sz w:val="72"/>
          <w:szCs w:val="72"/>
        </w:rPr>
      </w:pPr>
      <w:r>
        <w:rPr>
          <w:rFonts w:hint="eastAsia" w:ascii="仿宋" w:hAnsi="仿宋" w:eastAsia="仿宋" w:cs="仿宋"/>
          <w:b/>
          <w:sz w:val="72"/>
          <w:szCs w:val="72"/>
        </w:rPr>
        <w:t>招 标 文 件</w:t>
      </w:r>
    </w:p>
    <w:p w14:paraId="745A75B9">
      <w:pPr>
        <w:pStyle w:val="8"/>
        <w:adjustRightInd w:val="0"/>
        <w:snapToGrid w:val="0"/>
        <w:ind w:firstLine="0"/>
        <w:jc w:val="center"/>
        <w:rPr>
          <w:rFonts w:hint="eastAsia" w:ascii="仿宋" w:hAnsi="仿宋" w:eastAsia="仿宋" w:cs="仿宋"/>
          <w:b/>
          <w:sz w:val="72"/>
          <w:szCs w:val="72"/>
        </w:rPr>
      </w:pPr>
    </w:p>
    <w:p w14:paraId="67F10958">
      <w:pPr>
        <w:pStyle w:val="29"/>
        <w:keepNext w:val="0"/>
        <w:keepLines w:val="0"/>
        <w:pageBreakBefore w:val="0"/>
        <w:widowControl/>
        <w:kinsoku/>
        <w:wordWrap/>
        <w:overflowPunct/>
        <w:topLinePunct w:val="0"/>
        <w:autoSpaceDE/>
        <w:autoSpaceDN/>
        <w:bidi w:val="0"/>
        <w:adjustRightInd/>
        <w:snapToGrid/>
        <w:spacing w:line="240" w:lineRule="auto"/>
        <w:ind w:firstLine="1941" w:firstLineChars="767"/>
        <w:textAlignment w:val="auto"/>
        <w:rPr>
          <w:rFonts w:hint="eastAsia" w:ascii="仿宋" w:hAnsi="仿宋" w:eastAsia="仿宋" w:cs="仿宋"/>
          <w:b/>
          <w:w w:val="90"/>
          <w:kern w:val="2"/>
          <w:sz w:val="28"/>
          <w:szCs w:val="28"/>
          <w:lang w:val="en-US" w:eastAsia="zh-CN" w:bidi="ar-SA"/>
        </w:rPr>
      </w:pPr>
      <w:r>
        <w:rPr>
          <w:rFonts w:hint="eastAsia" w:ascii="仿宋" w:hAnsi="仿宋" w:eastAsia="仿宋" w:cs="仿宋"/>
          <w:b/>
          <w:w w:val="90"/>
          <w:kern w:val="2"/>
          <w:sz w:val="28"/>
          <w:szCs w:val="28"/>
          <w:lang w:val="en-US" w:eastAsia="zh-CN" w:bidi="ar-SA"/>
        </w:rPr>
        <w:t>项目编号：洛宁公开-2025-60</w:t>
      </w:r>
    </w:p>
    <w:p w14:paraId="1D7970E0">
      <w:pPr>
        <w:keepNext w:val="0"/>
        <w:keepLines w:val="0"/>
        <w:pageBreakBefore w:val="0"/>
        <w:kinsoku/>
        <w:wordWrap/>
        <w:overflowPunct/>
        <w:topLinePunct w:val="0"/>
        <w:autoSpaceDE/>
        <w:autoSpaceDN/>
        <w:bidi w:val="0"/>
        <w:adjustRightInd/>
        <w:snapToGrid/>
        <w:spacing w:before="360" w:beforeLines="150" w:line="240" w:lineRule="auto"/>
        <w:jc w:val="center"/>
        <w:textAlignment w:val="auto"/>
        <w:rPr>
          <w:rFonts w:hint="eastAsia" w:ascii="仿宋" w:hAnsi="仿宋" w:eastAsia="仿宋" w:cs="仿宋"/>
          <w:b/>
          <w:w w:val="90"/>
          <w:kern w:val="2"/>
          <w:sz w:val="28"/>
          <w:szCs w:val="28"/>
          <w:lang w:val="en-US" w:eastAsia="zh-CN" w:bidi="ar-SA"/>
        </w:rPr>
      </w:pPr>
      <w:r>
        <w:rPr>
          <w:rFonts w:hint="eastAsia" w:ascii="仿宋" w:hAnsi="仿宋" w:eastAsia="仿宋" w:cs="仿宋"/>
          <w:b/>
          <w:w w:val="90"/>
          <w:kern w:val="2"/>
          <w:sz w:val="28"/>
          <w:szCs w:val="28"/>
          <w:lang w:val="en-US" w:eastAsia="zh-CN" w:bidi="ar-SA"/>
        </w:rPr>
        <w:t>招标编号：洛直工货招标(2025)0033号</w:t>
      </w:r>
    </w:p>
    <w:p w14:paraId="109E73E2">
      <w:pPr>
        <w:pStyle w:val="12"/>
        <w:rPr>
          <w:rFonts w:hint="eastAsia"/>
        </w:rPr>
      </w:pPr>
    </w:p>
    <w:p w14:paraId="6E6BC7A8">
      <w:pPr>
        <w:jc w:val="center"/>
        <w:rPr>
          <w:rFonts w:hint="eastAsia" w:ascii="宋体" w:hAnsi="宋体" w:eastAsia="宋体" w:cs="宋体"/>
          <w:kern w:val="2"/>
          <w:sz w:val="44"/>
          <w:szCs w:val="22"/>
          <w:lang w:val="en-US" w:eastAsia="zh-CN" w:bidi="ar-SA"/>
        </w:rPr>
      </w:pPr>
      <w:r>
        <w:rPr>
          <w:rFonts w:hint="eastAsia"/>
        </w:rPr>
        <w:drawing>
          <wp:anchor distT="0" distB="0" distL="114300" distR="114300" simplePos="0" relativeHeight="251659264" behindDoc="0" locked="0" layoutInCell="1" allowOverlap="1">
            <wp:simplePos x="0" y="0"/>
            <wp:positionH relativeFrom="column">
              <wp:posOffset>1438275</wp:posOffset>
            </wp:positionH>
            <wp:positionV relativeFrom="paragraph">
              <wp:posOffset>131445</wp:posOffset>
            </wp:positionV>
            <wp:extent cx="2254250" cy="2072640"/>
            <wp:effectExtent l="0" t="0" r="12700" b="3810"/>
            <wp:wrapNone/>
            <wp:docPr id="15" name="图片 5" descr="527e2141cbcaaf0c05ab33f3dfb70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527e2141cbcaaf0c05ab33f3dfb700e"/>
                    <pic:cNvPicPr>
                      <a:picLocks noChangeAspect="1"/>
                    </pic:cNvPicPr>
                  </pic:nvPicPr>
                  <pic:blipFill>
                    <a:blip r:embed="rId10"/>
                    <a:srcRect l="18571" t="13159" r="20872" b="12517"/>
                    <a:stretch>
                      <a:fillRect/>
                    </a:stretch>
                  </pic:blipFill>
                  <pic:spPr>
                    <a:xfrm>
                      <a:off x="0" y="0"/>
                      <a:ext cx="2254250" cy="2072640"/>
                    </a:xfrm>
                    <a:prstGeom prst="rect">
                      <a:avLst/>
                    </a:prstGeom>
                    <a:noFill/>
                    <a:ln>
                      <a:noFill/>
                    </a:ln>
                  </pic:spPr>
                </pic:pic>
              </a:graphicData>
            </a:graphic>
          </wp:anchor>
        </w:drawing>
      </w:r>
    </w:p>
    <w:p w14:paraId="5CFFCE9F">
      <w:pPr>
        <w:jc w:val="center"/>
        <w:rPr>
          <w:rFonts w:hint="eastAsia" w:ascii="宋体" w:hAnsi="宋体" w:eastAsia="宋体" w:cs="宋体"/>
          <w:kern w:val="2"/>
          <w:sz w:val="44"/>
          <w:szCs w:val="22"/>
          <w:lang w:val="en-US" w:eastAsia="zh-CN" w:bidi="ar-SA"/>
        </w:rPr>
      </w:pPr>
    </w:p>
    <w:p w14:paraId="5EFF5D32">
      <w:pPr>
        <w:jc w:val="center"/>
        <w:rPr>
          <w:rFonts w:hint="eastAsia" w:ascii="宋体" w:hAnsi="宋体" w:eastAsia="宋体" w:cs="宋体"/>
          <w:kern w:val="2"/>
          <w:sz w:val="44"/>
          <w:szCs w:val="22"/>
          <w:lang w:val="en-US" w:eastAsia="zh-CN" w:bidi="ar-SA"/>
        </w:rPr>
      </w:pPr>
    </w:p>
    <w:p w14:paraId="7A8E9DCB">
      <w:pPr>
        <w:jc w:val="center"/>
        <w:rPr>
          <w:rFonts w:hint="eastAsia" w:ascii="宋体" w:hAnsi="宋体" w:eastAsia="宋体" w:cs="宋体"/>
          <w:kern w:val="2"/>
          <w:sz w:val="44"/>
          <w:szCs w:val="22"/>
          <w:lang w:val="en-US" w:eastAsia="zh-CN" w:bidi="ar-SA"/>
        </w:rPr>
      </w:pPr>
    </w:p>
    <w:p w14:paraId="37D76966">
      <w:pPr>
        <w:pStyle w:val="40"/>
        <w:rPr>
          <w:rFonts w:ascii="仿宋" w:hAnsi="仿宋" w:eastAsia="仿宋" w:cs="仿宋"/>
          <w:b/>
          <w:color w:val="auto"/>
          <w:w w:val="90"/>
          <w:sz w:val="32"/>
          <w:szCs w:val="32"/>
        </w:rPr>
      </w:pPr>
    </w:p>
    <w:p w14:paraId="2831DFBF">
      <w:pPr>
        <w:rPr>
          <w:rFonts w:ascii="仿宋" w:hAnsi="仿宋" w:eastAsia="仿宋" w:cs="仿宋"/>
          <w:b/>
          <w:color w:val="auto"/>
          <w:w w:val="90"/>
          <w:sz w:val="32"/>
          <w:szCs w:val="32"/>
        </w:rPr>
      </w:pPr>
    </w:p>
    <w:p w14:paraId="11DC4099">
      <w:pPr>
        <w:pStyle w:val="12"/>
        <w:rPr>
          <w:rFonts w:ascii="仿宋" w:hAnsi="仿宋" w:eastAsia="仿宋" w:cs="仿宋"/>
          <w:b/>
          <w:color w:val="auto"/>
          <w:w w:val="90"/>
          <w:sz w:val="32"/>
          <w:szCs w:val="32"/>
        </w:rPr>
      </w:pPr>
    </w:p>
    <w:p w14:paraId="16197862"/>
    <w:p w14:paraId="0A7B3951">
      <w:pPr>
        <w:spacing w:line="360" w:lineRule="auto"/>
        <w:ind w:firstLine="1134" w:firstLineChars="392"/>
        <w:rPr>
          <w:rFonts w:hint="eastAsia" w:ascii="仿宋" w:hAnsi="仿宋" w:eastAsia="仿宋" w:cs="仿宋"/>
          <w:b/>
          <w:w w:val="90"/>
          <w:sz w:val="32"/>
          <w:szCs w:val="32"/>
        </w:rPr>
      </w:pPr>
    </w:p>
    <w:p w14:paraId="5DF34126">
      <w:pPr>
        <w:spacing w:line="360" w:lineRule="auto"/>
        <w:ind w:firstLine="1134" w:firstLineChars="392"/>
        <w:rPr>
          <w:rFonts w:hint="eastAsia" w:ascii="仿宋" w:hAnsi="仿宋" w:eastAsia="仿宋" w:cs="仿宋"/>
          <w:b/>
          <w:w w:val="90"/>
          <w:sz w:val="32"/>
          <w:szCs w:val="32"/>
          <w:lang w:eastAsia="zh-CN"/>
        </w:rPr>
      </w:pPr>
      <w:r>
        <w:rPr>
          <w:rFonts w:hint="eastAsia" w:ascii="仿宋" w:hAnsi="仿宋" w:eastAsia="仿宋" w:cs="仿宋"/>
          <w:b/>
          <w:w w:val="90"/>
          <w:sz w:val="32"/>
          <w:szCs w:val="32"/>
        </w:rPr>
        <w:t>招   标   人：</w:t>
      </w:r>
      <w:r>
        <w:rPr>
          <w:rFonts w:hint="eastAsia" w:ascii="仿宋" w:hAnsi="仿宋" w:eastAsia="仿宋" w:cs="仿宋"/>
          <w:b/>
          <w:w w:val="90"/>
          <w:sz w:val="32"/>
          <w:szCs w:val="32"/>
          <w:lang w:eastAsia="zh-CN"/>
        </w:rPr>
        <w:t>洛宁县住房和城乡建设局</w:t>
      </w:r>
    </w:p>
    <w:p w14:paraId="58173980">
      <w:pPr>
        <w:spacing w:line="360" w:lineRule="auto"/>
        <w:ind w:firstLine="1134" w:firstLineChars="392"/>
        <w:rPr>
          <w:rFonts w:hint="eastAsia" w:ascii="仿宋" w:hAnsi="仿宋" w:eastAsia="仿宋" w:cs="仿宋"/>
          <w:b/>
          <w:w w:val="90"/>
          <w:sz w:val="32"/>
          <w:szCs w:val="32"/>
          <w:lang w:eastAsia="zh-CN"/>
        </w:rPr>
      </w:pPr>
      <w:r>
        <w:rPr>
          <w:rFonts w:hint="eastAsia" w:ascii="仿宋" w:hAnsi="仿宋" w:eastAsia="仿宋" w:cs="仿宋"/>
          <w:b/>
          <w:w w:val="90"/>
          <w:sz w:val="32"/>
          <w:szCs w:val="32"/>
        </w:rPr>
        <w:t>招标代理机构：</w:t>
      </w:r>
      <w:bookmarkStart w:id="0" w:name="_Toc39397063"/>
      <w:r>
        <w:rPr>
          <w:rFonts w:hint="eastAsia" w:ascii="仿宋" w:hAnsi="仿宋" w:eastAsia="仿宋" w:cs="仿宋"/>
          <w:b/>
          <w:w w:val="90"/>
          <w:sz w:val="32"/>
          <w:szCs w:val="32"/>
          <w:lang w:eastAsia="zh-CN"/>
        </w:rPr>
        <w:t>河南中宝工程管理服务有限公司</w:t>
      </w:r>
    </w:p>
    <w:p w14:paraId="0E05D685">
      <w:pPr>
        <w:spacing w:line="360" w:lineRule="auto"/>
        <w:ind w:firstLine="1134" w:firstLineChars="392"/>
        <w:rPr>
          <w:rFonts w:ascii="仿宋" w:hAnsi="仿宋" w:eastAsia="仿宋" w:cs="仿宋"/>
          <w:b/>
          <w:w w:val="90"/>
          <w:sz w:val="32"/>
          <w:szCs w:val="32"/>
          <w:highlight w:val="none"/>
        </w:rPr>
      </w:pPr>
      <w:r>
        <w:rPr>
          <w:rFonts w:hint="eastAsia" w:ascii="仿宋" w:hAnsi="仿宋" w:eastAsia="仿宋" w:cs="仿宋"/>
          <w:b/>
          <w:w w:val="90"/>
          <w:sz w:val="32"/>
          <w:szCs w:val="32"/>
          <w:highlight w:val="none"/>
        </w:rPr>
        <w:t xml:space="preserve">日         期: </w:t>
      </w:r>
      <w:bookmarkEnd w:id="0"/>
      <w:r>
        <w:rPr>
          <w:rFonts w:hint="eastAsia" w:ascii="仿宋" w:hAnsi="仿宋" w:eastAsia="仿宋" w:cs="仿宋"/>
          <w:b/>
          <w:w w:val="90"/>
          <w:sz w:val="32"/>
          <w:szCs w:val="32"/>
          <w:highlight w:val="none"/>
        </w:rPr>
        <w:t>二〇二五年</w:t>
      </w:r>
      <w:r>
        <w:rPr>
          <w:rFonts w:hint="eastAsia" w:ascii="仿宋" w:hAnsi="仿宋" w:eastAsia="仿宋" w:cs="仿宋"/>
          <w:b/>
          <w:color w:val="auto"/>
          <w:w w:val="90"/>
          <w:sz w:val="32"/>
          <w:szCs w:val="32"/>
          <w:highlight w:val="none"/>
          <w:lang w:val="en-US" w:eastAsia="zh-CN"/>
        </w:rPr>
        <w:t>十二</w:t>
      </w:r>
      <w:r>
        <w:rPr>
          <w:rFonts w:hint="eastAsia" w:ascii="仿宋" w:hAnsi="仿宋" w:eastAsia="仿宋" w:cs="仿宋"/>
          <w:b/>
          <w:color w:val="auto"/>
          <w:w w:val="90"/>
          <w:sz w:val="32"/>
          <w:szCs w:val="32"/>
          <w:highlight w:val="none"/>
        </w:rPr>
        <w:t>月</w:t>
      </w:r>
    </w:p>
    <w:p w14:paraId="110358D4">
      <w:pPr>
        <w:spacing w:line="360" w:lineRule="auto"/>
        <w:rPr>
          <w:rFonts w:ascii="仿宋" w:hAnsi="仿宋" w:eastAsia="仿宋" w:cs="仿宋"/>
          <w:sz w:val="28"/>
        </w:rPr>
      </w:pPr>
    </w:p>
    <w:p w14:paraId="4BD32451">
      <w:pPr>
        <w:rPr>
          <w:rFonts w:ascii="仿宋" w:hAnsi="仿宋" w:eastAsia="仿宋" w:cs="仿宋"/>
          <w:sz w:val="40"/>
          <w:szCs w:val="24"/>
          <w:lang w:val="zh-CN"/>
        </w:rPr>
      </w:pPr>
      <w:bookmarkStart w:id="1" w:name="_Toc20808"/>
      <w:bookmarkStart w:id="2" w:name="_Toc27673"/>
      <w:bookmarkStart w:id="3" w:name="_Toc185327301"/>
      <w:bookmarkStart w:id="4" w:name="_Toc144974479"/>
      <w:bookmarkStart w:id="5" w:name="_Toc152045511"/>
      <w:bookmarkStart w:id="6" w:name="_Toc152042287"/>
      <w:r>
        <w:drawing>
          <wp:inline distT="0" distB="0" distL="114300" distR="114300">
            <wp:extent cx="5273040" cy="693420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273040" cy="6934200"/>
                    </a:xfrm>
                    <a:prstGeom prst="rect">
                      <a:avLst/>
                    </a:prstGeom>
                    <a:noFill/>
                    <a:ln>
                      <a:noFill/>
                    </a:ln>
                  </pic:spPr>
                </pic:pic>
              </a:graphicData>
            </a:graphic>
          </wp:inline>
        </w:drawing>
      </w:r>
    </w:p>
    <w:p w14:paraId="5747CE86">
      <w:pPr>
        <w:pStyle w:val="40"/>
        <w:rPr>
          <w:lang w:val="zh-CN"/>
        </w:rPr>
      </w:pPr>
    </w:p>
    <w:p w14:paraId="5E11F31C">
      <w:pPr>
        <w:rPr>
          <w:rFonts w:hint="eastAsia" w:ascii="仿宋" w:hAnsi="仿宋" w:eastAsia="仿宋" w:cs="仿宋"/>
          <w:sz w:val="40"/>
          <w:szCs w:val="24"/>
          <w:lang w:val="zh-CN"/>
        </w:rPr>
      </w:pPr>
      <w:r>
        <w:rPr>
          <w:rFonts w:hint="eastAsia" w:ascii="仿宋" w:hAnsi="仿宋" w:eastAsia="仿宋" w:cs="仿宋"/>
          <w:sz w:val="40"/>
          <w:szCs w:val="24"/>
          <w:lang w:val="zh-CN"/>
        </w:rPr>
        <w:br w:type="page"/>
      </w:r>
    </w:p>
    <w:p w14:paraId="4D6BA1BE">
      <w:pPr>
        <w:rPr>
          <w:rFonts w:hint="eastAsia" w:ascii="仿宋" w:hAnsi="仿宋" w:eastAsia="仿宋" w:cs="仿宋"/>
          <w:sz w:val="40"/>
          <w:szCs w:val="24"/>
          <w:lang w:val="zh-CN"/>
        </w:rPr>
      </w:pPr>
      <w:r>
        <w:drawing>
          <wp:inline distT="0" distB="0" distL="114300" distR="114300">
            <wp:extent cx="5273040" cy="6669405"/>
            <wp:effectExtent l="0" t="0" r="3810" b="1714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a:stretch>
                      <a:fillRect/>
                    </a:stretch>
                  </pic:blipFill>
                  <pic:spPr>
                    <a:xfrm>
                      <a:off x="0" y="0"/>
                      <a:ext cx="5273040" cy="6669405"/>
                    </a:xfrm>
                    <a:prstGeom prst="rect">
                      <a:avLst/>
                    </a:prstGeom>
                    <a:noFill/>
                    <a:ln>
                      <a:noFill/>
                    </a:ln>
                  </pic:spPr>
                </pic:pic>
              </a:graphicData>
            </a:graphic>
          </wp:inline>
        </w:drawing>
      </w:r>
    </w:p>
    <w:p w14:paraId="23DC7FA0">
      <w:pPr>
        <w:rPr>
          <w:rFonts w:hint="eastAsia" w:ascii="仿宋" w:hAnsi="仿宋" w:eastAsia="仿宋" w:cs="仿宋"/>
          <w:sz w:val="40"/>
          <w:szCs w:val="24"/>
          <w:lang w:val="zh-CN"/>
        </w:rPr>
      </w:pPr>
      <w:r>
        <w:rPr>
          <w:rFonts w:hint="eastAsia" w:ascii="仿宋" w:hAnsi="仿宋" w:eastAsia="仿宋" w:cs="仿宋"/>
          <w:sz w:val="40"/>
          <w:szCs w:val="24"/>
          <w:lang w:val="zh-CN"/>
        </w:rPr>
        <w:br w:type="page"/>
      </w:r>
    </w:p>
    <w:p w14:paraId="71A869A3">
      <w:pPr>
        <w:pStyle w:val="48"/>
        <w:jc w:val="center"/>
        <w:outlineLvl w:val="1"/>
        <w:rPr>
          <w:rFonts w:ascii="仿宋" w:hAnsi="仿宋" w:eastAsia="仿宋" w:cs="仿宋"/>
          <w:b w:val="0"/>
          <w:color w:val="auto"/>
          <w:szCs w:val="28"/>
        </w:rPr>
      </w:pPr>
      <w:r>
        <w:rPr>
          <w:rFonts w:hint="eastAsia" w:ascii="仿宋" w:hAnsi="仿宋" w:eastAsia="仿宋" w:cs="仿宋"/>
          <w:b w:val="0"/>
          <w:color w:val="auto"/>
          <w:szCs w:val="28"/>
          <w:lang w:val="zh-CN"/>
        </w:rPr>
        <w:t>目  录</w:t>
      </w:r>
      <w:bookmarkEnd w:id="1"/>
      <w:bookmarkEnd w:id="2"/>
      <w:bookmarkEnd w:id="3"/>
    </w:p>
    <w:p w14:paraId="64E984B4">
      <w:pPr>
        <w:pStyle w:val="22"/>
        <w:tabs>
          <w:tab w:val="right" w:leader="dot" w:pos="8630"/>
        </w:tabs>
        <w:jc w:val="center"/>
        <w:rPr>
          <w:rFonts w:ascii="仿宋" w:hAnsi="仿宋" w:eastAsia="仿宋" w:cs="仿宋"/>
        </w:rPr>
      </w:pPr>
    </w:p>
    <w:p w14:paraId="03FCC910">
      <w:pPr>
        <w:pStyle w:val="22"/>
        <w:tabs>
          <w:tab w:val="right" w:leader="dot" w:pos="8306"/>
        </w:tabs>
        <w:spacing w:line="360" w:lineRule="auto"/>
        <w:rPr>
          <w:sz w:val="28"/>
          <w:szCs w:val="32"/>
        </w:rPr>
      </w:pPr>
      <w:r>
        <w:rPr>
          <w:rFonts w:ascii="仿宋" w:hAnsi="仿宋" w:eastAsia="仿宋" w:cs="仿宋"/>
          <w:sz w:val="36"/>
          <w:szCs w:val="40"/>
        </w:rPr>
        <w:fldChar w:fldCharType="begin"/>
      </w:r>
      <w:r>
        <w:rPr>
          <w:rFonts w:ascii="仿宋" w:hAnsi="仿宋" w:eastAsia="仿宋" w:cs="仿宋"/>
          <w:sz w:val="36"/>
          <w:szCs w:val="40"/>
        </w:rPr>
        <w:instrText xml:space="preserve">TOC \o "1-1" \h \u </w:instrText>
      </w:r>
      <w:r>
        <w:rPr>
          <w:rFonts w:ascii="仿宋" w:hAnsi="仿宋" w:eastAsia="仿宋" w:cs="仿宋"/>
          <w:sz w:val="36"/>
          <w:szCs w:val="40"/>
        </w:rPr>
        <w:fldChar w:fldCharType="separate"/>
      </w:r>
      <w:r>
        <w:rPr>
          <w:rFonts w:ascii="仿宋" w:hAnsi="仿宋" w:eastAsia="仿宋" w:cs="仿宋"/>
          <w:sz w:val="28"/>
          <w:szCs w:val="40"/>
        </w:rPr>
        <w:fldChar w:fldCharType="begin"/>
      </w:r>
      <w:r>
        <w:rPr>
          <w:rFonts w:ascii="仿宋" w:hAnsi="仿宋" w:eastAsia="仿宋" w:cs="仿宋"/>
          <w:sz w:val="28"/>
          <w:szCs w:val="40"/>
        </w:rPr>
        <w:instrText xml:space="preserve"> HYPERLINK \l _Toc5588 </w:instrText>
      </w:r>
      <w:r>
        <w:rPr>
          <w:rFonts w:ascii="仿宋" w:hAnsi="仿宋" w:eastAsia="仿宋" w:cs="仿宋"/>
          <w:sz w:val="28"/>
          <w:szCs w:val="40"/>
        </w:rPr>
        <w:fldChar w:fldCharType="separate"/>
      </w:r>
      <w:r>
        <w:rPr>
          <w:rFonts w:hint="eastAsia" w:ascii="仿宋" w:hAnsi="仿宋" w:eastAsia="仿宋" w:cs="仿宋"/>
          <w:sz w:val="28"/>
          <w:szCs w:val="44"/>
        </w:rPr>
        <w:t>第一章 招标公告</w:t>
      </w:r>
      <w:r>
        <w:rPr>
          <w:sz w:val="28"/>
          <w:szCs w:val="32"/>
        </w:rPr>
        <w:tab/>
      </w:r>
      <w:r>
        <w:rPr>
          <w:sz w:val="28"/>
          <w:szCs w:val="32"/>
        </w:rPr>
        <w:fldChar w:fldCharType="begin"/>
      </w:r>
      <w:r>
        <w:rPr>
          <w:sz w:val="28"/>
          <w:szCs w:val="32"/>
        </w:rPr>
        <w:instrText xml:space="preserve"> PAGEREF _Toc5588 \h </w:instrText>
      </w:r>
      <w:r>
        <w:rPr>
          <w:sz w:val="28"/>
          <w:szCs w:val="32"/>
        </w:rPr>
        <w:fldChar w:fldCharType="separate"/>
      </w:r>
      <w:r>
        <w:rPr>
          <w:sz w:val="28"/>
          <w:szCs w:val="32"/>
        </w:rPr>
        <w:t>5</w:t>
      </w:r>
      <w:r>
        <w:rPr>
          <w:sz w:val="28"/>
          <w:szCs w:val="32"/>
        </w:rPr>
        <w:fldChar w:fldCharType="end"/>
      </w:r>
      <w:r>
        <w:rPr>
          <w:rFonts w:ascii="仿宋" w:hAnsi="仿宋" w:eastAsia="仿宋" w:cs="仿宋"/>
          <w:sz w:val="28"/>
          <w:szCs w:val="40"/>
        </w:rPr>
        <w:fldChar w:fldCharType="end"/>
      </w:r>
    </w:p>
    <w:p w14:paraId="3974A534">
      <w:pPr>
        <w:pStyle w:val="22"/>
        <w:tabs>
          <w:tab w:val="right" w:leader="dot" w:pos="8306"/>
        </w:tabs>
        <w:spacing w:line="360" w:lineRule="auto"/>
        <w:rPr>
          <w:sz w:val="28"/>
          <w:szCs w:val="32"/>
        </w:rPr>
      </w:pPr>
      <w:r>
        <w:rPr>
          <w:rFonts w:ascii="仿宋" w:hAnsi="仿宋" w:eastAsia="仿宋" w:cs="仿宋"/>
          <w:sz w:val="28"/>
          <w:szCs w:val="40"/>
        </w:rPr>
        <w:fldChar w:fldCharType="begin"/>
      </w:r>
      <w:r>
        <w:rPr>
          <w:rFonts w:ascii="仿宋" w:hAnsi="仿宋" w:eastAsia="仿宋" w:cs="仿宋"/>
          <w:sz w:val="28"/>
          <w:szCs w:val="40"/>
        </w:rPr>
        <w:instrText xml:space="preserve"> HYPERLINK \l _Toc14098 </w:instrText>
      </w:r>
      <w:r>
        <w:rPr>
          <w:rFonts w:ascii="仿宋" w:hAnsi="仿宋" w:eastAsia="仿宋" w:cs="仿宋"/>
          <w:sz w:val="28"/>
          <w:szCs w:val="40"/>
        </w:rPr>
        <w:fldChar w:fldCharType="separate"/>
      </w:r>
      <w:r>
        <w:rPr>
          <w:rFonts w:hint="eastAsia" w:ascii="仿宋" w:hAnsi="仿宋" w:eastAsia="仿宋" w:cs="仿宋"/>
          <w:sz w:val="28"/>
          <w:szCs w:val="44"/>
          <w:lang w:val="en-US" w:eastAsia="zh-CN"/>
        </w:rPr>
        <w:t xml:space="preserve">第二章 </w:t>
      </w:r>
      <w:r>
        <w:rPr>
          <w:rFonts w:hint="eastAsia" w:ascii="仿宋" w:hAnsi="仿宋" w:eastAsia="仿宋" w:cs="仿宋"/>
          <w:sz w:val="28"/>
          <w:szCs w:val="44"/>
        </w:rPr>
        <w:t>投标人须知</w:t>
      </w:r>
      <w:r>
        <w:rPr>
          <w:sz w:val="28"/>
          <w:szCs w:val="32"/>
        </w:rPr>
        <w:tab/>
      </w:r>
      <w:r>
        <w:rPr>
          <w:sz w:val="28"/>
          <w:szCs w:val="32"/>
        </w:rPr>
        <w:fldChar w:fldCharType="begin"/>
      </w:r>
      <w:r>
        <w:rPr>
          <w:sz w:val="28"/>
          <w:szCs w:val="32"/>
        </w:rPr>
        <w:instrText xml:space="preserve"> PAGEREF _Toc14098 \h </w:instrText>
      </w:r>
      <w:r>
        <w:rPr>
          <w:sz w:val="28"/>
          <w:szCs w:val="32"/>
        </w:rPr>
        <w:fldChar w:fldCharType="separate"/>
      </w:r>
      <w:r>
        <w:rPr>
          <w:sz w:val="28"/>
          <w:szCs w:val="32"/>
        </w:rPr>
        <w:t>8</w:t>
      </w:r>
      <w:r>
        <w:rPr>
          <w:sz w:val="28"/>
          <w:szCs w:val="32"/>
        </w:rPr>
        <w:fldChar w:fldCharType="end"/>
      </w:r>
      <w:r>
        <w:rPr>
          <w:rFonts w:ascii="仿宋" w:hAnsi="仿宋" w:eastAsia="仿宋" w:cs="仿宋"/>
          <w:sz w:val="28"/>
          <w:szCs w:val="40"/>
        </w:rPr>
        <w:fldChar w:fldCharType="end"/>
      </w:r>
    </w:p>
    <w:p w14:paraId="7ABD0C32">
      <w:pPr>
        <w:pStyle w:val="22"/>
        <w:tabs>
          <w:tab w:val="right" w:leader="dot" w:pos="8306"/>
        </w:tabs>
        <w:spacing w:line="360" w:lineRule="auto"/>
        <w:rPr>
          <w:sz w:val="28"/>
          <w:szCs w:val="32"/>
        </w:rPr>
      </w:pPr>
      <w:r>
        <w:rPr>
          <w:rFonts w:ascii="仿宋" w:hAnsi="仿宋" w:eastAsia="仿宋" w:cs="仿宋"/>
          <w:sz w:val="28"/>
          <w:szCs w:val="40"/>
        </w:rPr>
        <w:fldChar w:fldCharType="begin"/>
      </w:r>
      <w:r>
        <w:rPr>
          <w:rFonts w:ascii="仿宋" w:hAnsi="仿宋" w:eastAsia="仿宋" w:cs="仿宋"/>
          <w:sz w:val="28"/>
          <w:szCs w:val="40"/>
        </w:rPr>
        <w:instrText xml:space="preserve"> HYPERLINK \l _Toc8834 </w:instrText>
      </w:r>
      <w:r>
        <w:rPr>
          <w:rFonts w:ascii="仿宋" w:hAnsi="仿宋" w:eastAsia="仿宋" w:cs="仿宋"/>
          <w:sz w:val="28"/>
          <w:szCs w:val="40"/>
        </w:rPr>
        <w:fldChar w:fldCharType="separate"/>
      </w:r>
      <w:r>
        <w:rPr>
          <w:rFonts w:hint="eastAsia" w:ascii="仿宋" w:hAnsi="仿宋" w:eastAsia="仿宋" w:cs="仿宋"/>
          <w:sz w:val="28"/>
          <w:szCs w:val="44"/>
        </w:rPr>
        <w:t xml:space="preserve">第三章 </w:t>
      </w:r>
      <w:r>
        <w:rPr>
          <w:rFonts w:hint="eastAsia" w:ascii="仿宋" w:hAnsi="仿宋" w:eastAsia="仿宋" w:cs="仿宋"/>
          <w:sz w:val="28"/>
          <w:szCs w:val="44"/>
          <w:lang w:eastAsia="zh-CN"/>
        </w:rPr>
        <w:t>评标办法</w:t>
      </w:r>
      <w:r>
        <w:rPr>
          <w:sz w:val="28"/>
          <w:szCs w:val="32"/>
        </w:rPr>
        <w:tab/>
      </w:r>
      <w:r>
        <w:rPr>
          <w:sz w:val="28"/>
          <w:szCs w:val="32"/>
        </w:rPr>
        <w:fldChar w:fldCharType="begin"/>
      </w:r>
      <w:r>
        <w:rPr>
          <w:sz w:val="28"/>
          <w:szCs w:val="32"/>
        </w:rPr>
        <w:instrText xml:space="preserve"> PAGEREF _Toc8834 \h </w:instrText>
      </w:r>
      <w:r>
        <w:rPr>
          <w:sz w:val="28"/>
          <w:szCs w:val="32"/>
        </w:rPr>
        <w:fldChar w:fldCharType="separate"/>
      </w:r>
      <w:r>
        <w:rPr>
          <w:sz w:val="28"/>
          <w:szCs w:val="32"/>
        </w:rPr>
        <w:t>30</w:t>
      </w:r>
      <w:r>
        <w:rPr>
          <w:sz w:val="28"/>
          <w:szCs w:val="32"/>
        </w:rPr>
        <w:fldChar w:fldCharType="end"/>
      </w:r>
      <w:r>
        <w:rPr>
          <w:rFonts w:ascii="仿宋" w:hAnsi="仿宋" w:eastAsia="仿宋" w:cs="仿宋"/>
          <w:sz w:val="28"/>
          <w:szCs w:val="40"/>
        </w:rPr>
        <w:fldChar w:fldCharType="end"/>
      </w:r>
    </w:p>
    <w:p w14:paraId="4BA9A871">
      <w:pPr>
        <w:pStyle w:val="22"/>
        <w:tabs>
          <w:tab w:val="right" w:leader="dot" w:pos="8306"/>
        </w:tabs>
        <w:spacing w:line="360" w:lineRule="auto"/>
        <w:rPr>
          <w:sz w:val="28"/>
          <w:szCs w:val="32"/>
        </w:rPr>
      </w:pPr>
      <w:r>
        <w:rPr>
          <w:rFonts w:ascii="仿宋" w:hAnsi="仿宋" w:eastAsia="仿宋" w:cs="仿宋"/>
          <w:sz w:val="28"/>
          <w:szCs w:val="40"/>
        </w:rPr>
        <w:fldChar w:fldCharType="begin"/>
      </w:r>
      <w:r>
        <w:rPr>
          <w:rFonts w:ascii="仿宋" w:hAnsi="仿宋" w:eastAsia="仿宋" w:cs="仿宋"/>
          <w:sz w:val="28"/>
          <w:szCs w:val="40"/>
        </w:rPr>
        <w:instrText xml:space="preserve"> HYPERLINK \l _Toc10805 </w:instrText>
      </w:r>
      <w:r>
        <w:rPr>
          <w:rFonts w:ascii="仿宋" w:hAnsi="仿宋" w:eastAsia="仿宋" w:cs="仿宋"/>
          <w:sz w:val="28"/>
          <w:szCs w:val="40"/>
        </w:rPr>
        <w:fldChar w:fldCharType="separate"/>
      </w:r>
      <w:r>
        <w:rPr>
          <w:rFonts w:hint="eastAsia" w:ascii="仿宋" w:hAnsi="仿宋" w:eastAsia="仿宋" w:cs="仿宋"/>
          <w:sz w:val="28"/>
          <w:szCs w:val="44"/>
        </w:rPr>
        <w:t>第四章 合同条款及格式</w:t>
      </w:r>
      <w:r>
        <w:rPr>
          <w:sz w:val="28"/>
          <w:szCs w:val="32"/>
        </w:rPr>
        <w:tab/>
      </w:r>
      <w:r>
        <w:rPr>
          <w:sz w:val="28"/>
          <w:szCs w:val="32"/>
        </w:rPr>
        <w:fldChar w:fldCharType="begin"/>
      </w:r>
      <w:r>
        <w:rPr>
          <w:sz w:val="28"/>
          <w:szCs w:val="32"/>
        </w:rPr>
        <w:instrText xml:space="preserve"> PAGEREF _Toc10805 \h </w:instrText>
      </w:r>
      <w:r>
        <w:rPr>
          <w:sz w:val="28"/>
          <w:szCs w:val="32"/>
        </w:rPr>
        <w:fldChar w:fldCharType="separate"/>
      </w:r>
      <w:r>
        <w:rPr>
          <w:sz w:val="28"/>
          <w:szCs w:val="32"/>
        </w:rPr>
        <w:t>37</w:t>
      </w:r>
      <w:r>
        <w:rPr>
          <w:sz w:val="28"/>
          <w:szCs w:val="32"/>
        </w:rPr>
        <w:fldChar w:fldCharType="end"/>
      </w:r>
      <w:r>
        <w:rPr>
          <w:rFonts w:ascii="仿宋" w:hAnsi="仿宋" w:eastAsia="仿宋" w:cs="仿宋"/>
          <w:sz w:val="28"/>
          <w:szCs w:val="40"/>
        </w:rPr>
        <w:fldChar w:fldCharType="end"/>
      </w:r>
    </w:p>
    <w:p w14:paraId="12C4FB7A">
      <w:pPr>
        <w:pStyle w:val="22"/>
        <w:tabs>
          <w:tab w:val="right" w:leader="dot" w:pos="8306"/>
        </w:tabs>
        <w:spacing w:line="360" w:lineRule="auto"/>
        <w:rPr>
          <w:sz w:val="28"/>
          <w:szCs w:val="32"/>
        </w:rPr>
      </w:pPr>
      <w:r>
        <w:rPr>
          <w:rFonts w:ascii="仿宋" w:hAnsi="仿宋" w:eastAsia="仿宋" w:cs="仿宋"/>
          <w:sz w:val="28"/>
          <w:szCs w:val="40"/>
        </w:rPr>
        <w:fldChar w:fldCharType="begin"/>
      </w:r>
      <w:r>
        <w:rPr>
          <w:rFonts w:ascii="仿宋" w:hAnsi="仿宋" w:eastAsia="仿宋" w:cs="仿宋"/>
          <w:sz w:val="28"/>
          <w:szCs w:val="40"/>
        </w:rPr>
        <w:instrText xml:space="preserve"> HYPERLINK \l _Toc20526 </w:instrText>
      </w:r>
      <w:r>
        <w:rPr>
          <w:rFonts w:ascii="仿宋" w:hAnsi="仿宋" w:eastAsia="仿宋" w:cs="仿宋"/>
          <w:sz w:val="28"/>
          <w:szCs w:val="40"/>
        </w:rPr>
        <w:fldChar w:fldCharType="separate"/>
      </w:r>
      <w:r>
        <w:rPr>
          <w:rFonts w:hint="eastAsia" w:ascii="仿宋" w:hAnsi="仿宋" w:eastAsia="仿宋" w:cs="仿宋"/>
          <w:sz w:val="28"/>
          <w:szCs w:val="44"/>
        </w:rPr>
        <w:t>第五章 供货</w:t>
      </w:r>
      <w:r>
        <w:rPr>
          <w:rFonts w:hint="eastAsia" w:ascii="仿宋" w:hAnsi="仿宋" w:eastAsia="仿宋" w:cs="仿宋"/>
          <w:sz w:val="28"/>
          <w:szCs w:val="44"/>
          <w:lang w:eastAsia="zh-CN"/>
        </w:rPr>
        <w:t>具体</w:t>
      </w:r>
      <w:r>
        <w:rPr>
          <w:rFonts w:hint="eastAsia" w:ascii="仿宋" w:hAnsi="仿宋" w:eastAsia="仿宋" w:cs="仿宋"/>
          <w:sz w:val="28"/>
          <w:szCs w:val="44"/>
        </w:rPr>
        <w:t>要求</w:t>
      </w:r>
      <w:r>
        <w:rPr>
          <w:sz w:val="28"/>
          <w:szCs w:val="32"/>
        </w:rPr>
        <w:tab/>
      </w:r>
      <w:r>
        <w:rPr>
          <w:sz w:val="28"/>
          <w:szCs w:val="32"/>
        </w:rPr>
        <w:fldChar w:fldCharType="begin"/>
      </w:r>
      <w:r>
        <w:rPr>
          <w:sz w:val="28"/>
          <w:szCs w:val="32"/>
        </w:rPr>
        <w:instrText xml:space="preserve"> PAGEREF _Toc20526 \h </w:instrText>
      </w:r>
      <w:r>
        <w:rPr>
          <w:sz w:val="28"/>
          <w:szCs w:val="32"/>
        </w:rPr>
        <w:fldChar w:fldCharType="separate"/>
      </w:r>
      <w:r>
        <w:rPr>
          <w:sz w:val="28"/>
          <w:szCs w:val="32"/>
        </w:rPr>
        <w:t>55</w:t>
      </w:r>
      <w:r>
        <w:rPr>
          <w:sz w:val="28"/>
          <w:szCs w:val="32"/>
        </w:rPr>
        <w:fldChar w:fldCharType="end"/>
      </w:r>
      <w:r>
        <w:rPr>
          <w:rFonts w:ascii="仿宋" w:hAnsi="仿宋" w:eastAsia="仿宋" w:cs="仿宋"/>
          <w:sz w:val="28"/>
          <w:szCs w:val="40"/>
        </w:rPr>
        <w:fldChar w:fldCharType="end"/>
      </w:r>
    </w:p>
    <w:p w14:paraId="635BF06D">
      <w:pPr>
        <w:pStyle w:val="22"/>
        <w:tabs>
          <w:tab w:val="right" w:leader="dot" w:pos="8306"/>
        </w:tabs>
        <w:spacing w:line="360" w:lineRule="auto"/>
        <w:rPr>
          <w:sz w:val="28"/>
          <w:szCs w:val="32"/>
        </w:rPr>
      </w:pPr>
      <w:r>
        <w:rPr>
          <w:rFonts w:ascii="仿宋" w:hAnsi="仿宋" w:eastAsia="仿宋" w:cs="仿宋"/>
          <w:sz w:val="28"/>
          <w:szCs w:val="40"/>
        </w:rPr>
        <w:fldChar w:fldCharType="begin"/>
      </w:r>
      <w:r>
        <w:rPr>
          <w:rFonts w:ascii="仿宋" w:hAnsi="仿宋" w:eastAsia="仿宋" w:cs="仿宋"/>
          <w:sz w:val="28"/>
          <w:szCs w:val="40"/>
        </w:rPr>
        <w:instrText xml:space="preserve"> HYPERLINK \l _Toc15737 </w:instrText>
      </w:r>
      <w:r>
        <w:rPr>
          <w:rFonts w:ascii="仿宋" w:hAnsi="仿宋" w:eastAsia="仿宋" w:cs="仿宋"/>
          <w:sz w:val="28"/>
          <w:szCs w:val="40"/>
        </w:rPr>
        <w:fldChar w:fldCharType="separate"/>
      </w:r>
      <w:r>
        <w:rPr>
          <w:rFonts w:hint="eastAsia" w:ascii="仿宋" w:hAnsi="仿宋" w:eastAsia="仿宋" w:cs="仿宋"/>
          <w:sz w:val="28"/>
          <w:szCs w:val="44"/>
        </w:rPr>
        <w:t>第六章 投标文件格式</w:t>
      </w:r>
      <w:r>
        <w:rPr>
          <w:sz w:val="28"/>
          <w:szCs w:val="32"/>
        </w:rPr>
        <w:tab/>
      </w:r>
      <w:r>
        <w:rPr>
          <w:sz w:val="28"/>
          <w:szCs w:val="32"/>
        </w:rPr>
        <w:fldChar w:fldCharType="begin"/>
      </w:r>
      <w:r>
        <w:rPr>
          <w:sz w:val="28"/>
          <w:szCs w:val="32"/>
        </w:rPr>
        <w:instrText xml:space="preserve"> PAGEREF _Toc15737 \h </w:instrText>
      </w:r>
      <w:r>
        <w:rPr>
          <w:sz w:val="28"/>
          <w:szCs w:val="32"/>
        </w:rPr>
        <w:fldChar w:fldCharType="separate"/>
      </w:r>
      <w:r>
        <w:rPr>
          <w:sz w:val="28"/>
          <w:szCs w:val="32"/>
        </w:rPr>
        <w:t>60</w:t>
      </w:r>
      <w:r>
        <w:rPr>
          <w:sz w:val="28"/>
          <w:szCs w:val="32"/>
        </w:rPr>
        <w:fldChar w:fldCharType="end"/>
      </w:r>
      <w:r>
        <w:rPr>
          <w:rFonts w:ascii="仿宋" w:hAnsi="仿宋" w:eastAsia="仿宋" w:cs="仿宋"/>
          <w:sz w:val="28"/>
          <w:szCs w:val="40"/>
        </w:rPr>
        <w:fldChar w:fldCharType="end"/>
      </w:r>
    </w:p>
    <w:p w14:paraId="6F9590C6">
      <w:pPr>
        <w:spacing w:line="360" w:lineRule="auto"/>
        <w:rPr>
          <w:rFonts w:ascii="仿宋" w:hAnsi="仿宋" w:eastAsia="仿宋" w:cs="仿宋"/>
          <w:sz w:val="36"/>
          <w:szCs w:val="40"/>
        </w:rPr>
      </w:pPr>
      <w:r>
        <w:rPr>
          <w:rFonts w:ascii="仿宋" w:hAnsi="仿宋" w:eastAsia="仿宋" w:cs="仿宋"/>
          <w:sz w:val="28"/>
          <w:szCs w:val="40"/>
        </w:rPr>
        <w:fldChar w:fldCharType="end"/>
      </w:r>
    </w:p>
    <w:p w14:paraId="4582D9BB">
      <w:pPr>
        <w:pStyle w:val="3"/>
        <w:rPr>
          <w:rFonts w:ascii="仿宋" w:hAnsi="仿宋" w:eastAsia="仿宋" w:cs="仿宋"/>
        </w:rPr>
        <w:sectPr>
          <w:headerReference r:id="rId3" w:type="first"/>
          <w:footerReference r:id="rId5" w:type="first"/>
          <w:footerReference r:id="rId4" w:type="default"/>
          <w:pgSz w:w="11906" w:h="16838"/>
          <w:pgMar w:top="1440" w:right="1800" w:bottom="1440" w:left="1800" w:header="720" w:footer="720" w:gutter="0"/>
          <w:pgBorders>
            <w:top w:val="none" w:sz="0" w:space="0"/>
            <w:left w:val="none" w:sz="0" w:space="0"/>
            <w:bottom w:val="none" w:sz="0" w:space="0"/>
            <w:right w:val="none" w:sz="0" w:space="0"/>
          </w:pgBorders>
          <w:pgNumType w:fmt="decimal" w:start="1"/>
          <w:cols w:space="720" w:num="1"/>
          <w:titlePg/>
          <w:docGrid w:linePitch="285" w:charSpace="0"/>
        </w:sectPr>
      </w:pPr>
    </w:p>
    <w:bookmarkEnd w:id="4"/>
    <w:bookmarkEnd w:id="5"/>
    <w:bookmarkEnd w:id="6"/>
    <w:p w14:paraId="2D3BAE01">
      <w:pPr>
        <w:pStyle w:val="2"/>
        <w:spacing w:line="240" w:lineRule="auto"/>
        <w:jc w:val="center"/>
        <w:rPr>
          <w:rFonts w:hint="eastAsia" w:ascii="仿宋" w:hAnsi="仿宋" w:eastAsia="仿宋" w:cs="仿宋"/>
          <w:b/>
          <w:szCs w:val="21"/>
        </w:rPr>
      </w:pPr>
      <w:bookmarkStart w:id="7" w:name="_Toc65935303"/>
      <w:bookmarkStart w:id="8" w:name="_Toc21999"/>
      <w:bookmarkStart w:id="9" w:name="_Toc31624"/>
      <w:bookmarkStart w:id="10" w:name="_Toc185327302"/>
      <w:bookmarkStart w:id="11" w:name="_Toc5588"/>
      <w:r>
        <w:rPr>
          <w:rFonts w:hint="eastAsia" w:ascii="仿宋" w:hAnsi="仿宋" w:eastAsia="仿宋" w:cs="仿宋"/>
          <w:sz w:val="32"/>
          <w:szCs w:val="32"/>
        </w:rPr>
        <w:t>第一章</w:t>
      </w:r>
      <w:bookmarkEnd w:id="7"/>
      <w:bookmarkEnd w:id="8"/>
      <w:r>
        <w:rPr>
          <w:rFonts w:hint="eastAsia" w:ascii="仿宋" w:hAnsi="仿宋" w:eastAsia="仿宋" w:cs="仿宋"/>
          <w:sz w:val="32"/>
          <w:szCs w:val="32"/>
        </w:rPr>
        <w:t xml:space="preserve"> 招标公告</w:t>
      </w:r>
      <w:bookmarkEnd w:id="9"/>
      <w:bookmarkEnd w:id="10"/>
      <w:bookmarkEnd w:id="11"/>
      <w:bookmarkStart w:id="12" w:name="_Toc65925552"/>
      <w:bookmarkStart w:id="13" w:name="_Toc15809"/>
      <w:bookmarkStart w:id="14" w:name="_Toc69335157"/>
      <w:bookmarkStart w:id="15" w:name="_Toc4521"/>
      <w:bookmarkStart w:id="16" w:name="_Toc3146"/>
    </w:p>
    <w:p w14:paraId="50C3BBC8">
      <w:pPr>
        <w:keepNext w:val="0"/>
        <w:keepLines w:val="0"/>
        <w:pageBreakBefore w:val="0"/>
        <w:kinsoku/>
        <w:overflowPunct/>
        <w:topLinePunct w:val="0"/>
        <w:autoSpaceDE/>
        <w:autoSpaceDN/>
        <w:bidi w:val="0"/>
        <w:adjustRightInd/>
        <w:snapToGrid/>
        <w:spacing w:line="400" w:lineRule="exact"/>
        <w:textAlignment w:val="auto"/>
        <w:rPr>
          <w:rFonts w:ascii="仿宋" w:hAnsi="仿宋" w:eastAsia="仿宋" w:cs="仿宋"/>
          <w:b/>
          <w:szCs w:val="21"/>
        </w:rPr>
      </w:pPr>
      <w:r>
        <w:rPr>
          <w:rFonts w:hint="eastAsia" w:ascii="仿宋" w:hAnsi="仿宋" w:eastAsia="仿宋" w:cs="仿宋"/>
          <w:b/>
          <w:szCs w:val="21"/>
        </w:rPr>
        <w:t>一、招标条件</w:t>
      </w:r>
      <w:bookmarkEnd w:id="12"/>
      <w:bookmarkEnd w:id="13"/>
      <w:bookmarkEnd w:id="14"/>
      <w:bookmarkEnd w:id="15"/>
      <w:bookmarkEnd w:id="16"/>
    </w:p>
    <w:p w14:paraId="685FAABD">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本招标项目洛宁县污水处理厂设施提标改造设备更新项目（一期）（项目名称）已由洛宁县发展和改革委员会（项目审批、核准或备案机关名称）以</w:t>
      </w:r>
      <w:bookmarkStart w:id="17" w:name="EB2b19cdb2e176464d9a23385cb32c6f72"/>
      <w:r>
        <w:rPr>
          <w:rFonts w:hint="eastAsia" w:ascii="仿宋" w:hAnsi="仿宋" w:eastAsia="仿宋" w:cs="仿宋"/>
          <w:sz w:val="21"/>
          <w:szCs w:val="21"/>
          <w:lang w:val="en-US" w:eastAsia="zh-CN"/>
        </w:rPr>
        <w:t>《洛宁县发展和改革委员会关于洛宁县污水处理厂设施提标改造设备更新项目可行性研究报告的批复》</w:t>
      </w:r>
      <w:bookmarkEnd w:id="17"/>
      <w:r>
        <w:rPr>
          <w:rFonts w:hint="eastAsia" w:ascii="仿宋" w:hAnsi="仿宋" w:eastAsia="仿宋" w:cs="仿宋"/>
          <w:sz w:val="21"/>
          <w:szCs w:val="21"/>
          <w:lang w:val="en-US" w:eastAsia="zh-CN"/>
        </w:rPr>
        <w:t>宁发改审批</w:t>
      </w:r>
      <w:r>
        <w:rPr>
          <w:rFonts w:hint="eastAsia" w:ascii="微软雅黑" w:hAnsi="微软雅黑" w:eastAsia="微软雅黑" w:cs="微软雅黑"/>
          <w:sz w:val="21"/>
          <w:szCs w:val="21"/>
          <w:lang w:val="en-US" w:eastAsia="zh-CN"/>
        </w:rPr>
        <w:t>〔</w:t>
      </w:r>
      <w:r>
        <w:rPr>
          <w:rFonts w:hint="eastAsia" w:ascii="仿宋" w:hAnsi="仿宋" w:eastAsia="仿宋" w:cs="仿宋"/>
          <w:sz w:val="21"/>
          <w:szCs w:val="21"/>
          <w:lang w:val="en-US" w:eastAsia="zh-CN"/>
        </w:rPr>
        <w:t>2025</w:t>
      </w:r>
      <w:r>
        <w:rPr>
          <w:rFonts w:hint="eastAsia" w:ascii="微软雅黑" w:hAnsi="微软雅黑" w:eastAsia="微软雅黑" w:cs="微软雅黑"/>
          <w:sz w:val="21"/>
          <w:szCs w:val="21"/>
          <w:lang w:val="en-US" w:eastAsia="zh-CN"/>
        </w:rPr>
        <w:t>〕</w:t>
      </w:r>
      <w:r>
        <w:rPr>
          <w:rFonts w:hint="eastAsia" w:ascii="仿宋" w:hAnsi="仿宋" w:eastAsia="仿宋" w:cs="仿宋"/>
          <w:sz w:val="21"/>
          <w:szCs w:val="21"/>
          <w:lang w:val="en-US" w:eastAsia="zh-CN"/>
        </w:rPr>
        <w:t>42号（批文名称及编号）批准建设（投资项目在线审批监管统一代码为 2502-410328-04-01-784941），招标人（项目业主）为洛宁县住房和城乡建设局，建设资金来自</w:t>
      </w:r>
      <w:bookmarkStart w:id="18" w:name="EB5667250b1dce45d59097f6a015344291"/>
      <w:r>
        <w:rPr>
          <w:rFonts w:hint="eastAsia" w:ascii="仿宋" w:hAnsi="仿宋" w:eastAsia="仿宋" w:cs="仿宋"/>
          <w:sz w:val="21"/>
          <w:szCs w:val="21"/>
          <w:lang w:val="en-US" w:eastAsia="zh-CN"/>
        </w:rPr>
        <w:t>财政资金</w:t>
      </w:r>
      <w:bookmarkEnd w:id="18"/>
      <w:r>
        <w:rPr>
          <w:rFonts w:hint="eastAsia" w:ascii="仿宋" w:hAnsi="仿宋" w:eastAsia="仿宋" w:cs="仿宋"/>
          <w:sz w:val="21"/>
          <w:szCs w:val="21"/>
          <w:lang w:val="en-US" w:eastAsia="zh-CN"/>
        </w:rPr>
        <w:t>（资金来源），项目出资比例为</w:t>
      </w:r>
      <w:bookmarkStart w:id="19" w:name="EB1b46cdd698014a4881254514e047c3c1"/>
      <w:r>
        <w:rPr>
          <w:rFonts w:hint="eastAsia" w:ascii="仿宋" w:hAnsi="仿宋" w:eastAsia="仿宋" w:cs="仿宋"/>
          <w:sz w:val="21"/>
          <w:szCs w:val="21"/>
          <w:lang w:val="en-US" w:eastAsia="zh-CN"/>
        </w:rPr>
        <w:t>100%</w:t>
      </w:r>
      <w:bookmarkEnd w:id="19"/>
      <w:r>
        <w:rPr>
          <w:rFonts w:hint="eastAsia" w:ascii="仿宋" w:hAnsi="仿宋" w:eastAsia="仿宋" w:cs="仿宋"/>
          <w:sz w:val="21"/>
          <w:szCs w:val="21"/>
          <w:lang w:val="en-US" w:eastAsia="zh-CN"/>
        </w:rPr>
        <w:t>。项目已具备招标条件，现对该项目的货物采购进行公开招标。</w:t>
      </w:r>
    </w:p>
    <w:p w14:paraId="4423FBFB">
      <w:pPr>
        <w:keepNext w:val="0"/>
        <w:keepLines w:val="0"/>
        <w:pageBreakBefore w:val="0"/>
        <w:kinsoku/>
        <w:overflowPunct/>
        <w:topLinePunct w:val="0"/>
        <w:autoSpaceDE/>
        <w:autoSpaceDN/>
        <w:bidi w:val="0"/>
        <w:adjustRightInd/>
        <w:snapToGrid/>
        <w:spacing w:line="400" w:lineRule="exact"/>
        <w:textAlignment w:val="auto"/>
        <w:rPr>
          <w:rFonts w:ascii="仿宋" w:hAnsi="仿宋" w:eastAsia="仿宋" w:cs="仿宋"/>
          <w:b/>
          <w:szCs w:val="21"/>
        </w:rPr>
      </w:pPr>
      <w:bookmarkStart w:id="20" w:name="_Toc24497"/>
      <w:bookmarkStart w:id="21" w:name="_Toc65925553"/>
      <w:bookmarkStart w:id="22" w:name="_Toc19972"/>
      <w:bookmarkStart w:id="23" w:name="_Toc69335158"/>
      <w:bookmarkStart w:id="24" w:name="_Toc20600"/>
      <w:r>
        <w:rPr>
          <w:rFonts w:hint="eastAsia" w:ascii="仿宋" w:hAnsi="仿宋" w:eastAsia="仿宋" w:cs="仿宋"/>
          <w:b/>
          <w:szCs w:val="21"/>
        </w:rPr>
        <w:t>二、项目概况与招标范围</w:t>
      </w:r>
      <w:bookmarkEnd w:id="20"/>
      <w:bookmarkEnd w:id="21"/>
      <w:bookmarkEnd w:id="22"/>
      <w:bookmarkEnd w:id="23"/>
      <w:bookmarkEnd w:id="24"/>
    </w:p>
    <w:p w14:paraId="3386B0F7">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ascii="仿宋" w:hAnsi="仿宋" w:eastAsia="仿宋" w:cs="仿宋"/>
          <w:sz w:val="21"/>
          <w:szCs w:val="21"/>
        </w:rPr>
      </w:pPr>
      <w:r>
        <w:rPr>
          <w:rFonts w:hint="eastAsia" w:ascii="仿宋" w:hAnsi="仿宋" w:eastAsia="仿宋" w:cs="仿宋"/>
          <w:sz w:val="21"/>
          <w:szCs w:val="21"/>
        </w:rPr>
        <w:t>1、项目名称：</w:t>
      </w:r>
      <w:r>
        <w:rPr>
          <w:rFonts w:hint="eastAsia" w:ascii="仿宋" w:hAnsi="仿宋" w:eastAsia="仿宋" w:cs="仿宋"/>
          <w:sz w:val="21"/>
          <w:szCs w:val="21"/>
          <w:lang w:eastAsia="zh-CN"/>
        </w:rPr>
        <w:t>洛宁县污水处理厂设施提标改造设备更新项目（一期）</w:t>
      </w:r>
      <w:r>
        <w:rPr>
          <w:rFonts w:hint="eastAsia" w:ascii="仿宋" w:hAnsi="仿宋" w:eastAsia="仿宋" w:cs="仿宋"/>
          <w:sz w:val="21"/>
          <w:szCs w:val="21"/>
        </w:rPr>
        <w:t>；</w:t>
      </w:r>
    </w:p>
    <w:p w14:paraId="5752CDEE">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2、项目编号：洛宁公开-2025-60</w:t>
      </w:r>
    </w:p>
    <w:p w14:paraId="437F5AB4">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default" w:ascii="仿宋" w:hAnsi="仿宋" w:eastAsia="仿宋" w:cs="仿宋"/>
          <w:sz w:val="21"/>
          <w:szCs w:val="21"/>
          <w:lang w:val="en-US" w:eastAsia="zh-CN"/>
        </w:rPr>
      </w:pPr>
      <w:r>
        <w:rPr>
          <w:rFonts w:hint="eastAsia" w:ascii="仿宋" w:hAnsi="仿宋" w:eastAsia="仿宋" w:cs="仿宋"/>
          <w:sz w:val="21"/>
          <w:szCs w:val="21"/>
          <w:lang w:eastAsia="zh-CN"/>
        </w:rPr>
        <w:t>招标编号</w:t>
      </w:r>
      <w:r>
        <w:rPr>
          <w:rFonts w:hint="eastAsia" w:ascii="仿宋" w:hAnsi="仿宋" w:eastAsia="仿宋" w:cs="仿宋"/>
          <w:sz w:val="21"/>
          <w:szCs w:val="21"/>
          <w:lang w:val="en-US" w:eastAsia="zh-CN"/>
        </w:rPr>
        <w:t>：洛直工货招标(2025)0033号</w:t>
      </w:r>
    </w:p>
    <w:p w14:paraId="15CCE216">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3、项目地点：洛阳市洛宁县；</w:t>
      </w:r>
    </w:p>
    <w:p w14:paraId="25EC27FA">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4、项目概况：本项目主要为污水设备采购及安装等；</w:t>
      </w:r>
    </w:p>
    <w:p w14:paraId="51CA1C5F">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5、招标范围：本项目招标文件、货物清单、技术文件、图纸及答疑（如有）范围内的全部内容；</w:t>
      </w:r>
    </w:p>
    <w:p w14:paraId="51AF5622">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6、资金来源及招标控制价：财政资金，9512276.00元；</w:t>
      </w:r>
    </w:p>
    <w:p w14:paraId="6FAC1474">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7、标段划分：本项目共分1个标段；</w:t>
      </w:r>
    </w:p>
    <w:p w14:paraId="4E882639">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8、质量要求：满足国家行业标准和本项目图纸和技术文件的要求；</w:t>
      </w:r>
    </w:p>
    <w:p w14:paraId="582F4AAC">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9、安全目标：杜绝死亡、重伤事故；</w:t>
      </w:r>
    </w:p>
    <w:p w14:paraId="1239C998">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10、交货安装周期：合同签订后30日历天供货、安装、调试完毕；</w:t>
      </w:r>
    </w:p>
    <w:p w14:paraId="13F5EF1F">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11、政府采购政策：本项目支持中小微（监狱、残疾人福利性单位）企业、执行节约能源、保护环境、节能环保产品优先采购。</w:t>
      </w:r>
    </w:p>
    <w:p w14:paraId="79CCC624">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12、本项目采用评定分离。</w:t>
      </w:r>
    </w:p>
    <w:p w14:paraId="445669A7">
      <w:pPr>
        <w:keepNext w:val="0"/>
        <w:keepLines w:val="0"/>
        <w:pageBreakBefore w:val="0"/>
        <w:kinsoku/>
        <w:overflowPunct/>
        <w:topLinePunct w:val="0"/>
        <w:autoSpaceDE/>
        <w:autoSpaceDN/>
        <w:bidi w:val="0"/>
        <w:adjustRightInd/>
        <w:snapToGrid/>
        <w:spacing w:line="400" w:lineRule="exact"/>
        <w:textAlignment w:val="auto"/>
        <w:rPr>
          <w:rFonts w:ascii="仿宋" w:hAnsi="仿宋" w:eastAsia="仿宋" w:cs="仿宋"/>
          <w:b/>
          <w:szCs w:val="21"/>
        </w:rPr>
      </w:pPr>
      <w:bookmarkStart w:id="25" w:name="_Toc18118"/>
      <w:bookmarkStart w:id="26" w:name="_Toc69335159"/>
      <w:bookmarkStart w:id="27" w:name="_Toc65925554"/>
      <w:bookmarkStart w:id="28" w:name="_Toc25860"/>
      <w:bookmarkStart w:id="29" w:name="_Toc9378"/>
      <w:r>
        <w:rPr>
          <w:rFonts w:hint="eastAsia" w:ascii="仿宋" w:hAnsi="仿宋" w:eastAsia="仿宋" w:cs="仿宋"/>
          <w:b/>
          <w:szCs w:val="21"/>
        </w:rPr>
        <w:t>三、投标人资格要求</w:t>
      </w:r>
      <w:bookmarkEnd w:id="25"/>
      <w:bookmarkEnd w:id="26"/>
      <w:bookmarkEnd w:id="27"/>
      <w:bookmarkEnd w:id="28"/>
      <w:bookmarkEnd w:id="29"/>
    </w:p>
    <w:p w14:paraId="42200821">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ascii="仿宋" w:hAnsi="仿宋" w:eastAsia="仿宋" w:cs="仿宋"/>
          <w:sz w:val="21"/>
          <w:szCs w:val="21"/>
        </w:rPr>
      </w:pPr>
      <w:r>
        <w:rPr>
          <w:rFonts w:hint="eastAsia" w:ascii="仿宋" w:hAnsi="仿宋" w:eastAsia="仿宋" w:cs="仿宋"/>
          <w:sz w:val="21"/>
          <w:szCs w:val="21"/>
        </w:rPr>
        <w:t>1、投标人须具有有效的营业执照或</w:t>
      </w:r>
      <w:r>
        <w:rPr>
          <w:rFonts w:hint="eastAsia" w:ascii="仿宋" w:hAnsi="仿宋" w:eastAsia="仿宋" w:cs="仿宋"/>
          <w:sz w:val="21"/>
          <w:szCs w:val="21"/>
          <w:lang w:val="en-US" w:eastAsia="zh-CN"/>
        </w:rPr>
        <w:t>其他组织证明材料</w:t>
      </w:r>
      <w:r>
        <w:rPr>
          <w:rFonts w:hint="eastAsia" w:ascii="仿宋" w:hAnsi="仿宋" w:eastAsia="仿宋" w:cs="仿宋"/>
          <w:sz w:val="21"/>
          <w:szCs w:val="21"/>
        </w:rPr>
        <w:t>；</w:t>
      </w:r>
      <w:r>
        <w:rPr>
          <w:rFonts w:hint="eastAsia" w:ascii="仿宋" w:hAnsi="仿宋" w:eastAsia="仿宋" w:cs="仿宋"/>
          <w:b/>
          <w:bCs/>
          <w:sz w:val="21"/>
          <w:szCs w:val="21"/>
        </w:rPr>
        <w:t>（投标文件中须附以上证件的原件扫描件，</w:t>
      </w:r>
      <w:r>
        <w:rPr>
          <w:rFonts w:hint="eastAsia" w:ascii="仿宋" w:hAnsi="仿宋" w:eastAsia="仿宋" w:cs="仿宋"/>
          <w:b/>
          <w:bCs/>
          <w:sz w:val="21"/>
          <w:szCs w:val="21"/>
          <w:highlight w:val="none"/>
        </w:rPr>
        <w:t>并加盖投标</w:t>
      </w:r>
      <w:r>
        <w:rPr>
          <w:rFonts w:hint="eastAsia" w:ascii="仿宋" w:hAnsi="仿宋" w:eastAsia="仿宋" w:cs="仿宋"/>
          <w:b/>
          <w:bCs/>
          <w:sz w:val="21"/>
          <w:szCs w:val="21"/>
          <w:highlight w:val="none"/>
          <w:lang w:val="en-US" w:eastAsia="zh-CN"/>
        </w:rPr>
        <w:t>人</w:t>
      </w:r>
      <w:r>
        <w:rPr>
          <w:rFonts w:hint="eastAsia" w:ascii="仿宋" w:hAnsi="仿宋" w:eastAsia="仿宋" w:cs="仿宋"/>
          <w:b/>
          <w:bCs/>
          <w:sz w:val="21"/>
          <w:szCs w:val="21"/>
          <w:highlight w:val="none"/>
        </w:rPr>
        <w:t>企业电子章</w:t>
      </w:r>
      <w:r>
        <w:rPr>
          <w:rFonts w:hint="eastAsia" w:ascii="仿宋" w:hAnsi="仿宋" w:eastAsia="仿宋" w:cs="仿宋"/>
          <w:b/>
          <w:bCs/>
          <w:sz w:val="21"/>
          <w:szCs w:val="21"/>
        </w:rPr>
        <w:t>）</w:t>
      </w:r>
    </w:p>
    <w:p w14:paraId="3AAFDE3D">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highlight w:val="none"/>
        </w:rPr>
        <w:t>、</w:t>
      </w:r>
      <w:r>
        <w:rPr>
          <w:rFonts w:hint="eastAsia" w:ascii="仿宋" w:hAnsi="仿宋" w:eastAsia="仿宋" w:cs="仿宋"/>
          <w:sz w:val="21"/>
          <w:szCs w:val="21"/>
        </w:rPr>
        <w:t>根据《河南省全面推行证明事项告知承诺制工作实施方案》（豫政办〔2021〕2号）文件，投标人须按照规定提供“信用承诺函”（详见投标文件格式），招标人有权在签订合同前要求中标人提供相关证明材料以核实中标单位承诺事项的真实性，投标时不再需要提供以下证明材料：</w:t>
      </w:r>
    </w:p>
    <w:p w14:paraId="07ED8DC0">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ascii="仿宋" w:hAnsi="仿宋" w:eastAsia="仿宋" w:cs="仿宋"/>
          <w:sz w:val="21"/>
          <w:szCs w:val="21"/>
        </w:rPr>
      </w:pPr>
      <w:r>
        <w:rPr>
          <w:rFonts w:hint="eastAsia" w:ascii="仿宋" w:hAnsi="仿宋" w:eastAsia="仿宋" w:cs="仿宋"/>
          <w:sz w:val="21"/>
          <w:szCs w:val="21"/>
        </w:rPr>
        <w:t>（1）符合国家相关规定的财务状况报告；</w:t>
      </w:r>
    </w:p>
    <w:p w14:paraId="3F63AC15">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ascii="仿宋" w:hAnsi="仿宋" w:eastAsia="仿宋" w:cs="仿宋"/>
          <w:sz w:val="21"/>
          <w:szCs w:val="21"/>
        </w:rPr>
      </w:pPr>
      <w:r>
        <w:rPr>
          <w:rFonts w:hint="eastAsia" w:ascii="仿宋" w:hAnsi="仿宋" w:eastAsia="仿宋" w:cs="仿宋"/>
          <w:sz w:val="21"/>
          <w:szCs w:val="21"/>
        </w:rPr>
        <w:t>（2）依法缴纳税收的证明材料；</w:t>
      </w:r>
    </w:p>
    <w:p w14:paraId="6DCD7758">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ascii="仿宋" w:hAnsi="仿宋" w:eastAsia="仿宋" w:cs="仿宋"/>
          <w:sz w:val="21"/>
          <w:szCs w:val="21"/>
        </w:rPr>
      </w:pPr>
      <w:r>
        <w:rPr>
          <w:rFonts w:hint="eastAsia" w:ascii="仿宋" w:hAnsi="仿宋" w:eastAsia="仿宋" w:cs="仿宋"/>
          <w:sz w:val="21"/>
          <w:szCs w:val="21"/>
        </w:rPr>
        <w:t>（3）依法缴纳社会保障资金的证明材料；</w:t>
      </w:r>
    </w:p>
    <w:p w14:paraId="7E686360">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ascii="仿宋" w:hAnsi="仿宋" w:eastAsia="仿宋" w:cs="仿宋"/>
          <w:sz w:val="21"/>
          <w:szCs w:val="21"/>
        </w:rPr>
      </w:pPr>
      <w:r>
        <w:rPr>
          <w:rFonts w:hint="eastAsia" w:ascii="仿宋" w:hAnsi="仿宋" w:eastAsia="仿宋" w:cs="仿宋"/>
          <w:sz w:val="21"/>
          <w:szCs w:val="21"/>
        </w:rPr>
        <w:t>（4）具备履行合同所必需的设备和专业技术能力的证明材料；</w:t>
      </w:r>
    </w:p>
    <w:p w14:paraId="05B9562F">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ascii="仿宋" w:hAnsi="仿宋" w:eastAsia="仿宋" w:cs="仿宋"/>
          <w:sz w:val="21"/>
          <w:szCs w:val="21"/>
        </w:rPr>
      </w:pPr>
      <w:r>
        <w:rPr>
          <w:rFonts w:hint="eastAsia" w:ascii="仿宋" w:hAnsi="仿宋" w:eastAsia="仿宋" w:cs="仿宋"/>
          <w:sz w:val="21"/>
          <w:szCs w:val="21"/>
        </w:rPr>
        <w:t>（5）参加招标活动前三年内在经营活动中没有重大违法记录的证明材料；</w:t>
      </w:r>
    </w:p>
    <w:p w14:paraId="322C09BD">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rPr>
      </w:pPr>
      <w:r>
        <w:rPr>
          <w:rFonts w:hint="eastAsia" w:ascii="仿宋" w:hAnsi="仿宋" w:eastAsia="仿宋" w:cs="仿宋"/>
          <w:sz w:val="21"/>
          <w:szCs w:val="21"/>
        </w:rPr>
        <w:t>（6）未被列入失信被执行人、重大税收违法案件当事人名单、政府采购严重违法失信行为记录名单的证明材料。</w:t>
      </w:r>
    </w:p>
    <w:p w14:paraId="326DBD57">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、本项目不接受联合体投标。</w:t>
      </w:r>
    </w:p>
    <w:p w14:paraId="3705760B">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、本次招标实行资格后审，资格审查不合格者，取消其投标资格。</w:t>
      </w:r>
    </w:p>
    <w:p w14:paraId="678E49C1">
      <w:pPr>
        <w:keepNext w:val="0"/>
        <w:keepLines w:val="0"/>
        <w:pageBreakBefore w:val="0"/>
        <w:kinsoku/>
        <w:overflowPunct/>
        <w:topLinePunct w:val="0"/>
        <w:autoSpaceDE/>
        <w:autoSpaceDN/>
        <w:bidi w:val="0"/>
        <w:adjustRightInd/>
        <w:snapToGrid/>
        <w:spacing w:line="400" w:lineRule="exact"/>
        <w:textAlignment w:val="auto"/>
        <w:rPr>
          <w:rFonts w:ascii="仿宋" w:hAnsi="仿宋" w:eastAsia="仿宋" w:cs="仿宋"/>
          <w:b/>
          <w:szCs w:val="21"/>
        </w:rPr>
      </w:pPr>
      <w:bookmarkStart w:id="30" w:name="_Toc1501"/>
      <w:bookmarkStart w:id="31" w:name="_Toc69335160"/>
      <w:bookmarkStart w:id="32" w:name="_Toc24259"/>
      <w:r>
        <w:rPr>
          <w:rFonts w:hint="eastAsia" w:ascii="仿宋" w:hAnsi="仿宋" w:eastAsia="仿宋" w:cs="仿宋"/>
          <w:b/>
          <w:szCs w:val="21"/>
        </w:rPr>
        <w:t>四、</w:t>
      </w:r>
      <w:bookmarkEnd w:id="30"/>
      <w:bookmarkEnd w:id="31"/>
      <w:bookmarkStart w:id="33" w:name="_Toc32677"/>
      <w:bookmarkStart w:id="34" w:name="_Toc69335161"/>
      <w:bookmarkStart w:id="35" w:name="_Toc25348"/>
      <w:bookmarkStart w:id="36" w:name="_Toc65925555"/>
      <w:r>
        <w:rPr>
          <w:rFonts w:hint="eastAsia" w:ascii="仿宋" w:hAnsi="仿宋" w:eastAsia="仿宋" w:cs="仿宋"/>
          <w:b/>
          <w:szCs w:val="21"/>
        </w:rPr>
        <w:t>招标文件的获取</w:t>
      </w:r>
      <w:bookmarkEnd w:id="32"/>
      <w:bookmarkEnd w:id="33"/>
      <w:bookmarkEnd w:id="34"/>
      <w:bookmarkEnd w:id="35"/>
      <w:bookmarkEnd w:id="36"/>
    </w:p>
    <w:p w14:paraId="58B04F12">
      <w:pPr>
        <w:pStyle w:val="29"/>
        <w:keepNext w:val="0"/>
        <w:keepLines w:val="0"/>
        <w:pageBreakBefore w:val="0"/>
        <w:widowControl/>
        <w:kinsoku/>
        <w:wordWrap w:val="0"/>
        <w:overflowPunct/>
        <w:topLinePunct w:val="0"/>
        <w:autoSpaceDE/>
        <w:autoSpaceDN/>
        <w:bidi w:val="0"/>
        <w:adjustRightInd/>
        <w:snapToGrid/>
        <w:spacing w:line="400" w:lineRule="exact"/>
        <w:ind w:firstLine="561"/>
        <w:textAlignment w:val="auto"/>
        <w:rPr>
          <w:rFonts w:ascii="仿宋" w:hAnsi="仿宋" w:eastAsia="仿宋" w:cs="仿宋"/>
          <w:sz w:val="21"/>
          <w:szCs w:val="21"/>
          <w:highlight w:val="none"/>
        </w:rPr>
      </w:pPr>
      <w:r>
        <w:rPr>
          <w:rFonts w:hint="eastAsia" w:ascii="仿宋" w:hAnsi="仿宋" w:eastAsia="仿宋" w:cs="仿宋"/>
          <w:sz w:val="21"/>
          <w:szCs w:val="21"/>
        </w:rPr>
        <w:t>1、本次招标文件在网上获取，请登录洛阳市公共资源交易中心网站（lyggzyjy.ly.gov.cn），点击“http://lyggzyjy.ly.gov.cn/tpbidder”进入“洛阳市电子招投标交易平台”进行用户注册，并办理CA数字证书。详见洛阳市公共资源交易中心网站—办事指南—办事流程—新交易平台使用手册。</w:t>
      </w:r>
    </w:p>
    <w:p w14:paraId="7ED65D32">
      <w:pPr>
        <w:pStyle w:val="29"/>
        <w:keepNext w:val="0"/>
        <w:keepLines w:val="0"/>
        <w:pageBreakBefore w:val="0"/>
        <w:widowControl/>
        <w:kinsoku/>
        <w:wordWrap w:val="0"/>
        <w:overflowPunct/>
        <w:topLinePunct w:val="0"/>
        <w:autoSpaceDE/>
        <w:autoSpaceDN/>
        <w:bidi w:val="0"/>
        <w:adjustRightInd/>
        <w:snapToGrid/>
        <w:spacing w:line="400" w:lineRule="exact"/>
        <w:ind w:firstLine="561"/>
        <w:textAlignment w:val="auto"/>
        <w:rPr>
          <w:rFonts w:ascii="仿宋" w:hAnsi="仿宋" w:eastAsia="仿宋" w:cs="仿宋"/>
          <w:color w:val="auto"/>
          <w:sz w:val="21"/>
          <w:szCs w:val="21"/>
          <w:highlight w:val="none"/>
        </w:rPr>
      </w:pPr>
      <w:r>
        <w:rPr>
          <w:rFonts w:hint="eastAsia" w:ascii="仿宋" w:hAnsi="仿宋" w:eastAsia="仿宋" w:cs="仿宋"/>
          <w:sz w:val="21"/>
          <w:szCs w:val="21"/>
          <w:highlight w:val="none"/>
        </w:rPr>
        <w:t>2、办理数字证书后，请</w:t>
      </w:r>
      <w:r>
        <w:rPr>
          <w:rFonts w:hint="eastAsia" w:ascii="仿宋" w:hAnsi="仿宋" w:eastAsia="仿宋" w:cs="仿宋"/>
          <w:color w:val="auto"/>
          <w:sz w:val="21"/>
          <w:szCs w:val="21"/>
          <w:highlight w:val="none"/>
        </w:rPr>
        <w:t>于2025年</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08</w:t>
      </w:r>
      <w:r>
        <w:rPr>
          <w:rFonts w:hint="eastAsia" w:ascii="仿宋" w:hAnsi="仿宋" w:eastAsia="仿宋" w:cs="仿宋"/>
          <w:color w:val="auto"/>
          <w:sz w:val="21"/>
          <w:szCs w:val="21"/>
          <w:highlight w:val="none"/>
        </w:rPr>
        <w:t>日至2025年</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日24:00，登录洛阳市公共资源交易中心网站，点击“http://lyggzyjy.ly.gov.cn/tpbidder”，登录后，免费下载招标文件。如投多个标段，则应就所投每个标段分别下载获取。联合体投标的，由联合体牵头人完成招标文件下载。</w:t>
      </w:r>
    </w:p>
    <w:p w14:paraId="00C24A71">
      <w:pPr>
        <w:pStyle w:val="29"/>
        <w:keepNext w:val="0"/>
        <w:keepLines w:val="0"/>
        <w:pageBreakBefore w:val="0"/>
        <w:widowControl/>
        <w:kinsoku/>
        <w:wordWrap w:val="0"/>
        <w:overflowPunct/>
        <w:topLinePunct w:val="0"/>
        <w:autoSpaceDE/>
        <w:autoSpaceDN/>
        <w:bidi w:val="0"/>
        <w:adjustRightInd/>
        <w:snapToGrid/>
        <w:spacing w:line="400" w:lineRule="exact"/>
        <w:ind w:firstLine="561"/>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3、获取招标文件后，投标人请到洛阳市公共资源交易中心网站—办事指南—下载中心栏目下载并安装最新版本投标文件制作工具，查看招标文件和制作电子投标文件。</w:t>
      </w:r>
    </w:p>
    <w:p w14:paraId="38AE8D85">
      <w:pPr>
        <w:keepNext w:val="0"/>
        <w:keepLines w:val="0"/>
        <w:pageBreakBefore w:val="0"/>
        <w:kinsoku/>
        <w:overflowPunct/>
        <w:topLinePunct w:val="0"/>
        <w:autoSpaceDE/>
        <w:autoSpaceDN/>
        <w:bidi w:val="0"/>
        <w:adjustRightInd/>
        <w:snapToGrid/>
        <w:spacing w:line="400" w:lineRule="exact"/>
        <w:textAlignment w:val="auto"/>
        <w:rPr>
          <w:rFonts w:ascii="仿宋" w:hAnsi="仿宋" w:eastAsia="仿宋" w:cs="仿宋"/>
          <w:b/>
          <w:color w:val="auto"/>
          <w:szCs w:val="21"/>
          <w:highlight w:val="none"/>
        </w:rPr>
      </w:pPr>
      <w:bookmarkStart w:id="37" w:name="_Toc1381"/>
      <w:bookmarkStart w:id="38" w:name="_Toc22014"/>
      <w:bookmarkStart w:id="39" w:name="_Toc65925556"/>
      <w:bookmarkStart w:id="40" w:name="_Toc69335162"/>
      <w:bookmarkStart w:id="41" w:name="_Toc14817"/>
      <w:r>
        <w:rPr>
          <w:rFonts w:hint="eastAsia" w:ascii="仿宋" w:hAnsi="仿宋" w:eastAsia="仿宋" w:cs="仿宋"/>
          <w:b/>
          <w:color w:val="auto"/>
          <w:szCs w:val="21"/>
          <w:highlight w:val="none"/>
        </w:rPr>
        <w:t>五、投标文件的递交</w:t>
      </w:r>
      <w:bookmarkEnd w:id="37"/>
      <w:bookmarkEnd w:id="38"/>
      <w:bookmarkEnd w:id="39"/>
      <w:bookmarkEnd w:id="40"/>
      <w:bookmarkEnd w:id="41"/>
    </w:p>
    <w:p w14:paraId="1B77F133">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1、投标文件递交的截止时间（投标截止时间）为2025年</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29</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09</w:t>
      </w:r>
      <w:r>
        <w:rPr>
          <w:rFonts w:hint="eastAsia" w:ascii="仿宋" w:hAnsi="仿宋" w:eastAsia="仿宋" w:cs="仿宋"/>
          <w:color w:val="auto"/>
          <w:sz w:val="21"/>
          <w:szCs w:val="21"/>
          <w:highlight w:val="none"/>
        </w:rPr>
        <w:t>时</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分(北京时间)。</w:t>
      </w:r>
    </w:p>
    <w:p w14:paraId="636CF436">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2、投标文件接收地点及开标地点为</w:t>
      </w:r>
      <w:r>
        <w:rPr>
          <w:rFonts w:hint="eastAsia" w:ascii="仿宋" w:hAnsi="仿宋" w:eastAsia="仿宋" w:cs="仿宋"/>
          <w:color w:val="auto"/>
          <w:sz w:val="21"/>
          <w:szCs w:val="21"/>
          <w:highlight w:val="none"/>
          <w:lang w:eastAsia="zh-CN"/>
        </w:rPr>
        <w:t>洛阳市</w:t>
      </w:r>
      <w:r>
        <w:rPr>
          <w:rFonts w:hint="eastAsia" w:ascii="仿宋" w:hAnsi="仿宋" w:eastAsia="仿宋" w:cs="仿宋"/>
          <w:color w:val="auto"/>
          <w:sz w:val="21"/>
          <w:szCs w:val="21"/>
          <w:highlight w:val="none"/>
          <w:lang w:val="en-US" w:eastAsia="zh-CN"/>
        </w:rPr>
        <w:t>公共资源交易中心开标九室</w:t>
      </w:r>
      <w:r>
        <w:rPr>
          <w:rFonts w:hint="eastAsia" w:ascii="仿宋" w:hAnsi="仿宋" w:eastAsia="仿宋" w:cs="仿宋"/>
          <w:color w:val="auto"/>
          <w:sz w:val="21"/>
          <w:szCs w:val="21"/>
          <w:highlight w:val="none"/>
        </w:rPr>
        <w:t>。</w:t>
      </w:r>
    </w:p>
    <w:p w14:paraId="65E1AEC8">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ascii="仿宋" w:hAnsi="仿宋" w:eastAsia="仿宋" w:cs="仿宋"/>
          <w:sz w:val="21"/>
          <w:szCs w:val="21"/>
        </w:rPr>
      </w:pPr>
      <w:r>
        <w:rPr>
          <w:rFonts w:hint="eastAsia" w:ascii="仿宋" w:hAnsi="仿宋" w:eastAsia="仿宋" w:cs="仿宋"/>
          <w:sz w:val="21"/>
          <w:szCs w:val="21"/>
        </w:rPr>
        <w:t>3、投标人应在投标截止时间前，通过互联网使用CA数字证书或移动CA扫码登录洛阳市公共资源交易中心网站，将加密的投标文件上传至“洛阳市电子招投标交易平台”指定位置，上传成功后将得到上传成功的确认。投标人应充分考虑上传文件时的不可预见因素，未在投标截止时间前完成上传的，视为逾期送达，洛阳市电子招投标交易平台将拒绝接收。</w:t>
      </w:r>
    </w:p>
    <w:p w14:paraId="1DFB0F77">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ascii="仿宋" w:hAnsi="仿宋" w:eastAsia="仿宋" w:cs="仿宋"/>
          <w:sz w:val="21"/>
          <w:szCs w:val="21"/>
        </w:rPr>
      </w:pPr>
      <w:r>
        <w:rPr>
          <w:rFonts w:hint="eastAsia" w:ascii="仿宋" w:hAnsi="仿宋" w:eastAsia="仿宋" w:cs="仿宋"/>
          <w:sz w:val="21"/>
          <w:szCs w:val="21"/>
        </w:rPr>
        <w:t>4、本项目采用远程不见面交易的模式，开标当日，投标人无需到开标现场参加开标会议，投标人应当在投标截止时间前，访问到http://61.54.85.189/BidOpening进入，在线准时参加开标活动并进行投标文件解密等。因投标人原因未能解密、解密失败或解密超时的将被拒绝。请参照洛阳市公共资源交易中心首页-办事指南-下载中心-新交易平台使用手册。</w:t>
      </w:r>
    </w:p>
    <w:p w14:paraId="438D15C8">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ascii="仿宋" w:hAnsi="仿宋" w:eastAsia="仿宋" w:cs="仿宋"/>
          <w:sz w:val="21"/>
          <w:szCs w:val="21"/>
        </w:rPr>
      </w:pPr>
      <w:r>
        <w:rPr>
          <w:rFonts w:hint="eastAsia" w:ascii="仿宋" w:hAnsi="仿宋" w:eastAsia="仿宋" w:cs="仿宋"/>
          <w:sz w:val="21"/>
          <w:szCs w:val="21"/>
        </w:rPr>
        <w:t>5、除电子投标文件外，投标时不再接受任何纸质文件、资料等。逾期送达的或者未送达指定地点的投标文件，招标人不予受理。</w:t>
      </w:r>
    </w:p>
    <w:p w14:paraId="1689736C">
      <w:pPr>
        <w:keepNext w:val="0"/>
        <w:keepLines w:val="0"/>
        <w:pageBreakBefore w:val="0"/>
        <w:kinsoku/>
        <w:overflowPunct/>
        <w:topLinePunct w:val="0"/>
        <w:autoSpaceDE/>
        <w:autoSpaceDN/>
        <w:bidi w:val="0"/>
        <w:adjustRightInd/>
        <w:snapToGrid/>
        <w:spacing w:line="400" w:lineRule="exact"/>
        <w:textAlignment w:val="auto"/>
        <w:rPr>
          <w:rFonts w:ascii="仿宋" w:hAnsi="仿宋" w:eastAsia="仿宋" w:cs="仿宋"/>
          <w:b/>
          <w:szCs w:val="21"/>
        </w:rPr>
      </w:pPr>
      <w:bookmarkStart w:id="42" w:name="_Toc69335164"/>
      <w:bookmarkStart w:id="43" w:name="_Toc65925558"/>
      <w:bookmarkStart w:id="44" w:name="_Toc18142"/>
      <w:bookmarkStart w:id="45" w:name="_Toc32174"/>
      <w:bookmarkStart w:id="46" w:name="_Toc19686"/>
      <w:r>
        <w:rPr>
          <w:rFonts w:hint="eastAsia" w:ascii="仿宋" w:hAnsi="仿宋" w:eastAsia="仿宋" w:cs="仿宋"/>
          <w:b/>
          <w:szCs w:val="21"/>
        </w:rPr>
        <w:t>六、投标保证金缴纳</w:t>
      </w:r>
    </w:p>
    <w:p w14:paraId="321DC0F0">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ascii="仿宋" w:hAnsi="仿宋" w:eastAsia="仿宋" w:cs="仿宋"/>
          <w:sz w:val="21"/>
          <w:szCs w:val="21"/>
        </w:rPr>
      </w:pPr>
      <w:r>
        <w:rPr>
          <w:rFonts w:hint="eastAsia" w:ascii="仿宋" w:hAnsi="仿宋" w:eastAsia="仿宋" w:cs="仿宋"/>
          <w:sz w:val="21"/>
          <w:szCs w:val="21"/>
        </w:rPr>
        <w:t>执行洛发改公管〔2021〕2号规定。可采用银行保函、保险保单、担保保函、银行汇款等方式缴纳。其中政府投资的建设工程有关服务和货物招标项目免缴投标保证金。</w:t>
      </w:r>
    </w:p>
    <w:p w14:paraId="3A7F94B3">
      <w:pPr>
        <w:keepNext w:val="0"/>
        <w:keepLines w:val="0"/>
        <w:pageBreakBefore w:val="0"/>
        <w:kinsoku/>
        <w:overflowPunct/>
        <w:topLinePunct w:val="0"/>
        <w:autoSpaceDE/>
        <w:autoSpaceDN/>
        <w:bidi w:val="0"/>
        <w:adjustRightInd/>
        <w:snapToGrid/>
        <w:spacing w:line="400" w:lineRule="exact"/>
        <w:textAlignment w:val="auto"/>
        <w:rPr>
          <w:rFonts w:ascii="仿宋" w:hAnsi="仿宋" w:eastAsia="仿宋" w:cs="仿宋"/>
          <w:b/>
          <w:szCs w:val="21"/>
        </w:rPr>
      </w:pPr>
      <w:r>
        <w:rPr>
          <w:rFonts w:hint="eastAsia" w:ascii="仿宋" w:hAnsi="仿宋" w:eastAsia="仿宋" w:cs="仿宋"/>
          <w:b/>
          <w:szCs w:val="21"/>
        </w:rPr>
        <w:t>七、提出异议的渠道和方式</w:t>
      </w:r>
    </w:p>
    <w:p w14:paraId="4B7864E1">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ascii="仿宋" w:hAnsi="仿宋" w:eastAsia="仿宋" w:cs="仿宋"/>
          <w:sz w:val="21"/>
          <w:szCs w:val="21"/>
        </w:rPr>
      </w:pPr>
      <w:r>
        <w:rPr>
          <w:rFonts w:hint="eastAsia" w:ascii="仿宋" w:hAnsi="仿宋" w:eastAsia="仿宋" w:cs="仿宋"/>
          <w:sz w:val="21"/>
          <w:szCs w:val="21"/>
        </w:rPr>
        <w:t>异议。投标人或者其他利害关系人对资格预审文件、招标文件、开标和评标结果有异议的，通过公共资源交易平台向招标人提出异议。</w:t>
      </w:r>
    </w:p>
    <w:p w14:paraId="64C2DB03">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ascii="仿宋" w:hAnsi="仿宋" w:eastAsia="仿宋" w:cs="仿宋"/>
          <w:sz w:val="21"/>
          <w:szCs w:val="21"/>
        </w:rPr>
      </w:pPr>
      <w:r>
        <w:rPr>
          <w:rFonts w:hint="eastAsia" w:ascii="仿宋" w:hAnsi="仿宋" w:eastAsia="仿宋" w:cs="仿宋"/>
          <w:sz w:val="21"/>
          <w:szCs w:val="21"/>
        </w:rPr>
        <w:t>投诉。投标人或者其他利害关系人对招标投标活动需要投诉的，可以自知道或者应当知道之日起10日内，通过公共资源交易平台投诉或者直接向招标公告上公布的监管部门投诉。</w:t>
      </w:r>
    </w:p>
    <w:p w14:paraId="2258E2AD">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ascii="仿宋" w:hAnsi="仿宋" w:eastAsia="仿宋" w:cs="仿宋"/>
          <w:sz w:val="21"/>
          <w:szCs w:val="21"/>
        </w:rPr>
      </w:pPr>
      <w:r>
        <w:rPr>
          <w:rFonts w:hint="eastAsia" w:ascii="仿宋" w:hAnsi="仿宋" w:eastAsia="仿宋" w:cs="仿宋"/>
          <w:sz w:val="21"/>
          <w:szCs w:val="21"/>
        </w:rPr>
        <w:t>注：投诉应当有明确的请求和必要的证明材料。对资格预审文件、招标文件、开标和评标结果的的投诉，应当先向招标人提出异议，异议答复期间不计算在10日内。行政监督部门自收到投诉之日起3个工作日内决定是否受理投诉，自受理投诉之日起30个工作日内作出书面处理决定。</w:t>
      </w:r>
    </w:p>
    <w:p w14:paraId="46FCBF7E">
      <w:pPr>
        <w:keepNext w:val="0"/>
        <w:keepLines w:val="0"/>
        <w:pageBreakBefore w:val="0"/>
        <w:kinsoku/>
        <w:overflowPunct/>
        <w:topLinePunct w:val="0"/>
        <w:autoSpaceDE/>
        <w:autoSpaceDN/>
        <w:bidi w:val="0"/>
        <w:adjustRightInd/>
        <w:snapToGrid/>
        <w:spacing w:line="400" w:lineRule="exact"/>
        <w:textAlignment w:val="auto"/>
        <w:rPr>
          <w:rFonts w:ascii="仿宋" w:hAnsi="仿宋" w:eastAsia="仿宋" w:cs="仿宋"/>
          <w:b/>
          <w:szCs w:val="21"/>
        </w:rPr>
      </w:pPr>
      <w:r>
        <w:rPr>
          <w:rFonts w:hint="eastAsia" w:ascii="仿宋" w:hAnsi="仿宋" w:eastAsia="仿宋" w:cs="仿宋"/>
          <w:b/>
          <w:szCs w:val="21"/>
        </w:rPr>
        <w:t>八、中标通知书发放</w:t>
      </w:r>
    </w:p>
    <w:p w14:paraId="694B2AE6">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ascii="仿宋" w:hAnsi="仿宋" w:eastAsia="仿宋" w:cs="仿宋"/>
          <w:sz w:val="21"/>
          <w:szCs w:val="21"/>
        </w:rPr>
      </w:pPr>
      <w:r>
        <w:rPr>
          <w:rFonts w:hint="eastAsia" w:ascii="仿宋" w:hAnsi="仿宋" w:eastAsia="仿宋" w:cs="仿宋"/>
          <w:sz w:val="21"/>
          <w:szCs w:val="21"/>
        </w:rPr>
        <w:t>通过公共资源交易平台以数据电文形式向中标人发出中标通知书，向未中标人发出中标结果通知。</w:t>
      </w:r>
    </w:p>
    <w:p w14:paraId="03B9A980">
      <w:pPr>
        <w:keepNext w:val="0"/>
        <w:keepLines w:val="0"/>
        <w:pageBreakBefore w:val="0"/>
        <w:kinsoku/>
        <w:overflowPunct/>
        <w:topLinePunct w:val="0"/>
        <w:autoSpaceDE/>
        <w:autoSpaceDN/>
        <w:bidi w:val="0"/>
        <w:adjustRightInd/>
        <w:snapToGrid/>
        <w:spacing w:line="400" w:lineRule="exact"/>
        <w:textAlignment w:val="auto"/>
        <w:rPr>
          <w:rFonts w:ascii="仿宋" w:hAnsi="仿宋" w:eastAsia="仿宋" w:cs="仿宋"/>
          <w:b/>
          <w:szCs w:val="21"/>
        </w:rPr>
      </w:pPr>
      <w:r>
        <w:rPr>
          <w:rFonts w:hint="eastAsia" w:ascii="仿宋" w:hAnsi="仿宋" w:eastAsia="仿宋" w:cs="仿宋"/>
          <w:b/>
          <w:szCs w:val="21"/>
        </w:rPr>
        <w:t>九、签订合同</w:t>
      </w:r>
    </w:p>
    <w:p w14:paraId="04A85537">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ascii="仿宋" w:hAnsi="仿宋" w:eastAsia="仿宋" w:cs="仿宋"/>
          <w:sz w:val="21"/>
          <w:szCs w:val="21"/>
        </w:rPr>
      </w:pPr>
      <w:r>
        <w:rPr>
          <w:rFonts w:hint="eastAsia" w:ascii="仿宋" w:hAnsi="仿宋" w:eastAsia="仿宋" w:cs="仿宋"/>
          <w:sz w:val="21"/>
          <w:szCs w:val="21"/>
        </w:rPr>
        <w:t>招标人通过公共资源交易平台凭电子印章以数据电文形式与中标人签订合同。</w:t>
      </w:r>
    </w:p>
    <w:p w14:paraId="48D9DDEC">
      <w:pPr>
        <w:keepNext w:val="0"/>
        <w:keepLines w:val="0"/>
        <w:pageBreakBefore w:val="0"/>
        <w:kinsoku/>
        <w:overflowPunct/>
        <w:topLinePunct w:val="0"/>
        <w:autoSpaceDE/>
        <w:autoSpaceDN/>
        <w:bidi w:val="0"/>
        <w:adjustRightInd/>
        <w:snapToGrid/>
        <w:spacing w:line="400" w:lineRule="exact"/>
        <w:textAlignment w:val="auto"/>
        <w:rPr>
          <w:rFonts w:ascii="仿宋" w:hAnsi="仿宋" w:eastAsia="仿宋" w:cs="仿宋"/>
          <w:b/>
          <w:szCs w:val="21"/>
        </w:rPr>
      </w:pPr>
      <w:r>
        <w:rPr>
          <w:rFonts w:hint="eastAsia" w:ascii="仿宋" w:hAnsi="仿宋" w:eastAsia="仿宋" w:cs="仿宋"/>
          <w:b/>
          <w:szCs w:val="21"/>
        </w:rPr>
        <w:t>十、发布公告的媒体</w:t>
      </w:r>
    </w:p>
    <w:p w14:paraId="69237063">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rPr>
      </w:pPr>
      <w:r>
        <w:rPr>
          <w:rFonts w:hint="eastAsia" w:ascii="仿宋" w:hAnsi="仿宋" w:eastAsia="仿宋" w:cs="仿宋"/>
          <w:sz w:val="21"/>
          <w:szCs w:val="21"/>
        </w:rPr>
        <w:t>1、本次招标公告同时在</w:t>
      </w:r>
      <w:r>
        <w:rPr>
          <w:rFonts w:hint="eastAsia" w:ascii="仿宋" w:hAnsi="仿宋" w:eastAsia="仿宋" w:cs="仿宋"/>
          <w:sz w:val="21"/>
          <w:szCs w:val="21"/>
          <w:lang w:eastAsia="zh-CN"/>
        </w:rPr>
        <w:t>《中国招标投标公共服务平台》、《河南省政府采购网》、《洛阳市公共资源交易中心网》</w:t>
      </w:r>
      <w:r>
        <w:rPr>
          <w:rFonts w:hint="eastAsia" w:ascii="仿宋" w:hAnsi="仿宋" w:eastAsia="仿宋" w:cs="仿宋"/>
          <w:sz w:val="21"/>
          <w:szCs w:val="21"/>
        </w:rPr>
        <w:t>发布。</w:t>
      </w:r>
    </w:p>
    <w:p w14:paraId="0F9B7503">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ascii="仿宋" w:hAnsi="仿宋" w:eastAsia="仿宋" w:cs="仿宋"/>
          <w:sz w:val="21"/>
          <w:szCs w:val="21"/>
        </w:rPr>
      </w:pPr>
      <w:r>
        <w:rPr>
          <w:rFonts w:hint="eastAsia" w:ascii="仿宋" w:hAnsi="仿宋" w:eastAsia="仿宋" w:cs="仿宋"/>
          <w:sz w:val="21"/>
          <w:szCs w:val="21"/>
        </w:rPr>
        <w:t>2、投标人在参与本项目招标采购活动期间应及时关注本网站获取相关澄清或变更等信息。</w:t>
      </w:r>
    </w:p>
    <w:p w14:paraId="59E4AEE8">
      <w:pPr>
        <w:keepNext w:val="0"/>
        <w:keepLines w:val="0"/>
        <w:pageBreakBefore w:val="0"/>
        <w:kinsoku/>
        <w:overflowPunct/>
        <w:topLinePunct w:val="0"/>
        <w:autoSpaceDE/>
        <w:autoSpaceDN/>
        <w:bidi w:val="0"/>
        <w:adjustRightInd/>
        <w:snapToGrid/>
        <w:spacing w:line="400" w:lineRule="exact"/>
        <w:textAlignment w:val="auto"/>
        <w:rPr>
          <w:rFonts w:ascii="仿宋" w:hAnsi="仿宋" w:eastAsia="仿宋" w:cs="仿宋"/>
          <w:b/>
          <w:szCs w:val="21"/>
        </w:rPr>
      </w:pPr>
      <w:r>
        <w:rPr>
          <w:rFonts w:hint="eastAsia" w:ascii="仿宋" w:hAnsi="仿宋" w:eastAsia="仿宋" w:cs="仿宋"/>
          <w:b/>
          <w:szCs w:val="21"/>
        </w:rPr>
        <w:t>十一、联系方式</w:t>
      </w:r>
      <w:bookmarkEnd w:id="42"/>
      <w:bookmarkEnd w:id="43"/>
      <w:bookmarkEnd w:id="44"/>
      <w:bookmarkEnd w:id="45"/>
      <w:bookmarkEnd w:id="46"/>
    </w:p>
    <w:p w14:paraId="3516EAAD">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lang w:eastAsia="zh-CN"/>
        </w:rPr>
      </w:pPr>
      <w:r>
        <w:rPr>
          <w:rFonts w:hint="eastAsia" w:ascii="仿宋" w:hAnsi="仿宋" w:eastAsia="仿宋" w:cs="仿宋"/>
          <w:sz w:val="21"/>
          <w:szCs w:val="21"/>
        </w:rPr>
        <w:t>招 标 人：</w:t>
      </w:r>
      <w:r>
        <w:rPr>
          <w:rFonts w:hint="eastAsia" w:ascii="仿宋" w:hAnsi="仿宋" w:eastAsia="仿宋" w:cs="仿宋"/>
          <w:sz w:val="21"/>
          <w:szCs w:val="21"/>
          <w:lang w:eastAsia="zh-CN"/>
        </w:rPr>
        <w:t>洛宁县住房和城乡建设局</w:t>
      </w:r>
    </w:p>
    <w:p w14:paraId="4B35B402">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lang w:eastAsia="zh-CN"/>
        </w:rPr>
      </w:pPr>
      <w:r>
        <w:rPr>
          <w:rFonts w:hint="eastAsia" w:ascii="仿宋" w:hAnsi="仿宋" w:eastAsia="仿宋" w:cs="仿宋"/>
          <w:sz w:val="21"/>
          <w:szCs w:val="21"/>
        </w:rPr>
        <w:t>地    址：</w:t>
      </w:r>
      <w:r>
        <w:rPr>
          <w:rFonts w:hint="eastAsia" w:ascii="仿宋" w:hAnsi="仿宋" w:eastAsia="仿宋" w:cs="仿宋"/>
          <w:sz w:val="21"/>
          <w:szCs w:val="21"/>
          <w:lang w:val="en-US" w:eastAsia="zh-CN"/>
        </w:rPr>
        <w:t>洛宁县洛浦路</w:t>
      </w:r>
    </w:p>
    <w:p w14:paraId="530C1FC3">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联 系 人：</w:t>
      </w:r>
      <w:r>
        <w:rPr>
          <w:rFonts w:hint="eastAsia" w:ascii="仿宋" w:hAnsi="仿宋" w:eastAsia="仿宋" w:cs="仿宋"/>
          <w:sz w:val="21"/>
          <w:szCs w:val="21"/>
          <w:highlight w:val="none"/>
          <w:lang w:val="en-US" w:eastAsia="zh-CN"/>
        </w:rPr>
        <w:t>张先生</w:t>
      </w:r>
    </w:p>
    <w:p w14:paraId="5943F01E">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电    话：</w:t>
      </w:r>
      <w:r>
        <w:rPr>
          <w:rFonts w:hint="eastAsia" w:ascii="仿宋" w:hAnsi="仿宋" w:eastAsia="仿宋" w:cs="仿宋"/>
          <w:sz w:val="21"/>
          <w:szCs w:val="21"/>
          <w:highlight w:val="none"/>
          <w:lang w:val="en-US" w:eastAsia="zh-CN"/>
        </w:rPr>
        <w:t>0379-66231681</w:t>
      </w:r>
    </w:p>
    <w:p w14:paraId="6DCD2F12">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lang w:eastAsia="zh-CN"/>
        </w:rPr>
      </w:pPr>
      <w:r>
        <w:rPr>
          <w:rFonts w:hint="eastAsia" w:ascii="仿宋" w:hAnsi="仿宋" w:eastAsia="仿宋" w:cs="仿宋"/>
          <w:sz w:val="21"/>
          <w:szCs w:val="21"/>
        </w:rPr>
        <w:t>招标代理机构：</w:t>
      </w:r>
      <w:r>
        <w:rPr>
          <w:rFonts w:hint="eastAsia" w:ascii="仿宋" w:hAnsi="仿宋" w:eastAsia="仿宋" w:cs="仿宋"/>
          <w:sz w:val="21"/>
          <w:szCs w:val="21"/>
          <w:lang w:eastAsia="zh-CN"/>
        </w:rPr>
        <w:t>河南中宝工程管理服务有限公司</w:t>
      </w:r>
    </w:p>
    <w:p w14:paraId="7393C48A">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lang w:eastAsia="zh-CN"/>
        </w:rPr>
      </w:pPr>
      <w:r>
        <w:rPr>
          <w:rFonts w:hint="eastAsia" w:ascii="仿宋" w:hAnsi="仿宋" w:eastAsia="仿宋" w:cs="仿宋"/>
          <w:sz w:val="21"/>
          <w:szCs w:val="21"/>
        </w:rPr>
        <w:t>地    址：</w:t>
      </w:r>
      <w:r>
        <w:rPr>
          <w:rFonts w:hint="eastAsia" w:ascii="仿宋" w:hAnsi="仿宋" w:eastAsia="仿宋" w:cs="仿宋"/>
          <w:sz w:val="21"/>
          <w:szCs w:val="21"/>
          <w:lang w:eastAsia="zh-CN"/>
        </w:rPr>
        <w:t>洛阳市洛龙区开元大道38号怡和嘉园3号楼1单元1201室</w:t>
      </w:r>
    </w:p>
    <w:p w14:paraId="06E7DDD8">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ascii="仿宋" w:hAnsi="仿宋" w:eastAsia="仿宋" w:cs="仿宋"/>
          <w:sz w:val="21"/>
          <w:szCs w:val="21"/>
          <w:highlight w:val="none"/>
        </w:rPr>
      </w:pPr>
      <w:r>
        <w:rPr>
          <w:rFonts w:hint="eastAsia" w:ascii="仿宋" w:hAnsi="仿宋" w:eastAsia="仿宋" w:cs="仿宋"/>
          <w:sz w:val="21"/>
          <w:szCs w:val="21"/>
        </w:rPr>
        <w:t>联 系 人：</w:t>
      </w:r>
      <w:r>
        <w:rPr>
          <w:rFonts w:hint="eastAsia" w:ascii="仿宋" w:hAnsi="仿宋" w:eastAsia="仿宋" w:cs="仿宋"/>
          <w:sz w:val="21"/>
          <w:szCs w:val="21"/>
          <w:highlight w:val="none"/>
          <w:lang w:val="en-US" w:eastAsia="zh-CN"/>
        </w:rPr>
        <w:t>刘先生</w:t>
      </w:r>
    </w:p>
    <w:p w14:paraId="48C4A299">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联系方式：</w:t>
      </w:r>
      <w:r>
        <w:rPr>
          <w:rFonts w:hint="eastAsia" w:ascii="仿宋" w:hAnsi="仿宋" w:eastAsia="仿宋" w:cs="仿宋"/>
          <w:sz w:val="21"/>
          <w:szCs w:val="21"/>
          <w:highlight w:val="none"/>
          <w:lang w:eastAsia="zh-CN"/>
        </w:rPr>
        <w:t>17630361119</w:t>
      </w:r>
    </w:p>
    <w:p w14:paraId="6CDF80CF">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监管部门：</w:t>
      </w:r>
      <w:r>
        <w:rPr>
          <w:rFonts w:hint="eastAsia" w:ascii="仿宋" w:hAnsi="仿宋" w:eastAsia="仿宋" w:cs="仿宋"/>
          <w:sz w:val="21"/>
          <w:szCs w:val="21"/>
          <w:highlight w:val="none"/>
          <w:lang w:eastAsia="zh-CN"/>
        </w:rPr>
        <w:t>洛宁县住房和城乡建设局</w:t>
      </w:r>
    </w:p>
    <w:p w14:paraId="2E0953D5">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监管部门联系人：</w:t>
      </w:r>
      <w:r>
        <w:rPr>
          <w:rFonts w:hint="eastAsia" w:ascii="仿宋" w:hAnsi="仿宋" w:eastAsia="仿宋" w:cs="仿宋"/>
          <w:sz w:val="21"/>
          <w:szCs w:val="21"/>
          <w:highlight w:val="none"/>
          <w:lang w:eastAsia="zh-CN"/>
        </w:rPr>
        <w:t>洛宁县住房和城乡建设局</w:t>
      </w:r>
    </w:p>
    <w:p w14:paraId="207AAAF8">
      <w:pPr>
        <w:pStyle w:val="29"/>
        <w:keepNext w:val="0"/>
        <w:keepLines w:val="0"/>
        <w:pageBreakBefore w:val="0"/>
        <w:widowControl/>
        <w:kinsoku/>
        <w:overflowPunct/>
        <w:topLinePunct w:val="0"/>
        <w:autoSpaceDE/>
        <w:autoSpaceDN/>
        <w:bidi w:val="0"/>
        <w:adjustRightInd/>
        <w:snapToGrid/>
        <w:spacing w:line="400" w:lineRule="exact"/>
        <w:ind w:firstLine="564"/>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监管部门联系方式：0379-66261339</w:t>
      </w:r>
    </w:p>
    <w:p w14:paraId="475CCF9B">
      <w:pPr>
        <w:pStyle w:val="29"/>
        <w:keepNext w:val="0"/>
        <w:keepLines w:val="0"/>
        <w:pageBreakBefore w:val="0"/>
        <w:widowControl/>
        <w:kinsoku/>
        <w:overflowPunct/>
        <w:topLinePunct w:val="0"/>
        <w:autoSpaceDE/>
        <w:autoSpaceDN/>
        <w:bidi w:val="0"/>
        <w:adjustRightInd/>
        <w:snapToGrid/>
        <w:spacing w:line="400" w:lineRule="exact"/>
        <w:jc w:val="right"/>
        <w:textAlignment w:val="auto"/>
        <w:rPr>
          <w:rFonts w:ascii="仿宋" w:hAnsi="仿宋" w:eastAsia="仿宋" w:cs="仿宋"/>
          <w:sz w:val="21"/>
          <w:szCs w:val="21"/>
        </w:rPr>
      </w:pPr>
      <w:r>
        <w:rPr>
          <w:rFonts w:hint="eastAsia" w:ascii="仿宋" w:hAnsi="仿宋" w:eastAsia="仿宋" w:cs="仿宋"/>
          <w:sz w:val="21"/>
          <w:szCs w:val="21"/>
          <w:lang w:eastAsia="zh-CN"/>
        </w:rPr>
        <w:t>2025年</w:t>
      </w:r>
      <w:r>
        <w:rPr>
          <w:rFonts w:hint="eastAsia" w:ascii="仿宋" w:hAnsi="仿宋" w:eastAsia="仿宋" w:cs="仿宋"/>
          <w:sz w:val="21"/>
          <w:szCs w:val="21"/>
          <w:lang w:val="en-US" w:eastAsia="zh-CN"/>
        </w:rPr>
        <w:t>12</w:t>
      </w:r>
      <w:r>
        <w:rPr>
          <w:rFonts w:hint="eastAsia" w:ascii="仿宋" w:hAnsi="仿宋" w:eastAsia="仿宋" w:cs="仿宋"/>
          <w:sz w:val="21"/>
          <w:szCs w:val="21"/>
          <w:lang w:eastAsia="zh-CN"/>
        </w:rPr>
        <w:t>月</w:t>
      </w:r>
      <w:r>
        <w:rPr>
          <w:rFonts w:hint="eastAsia" w:ascii="仿宋" w:hAnsi="仿宋" w:eastAsia="仿宋" w:cs="仿宋"/>
          <w:sz w:val="21"/>
          <w:szCs w:val="21"/>
          <w:lang w:val="en-US" w:eastAsia="zh-CN"/>
        </w:rPr>
        <w:t>05</w:t>
      </w:r>
      <w:r>
        <w:rPr>
          <w:rFonts w:hint="eastAsia" w:ascii="仿宋" w:hAnsi="仿宋" w:eastAsia="仿宋" w:cs="仿宋"/>
          <w:sz w:val="21"/>
          <w:szCs w:val="21"/>
          <w:lang w:eastAsia="zh-CN"/>
        </w:rPr>
        <w:t>日</w:t>
      </w:r>
      <w:r>
        <w:rPr>
          <w:rFonts w:hint="eastAsia" w:ascii="仿宋" w:hAnsi="仿宋" w:eastAsia="仿宋" w:cs="仿宋"/>
          <w:sz w:val="21"/>
          <w:szCs w:val="21"/>
        </w:rPr>
        <w:br w:type="page"/>
      </w:r>
    </w:p>
    <w:p w14:paraId="0BFE5020">
      <w:pPr>
        <w:pStyle w:val="2"/>
        <w:spacing w:line="240" w:lineRule="auto"/>
        <w:jc w:val="center"/>
        <w:rPr>
          <w:rFonts w:hint="eastAsia" w:ascii="仿宋" w:hAnsi="仿宋" w:eastAsia="仿宋" w:cs="仿宋"/>
          <w:sz w:val="32"/>
          <w:szCs w:val="32"/>
        </w:rPr>
      </w:pPr>
      <w:bookmarkStart w:id="47" w:name="_Toc144974493"/>
      <w:bookmarkEnd w:id="47"/>
      <w:bookmarkStart w:id="48" w:name="_Toc152042299"/>
      <w:bookmarkEnd w:id="48"/>
      <w:bookmarkStart w:id="49" w:name="_Toc369531509"/>
      <w:bookmarkEnd w:id="49"/>
      <w:bookmarkStart w:id="50" w:name="_Toc352691469"/>
      <w:bookmarkEnd w:id="50"/>
      <w:bookmarkStart w:id="51" w:name="_Toc361508578"/>
      <w:bookmarkEnd w:id="51"/>
      <w:bookmarkStart w:id="52" w:name="_Toc247513946"/>
      <w:bookmarkEnd w:id="52"/>
      <w:bookmarkStart w:id="53" w:name="_Toc14865"/>
      <w:bookmarkEnd w:id="53"/>
      <w:bookmarkStart w:id="54" w:name="_Toc152045523"/>
      <w:bookmarkEnd w:id="54"/>
      <w:bookmarkStart w:id="55" w:name="_Toc247527547"/>
      <w:bookmarkEnd w:id="55"/>
      <w:bookmarkStart w:id="56" w:name="_Toc361508580"/>
      <w:bookmarkEnd w:id="56"/>
      <w:bookmarkStart w:id="57" w:name="_Toc300834941"/>
      <w:bookmarkEnd w:id="57"/>
      <w:bookmarkStart w:id="58" w:name="_Toc152042301"/>
      <w:bookmarkEnd w:id="58"/>
      <w:bookmarkStart w:id="59" w:name="_Toc384308203"/>
      <w:bookmarkEnd w:id="59"/>
      <w:bookmarkStart w:id="60" w:name="_Toc352691467"/>
      <w:bookmarkEnd w:id="60"/>
      <w:bookmarkStart w:id="61" w:name="_Toc247513948"/>
      <w:bookmarkEnd w:id="61"/>
      <w:bookmarkStart w:id="62" w:name="_Toc384308205"/>
      <w:bookmarkEnd w:id="62"/>
      <w:bookmarkStart w:id="63" w:name="_Toc369531511"/>
      <w:bookmarkEnd w:id="63"/>
      <w:bookmarkStart w:id="64" w:name="_Toc19794"/>
      <w:bookmarkEnd w:id="64"/>
      <w:bookmarkStart w:id="65" w:name="_Toc144974491"/>
      <w:bookmarkEnd w:id="65"/>
      <w:bookmarkStart w:id="66" w:name="_Toc247527549"/>
      <w:bookmarkEnd w:id="66"/>
      <w:bookmarkStart w:id="67" w:name="_Toc152045525"/>
      <w:bookmarkEnd w:id="67"/>
      <w:bookmarkStart w:id="68" w:name="_Toc300834943"/>
      <w:bookmarkEnd w:id="68"/>
      <w:bookmarkStart w:id="69" w:name="_Toc185327303"/>
      <w:bookmarkStart w:id="70" w:name="_Toc30720"/>
      <w:bookmarkStart w:id="71" w:name="_Toc14098"/>
      <w:bookmarkStart w:id="72" w:name="_Toc19140"/>
      <w:bookmarkStart w:id="73" w:name="_Toc20634"/>
      <w:r>
        <w:rPr>
          <w:rFonts w:hint="eastAsia" w:ascii="仿宋" w:hAnsi="仿宋" w:eastAsia="仿宋" w:cs="仿宋"/>
          <w:sz w:val="32"/>
          <w:szCs w:val="32"/>
          <w:lang w:val="en-US" w:eastAsia="zh-CN"/>
        </w:rPr>
        <w:t xml:space="preserve">第二章 </w:t>
      </w:r>
      <w:r>
        <w:rPr>
          <w:rFonts w:hint="eastAsia" w:ascii="仿宋" w:hAnsi="仿宋" w:eastAsia="仿宋" w:cs="仿宋"/>
          <w:sz w:val="32"/>
          <w:szCs w:val="32"/>
        </w:rPr>
        <w:t>投标人须知</w:t>
      </w:r>
      <w:bookmarkEnd w:id="69"/>
      <w:bookmarkEnd w:id="70"/>
      <w:bookmarkEnd w:id="71"/>
      <w:bookmarkEnd w:id="72"/>
      <w:bookmarkEnd w:id="73"/>
      <w:r>
        <w:rPr>
          <w:rFonts w:hint="eastAsia" w:ascii="仿宋" w:hAnsi="仿宋" w:eastAsia="仿宋" w:cs="仿宋"/>
          <w:sz w:val="32"/>
          <w:szCs w:val="32"/>
          <w:lang w:val="en-US" w:eastAsia="zh-CN"/>
        </w:rPr>
        <w:t xml:space="preserve">  </w:t>
      </w:r>
    </w:p>
    <w:p w14:paraId="4E953C48">
      <w:pPr>
        <w:pStyle w:val="2"/>
        <w:numPr>
          <w:ilvl w:val="0"/>
          <w:numId w:val="0"/>
        </w:numPr>
        <w:jc w:val="center"/>
        <w:rPr>
          <w:rFonts w:hint="eastAsia" w:ascii="仿宋" w:hAnsi="仿宋" w:eastAsia="仿宋" w:cs="仿宋"/>
          <w:b/>
          <w:sz w:val="24"/>
          <w:szCs w:val="24"/>
        </w:rPr>
      </w:pPr>
      <w:bookmarkStart w:id="74" w:name="_Toc15688"/>
      <w:bookmarkStart w:id="75" w:name="_Toc23555"/>
      <w:r>
        <w:rPr>
          <w:rFonts w:hint="eastAsia" w:ascii="仿宋" w:hAnsi="仿宋" w:eastAsia="仿宋" w:cs="仿宋"/>
          <w:b/>
          <w:sz w:val="24"/>
          <w:szCs w:val="24"/>
          <w:lang w:val="en-US" w:eastAsia="zh-CN"/>
        </w:rPr>
        <w:t>投标人须知前附表</w:t>
      </w:r>
      <w:bookmarkEnd w:id="74"/>
      <w:bookmarkEnd w:id="75"/>
    </w:p>
    <w:tbl>
      <w:tblPr>
        <w:tblStyle w:val="33"/>
        <w:tblW w:w="9322" w:type="dxa"/>
        <w:jc w:val="center"/>
        <w:tblLayout w:type="fixed"/>
        <w:tblCellMar>
          <w:top w:w="0" w:type="dxa"/>
          <w:left w:w="108" w:type="dxa"/>
          <w:bottom w:w="0" w:type="dxa"/>
          <w:right w:w="108" w:type="dxa"/>
        </w:tblCellMar>
      </w:tblPr>
      <w:tblGrid>
        <w:gridCol w:w="1006"/>
        <w:gridCol w:w="2486"/>
        <w:gridCol w:w="5830"/>
      </w:tblGrid>
      <w:tr w14:paraId="6808BCE4">
        <w:tblPrEx>
          <w:tblCellMar>
            <w:top w:w="0" w:type="dxa"/>
            <w:left w:w="108" w:type="dxa"/>
            <w:bottom w:w="0" w:type="dxa"/>
            <w:right w:w="108" w:type="dxa"/>
          </w:tblCellMar>
        </w:tblPrEx>
        <w:trPr>
          <w:tblHeader/>
          <w:jc w:val="center"/>
        </w:trPr>
        <w:tc>
          <w:tcPr>
            <w:tcW w:w="1006" w:type="dxa"/>
            <w:tcBorders>
              <w:top w:val="single" w:color="auto" w:sz="4" w:space="0"/>
              <w:left w:val="single" w:color="auto" w:sz="4" w:space="0"/>
              <w:bottom w:val="single" w:color="auto" w:sz="4" w:space="0"/>
              <w:right w:val="single" w:color="auto" w:sz="4" w:space="0"/>
            </w:tcBorders>
            <w:vAlign w:val="center"/>
          </w:tcPr>
          <w:p w14:paraId="44B556BA">
            <w:pPr>
              <w:spacing w:line="400" w:lineRule="exact"/>
              <w:jc w:val="center"/>
              <w:rPr>
                <w:rFonts w:ascii="仿宋" w:hAnsi="仿宋" w:eastAsia="仿宋" w:cs="仿宋"/>
                <w:b/>
                <w:szCs w:val="21"/>
              </w:rPr>
            </w:pPr>
            <w:bookmarkStart w:id="76" w:name="_Toc185327304"/>
            <w:bookmarkStart w:id="77" w:name="_Toc28566"/>
            <w:bookmarkStart w:id="78" w:name="_Toc32589"/>
            <w:bookmarkStart w:id="79" w:name="_Toc20795"/>
            <w:r>
              <w:rPr>
                <w:rFonts w:hint="eastAsia" w:ascii="仿宋" w:hAnsi="仿宋" w:eastAsia="仿宋" w:cs="仿宋"/>
                <w:b/>
                <w:szCs w:val="21"/>
              </w:rPr>
              <w:t>条款号</w:t>
            </w:r>
          </w:p>
        </w:tc>
        <w:tc>
          <w:tcPr>
            <w:tcW w:w="2486" w:type="dxa"/>
            <w:tcBorders>
              <w:top w:val="single" w:color="auto" w:sz="4" w:space="0"/>
              <w:left w:val="single" w:color="auto" w:sz="4" w:space="0"/>
              <w:bottom w:val="single" w:color="auto" w:sz="4" w:space="0"/>
              <w:right w:val="single" w:color="auto" w:sz="4" w:space="0"/>
            </w:tcBorders>
            <w:vAlign w:val="center"/>
          </w:tcPr>
          <w:p w14:paraId="11AB8C07">
            <w:pPr>
              <w:spacing w:line="400" w:lineRule="exact"/>
              <w:jc w:val="center"/>
              <w:rPr>
                <w:rFonts w:ascii="仿宋" w:hAnsi="仿宋" w:eastAsia="仿宋" w:cs="仿宋"/>
                <w:b/>
                <w:szCs w:val="21"/>
              </w:rPr>
            </w:pPr>
            <w:r>
              <w:rPr>
                <w:rFonts w:hint="eastAsia" w:ascii="仿宋" w:hAnsi="仿宋" w:eastAsia="仿宋" w:cs="仿宋"/>
                <w:b/>
                <w:szCs w:val="21"/>
              </w:rPr>
              <w:t>条款名称</w:t>
            </w:r>
          </w:p>
        </w:tc>
        <w:tc>
          <w:tcPr>
            <w:tcW w:w="5830" w:type="dxa"/>
            <w:tcBorders>
              <w:top w:val="single" w:color="auto" w:sz="4" w:space="0"/>
              <w:left w:val="single" w:color="auto" w:sz="4" w:space="0"/>
              <w:bottom w:val="single" w:color="auto" w:sz="4" w:space="0"/>
              <w:right w:val="single" w:color="auto" w:sz="4" w:space="0"/>
            </w:tcBorders>
            <w:vAlign w:val="center"/>
          </w:tcPr>
          <w:p w14:paraId="249283C7">
            <w:pPr>
              <w:spacing w:line="400" w:lineRule="exact"/>
              <w:jc w:val="center"/>
              <w:rPr>
                <w:rFonts w:ascii="仿宋" w:hAnsi="仿宋" w:eastAsia="仿宋" w:cs="仿宋"/>
                <w:b/>
                <w:szCs w:val="21"/>
              </w:rPr>
            </w:pPr>
            <w:r>
              <w:rPr>
                <w:rFonts w:hint="eastAsia" w:ascii="仿宋" w:hAnsi="仿宋" w:eastAsia="仿宋" w:cs="仿宋"/>
                <w:b/>
                <w:szCs w:val="21"/>
              </w:rPr>
              <w:t>编列内容</w:t>
            </w:r>
          </w:p>
        </w:tc>
      </w:tr>
      <w:tr w14:paraId="6900060E">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183A433C">
            <w:pPr>
              <w:spacing w:line="400" w:lineRule="exact"/>
              <w:jc w:val="center"/>
              <w:textAlignment w:val="center"/>
              <w:rPr>
                <w:rFonts w:ascii="仿宋" w:hAnsi="仿宋" w:eastAsia="仿宋" w:cs="仿宋"/>
                <w:szCs w:val="21"/>
              </w:rPr>
            </w:pPr>
            <w:r>
              <w:rPr>
                <w:rFonts w:hint="eastAsia" w:ascii="仿宋" w:hAnsi="仿宋" w:eastAsia="仿宋" w:cs="仿宋"/>
                <w:szCs w:val="21"/>
              </w:rPr>
              <w:t>1.1.2</w:t>
            </w:r>
          </w:p>
        </w:tc>
        <w:tc>
          <w:tcPr>
            <w:tcW w:w="2486" w:type="dxa"/>
            <w:tcBorders>
              <w:top w:val="single" w:color="auto" w:sz="4" w:space="0"/>
              <w:left w:val="single" w:color="auto" w:sz="4" w:space="0"/>
              <w:bottom w:val="single" w:color="auto" w:sz="4" w:space="0"/>
              <w:right w:val="single" w:color="auto" w:sz="4" w:space="0"/>
            </w:tcBorders>
            <w:vAlign w:val="center"/>
          </w:tcPr>
          <w:p w14:paraId="06B280AE">
            <w:pPr>
              <w:spacing w:line="400" w:lineRule="exact"/>
              <w:jc w:val="center"/>
              <w:textAlignment w:val="center"/>
              <w:rPr>
                <w:rFonts w:ascii="仿宋" w:hAnsi="仿宋" w:eastAsia="仿宋" w:cs="仿宋"/>
                <w:szCs w:val="21"/>
              </w:rPr>
            </w:pPr>
            <w:r>
              <w:rPr>
                <w:rFonts w:hint="eastAsia" w:ascii="仿宋" w:hAnsi="仿宋" w:eastAsia="仿宋" w:cs="仿宋"/>
                <w:szCs w:val="21"/>
              </w:rPr>
              <w:t>招标人</w:t>
            </w:r>
          </w:p>
        </w:tc>
        <w:tc>
          <w:tcPr>
            <w:tcW w:w="5830" w:type="dxa"/>
            <w:tcBorders>
              <w:top w:val="single" w:color="auto" w:sz="4" w:space="0"/>
              <w:left w:val="single" w:color="auto" w:sz="4" w:space="0"/>
              <w:bottom w:val="single" w:color="auto" w:sz="4" w:space="0"/>
              <w:right w:val="single" w:color="auto" w:sz="4" w:space="0"/>
            </w:tcBorders>
            <w:vAlign w:val="center"/>
          </w:tcPr>
          <w:p w14:paraId="5D858CA0">
            <w:pPr>
              <w:spacing w:line="400" w:lineRule="exact"/>
              <w:textAlignment w:val="center"/>
              <w:rPr>
                <w:rFonts w:hint="eastAsia" w:ascii="仿宋" w:hAnsi="仿宋" w:eastAsia="仿宋" w:cs="仿宋"/>
                <w:szCs w:val="21"/>
                <w:lang w:eastAsia="zh-CN"/>
              </w:rPr>
            </w:pPr>
            <w:r>
              <w:rPr>
                <w:rFonts w:hint="eastAsia" w:ascii="仿宋" w:hAnsi="仿宋" w:eastAsia="仿宋" w:cs="仿宋"/>
                <w:szCs w:val="21"/>
              </w:rPr>
              <w:t>招 标 人：</w:t>
            </w:r>
            <w:r>
              <w:rPr>
                <w:rFonts w:hint="eastAsia" w:ascii="仿宋" w:hAnsi="仿宋" w:eastAsia="仿宋" w:cs="仿宋"/>
                <w:szCs w:val="21"/>
                <w:lang w:eastAsia="zh-CN"/>
              </w:rPr>
              <w:t>洛宁县住房和城乡建设局</w:t>
            </w:r>
          </w:p>
          <w:p w14:paraId="17EC9441">
            <w:pPr>
              <w:spacing w:line="400" w:lineRule="exact"/>
              <w:textAlignment w:val="center"/>
              <w:rPr>
                <w:rFonts w:hint="eastAsia" w:ascii="仿宋" w:hAnsi="仿宋" w:eastAsia="仿宋" w:cs="仿宋"/>
                <w:szCs w:val="21"/>
                <w:lang w:eastAsia="zh-CN"/>
              </w:rPr>
            </w:pPr>
            <w:r>
              <w:rPr>
                <w:rFonts w:hint="eastAsia" w:ascii="仿宋" w:hAnsi="仿宋" w:eastAsia="仿宋" w:cs="仿宋"/>
                <w:szCs w:val="21"/>
              </w:rPr>
              <w:t>地    址：</w:t>
            </w:r>
            <w:r>
              <w:rPr>
                <w:rFonts w:hint="eastAsia" w:ascii="仿宋" w:hAnsi="仿宋" w:eastAsia="仿宋" w:cs="仿宋"/>
                <w:szCs w:val="21"/>
                <w:lang w:val="en-US" w:eastAsia="zh-CN"/>
              </w:rPr>
              <w:t>洛宁县洛浦路</w:t>
            </w:r>
          </w:p>
          <w:p w14:paraId="32CB56D4">
            <w:pPr>
              <w:spacing w:line="400" w:lineRule="exact"/>
              <w:textAlignment w:val="center"/>
              <w:rPr>
                <w:rFonts w:hint="eastAsia" w:ascii="仿宋" w:hAnsi="仿宋" w:eastAsia="仿宋" w:cs="仿宋"/>
                <w:szCs w:val="21"/>
                <w:lang w:eastAsia="zh-CN"/>
              </w:rPr>
            </w:pPr>
            <w:r>
              <w:rPr>
                <w:rFonts w:hint="eastAsia" w:ascii="仿宋" w:hAnsi="仿宋" w:eastAsia="仿宋" w:cs="仿宋"/>
                <w:szCs w:val="21"/>
                <w:lang w:eastAsia="zh-CN"/>
              </w:rPr>
              <w:t>联 系 人：</w:t>
            </w:r>
            <w:r>
              <w:rPr>
                <w:rFonts w:hint="eastAsia" w:ascii="仿宋" w:hAnsi="仿宋" w:eastAsia="仿宋" w:cs="仿宋"/>
                <w:szCs w:val="21"/>
                <w:lang w:val="en-US" w:eastAsia="zh-CN"/>
              </w:rPr>
              <w:t>张先生</w:t>
            </w:r>
          </w:p>
          <w:p w14:paraId="78E3E238">
            <w:pPr>
              <w:spacing w:line="400" w:lineRule="exact"/>
              <w:textAlignment w:val="center"/>
              <w:rPr>
                <w:rFonts w:hint="eastAsia" w:ascii="仿宋" w:hAnsi="仿宋" w:eastAsia="仿宋" w:cs="仿宋"/>
                <w:szCs w:val="21"/>
                <w:lang w:eastAsia="zh-CN"/>
              </w:rPr>
            </w:pPr>
            <w:r>
              <w:rPr>
                <w:rFonts w:hint="eastAsia" w:ascii="仿宋" w:hAnsi="仿宋" w:eastAsia="仿宋" w:cs="仿宋"/>
                <w:szCs w:val="21"/>
                <w:lang w:eastAsia="zh-CN"/>
              </w:rPr>
              <w:t>电    话：</w:t>
            </w:r>
            <w:r>
              <w:rPr>
                <w:rFonts w:hint="eastAsia" w:ascii="仿宋" w:hAnsi="仿宋" w:eastAsia="仿宋" w:cs="仿宋"/>
                <w:szCs w:val="21"/>
                <w:lang w:val="en-US" w:eastAsia="zh-CN"/>
              </w:rPr>
              <w:t>0379-66231681</w:t>
            </w:r>
          </w:p>
        </w:tc>
      </w:tr>
      <w:tr w14:paraId="7F8A35C7">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4E0A0A37">
            <w:pPr>
              <w:spacing w:line="400" w:lineRule="exact"/>
              <w:jc w:val="center"/>
              <w:rPr>
                <w:rFonts w:ascii="仿宋" w:hAnsi="仿宋" w:eastAsia="仿宋" w:cs="仿宋"/>
                <w:szCs w:val="21"/>
              </w:rPr>
            </w:pPr>
            <w:r>
              <w:rPr>
                <w:rFonts w:hint="eastAsia" w:ascii="仿宋" w:hAnsi="仿宋" w:eastAsia="仿宋" w:cs="仿宋"/>
                <w:szCs w:val="21"/>
              </w:rPr>
              <w:t>1.1.3</w:t>
            </w:r>
          </w:p>
        </w:tc>
        <w:tc>
          <w:tcPr>
            <w:tcW w:w="2486" w:type="dxa"/>
            <w:tcBorders>
              <w:top w:val="single" w:color="auto" w:sz="4" w:space="0"/>
              <w:left w:val="single" w:color="auto" w:sz="4" w:space="0"/>
              <w:bottom w:val="single" w:color="auto" w:sz="4" w:space="0"/>
              <w:right w:val="single" w:color="auto" w:sz="4" w:space="0"/>
            </w:tcBorders>
            <w:vAlign w:val="center"/>
          </w:tcPr>
          <w:p w14:paraId="4CF29DCB">
            <w:pPr>
              <w:spacing w:line="400" w:lineRule="exact"/>
              <w:jc w:val="center"/>
              <w:rPr>
                <w:rFonts w:ascii="仿宋" w:hAnsi="仿宋" w:eastAsia="仿宋" w:cs="仿宋"/>
                <w:szCs w:val="21"/>
              </w:rPr>
            </w:pPr>
            <w:r>
              <w:rPr>
                <w:rFonts w:hint="eastAsia" w:ascii="仿宋" w:hAnsi="仿宋" w:eastAsia="仿宋" w:cs="仿宋"/>
                <w:szCs w:val="21"/>
              </w:rPr>
              <w:t>招标代理机构</w:t>
            </w:r>
          </w:p>
        </w:tc>
        <w:tc>
          <w:tcPr>
            <w:tcW w:w="5830" w:type="dxa"/>
            <w:tcBorders>
              <w:top w:val="single" w:color="auto" w:sz="4" w:space="0"/>
              <w:left w:val="single" w:color="auto" w:sz="4" w:space="0"/>
              <w:bottom w:val="single" w:color="auto" w:sz="4" w:space="0"/>
              <w:right w:val="single" w:color="auto" w:sz="4" w:space="0"/>
            </w:tcBorders>
            <w:vAlign w:val="center"/>
          </w:tcPr>
          <w:p w14:paraId="5A30AFBC">
            <w:pPr>
              <w:spacing w:line="400" w:lineRule="exact"/>
              <w:rPr>
                <w:rFonts w:hint="eastAsia" w:ascii="仿宋" w:hAnsi="仿宋" w:eastAsia="仿宋" w:cs="仿宋"/>
                <w:szCs w:val="21"/>
                <w:lang w:eastAsia="zh-CN"/>
              </w:rPr>
            </w:pPr>
            <w:r>
              <w:rPr>
                <w:rFonts w:hint="eastAsia" w:ascii="仿宋" w:hAnsi="仿宋" w:eastAsia="仿宋" w:cs="仿宋"/>
                <w:szCs w:val="21"/>
              </w:rPr>
              <w:t>代理机构：</w:t>
            </w:r>
            <w:r>
              <w:rPr>
                <w:rFonts w:hint="eastAsia" w:ascii="仿宋" w:hAnsi="仿宋" w:eastAsia="仿宋" w:cs="仿宋"/>
                <w:szCs w:val="21"/>
                <w:lang w:eastAsia="zh-CN"/>
              </w:rPr>
              <w:t xml:space="preserve"> 河南中宝工程管理服务有限公司</w:t>
            </w:r>
          </w:p>
          <w:p w14:paraId="6B40922E">
            <w:pPr>
              <w:spacing w:line="400" w:lineRule="exact"/>
              <w:rPr>
                <w:rFonts w:ascii="仿宋" w:hAnsi="仿宋" w:eastAsia="仿宋" w:cs="仿宋"/>
                <w:szCs w:val="21"/>
                <w:highlight w:val="none"/>
              </w:rPr>
            </w:pPr>
            <w:r>
              <w:rPr>
                <w:rFonts w:hint="eastAsia" w:ascii="仿宋" w:hAnsi="仿宋" w:eastAsia="仿宋" w:cs="仿宋"/>
                <w:szCs w:val="21"/>
                <w:highlight w:val="none"/>
              </w:rPr>
              <w:t>地    址：</w:t>
            </w:r>
            <w:r>
              <w:rPr>
                <w:rFonts w:hint="eastAsia" w:ascii="仿宋" w:hAnsi="仿宋" w:eastAsia="仿宋" w:cs="仿宋"/>
                <w:szCs w:val="21"/>
                <w:highlight w:val="none"/>
                <w:lang w:eastAsia="zh-CN"/>
              </w:rPr>
              <w:t>洛阳市洛龙区开元大道38号怡和嘉园3号楼1单元1201室</w:t>
            </w:r>
          </w:p>
          <w:p w14:paraId="42F80AD7">
            <w:pPr>
              <w:spacing w:line="400" w:lineRule="exact"/>
              <w:rPr>
                <w:rFonts w:ascii="仿宋" w:hAnsi="仿宋" w:eastAsia="仿宋" w:cs="仿宋"/>
                <w:szCs w:val="21"/>
                <w:highlight w:val="none"/>
              </w:rPr>
            </w:pPr>
            <w:r>
              <w:rPr>
                <w:rFonts w:hint="eastAsia" w:ascii="仿宋" w:hAnsi="仿宋" w:eastAsia="仿宋" w:cs="仿宋"/>
                <w:szCs w:val="21"/>
                <w:highlight w:val="none"/>
              </w:rPr>
              <w:t>联 系 人：</w:t>
            </w:r>
            <w:r>
              <w:rPr>
                <w:rFonts w:hint="eastAsia" w:ascii="仿宋" w:hAnsi="仿宋" w:eastAsia="仿宋" w:cs="仿宋"/>
                <w:szCs w:val="21"/>
                <w:highlight w:val="none"/>
                <w:lang w:val="en-US" w:eastAsia="zh-CN"/>
              </w:rPr>
              <w:t>刘先生</w:t>
            </w:r>
          </w:p>
          <w:p w14:paraId="1246BE7F">
            <w:pPr>
              <w:spacing w:line="400" w:lineRule="exact"/>
              <w:rPr>
                <w:rFonts w:hint="eastAsia" w:ascii="仿宋" w:hAnsi="仿宋" w:eastAsia="仿宋" w:cs="仿宋"/>
                <w:szCs w:val="21"/>
                <w:lang w:eastAsia="zh-CN"/>
              </w:rPr>
            </w:pPr>
            <w:r>
              <w:rPr>
                <w:rFonts w:hint="eastAsia" w:ascii="仿宋" w:hAnsi="仿宋" w:eastAsia="仿宋" w:cs="仿宋"/>
                <w:szCs w:val="21"/>
                <w:highlight w:val="none"/>
              </w:rPr>
              <w:t>联系方式：</w:t>
            </w:r>
            <w:r>
              <w:rPr>
                <w:rFonts w:hint="eastAsia" w:ascii="仿宋" w:hAnsi="仿宋" w:eastAsia="仿宋" w:cs="仿宋"/>
                <w:szCs w:val="21"/>
                <w:highlight w:val="none"/>
                <w:lang w:val="en-US" w:eastAsia="zh-CN"/>
              </w:rPr>
              <w:t>1763036111</w:t>
            </w:r>
            <w:r>
              <w:rPr>
                <w:rFonts w:hint="eastAsia" w:ascii="仿宋" w:hAnsi="仿宋" w:eastAsia="仿宋" w:cs="仿宋"/>
                <w:szCs w:val="21"/>
                <w:highlight w:val="none"/>
                <w:lang w:eastAsia="zh-CN"/>
              </w:rPr>
              <w:t>9</w:t>
            </w:r>
          </w:p>
        </w:tc>
      </w:tr>
      <w:tr w14:paraId="180665BE">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2AB960DD">
            <w:pPr>
              <w:spacing w:line="400" w:lineRule="exact"/>
              <w:jc w:val="center"/>
              <w:rPr>
                <w:rFonts w:ascii="仿宋" w:hAnsi="仿宋" w:eastAsia="仿宋" w:cs="仿宋"/>
                <w:szCs w:val="21"/>
              </w:rPr>
            </w:pPr>
            <w:r>
              <w:rPr>
                <w:rFonts w:hint="eastAsia" w:ascii="仿宋" w:hAnsi="仿宋" w:eastAsia="仿宋" w:cs="仿宋"/>
                <w:szCs w:val="21"/>
              </w:rPr>
              <w:t>1.1.4</w:t>
            </w:r>
          </w:p>
        </w:tc>
        <w:tc>
          <w:tcPr>
            <w:tcW w:w="2486" w:type="dxa"/>
            <w:tcBorders>
              <w:top w:val="single" w:color="auto" w:sz="4" w:space="0"/>
              <w:left w:val="single" w:color="auto" w:sz="4" w:space="0"/>
              <w:bottom w:val="single" w:color="auto" w:sz="4" w:space="0"/>
              <w:right w:val="single" w:color="auto" w:sz="4" w:space="0"/>
            </w:tcBorders>
            <w:vAlign w:val="center"/>
          </w:tcPr>
          <w:p w14:paraId="7DC1CB3C">
            <w:pPr>
              <w:spacing w:line="400" w:lineRule="exact"/>
              <w:jc w:val="center"/>
              <w:rPr>
                <w:rFonts w:ascii="仿宋" w:hAnsi="仿宋" w:eastAsia="仿宋" w:cs="仿宋"/>
                <w:szCs w:val="21"/>
              </w:rPr>
            </w:pPr>
            <w:r>
              <w:rPr>
                <w:rFonts w:hint="eastAsia" w:ascii="仿宋" w:hAnsi="仿宋" w:eastAsia="仿宋" w:cs="仿宋"/>
                <w:szCs w:val="21"/>
              </w:rPr>
              <w:t>招标项目名称</w:t>
            </w:r>
          </w:p>
        </w:tc>
        <w:tc>
          <w:tcPr>
            <w:tcW w:w="5830" w:type="dxa"/>
            <w:tcBorders>
              <w:top w:val="single" w:color="auto" w:sz="4" w:space="0"/>
              <w:left w:val="single" w:color="auto" w:sz="4" w:space="0"/>
              <w:bottom w:val="single" w:color="auto" w:sz="4" w:space="0"/>
              <w:right w:val="single" w:color="auto" w:sz="4" w:space="0"/>
            </w:tcBorders>
            <w:vAlign w:val="center"/>
          </w:tcPr>
          <w:p w14:paraId="701FF9E2">
            <w:pPr>
              <w:spacing w:line="400" w:lineRule="exact"/>
              <w:rPr>
                <w:rFonts w:ascii="仿宋" w:hAnsi="仿宋" w:eastAsia="仿宋" w:cs="仿宋"/>
                <w:szCs w:val="21"/>
              </w:rPr>
            </w:pPr>
            <w:r>
              <w:rPr>
                <w:rFonts w:hint="eastAsia" w:ascii="仿宋" w:hAnsi="仿宋" w:eastAsia="仿宋" w:cs="仿宋"/>
                <w:szCs w:val="21"/>
                <w:lang w:eastAsia="zh-CN"/>
              </w:rPr>
              <w:t>洛宁县污水处理厂设施提标改造设备更新项目（一期）</w:t>
            </w:r>
          </w:p>
        </w:tc>
      </w:tr>
      <w:tr w14:paraId="300F66E9">
        <w:tblPrEx>
          <w:tblCellMar>
            <w:top w:w="0" w:type="dxa"/>
            <w:left w:w="108" w:type="dxa"/>
            <w:bottom w:w="0" w:type="dxa"/>
            <w:right w:w="108" w:type="dxa"/>
          </w:tblCellMar>
        </w:tblPrEx>
        <w:trPr>
          <w:trHeight w:val="427"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171E0798">
            <w:pPr>
              <w:spacing w:line="400" w:lineRule="exact"/>
              <w:jc w:val="center"/>
              <w:rPr>
                <w:rFonts w:ascii="仿宋" w:hAnsi="仿宋" w:eastAsia="仿宋" w:cs="仿宋"/>
                <w:szCs w:val="21"/>
              </w:rPr>
            </w:pPr>
            <w:r>
              <w:rPr>
                <w:rFonts w:hint="eastAsia" w:ascii="仿宋" w:hAnsi="仿宋" w:eastAsia="仿宋" w:cs="仿宋"/>
                <w:szCs w:val="21"/>
              </w:rPr>
              <w:t>1.1.5</w:t>
            </w:r>
          </w:p>
        </w:tc>
        <w:tc>
          <w:tcPr>
            <w:tcW w:w="2486" w:type="dxa"/>
            <w:tcBorders>
              <w:top w:val="single" w:color="auto" w:sz="4" w:space="0"/>
              <w:left w:val="single" w:color="auto" w:sz="4" w:space="0"/>
              <w:bottom w:val="single" w:color="auto" w:sz="4" w:space="0"/>
              <w:right w:val="single" w:color="auto" w:sz="4" w:space="0"/>
            </w:tcBorders>
            <w:vAlign w:val="center"/>
          </w:tcPr>
          <w:p w14:paraId="78E72EDC">
            <w:pPr>
              <w:spacing w:line="400" w:lineRule="exact"/>
              <w:jc w:val="center"/>
              <w:rPr>
                <w:rFonts w:hint="default" w:ascii="仿宋" w:hAnsi="仿宋" w:eastAsia="仿宋" w:cs="仿宋"/>
                <w:szCs w:val="21"/>
                <w:lang w:val="en-US" w:eastAsia="zh-CN"/>
              </w:rPr>
            </w:pPr>
            <w:r>
              <w:rPr>
                <w:rFonts w:hint="eastAsia" w:ascii="仿宋" w:hAnsi="仿宋" w:eastAsia="仿宋" w:cs="仿宋"/>
                <w:szCs w:val="21"/>
              </w:rPr>
              <w:t>项目编号</w:t>
            </w:r>
            <w:r>
              <w:rPr>
                <w:rFonts w:hint="eastAsia" w:ascii="仿宋" w:hAnsi="仿宋" w:eastAsia="仿宋" w:cs="仿宋"/>
                <w:szCs w:val="21"/>
                <w:lang w:val="en-US" w:eastAsia="zh-CN"/>
              </w:rPr>
              <w:t>及招标编号</w:t>
            </w:r>
          </w:p>
        </w:tc>
        <w:tc>
          <w:tcPr>
            <w:tcW w:w="5830" w:type="dxa"/>
            <w:tcBorders>
              <w:top w:val="single" w:color="auto" w:sz="4" w:space="0"/>
              <w:left w:val="single" w:color="auto" w:sz="4" w:space="0"/>
              <w:bottom w:val="single" w:color="auto" w:sz="4" w:space="0"/>
              <w:right w:val="single" w:color="auto" w:sz="4" w:space="0"/>
            </w:tcBorders>
            <w:vAlign w:val="center"/>
          </w:tcPr>
          <w:p w14:paraId="05187BA2">
            <w:pPr>
              <w:spacing w:line="400" w:lineRule="exact"/>
              <w:jc w:val="both"/>
              <w:rPr>
                <w:rFonts w:hint="eastAsia" w:ascii="仿宋" w:hAnsi="仿宋" w:eastAsia="仿宋" w:cs="仿宋"/>
                <w:szCs w:val="21"/>
                <w:lang w:eastAsia="zh-CN"/>
              </w:rPr>
            </w:pPr>
            <w:r>
              <w:rPr>
                <w:rFonts w:hint="eastAsia" w:ascii="仿宋" w:hAnsi="仿宋" w:eastAsia="仿宋" w:cs="仿宋"/>
                <w:szCs w:val="21"/>
                <w:lang w:eastAsia="zh-CN"/>
              </w:rPr>
              <w:t>项目编号：洛宁公开-2025-60</w:t>
            </w:r>
          </w:p>
          <w:p w14:paraId="22737B9A">
            <w:pPr>
              <w:spacing w:line="400" w:lineRule="exact"/>
              <w:jc w:val="both"/>
              <w:rPr>
                <w:rFonts w:hint="default" w:ascii="仿宋" w:hAnsi="仿宋" w:eastAsia="仿宋" w:cs="仿宋"/>
                <w:szCs w:val="21"/>
                <w:lang w:val="en-US" w:eastAsia="zh-CN"/>
              </w:rPr>
            </w:pPr>
            <w:r>
              <w:rPr>
                <w:rFonts w:hint="eastAsia" w:ascii="仿宋" w:hAnsi="仿宋" w:eastAsia="仿宋" w:cs="仿宋"/>
                <w:szCs w:val="21"/>
                <w:lang w:eastAsia="zh-CN"/>
              </w:rPr>
              <w:t>招标编号</w:t>
            </w:r>
            <w:r>
              <w:rPr>
                <w:rFonts w:hint="eastAsia" w:ascii="仿宋" w:hAnsi="仿宋" w:eastAsia="仿宋" w:cs="仿宋"/>
                <w:szCs w:val="21"/>
                <w:lang w:val="en-US" w:eastAsia="zh-CN"/>
              </w:rPr>
              <w:t xml:space="preserve"> ：洛直工货招标(2025)0033号</w:t>
            </w:r>
          </w:p>
        </w:tc>
      </w:tr>
      <w:tr w14:paraId="2AC2E4DC">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215A38EE">
            <w:pPr>
              <w:spacing w:line="400" w:lineRule="exact"/>
              <w:jc w:val="center"/>
              <w:rPr>
                <w:rFonts w:ascii="仿宋" w:hAnsi="仿宋" w:eastAsia="仿宋" w:cs="仿宋"/>
                <w:szCs w:val="21"/>
              </w:rPr>
            </w:pPr>
            <w:r>
              <w:rPr>
                <w:rFonts w:hint="eastAsia" w:ascii="仿宋" w:hAnsi="仿宋" w:eastAsia="仿宋" w:cs="仿宋"/>
                <w:szCs w:val="21"/>
              </w:rPr>
              <w:t>1.2.1</w:t>
            </w:r>
          </w:p>
        </w:tc>
        <w:tc>
          <w:tcPr>
            <w:tcW w:w="2486" w:type="dxa"/>
            <w:tcBorders>
              <w:top w:val="single" w:color="auto" w:sz="4" w:space="0"/>
              <w:left w:val="single" w:color="auto" w:sz="4" w:space="0"/>
              <w:bottom w:val="single" w:color="auto" w:sz="4" w:space="0"/>
              <w:right w:val="single" w:color="auto" w:sz="4" w:space="0"/>
            </w:tcBorders>
            <w:vAlign w:val="center"/>
          </w:tcPr>
          <w:p w14:paraId="1A6D8F37">
            <w:pPr>
              <w:spacing w:line="400" w:lineRule="exact"/>
              <w:jc w:val="center"/>
              <w:rPr>
                <w:rFonts w:ascii="仿宋" w:hAnsi="仿宋" w:eastAsia="仿宋" w:cs="仿宋"/>
                <w:szCs w:val="21"/>
                <w:highlight w:val="none"/>
              </w:rPr>
            </w:pPr>
            <w:r>
              <w:rPr>
                <w:rFonts w:hint="eastAsia" w:ascii="仿宋" w:hAnsi="仿宋" w:eastAsia="仿宋" w:cs="仿宋"/>
                <w:szCs w:val="21"/>
                <w:highlight w:val="none"/>
              </w:rPr>
              <w:t>资金来源</w:t>
            </w:r>
          </w:p>
        </w:tc>
        <w:tc>
          <w:tcPr>
            <w:tcW w:w="5830" w:type="dxa"/>
            <w:tcBorders>
              <w:top w:val="single" w:color="auto" w:sz="4" w:space="0"/>
              <w:left w:val="single" w:color="auto" w:sz="4" w:space="0"/>
              <w:bottom w:val="single" w:color="auto" w:sz="4" w:space="0"/>
              <w:right w:val="single" w:color="auto" w:sz="4" w:space="0"/>
            </w:tcBorders>
            <w:vAlign w:val="center"/>
          </w:tcPr>
          <w:p w14:paraId="5C4F1273">
            <w:pPr>
              <w:spacing w:line="400" w:lineRule="exact"/>
              <w:rPr>
                <w:rFonts w:ascii="仿宋" w:hAnsi="仿宋" w:eastAsia="仿宋" w:cs="仿宋"/>
                <w:szCs w:val="21"/>
                <w:highlight w:val="none"/>
              </w:rPr>
            </w:pPr>
            <w:r>
              <w:rPr>
                <w:rFonts w:hint="eastAsia" w:ascii="仿宋" w:hAnsi="仿宋" w:eastAsia="仿宋" w:cs="仿宋"/>
                <w:szCs w:val="21"/>
                <w:highlight w:val="none"/>
                <w:lang w:eastAsia="zh-CN"/>
              </w:rPr>
              <w:t>财政资金</w:t>
            </w:r>
          </w:p>
        </w:tc>
      </w:tr>
      <w:tr w14:paraId="3BFE6646">
        <w:tblPrEx>
          <w:tblCellMar>
            <w:top w:w="0" w:type="dxa"/>
            <w:left w:w="108" w:type="dxa"/>
            <w:bottom w:w="0" w:type="dxa"/>
            <w:right w:w="108" w:type="dxa"/>
          </w:tblCellMar>
        </w:tblPrEx>
        <w:trPr>
          <w:trHeight w:val="495"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61AFA591">
            <w:pPr>
              <w:spacing w:line="400" w:lineRule="exact"/>
              <w:jc w:val="center"/>
              <w:rPr>
                <w:rFonts w:ascii="仿宋" w:hAnsi="仿宋" w:eastAsia="仿宋" w:cs="仿宋"/>
                <w:szCs w:val="21"/>
              </w:rPr>
            </w:pPr>
            <w:r>
              <w:rPr>
                <w:rFonts w:hint="eastAsia" w:ascii="仿宋" w:hAnsi="仿宋" w:eastAsia="仿宋" w:cs="仿宋"/>
                <w:szCs w:val="21"/>
              </w:rPr>
              <w:t>1.2.2</w:t>
            </w:r>
          </w:p>
        </w:tc>
        <w:tc>
          <w:tcPr>
            <w:tcW w:w="2486" w:type="dxa"/>
            <w:tcBorders>
              <w:top w:val="single" w:color="auto" w:sz="4" w:space="0"/>
              <w:left w:val="single" w:color="auto" w:sz="4" w:space="0"/>
              <w:bottom w:val="single" w:color="auto" w:sz="4" w:space="0"/>
              <w:right w:val="single" w:color="auto" w:sz="4" w:space="0"/>
            </w:tcBorders>
            <w:vAlign w:val="center"/>
          </w:tcPr>
          <w:p w14:paraId="1070C521">
            <w:pPr>
              <w:spacing w:line="400" w:lineRule="exact"/>
              <w:jc w:val="center"/>
              <w:rPr>
                <w:rFonts w:ascii="仿宋" w:hAnsi="仿宋" w:eastAsia="仿宋" w:cs="仿宋"/>
                <w:szCs w:val="21"/>
              </w:rPr>
            </w:pPr>
            <w:r>
              <w:rPr>
                <w:rFonts w:hint="eastAsia" w:ascii="仿宋" w:hAnsi="仿宋" w:eastAsia="仿宋" w:cs="仿宋"/>
                <w:szCs w:val="21"/>
              </w:rPr>
              <w:t>资金落实情况</w:t>
            </w:r>
          </w:p>
        </w:tc>
        <w:tc>
          <w:tcPr>
            <w:tcW w:w="5830" w:type="dxa"/>
            <w:tcBorders>
              <w:top w:val="single" w:color="auto" w:sz="4" w:space="0"/>
              <w:left w:val="single" w:color="auto" w:sz="4" w:space="0"/>
              <w:bottom w:val="single" w:color="auto" w:sz="4" w:space="0"/>
              <w:right w:val="single" w:color="auto" w:sz="4" w:space="0"/>
            </w:tcBorders>
            <w:vAlign w:val="center"/>
          </w:tcPr>
          <w:p w14:paraId="6817F6DA">
            <w:pPr>
              <w:spacing w:line="400" w:lineRule="exact"/>
              <w:rPr>
                <w:rFonts w:ascii="仿宋" w:hAnsi="仿宋" w:eastAsia="仿宋" w:cs="仿宋"/>
                <w:szCs w:val="21"/>
              </w:rPr>
            </w:pPr>
            <w:r>
              <w:rPr>
                <w:rFonts w:hint="eastAsia" w:ascii="仿宋" w:hAnsi="仿宋" w:eastAsia="仿宋" w:cs="仿宋"/>
                <w:szCs w:val="21"/>
              </w:rPr>
              <w:t>已落实</w:t>
            </w:r>
          </w:p>
        </w:tc>
      </w:tr>
      <w:tr w14:paraId="65F958B9">
        <w:tblPrEx>
          <w:tblCellMar>
            <w:top w:w="0" w:type="dxa"/>
            <w:left w:w="108" w:type="dxa"/>
            <w:bottom w:w="0" w:type="dxa"/>
            <w:right w:w="108" w:type="dxa"/>
          </w:tblCellMar>
        </w:tblPrEx>
        <w:trPr>
          <w:trHeight w:val="672"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74280393">
            <w:pPr>
              <w:spacing w:line="400" w:lineRule="exact"/>
              <w:jc w:val="center"/>
              <w:rPr>
                <w:rFonts w:ascii="仿宋" w:hAnsi="仿宋" w:eastAsia="仿宋" w:cs="仿宋"/>
                <w:szCs w:val="21"/>
              </w:rPr>
            </w:pPr>
            <w:r>
              <w:rPr>
                <w:rFonts w:hint="eastAsia" w:ascii="仿宋" w:hAnsi="仿宋" w:eastAsia="仿宋" w:cs="仿宋"/>
                <w:szCs w:val="21"/>
              </w:rPr>
              <w:t>1.3.1</w:t>
            </w:r>
          </w:p>
        </w:tc>
        <w:tc>
          <w:tcPr>
            <w:tcW w:w="2486" w:type="dxa"/>
            <w:tcBorders>
              <w:top w:val="single" w:color="auto" w:sz="4" w:space="0"/>
              <w:left w:val="single" w:color="auto" w:sz="4" w:space="0"/>
              <w:bottom w:val="single" w:color="auto" w:sz="4" w:space="0"/>
              <w:right w:val="single" w:color="auto" w:sz="4" w:space="0"/>
            </w:tcBorders>
            <w:vAlign w:val="center"/>
          </w:tcPr>
          <w:p w14:paraId="4EBF7783">
            <w:pPr>
              <w:spacing w:line="400" w:lineRule="exact"/>
              <w:jc w:val="center"/>
              <w:rPr>
                <w:rFonts w:ascii="仿宋" w:hAnsi="仿宋" w:eastAsia="仿宋" w:cs="仿宋"/>
                <w:szCs w:val="21"/>
                <w:highlight w:val="yellow"/>
              </w:rPr>
            </w:pPr>
            <w:r>
              <w:rPr>
                <w:rFonts w:hint="eastAsia" w:ascii="仿宋" w:hAnsi="仿宋" w:eastAsia="仿宋" w:cs="仿宋"/>
                <w:sz w:val="21"/>
                <w:szCs w:val="21"/>
                <w:lang w:val="en-US" w:eastAsia="zh-CN"/>
              </w:rPr>
              <w:t>招标范围</w:t>
            </w:r>
          </w:p>
        </w:tc>
        <w:tc>
          <w:tcPr>
            <w:tcW w:w="5830" w:type="dxa"/>
            <w:tcBorders>
              <w:top w:val="single" w:color="auto" w:sz="4" w:space="0"/>
              <w:left w:val="single" w:color="auto" w:sz="4" w:space="0"/>
              <w:bottom w:val="single" w:color="auto" w:sz="4" w:space="0"/>
              <w:right w:val="single" w:color="auto" w:sz="4" w:space="0"/>
            </w:tcBorders>
            <w:vAlign w:val="center"/>
          </w:tcPr>
          <w:p w14:paraId="520DB480">
            <w:pPr>
              <w:pStyle w:val="29"/>
              <w:widowControl/>
              <w:spacing w:line="360" w:lineRule="auto"/>
              <w:rPr>
                <w:rFonts w:ascii="仿宋" w:hAnsi="仿宋" w:eastAsia="仿宋" w:cs="仿宋"/>
                <w:szCs w:val="21"/>
              </w:rPr>
            </w:pPr>
            <w:r>
              <w:rPr>
                <w:rFonts w:hint="eastAsia" w:ascii="仿宋" w:hAnsi="仿宋" w:eastAsia="仿宋" w:cs="仿宋"/>
                <w:sz w:val="21"/>
                <w:szCs w:val="21"/>
                <w:lang w:val="en-US" w:eastAsia="zh-CN"/>
              </w:rPr>
              <w:t>本项目招标文件、货物清单、技术文件、图纸及答疑（如有）范围内的全部内容；</w:t>
            </w:r>
          </w:p>
        </w:tc>
      </w:tr>
      <w:tr w14:paraId="4ADCD214">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32EE935E">
            <w:pPr>
              <w:spacing w:line="400" w:lineRule="exact"/>
              <w:jc w:val="center"/>
              <w:rPr>
                <w:rFonts w:ascii="仿宋" w:hAnsi="仿宋" w:eastAsia="仿宋" w:cs="仿宋"/>
                <w:szCs w:val="21"/>
                <w:highlight w:val="none"/>
              </w:rPr>
            </w:pPr>
            <w:r>
              <w:rPr>
                <w:rFonts w:hint="eastAsia" w:ascii="仿宋" w:hAnsi="仿宋" w:eastAsia="仿宋" w:cs="仿宋"/>
                <w:szCs w:val="21"/>
                <w:highlight w:val="none"/>
              </w:rPr>
              <w:t>1.3.2</w:t>
            </w:r>
          </w:p>
        </w:tc>
        <w:tc>
          <w:tcPr>
            <w:tcW w:w="2486" w:type="dxa"/>
            <w:tcBorders>
              <w:top w:val="single" w:color="auto" w:sz="4" w:space="0"/>
              <w:left w:val="single" w:color="auto" w:sz="4" w:space="0"/>
              <w:bottom w:val="single" w:color="auto" w:sz="4" w:space="0"/>
              <w:right w:val="single" w:color="auto" w:sz="4" w:space="0"/>
            </w:tcBorders>
            <w:vAlign w:val="center"/>
          </w:tcPr>
          <w:p w14:paraId="2E2375C0">
            <w:pPr>
              <w:spacing w:line="40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交货安装周期</w:t>
            </w:r>
          </w:p>
        </w:tc>
        <w:tc>
          <w:tcPr>
            <w:tcW w:w="5830" w:type="dxa"/>
            <w:tcBorders>
              <w:top w:val="single" w:color="auto" w:sz="4" w:space="0"/>
              <w:left w:val="single" w:color="auto" w:sz="4" w:space="0"/>
              <w:bottom w:val="single" w:color="auto" w:sz="4" w:space="0"/>
              <w:right w:val="single" w:color="auto" w:sz="4" w:space="0"/>
            </w:tcBorders>
            <w:vAlign w:val="center"/>
          </w:tcPr>
          <w:p w14:paraId="4C734CAC">
            <w:pPr>
              <w:spacing w:line="400" w:lineRule="exact"/>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合同签订后30日历天供货、安装、调试完毕</w:t>
            </w:r>
          </w:p>
        </w:tc>
      </w:tr>
      <w:tr w14:paraId="0E1B73C5">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34D4FF25">
            <w:pPr>
              <w:spacing w:line="400" w:lineRule="exact"/>
              <w:jc w:val="center"/>
              <w:rPr>
                <w:rFonts w:ascii="仿宋" w:hAnsi="仿宋" w:eastAsia="仿宋" w:cs="仿宋"/>
                <w:szCs w:val="21"/>
              </w:rPr>
            </w:pPr>
            <w:r>
              <w:rPr>
                <w:rFonts w:hint="eastAsia" w:ascii="仿宋" w:hAnsi="仿宋" w:eastAsia="仿宋" w:cs="仿宋"/>
                <w:szCs w:val="21"/>
              </w:rPr>
              <w:t>1.3.3</w:t>
            </w:r>
          </w:p>
        </w:tc>
        <w:tc>
          <w:tcPr>
            <w:tcW w:w="2486" w:type="dxa"/>
            <w:tcBorders>
              <w:top w:val="single" w:color="auto" w:sz="4" w:space="0"/>
              <w:left w:val="single" w:color="auto" w:sz="4" w:space="0"/>
              <w:bottom w:val="single" w:color="auto" w:sz="4" w:space="0"/>
              <w:right w:val="single" w:color="auto" w:sz="4" w:space="0"/>
            </w:tcBorders>
            <w:vAlign w:val="center"/>
          </w:tcPr>
          <w:p w14:paraId="03E589DD">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rPr>
              <w:t>交货地点</w:t>
            </w:r>
          </w:p>
        </w:tc>
        <w:tc>
          <w:tcPr>
            <w:tcW w:w="5830" w:type="dxa"/>
            <w:tcBorders>
              <w:top w:val="single" w:color="auto" w:sz="4" w:space="0"/>
              <w:left w:val="single" w:color="auto" w:sz="4" w:space="0"/>
              <w:bottom w:val="single" w:color="auto" w:sz="4" w:space="0"/>
              <w:right w:val="single" w:color="auto" w:sz="4" w:space="0"/>
            </w:tcBorders>
            <w:vAlign w:val="center"/>
          </w:tcPr>
          <w:p w14:paraId="52C254C4">
            <w:pPr>
              <w:spacing w:line="400" w:lineRule="exact"/>
              <w:rPr>
                <w:rFonts w:ascii="仿宋" w:hAnsi="仿宋" w:eastAsia="仿宋" w:cs="仿宋"/>
                <w:szCs w:val="21"/>
              </w:rPr>
            </w:pPr>
            <w:r>
              <w:rPr>
                <w:rFonts w:hint="eastAsia" w:ascii="仿宋" w:hAnsi="仿宋" w:eastAsia="仿宋" w:cs="仿宋"/>
                <w:szCs w:val="21"/>
              </w:rPr>
              <w:t>招标人指定位置</w:t>
            </w:r>
          </w:p>
        </w:tc>
      </w:tr>
      <w:tr w14:paraId="59CF9438">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6FA1941C">
            <w:pPr>
              <w:spacing w:line="40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1.3.4</w:t>
            </w:r>
          </w:p>
        </w:tc>
        <w:tc>
          <w:tcPr>
            <w:tcW w:w="2486" w:type="dxa"/>
            <w:tcBorders>
              <w:top w:val="single" w:color="auto" w:sz="4" w:space="0"/>
              <w:left w:val="single" w:color="auto" w:sz="4" w:space="0"/>
              <w:bottom w:val="single" w:color="auto" w:sz="4" w:space="0"/>
              <w:right w:val="single" w:color="auto" w:sz="4" w:space="0"/>
            </w:tcBorders>
          </w:tcPr>
          <w:p w14:paraId="47BA1C4D">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质量要求</w:t>
            </w:r>
          </w:p>
        </w:tc>
        <w:tc>
          <w:tcPr>
            <w:tcW w:w="5830" w:type="dxa"/>
            <w:tcBorders>
              <w:top w:val="single" w:color="auto" w:sz="4" w:space="0"/>
              <w:left w:val="single" w:color="auto" w:sz="4" w:space="0"/>
              <w:bottom w:val="single" w:color="auto" w:sz="4" w:space="0"/>
              <w:right w:val="single" w:color="auto" w:sz="4" w:space="0"/>
            </w:tcBorders>
          </w:tcPr>
          <w:p w14:paraId="4DDB9ACB">
            <w:pPr>
              <w:spacing w:line="400" w:lineRule="exact"/>
              <w:rPr>
                <w:rFonts w:hint="eastAsia" w:ascii="仿宋" w:hAnsi="仿宋" w:eastAsia="仿宋" w:cs="仿宋"/>
                <w:sz w:val="21"/>
                <w:szCs w:val="21"/>
                <w:lang w:eastAsia="zh-CN"/>
              </w:rPr>
            </w:pPr>
            <w:r>
              <w:rPr>
                <w:rFonts w:hint="eastAsia" w:ascii="仿宋" w:hAnsi="仿宋" w:eastAsia="仿宋" w:cs="仿宋"/>
                <w:sz w:val="21"/>
                <w:szCs w:val="21"/>
                <w:lang w:eastAsia="zh-CN"/>
              </w:rPr>
              <w:t>满足国家行业标准和本项目图纸和技术文件的要求</w:t>
            </w:r>
          </w:p>
        </w:tc>
      </w:tr>
      <w:tr w14:paraId="0D994B78">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00E2EA40">
            <w:pPr>
              <w:spacing w:line="400" w:lineRule="exact"/>
              <w:jc w:val="center"/>
              <w:rPr>
                <w:rFonts w:hint="eastAsia" w:ascii="仿宋" w:hAnsi="仿宋" w:eastAsia="仿宋" w:cs="仿宋"/>
                <w:szCs w:val="21"/>
                <w:lang w:val="en-US" w:eastAsia="zh-CN"/>
              </w:rPr>
            </w:pPr>
            <w:r>
              <w:rPr>
                <w:rFonts w:hint="eastAsia" w:ascii="仿宋" w:hAnsi="仿宋" w:eastAsia="仿宋" w:cs="仿宋"/>
                <w:szCs w:val="21"/>
              </w:rPr>
              <w:t>1.3.</w:t>
            </w:r>
            <w:r>
              <w:rPr>
                <w:rFonts w:hint="eastAsia" w:ascii="仿宋" w:hAnsi="仿宋" w:eastAsia="仿宋" w:cs="仿宋"/>
                <w:szCs w:val="21"/>
                <w:lang w:val="en-US" w:eastAsia="zh-CN"/>
              </w:rPr>
              <w:t>5</w:t>
            </w:r>
          </w:p>
        </w:tc>
        <w:tc>
          <w:tcPr>
            <w:tcW w:w="2486" w:type="dxa"/>
            <w:tcBorders>
              <w:top w:val="single" w:color="auto" w:sz="4" w:space="0"/>
              <w:left w:val="single" w:color="auto" w:sz="4" w:space="0"/>
              <w:bottom w:val="single" w:color="auto" w:sz="4" w:space="0"/>
              <w:right w:val="single" w:color="auto" w:sz="4" w:space="0"/>
            </w:tcBorders>
          </w:tcPr>
          <w:p w14:paraId="279F802D">
            <w:pPr>
              <w:spacing w:line="400" w:lineRule="exact"/>
              <w:jc w:val="center"/>
              <w:rPr>
                <w:rFonts w:hint="eastAsia" w:ascii="仿宋" w:hAnsi="仿宋" w:eastAsia="仿宋" w:cs="仿宋"/>
                <w:szCs w:val="21"/>
                <w:highlight w:val="none"/>
              </w:rPr>
            </w:pPr>
            <w:bookmarkStart w:id="80" w:name="OLE_LINK3"/>
            <w:r>
              <w:rPr>
                <w:rFonts w:hint="eastAsia" w:ascii="仿宋" w:hAnsi="仿宋" w:eastAsia="仿宋" w:cs="仿宋"/>
                <w:szCs w:val="21"/>
                <w:highlight w:val="none"/>
              </w:rPr>
              <w:t>安全目标</w:t>
            </w:r>
            <w:bookmarkEnd w:id="80"/>
          </w:p>
        </w:tc>
        <w:tc>
          <w:tcPr>
            <w:tcW w:w="5830" w:type="dxa"/>
            <w:tcBorders>
              <w:top w:val="single" w:color="auto" w:sz="4" w:space="0"/>
              <w:left w:val="single" w:color="auto" w:sz="4" w:space="0"/>
              <w:bottom w:val="single" w:color="auto" w:sz="4" w:space="0"/>
              <w:right w:val="single" w:color="auto" w:sz="4" w:space="0"/>
            </w:tcBorders>
          </w:tcPr>
          <w:p w14:paraId="514390BD">
            <w:pPr>
              <w:spacing w:line="400" w:lineRule="exact"/>
              <w:rPr>
                <w:rFonts w:hint="eastAsia" w:ascii="仿宋" w:hAnsi="仿宋" w:eastAsia="仿宋" w:cs="仿宋"/>
                <w:sz w:val="21"/>
                <w:szCs w:val="21"/>
              </w:rPr>
            </w:pPr>
            <w:r>
              <w:rPr>
                <w:rFonts w:hint="eastAsia" w:ascii="仿宋" w:hAnsi="仿宋" w:eastAsia="仿宋" w:cs="仿宋"/>
                <w:sz w:val="21"/>
                <w:szCs w:val="21"/>
              </w:rPr>
              <w:t>杜绝死亡、重伤事故</w:t>
            </w:r>
          </w:p>
        </w:tc>
      </w:tr>
      <w:tr w14:paraId="5E8ADB14">
        <w:tblPrEx>
          <w:tblCellMar>
            <w:top w:w="0" w:type="dxa"/>
            <w:left w:w="108" w:type="dxa"/>
            <w:bottom w:w="0" w:type="dxa"/>
            <w:right w:w="108" w:type="dxa"/>
          </w:tblCellMar>
        </w:tblPrEx>
        <w:trPr>
          <w:trHeight w:val="90"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5D5AA0E1">
            <w:pPr>
              <w:spacing w:line="400" w:lineRule="exact"/>
              <w:jc w:val="center"/>
              <w:rPr>
                <w:rFonts w:hint="eastAsia" w:ascii="仿宋" w:hAnsi="仿宋" w:eastAsia="仿宋" w:cs="仿宋"/>
                <w:szCs w:val="21"/>
                <w:lang w:val="en-US" w:eastAsia="zh-CN"/>
              </w:rPr>
            </w:pPr>
            <w:r>
              <w:rPr>
                <w:rFonts w:hint="eastAsia" w:ascii="仿宋" w:hAnsi="仿宋" w:eastAsia="仿宋" w:cs="仿宋"/>
                <w:szCs w:val="21"/>
              </w:rPr>
              <w:t>1.3.</w:t>
            </w:r>
            <w:r>
              <w:rPr>
                <w:rFonts w:hint="eastAsia" w:ascii="仿宋" w:hAnsi="仿宋" w:eastAsia="仿宋" w:cs="仿宋"/>
                <w:szCs w:val="21"/>
                <w:lang w:val="en-US" w:eastAsia="zh-CN"/>
              </w:rPr>
              <w:t>6</w:t>
            </w:r>
          </w:p>
        </w:tc>
        <w:tc>
          <w:tcPr>
            <w:tcW w:w="2486" w:type="dxa"/>
            <w:tcBorders>
              <w:top w:val="single" w:color="auto" w:sz="4" w:space="0"/>
              <w:left w:val="single" w:color="auto" w:sz="4" w:space="0"/>
              <w:bottom w:val="single" w:color="auto" w:sz="4" w:space="0"/>
              <w:right w:val="single" w:color="auto" w:sz="4" w:space="0"/>
            </w:tcBorders>
            <w:vAlign w:val="center"/>
          </w:tcPr>
          <w:p w14:paraId="52F446B2">
            <w:pPr>
              <w:spacing w:line="400" w:lineRule="exact"/>
              <w:jc w:val="center"/>
              <w:rPr>
                <w:rFonts w:ascii="仿宋" w:hAnsi="仿宋" w:eastAsia="仿宋" w:cs="仿宋"/>
                <w:b/>
                <w:bCs/>
                <w:szCs w:val="21"/>
                <w:highlight w:val="none"/>
              </w:rPr>
            </w:pPr>
            <w:r>
              <w:rPr>
                <w:rFonts w:hint="eastAsia" w:ascii="仿宋" w:hAnsi="仿宋" w:eastAsia="仿宋" w:cs="仿宋"/>
                <w:b/>
                <w:bCs/>
                <w:szCs w:val="21"/>
                <w:highlight w:val="none"/>
              </w:rPr>
              <w:t>质保期</w:t>
            </w:r>
          </w:p>
        </w:tc>
        <w:tc>
          <w:tcPr>
            <w:tcW w:w="5830" w:type="dxa"/>
            <w:tcBorders>
              <w:top w:val="single" w:color="auto" w:sz="4" w:space="0"/>
              <w:left w:val="single" w:color="auto" w:sz="4" w:space="0"/>
              <w:bottom w:val="single" w:color="auto" w:sz="4" w:space="0"/>
              <w:right w:val="single" w:color="auto" w:sz="4" w:space="0"/>
            </w:tcBorders>
            <w:vAlign w:val="center"/>
          </w:tcPr>
          <w:p w14:paraId="1B2EC706">
            <w:pPr>
              <w:spacing w:line="400" w:lineRule="exact"/>
              <w:rPr>
                <w:rFonts w:hint="eastAsia" w:ascii="仿宋" w:hAnsi="仿宋" w:eastAsia="仿宋" w:cs="仿宋"/>
                <w:b/>
                <w:bCs/>
                <w:sz w:val="21"/>
                <w:szCs w:val="21"/>
                <w:lang w:val="en-US" w:eastAsia="zh-CN"/>
              </w:rPr>
            </w:pPr>
            <w:r>
              <w:rPr>
                <w:rFonts w:hint="eastAsia" w:ascii="仿宋" w:hAnsi="仿宋" w:eastAsia="仿宋" w:cs="仿宋"/>
                <w:b/>
                <w:bCs/>
                <w:sz w:val="21"/>
                <w:szCs w:val="21"/>
              </w:rPr>
              <w:t>质保</w:t>
            </w:r>
            <w:r>
              <w:rPr>
                <w:rFonts w:hint="eastAsia" w:ascii="仿宋" w:hAnsi="仿宋" w:eastAsia="仿宋" w:cs="仿宋"/>
                <w:b/>
                <w:bCs/>
                <w:sz w:val="21"/>
                <w:szCs w:val="21"/>
                <w:lang w:val="en-US" w:eastAsia="zh-CN"/>
              </w:rPr>
              <w:t>期：整体质保不少于三年；</w:t>
            </w:r>
          </w:p>
          <w:p w14:paraId="76CB2F03">
            <w:pPr>
              <w:spacing w:line="400" w:lineRule="exact"/>
              <w:rPr>
                <w:rFonts w:hint="eastAsia" w:ascii="仿宋" w:hAnsi="仿宋" w:eastAsia="仿宋" w:cs="仿宋"/>
                <w:b/>
                <w:bCs/>
                <w:sz w:val="21"/>
                <w:szCs w:val="21"/>
              </w:rPr>
            </w:pPr>
            <w:r>
              <w:rPr>
                <w:rFonts w:hint="eastAsia" w:ascii="仿宋" w:hAnsi="仿宋" w:eastAsia="仿宋" w:cs="仿宋"/>
                <w:b/>
                <w:bCs/>
                <w:sz w:val="21"/>
                <w:szCs w:val="21"/>
                <w:lang w:val="en-US" w:eastAsia="zh-CN"/>
              </w:rPr>
              <w:t>其中潜水泵（潜水排污泵、污泥回流泵、剩余污泥泵、污泥回流泵）、潜水推流器（缺氧池潜水推进器、低速潜水推进器）、潜水搅拌器（潜水搅拌器、潜水立式搅拌器、高速潜水搅拌器）质保不少于十年；管式微孔曝气器质保不少于五年。</w:t>
            </w:r>
          </w:p>
        </w:tc>
      </w:tr>
      <w:tr w14:paraId="08D67A3F">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2F33A491">
            <w:pPr>
              <w:spacing w:line="400" w:lineRule="exact"/>
              <w:jc w:val="center"/>
              <w:rPr>
                <w:rFonts w:ascii="仿宋" w:hAnsi="仿宋" w:eastAsia="仿宋" w:cs="仿宋"/>
                <w:szCs w:val="21"/>
              </w:rPr>
            </w:pPr>
            <w:r>
              <w:rPr>
                <w:rFonts w:hint="eastAsia" w:ascii="仿宋" w:hAnsi="仿宋" w:eastAsia="仿宋" w:cs="仿宋"/>
                <w:szCs w:val="21"/>
              </w:rPr>
              <w:t>1.4.1</w:t>
            </w:r>
          </w:p>
        </w:tc>
        <w:tc>
          <w:tcPr>
            <w:tcW w:w="2486" w:type="dxa"/>
            <w:tcBorders>
              <w:top w:val="single" w:color="auto" w:sz="4" w:space="0"/>
              <w:left w:val="single" w:color="auto" w:sz="4" w:space="0"/>
              <w:bottom w:val="single" w:color="auto" w:sz="4" w:space="0"/>
              <w:right w:val="single" w:color="auto" w:sz="4" w:space="0"/>
            </w:tcBorders>
            <w:vAlign w:val="center"/>
          </w:tcPr>
          <w:p w14:paraId="55B46CE6">
            <w:pPr>
              <w:spacing w:line="400" w:lineRule="exact"/>
              <w:jc w:val="center"/>
              <w:rPr>
                <w:rFonts w:hint="eastAsia" w:ascii="仿宋" w:hAnsi="仿宋" w:eastAsia="仿宋" w:cs="仿宋"/>
                <w:szCs w:val="21"/>
              </w:rPr>
            </w:pPr>
            <w:r>
              <w:rPr>
                <w:rFonts w:hint="eastAsia" w:ascii="仿宋" w:hAnsi="仿宋" w:eastAsia="仿宋" w:cs="仿宋"/>
                <w:szCs w:val="21"/>
              </w:rPr>
              <w:t>投标人资质条件、</w:t>
            </w:r>
          </w:p>
          <w:p w14:paraId="557EF714">
            <w:pPr>
              <w:spacing w:line="400" w:lineRule="exact"/>
              <w:jc w:val="center"/>
              <w:rPr>
                <w:rFonts w:ascii="仿宋" w:hAnsi="仿宋" w:eastAsia="仿宋" w:cs="仿宋"/>
                <w:szCs w:val="21"/>
              </w:rPr>
            </w:pPr>
            <w:r>
              <w:rPr>
                <w:rFonts w:hint="eastAsia" w:ascii="仿宋" w:hAnsi="仿宋" w:eastAsia="仿宋" w:cs="仿宋"/>
                <w:szCs w:val="21"/>
              </w:rPr>
              <w:t>能力、信誉</w:t>
            </w:r>
          </w:p>
        </w:tc>
        <w:tc>
          <w:tcPr>
            <w:tcW w:w="5830" w:type="dxa"/>
            <w:tcBorders>
              <w:top w:val="single" w:color="auto" w:sz="4" w:space="0"/>
              <w:left w:val="single" w:color="auto" w:sz="4" w:space="0"/>
              <w:bottom w:val="single" w:color="auto" w:sz="4" w:space="0"/>
              <w:right w:val="single" w:color="auto" w:sz="4" w:space="0"/>
            </w:tcBorders>
            <w:vAlign w:val="center"/>
          </w:tcPr>
          <w:p w14:paraId="4989D9E4">
            <w:pPr>
              <w:spacing w:line="400" w:lineRule="exact"/>
              <w:rPr>
                <w:rFonts w:ascii="仿宋" w:hAnsi="仿宋" w:eastAsia="仿宋" w:cs="仿宋"/>
                <w:szCs w:val="21"/>
              </w:rPr>
            </w:pPr>
            <w:r>
              <w:rPr>
                <w:rFonts w:hint="eastAsia" w:ascii="仿宋" w:hAnsi="仿宋" w:eastAsia="仿宋" w:cs="仿宋"/>
                <w:szCs w:val="21"/>
              </w:rPr>
              <w:t>详见招标公告</w:t>
            </w:r>
          </w:p>
        </w:tc>
      </w:tr>
      <w:tr w14:paraId="1F4CC4F1">
        <w:tblPrEx>
          <w:tblCellMar>
            <w:top w:w="0" w:type="dxa"/>
            <w:left w:w="108" w:type="dxa"/>
            <w:bottom w:w="0" w:type="dxa"/>
            <w:right w:w="108" w:type="dxa"/>
          </w:tblCellMar>
        </w:tblPrEx>
        <w:trPr>
          <w:trHeight w:val="90"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440A9A33">
            <w:pPr>
              <w:spacing w:line="400" w:lineRule="exact"/>
              <w:jc w:val="center"/>
              <w:rPr>
                <w:rFonts w:ascii="仿宋" w:hAnsi="仿宋" w:eastAsia="仿宋" w:cs="仿宋"/>
                <w:szCs w:val="21"/>
              </w:rPr>
            </w:pPr>
            <w:r>
              <w:rPr>
                <w:rFonts w:hint="eastAsia" w:ascii="仿宋" w:hAnsi="仿宋" w:eastAsia="仿宋" w:cs="仿宋"/>
                <w:szCs w:val="21"/>
              </w:rPr>
              <w:t>1.4.2</w:t>
            </w:r>
          </w:p>
        </w:tc>
        <w:tc>
          <w:tcPr>
            <w:tcW w:w="2486" w:type="dxa"/>
            <w:tcBorders>
              <w:top w:val="single" w:color="auto" w:sz="4" w:space="0"/>
              <w:left w:val="single" w:color="auto" w:sz="4" w:space="0"/>
              <w:bottom w:val="single" w:color="auto" w:sz="4" w:space="0"/>
              <w:right w:val="single" w:color="auto" w:sz="4" w:space="0"/>
            </w:tcBorders>
            <w:vAlign w:val="center"/>
          </w:tcPr>
          <w:p w14:paraId="78A260D6">
            <w:pPr>
              <w:spacing w:line="400" w:lineRule="exact"/>
              <w:jc w:val="center"/>
              <w:rPr>
                <w:rFonts w:ascii="仿宋" w:hAnsi="仿宋" w:eastAsia="仿宋" w:cs="仿宋"/>
                <w:szCs w:val="21"/>
              </w:rPr>
            </w:pPr>
            <w:r>
              <w:rPr>
                <w:rFonts w:hint="eastAsia" w:ascii="仿宋" w:hAnsi="仿宋" w:eastAsia="仿宋" w:cs="仿宋"/>
                <w:szCs w:val="21"/>
              </w:rPr>
              <w:t>是否接受联合体投标</w:t>
            </w:r>
          </w:p>
        </w:tc>
        <w:tc>
          <w:tcPr>
            <w:tcW w:w="5830" w:type="dxa"/>
            <w:tcBorders>
              <w:top w:val="single" w:color="auto" w:sz="4" w:space="0"/>
              <w:left w:val="single" w:color="auto" w:sz="4" w:space="0"/>
              <w:bottom w:val="single" w:color="auto" w:sz="4" w:space="0"/>
              <w:right w:val="single" w:color="auto" w:sz="4" w:space="0"/>
            </w:tcBorders>
            <w:vAlign w:val="center"/>
          </w:tcPr>
          <w:p w14:paraId="405507BA">
            <w:pPr>
              <w:spacing w:line="400" w:lineRule="exact"/>
              <w:rPr>
                <w:rFonts w:ascii="仿宋" w:hAnsi="仿宋" w:eastAsia="仿宋" w:cs="仿宋"/>
                <w:szCs w:val="21"/>
              </w:rPr>
            </w:pPr>
            <w:r>
              <w:rPr>
                <w:rFonts w:hint="eastAsia" w:ascii="仿宋" w:hAnsi="仿宋" w:eastAsia="仿宋" w:cs="仿宋"/>
                <w:szCs w:val="21"/>
              </w:rPr>
              <w:t>☑不接受</w:t>
            </w:r>
          </w:p>
        </w:tc>
      </w:tr>
      <w:tr w14:paraId="7DE9CAE0">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2CB45FB5">
            <w:pPr>
              <w:spacing w:line="400" w:lineRule="exact"/>
              <w:jc w:val="center"/>
              <w:rPr>
                <w:rFonts w:ascii="仿宋" w:hAnsi="仿宋" w:eastAsia="仿宋" w:cs="仿宋"/>
                <w:szCs w:val="21"/>
              </w:rPr>
            </w:pPr>
            <w:r>
              <w:rPr>
                <w:rFonts w:hint="eastAsia" w:ascii="仿宋" w:hAnsi="仿宋" w:eastAsia="仿宋" w:cs="仿宋"/>
                <w:szCs w:val="21"/>
              </w:rPr>
              <w:t>1.4.3</w:t>
            </w:r>
          </w:p>
        </w:tc>
        <w:tc>
          <w:tcPr>
            <w:tcW w:w="2486" w:type="dxa"/>
            <w:tcBorders>
              <w:top w:val="single" w:color="auto" w:sz="4" w:space="0"/>
              <w:left w:val="single" w:color="auto" w:sz="4" w:space="0"/>
              <w:bottom w:val="single" w:color="auto" w:sz="4" w:space="0"/>
              <w:right w:val="single" w:color="auto" w:sz="4" w:space="0"/>
            </w:tcBorders>
            <w:vAlign w:val="center"/>
          </w:tcPr>
          <w:p w14:paraId="7919B42C">
            <w:pPr>
              <w:spacing w:line="400" w:lineRule="exact"/>
              <w:jc w:val="center"/>
              <w:rPr>
                <w:rFonts w:hint="eastAsia" w:ascii="仿宋" w:hAnsi="仿宋" w:eastAsia="仿宋" w:cs="仿宋"/>
                <w:szCs w:val="21"/>
              </w:rPr>
            </w:pPr>
            <w:r>
              <w:rPr>
                <w:rFonts w:hint="eastAsia" w:ascii="仿宋" w:hAnsi="仿宋" w:eastAsia="仿宋" w:cs="仿宋"/>
                <w:szCs w:val="21"/>
              </w:rPr>
              <w:t>投标人不得存在的</w:t>
            </w:r>
          </w:p>
          <w:p w14:paraId="2CB69DAE">
            <w:pPr>
              <w:spacing w:line="400" w:lineRule="exact"/>
              <w:jc w:val="center"/>
              <w:rPr>
                <w:rFonts w:ascii="仿宋" w:hAnsi="仿宋" w:eastAsia="仿宋" w:cs="仿宋"/>
                <w:szCs w:val="21"/>
              </w:rPr>
            </w:pPr>
            <w:r>
              <w:rPr>
                <w:rFonts w:hint="eastAsia" w:ascii="仿宋" w:hAnsi="仿宋" w:eastAsia="仿宋" w:cs="仿宋"/>
                <w:szCs w:val="21"/>
              </w:rPr>
              <w:t>其他情形</w:t>
            </w:r>
          </w:p>
        </w:tc>
        <w:tc>
          <w:tcPr>
            <w:tcW w:w="5830" w:type="dxa"/>
            <w:tcBorders>
              <w:top w:val="single" w:color="auto" w:sz="4" w:space="0"/>
              <w:left w:val="single" w:color="auto" w:sz="4" w:space="0"/>
              <w:bottom w:val="single" w:color="auto" w:sz="4" w:space="0"/>
              <w:right w:val="single" w:color="auto" w:sz="4" w:space="0"/>
            </w:tcBorders>
            <w:vAlign w:val="center"/>
          </w:tcPr>
          <w:p w14:paraId="4C36AB10">
            <w:pPr>
              <w:topLinePunct/>
              <w:spacing w:line="400" w:lineRule="exact"/>
              <w:rPr>
                <w:rFonts w:ascii="仿宋" w:hAnsi="仿宋" w:eastAsia="仿宋" w:cs="仿宋"/>
                <w:szCs w:val="21"/>
              </w:rPr>
            </w:pPr>
            <w:r>
              <w:rPr>
                <w:rFonts w:hint="eastAsia" w:ascii="仿宋" w:hAnsi="仿宋" w:eastAsia="仿宋" w:cs="仿宋"/>
                <w:szCs w:val="21"/>
              </w:rPr>
              <w:t>详见招标文件</w:t>
            </w:r>
          </w:p>
        </w:tc>
      </w:tr>
      <w:tr w14:paraId="4FFA1D29">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478CC9ED">
            <w:pPr>
              <w:spacing w:line="40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1.4.4</w:t>
            </w:r>
          </w:p>
        </w:tc>
        <w:tc>
          <w:tcPr>
            <w:tcW w:w="2486" w:type="dxa"/>
            <w:tcBorders>
              <w:top w:val="single" w:color="auto" w:sz="4" w:space="0"/>
              <w:left w:val="single" w:color="auto" w:sz="4" w:space="0"/>
              <w:bottom w:val="single" w:color="auto" w:sz="4" w:space="0"/>
              <w:right w:val="single" w:color="auto" w:sz="4" w:space="0"/>
            </w:tcBorders>
            <w:vAlign w:val="center"/>
          </w:tcPr>
          <w:p w14:paraId="48C827C4">
            <w:pPr>
              <w:widowControl/>
              <w:autoSpaceDE/>
              <w:autoSpaceDN/>
              <w:rPr>
                <w:rFonts w:hint="eastAsia" w:ascii="仿宋" w:hAnsi="仿宋" w:eastAsia="仿宋" w:cs="仿宋"/>
                <w:color w:val="auto"/>
                <w:szCs w:val="21"/>
                <w:highlight w:val="none"/>
              </w:rPr>
            </w:pPr>
            <w:r>
              <w:rPr>
                <w:rFonts w:hint="eastAsia" w:ascii="仿宋" w:hAnsi="仿宋" w:eastAsia="仿宋" w:cs="仿宋"/>
                <w:color w:val="auto"/>
                <w:sz w:val="21"/>
                <w:szCs w:val="21"/>
                <w:highlight w:val="none"/>
                <w:lang w:val="en-US"/>
              </w:rPr>
              <w:t>可以享受中小企业扶持政策的具体要求</w:t>
            </w:r>
          </w:p>
        </w:tc>
        <w:tc>
          <w:tcPr>
            <w:tcW w:w="5830" w:type="dxa"/>
            <w:tcBorders>
              <w:top w:val="single" w:color="auto" w:sz="4" w:space="0"/>
              <w:left w:val="single" w:color="auto" w:sz="4" w:space="0"/>
              <w:bottom w:val="single" w:color="auto" w:sz="4" w:space="0"/>
              <w:right w:val="single" w:color="auto" w:sz="4" w:space="0"/>
            </w:tcBorders>
            <w:vAlign w:val="center"/>
          </w:tcPr>
          <w:p w14:paraId="0E49DF10">
            <w:pPr>
              <w:numPr>
                <w:ilvl w:val="0"/>
                <w:numId w:val="1"/>
              </w:numPr>
              <w:adjustRightInd w:val="0"/>
              <w:spacing w:line="4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财政部工业和信息化部《政府采购促进中小企业发展管理办法》（财库【2020】46号）及《洛阳市财政局关于政府采购提质增效支持企业发展的通知》（洛财购【2022】5号）的规定，本项目支持中小（监狱、残疾人福利性单位）企业。</w:t>
            </w:r>
          </w:p>
          <w:p w14:paraId="1A530702">
            <w:pPr>
              <w:numPr>
                <w:ilvl w:val="0"/>
                <w:numId w:val="1"/>
              </w:numPr>
              <w:adjustRightInd w:val="0"/>
              <w:spacing w:line="4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货物全部由小微企业制造的，对符合《政府采购促进中小企业发展管理办法》规定的小微企业，在原投标报价得分的基础上增加其价格得分的10%作为其价格政策得分。</w:t>
            </w:r>
          </w:p>
          <w:p w14:paraId="0B389D5C">
            <w:pPr>
              <w:numPr>
                <w:ilvl w:val="0"/>
                <w:numId w:val="1"/>
              </w:numPr>
              <w:adjustRightInd w:val="0"/>
              <w:spacing w:line="400" w:lineRule="exact"/>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财政部司法部《关于政府采购支持监狱企业发展有关问题的通知》（财库〔2014〕68号）规定，监狱企业视同小型、微型企业，享受评审中价格在原投标报价得分的基础上增加其价格得分的10%作为其价格政策得分。</w:t>
            </w:r>
          </w:p>
          <w:p w14:paraId="57117D6D">
            <w:pPr>
              <w:numPr>
                <w:ilvl w:val="0"/>
                <w:numId w:val="0"/>
              </w:numPr>
              <w:adjustRightInd w:val="0"/>
              <w:spacing w:line="400" w:lineRule="exact"/>
              <w:ind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根据财政部民政部中国残疾人联合会《关于促进残疾人就业政府采购政策的通知》（财库〔2017〕141号）规定，残疾人福利性单位视同小型、微型企业，在原投标报价得分的基础上增加其价格得分的10%作为其价格政策得分。</w:t>
            </w:r>
          </w:p>
          <w:p w14:paraId="08E3A7AA">
            <w:pPr>
              <w:adjustRightInd w:val="0"/>
              <w:spacing w:line="4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5、同一投标人（包括联合体），中小微企业产品、监狱企业产品、残疾人福利性单位产品价格扣除优惠只享受一次，不得重复享受。</w:t>
            </w:r>
          </w:p>
          <w:p w14:paraId="7E3FB9D0">
            <w:pPr>
              <w:adjustRightInd w:val="0"/>
              <w:spacing w:line="400" w:lineRule="exact"/>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6、本项目对应的中小企业划分标准所属行业为：工业，</w:t>
            </w:r>
          </w:p>
          <w:p w14:paraId="224B0F8D">
            <w:pPr>
              <w:adjustRightInd w:val="0"/>
              <w:spacing w:line="400" w:lineRule="exact"/>
              <w:rPr>
                <w:rFonts w:hint="eastAsia" w:ascii="仿宋" w:hAnsi="仿宋" w:eastAsia="仿宋" w:cs="仿宋"/>
                <w:b w:val="0"/>
                <w:bCs w:val="0"/>
                <w:color w:val="auto"/>
                <w:sz w:val="21"/>
                <w:szCs w:val="21"/>
                <w:highlight w:val="none"/>
                <w:lang w:val="en-US"/>
              </w:rPr>
            </w:pPr>
            <w:r>
              <w:rPr>
                <w:rFonts w:hint="eastAsia" w:ascii="仿宋" w:hAnsi="仿宋" w:eastAsia="仿宋" w:cs="仿宋"/>
                <w:b w:val="0"/>
                <w:bCs w:val="0"/>
                <w:color w:val="auto"/>
                <w:sz w:val="21"/>
                <w:szCs w:val="21"/>
                <w:highlight w:val="none"/>
                <w:lang w:val="en-US" w:eastAsia="zh-CN"/>
              </w:rPr>
              <w:t>中小企业划分标准</w:t>
            </w:r>
            <w:r>
              <w:rPr>
                <w:rFonts w:hint="eastAsia" w:ascii="仿宋" w:hAnsi="仿宋" w:eastAsia="仿宋" w:cs="仿宋"/>
                <w:b w:val="0"/>
                <w:bCs w:val="0"/>
                <w:color w:val="auto"/>
                <w:sz w:val="21"/>
                <w:szCs w:val="21"/>
                <w:highlight w:val="none"/>
                <w:lang w:val="en-US"/>
              </w:rPr>
              <w:t>：从业人员</w:t>
            </w:r>
            <w:r>
              <w:rPr>
                <w:rFonts w:hint="eastAsia" w:ascii="仿宋" w:hAnsi="仿宋" w:eastAsia="仿宋" w:cs="仿宋"/>
                <w:b w:val="0"/>
                <w:bCs w:val="0"/>
                <w:color w:val="auto"/>
                <w:sz w:val="21"/>
                <w:szCs w:val="21"/>
                <w:highlight w:val="none"/>
                <w:lang w:val="en-US" w:eastAsia="zh-CN"/>
              </w:rPr>
              <w:t>1000</w:t>
            </w:r>
            <w:r>
              <w:rPr>
                <w:rFonts w:hint="eastAsia" w:ascii="仿宋" w:hAnsi="仿宋" w:eastAsia="仿宋" w:cs="仿宋"/>
                <w:b w:val="0"/>
                <w:bCs w:val="0"/>
                <w:color w:val="auto"/>
                <w:sz w:val="21"/>
                <w:szCs w:val="21"/>
                <w:highlight w:val="none"/>
                <w:lang w:val="en-US"/>
              </w:rPr>
              <w:t>人以下</w:t>
            </w:r>
            <w:r>
              <w:rPr>
                <w:rFonts w:hint="eastAsia" w:ascii="仿宋" w:hAnsi="仿宋" w:eastAsia="仿宋" w:cs="仿宋"/>
                <w:b w:val="0"/>
                <w:bCs w:val="0"/>
                <w:color w:val="auto"/>
                <w:sz w:val="21"/>
                <w:szCs w:val="21"/>
                <w:highlight w:val="none"/>
                <w:lang w:val="en-US" w:eastAsia="zh-CN"/>
              </w:rPr>
              <w:t>或营业收入40000万元以下</w:t>
            </w:r>
            <w:r>
              <w:rPr>
                <w:rFonts w:hint="eastAsia" w:ascii="仿宋" w:hAnsi="仿宋" w:eastAsia="仿宋" w:cs="仿宋"/>
                <w:b w:val="0"/>
                <w:bCs w:val="0"/>
                <w:color w:val="auto"/>
                <w:sz w:val="21"/>
                <w:szCs w:val="21"/>
                <w:highlight w:val="none"/>
                <w:lang w:val="en-US"/>
              </w:rPr>
              <w:t>的为中小微型企业。其中，从业人员300人及以上且营业收入2000万元及以上的为中型企业</w:t>
            </w:r>
            <w:r>
              <w:rPr>
                <w:rFonts w:hint="eastAsia" w:ascii="仿宋" w:hAnsi="仿宋" w:eastAsia="仿宋" w:cs="仿宋"/>
                <w:b w:val="0"/>
                <w:bCs w:val="0"/>
                <w:color w:val="auto"/>
                <w:sz w:val="21"/>
                <w:szCs w:val="21"/>
                <w:highlight w:val="none"/>
                <w:lang w:val="en-US" w:eastAsia="zh-CN"/>
              </w:rPr>
              <w:t>；</w:t>
            </w:r>
            <w:r>
              <w:rPr>
                <w:rFonts w:hint="eastAsia" w:ascii="仿宋" w:hAnsi="仿宋" w:eastAsia="仿宋" w:cs="仿宋"/>
                <w:b w:val="0"/>
                <w:bCs w:val="0"/>
                <w:color w:val="auto"/>
                <w:sz w:val="21"/>
                <w:szCs w:val="21"/>
                <w:highlight w:val="none"/>
                <w:lang w:val="en-US"/>
              </w:rPr>
              <w:t>从业人员20人及以上，且营业收入300万元及以上的为小型企业</w:t>
            </w:r>
            <w:r>
              <w:rPr>
                <w:rFonts w:hint="eastAsia" w:ascii="仿宋" w:hAnsi="仿宋" w:eastAsia="仿宋" w:cs="仿宋"/>
                <w:b w:val="0"/>
                <w:bCs w:val="0"/>
                <w:color w:val="auto"/>
                <w:sz w:val="21"/>
                <w:szCs w:val="21"/>
                <w:highlight w:val="none"/>
                <w:lang w:val="en-US" w:eastAsia="zh-CN"/>
              </w:rPr>
              <w:t>；</w:t>
            </w:r>
            <w:r>
              <w:rPr>
                <w:rFonts w:hint="eastAsia" w:ascii="仿宋" w:hAnsi="仿宋" w:eastAsia="仿宋" w:cs="仿宋"/>
                <w:b w:val="0"/>
                <w:bCs w:val="0"/>
                <w:color w:val="auto"/>
                <w:sz w:val="21"/>
                <w:szCs w:val="21"/>
                <w:highlight w:val="none"/>
                <w:lang w:val="en-US"/>
              </w:rPr>
              <w:t>从业人员20人以下或营业收入300万元以下的为微型企业。</w:t>
            </w:r>
          </w:p>
          <w:p w14:paraId="2069039E">
            <w:pPr>
              <w:adjustRightIn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lang w:val="en-US"/>
              </w:rPr>
              <w:t>、投标人应当根据企业自身的实际状况，审慎出具《中小企业声明函》，声明函内容不实的，属于弄虚作假骗取中标，并承担相应的法律责任。</w:t>
            </w:r>
          </w:p>
        </w:tc>
      </w:tr>
      <w:tr w14:paraId="2BF7F34F">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32F33F37">
            <w:pPr>
              <w:spacing w:line="400" w:lineRule="exact"/>
              <w:jc w:val="center"/>
              <w:rPr>
                <w:rFonts w:ascii="仿宋" w:hAnsi="仿宋" w:eastAsia="仿宋" w:cs="仿宋"/>
                <w:szCs w:val="21"/>
              </w:rPr>
            </w:pPr>
            <w:r>
              <w:rPr>
                <w:rFonts w:hint="eastAsia" w:ascii="仿宋" w:hAnsi="仿宋" w:eastAsia="仿宋" w:cs="仿宋"/>
                <w:szCs w:val="21"/>
              </w:rPr>
              <w:t>1.9.1</w:t>
            </w:r>
          </w:p>
        </w:tc>
        <w:tc>
          <w:tcPr>
            <w:tcW w:w="2486" w:type="dxa"/>
            <w:tcBorders>
              <w:top w:val="single" w:color="auto" w:sz="4" w:space="0"/>
              <w:left w:val="single" w:color="auto" w:sz="4" w:space="0"/>
              <w:bottom w:val="single" w:color="auto" w:sz="4" w:space="0"/>
              <w:right w:val="single" w:color="auto" w:sz="4" w:space="0"/>
            </w:tcBorders>
            <w:vAlign w:val="center"/>
          </w:tcPr>
          <w:p w14:paraId="1E1C98F6">
            <w:pPr>
              <w:spacing w:line="400" w:lineRule="exact"/>
              <w:jc w:val="center"/>
              <w:rPr>
                <w:rFonts w:ascii="仿宋" w:hAnsi="仿宋" w:eastAsia="仿宋" w:cs="仿宋"/>
                <w:szCs w:val="21"/>
              </w:rPr>
            </w:pPr>
            <w:r>
              <w:rPr>
                <w:rFonts w:hint="eastAsia" w:ascii="仿宋" w:hAnsi="仿宋" w:eastAsia="仿宋" w:cs="仿宋"/>
                <w:szCs w:val="21"/>
              </w:rPr>
              <w:t>投标预备会</w:t>
            </w:r>
          </w:p>
        </w:tc>
        <w:tc>
          <w:tcPr>
            <w:tcW w:w="5830" w:type="dxa"/>
            <w:tcBorders>
              <w:top w:val="single" w:color="auto" w:sz="4" w:space="0"/>
              <w:left w:val="single" w:color="auto" w:sz="4" w:space="0"/>
              <w:bottom w:val="single" w:color="auto" w:sz="4" w:space="0"/>
              <w:right w:val="single" w:color="auto" w:sz="4" w:space="0"/>
            </w:tcBorders>
            <w:vAlign w:val="center"/>
          </w:tcPr>
          <w:p w14:paraId="3467EB5A">
            <w:pPr>
              <w:pStyle w:val="11"/>
              <w:topLinePunct/>
              <w:spacing w:line="400" w:lineRule="exact"/>
              <w:rPr>
                <w:rFonts w:ascii="仿宋" w:hAnsi="仿宋" w:eastAsia="仿宋" w:cs="仿宋"/>
                <w:sz w:val="21"/>
                <w:szCs w:val="21"/>
              </w:rPr>
            </w:pPr>
            <w:r>
              <w:rPr>
                <w:rFonts w:hint="eastAsia" w:ascii="仿宋" w:hAnsi="仿宋" w:eastAsia="仿宋" w:cs="仿宋"/>
                <w:sz w:val="21"/>
                <w:szCs w:val="21"/>
              </w:rPr>
              <w:t>☑不召开</w:t>
            </w:r>
          </w:p>
        </w:tc>
      </w:tr>
      <w:tr w14:paraId="1E4B9CEE">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6B21BB40">
            <w:pPr>
              <w:spacing w:line="400" w:lineRule="exact"/>
              <w:jc w:val="center"/>
              <w:rPr>
                <w:rFonts w:ascii="仿宋" w:hAnsi="仿宋" w:eastAsia="仿宋" w:cs="仿宋"/>
                <w:szCs w:val="21"/>
              </w:rPr>
            </w:pPr>
            <w:r>
              <w:rPr>
                <w:rFonts w:hint="eastAsia" w:ascii="仿宋" w:hAnsi="仿宋" w:eastAsia="仿宋" w:cs="仿宋"/>
                <w:szCs w:val="21"/>
              </w:rPr>
              <w:t>1.10.1</w:t>
            </w:r>
          </w:p>
        </w:tc>
        <w:tc>
          <w:tcPr>
            <w:tcW w:w="2486" w:type="dxa"/>
            <w:tcBorders>
              <w:top w:val="single" w:color="auto" w:sz="4" w:space="0"/>
              <w:left w:val="single" w:color="auto" w:sz="4" w:space="0"/>
              <w:bottom w:val="single" w:color="auto" w:sz="4" w:space="0"/>
              <w:right w:val="single" w:color="auto" w:sz="4" w:space="0"/>
            </w:tcBorders>
            <w:vAlign w:val="center"/>
          </w:tcPr>
          <w:p w14:paraId="72272F6B">
            <w:pPr>
              <w:spacing w:line="400" w:lineRule="exact"/>
              <w:jc w:val="center"/>
              <w:rPr>
                <w:rFonts w:ascii="仿宋" w:hAnsi="仿宋" w:eastAsia="仿宋" w:cs="仿宋"/>
                <w:szCs w:val="21"/>
              </w:rPr>
            </w:pPr>
            <w:r>
              <w:rPr>
                <w:rFonts w:hint="eastAsia" w:ascii="仿宋" w:hAnsi="仿宋" w:eastAsia="仿宋" w:cs="仿宋"/>
                <w:szCs w:val="21"/>
              </w:rPr>
              <w:t>分包</w:t>
            </w:r>
          </w:p>
        </w:tc>
        <w:tc>
          <w:tcPr>
            <w:tcW w:w="5830" w:type="dxa"/>
            <w:tcBorders>
              <w:top w:val="single" w:color="auto" w:sz="4" w:space="0"/>
              <w:left w:val="single" w:color="auto" w:sz="4" w:space="0"/>
              <w:bottom w:val="single" w:color="auto" w:sz="4" w:space="0"/>
              <w:right w:val="single" w:color="auto" w:sz="4" w:space="0"/>
            </w:tcBorders>
            <w:vAlign w:val="center"/>
          </w:tcPr>
          <w:p w14:paraId="233A9234">
            <w:pPr>
              <w:spacing w:line="400" w:lineRule="exact"/>
              <w:rPr>
                <w:rFonts w:ascii="仿宋" w:hAnsi="仿宋" w:eastAsia="仿宋" w:cs="仿宋"/>
                <w:szCs w:val="21"/>
              </w:rPr>
            </w:pPr>
            <w:r>
              <w:rPr>
                <w:rFonts w:hint="eastAsia" w:ascii="仿宋" w:hAnsi="仿宋" w:eastAsia="仿宋" w:cs="仿宋"/>
                <w:szCs w:val="21"/>
              </w:rPr>
              <w:t>☑不允许</w:t>
            </w:r>
          </w:p>
        </w:tc>
      </w:tr>
      <w:tr w14:paraId="7728CE8B">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01670B9E">
            <w:pPr>
              <w:spacing w:line="400" w:lineRule="exact"/>
              <w:jc w:val="center"/>
              <w:rPr>
                <w:rFonts w:ascii="仿宋" w:hAnsi="仿宋" w:eastAsia="仿宋" w:cs="仿宋"/>
                <w:szCs w:val="21"/>
              </w:rPr>
            </w:pPr>
            <w:r>
              <w:rPr>
                <w:rFonts w:hint="eastAsia" w:ascii="仿宋" w:hAnsi="仿宋" w:eastAsia="仿宋" w:cs="仿宋"/>
                <w:szCs w:val="21"/>
              </w:rPr>
              <w:t>1.11.1</w:t>
            </w:r>
          </w:p>
        </w:tc>
        <w:tc>
          <w:tcPr>
            <w:tcW w:w="2486" w:type="dxa"/>
            <w:tcBorders>
              <w:top w:val="single" w:color="auto" w:sz="4" w:space="0"/>
              <w:left w:val="single" w:color="auto" w:sz="4" w:space="0"/>
              <w:bottom w:val="single" w:color="auto" w:sz="4" w:space="0"/>
              <w:right w:val="single" w:color="auto" w:sz="4" w:space="0"/>
            </w:tcBorders>
            <w:vAlign w:val="center"/>
          </w:tcPr>
          <w:p w14:paraId="121B38E7">
            <w:pPr>
              <w:spacing w:line="400" w:lineRule="exact"/>
              <w:jc w:val="center"/>
              <w:rPr>
                <w:rFonts w:ascii="仿宋" w:hAnsi="仿宋" w:eastAsia="仿宋" w:cs="仿宋"/>
                <w:b/>
                <w:bCs/>
                <w:szCs w:val="21"/>
              </w:rPr>
            </w:pPr>
            <w:r>
              <w:rPr>
                <w:rFonts w:hint="eastAsia" w:ascii="仿宋" w:hAnsi="仿宋" w:eastAsia="仿宋" w:cs="仿宋"/>
                <w:b/>
                <w:bCs/>
                <w:szCs w:val="21"/>
              </w:rPr>
              <w:t>实质性要求和条件</w:t>
            </w:r>
          </w:p>
        </w:tc>
        <w:tc>
          <w:tcPr>
            <w:tcW w:w="5830" w:type="dxa"/>
            <w:tcBorders>
              <w:top w:val="single" w:color="auto" w:sz="4" w:space="0"/>
              <w:left w:val="single" w:color="auto" w:sz="4" w:space="0"/>
              <w:bottom w:val="single" w:color="auto" w:sz="4" w:space="0"/>
              <w:right w:val="single" w:color="auto" w:sz="4" w:space="0"/>
            </w:tcBorders>
            <w:vAlign w:val="center"/>
          </w:tcPr>
          <w:p w14:paraId="04BF032F">
            <w:pPr>
              <w:pStyle w:val="11"/>
              <w:topLinePunct/>
              <w:spacing w:line="400" w:lineRule="exact"/>
              <w:rPr>
                <w:rFonts w:hint="eastAsia" w:ascii="仿宋" w:hAnsi="仿宋" w:eastAsia="仿宋" w:cs="仿宋"/>
                <w:b/>
                <w:bCs/>
                <w:sz w:val="21"/>
                <w:szCs w:val="21"/>
              </w:rPr>
            </w:pPr>
            <w:r>
              <w:rPr>
                <w:rFonts w:hint="eastAsia" w:ascii="仿宋" w:hAnsi="仿宋" w:eastAsia="仿宋" w:cs="仿宋"/>
                <w:b/>
                <w:bCs/>
                <w:sz w:val="21"/>
                <w:szCs w:val="21"/>
              </w:rPr>
              <w:t>交货安装</w:t>
            </w:r>
            <w:r>
              <w:rPr>
                <w:rFonts w:hint="eastAsia" w:ascii="仿宋" w:hAnsi="仿宋" w:eastAsia="仿宋" w:cs="仿宋"/>
                <w:b/>
                <w:bCs/>
                <w:sz w:val="21"/>
                <w:szCs w:val="21"/>
                <w:lang w:eastAsia="zh-CN"/>
              </w:rPr>
              <w:t>周</w:t>
            </w:r>
            <w:r>
              <w:rPr>
                <w:rFonts w:hint="eastAsia" w:ascii="仿宋" w:hAnsi="仿宋" w:eastAsia="仿宋" w:cs="仿宋"/>
                <w:b/>
                <w:bCs/>
                <w:sz w:val="21"/>
                <w:szCs w:val="21"/>
              </w:rPr>
              <w:t>期；</w:t>
            </w:r>
          </w:p>
          <w:p w14:paraId="30361735">
            <w:pPr>
              <w:pStyle w:val="11"/>
              <w:topLinePunct/>
              <w:spacing w:line="400" w:lineRule="exact"/>
              <w:rPr>
                <w:rFonts w:hint="eastAsia" w:ascii="仿宋" w:hAnsi="仿宋" w:eastAsia="仿宋" w:cs="仿宋"/>
                <w:b/>
                <w:bCs/>
                <w:sz w:val="21"/>
                <w:szCs w:val="21"/>
              </w:rPr>
            </w:pPr>
            <w:r>
              <w:rPr>
                <w:rFonts w:hint="eastAsia" w:ascii="仿宋" w:hAnsi="仿宋" w:eastAsia="仿宋" w:cs="仿宋"/>
                <w:b/>
                <w:bCs/>
                <w:sz w:val="21"/>
                <w:szCs w:val="21"/>
              </w:rPr>
              <w:t>招标范围；</w:t>
            </w:r>
          </w:p>
          <w:p w14:paraId="3594D0C9">
            <w:pPr>
              <w:pStyle w:val="11"/>
              <w:topLinePunct/>
              <w:spacing w:line="400" w:lineRule="exact"/>
              <w:rPr>
                <w:rFonts w:hint="eastAsia" w:ascii="仿宋" w:hAnsi="仿宋" w:eastAsia="仿宋" w:cs="仿宋"/>
                <w:b/>
                <w:bCs/>
                <w:sz w:val="21"/>
                <w:szCs w:val="21"/>
              </w:rPr>
            </w:pPr>
            <w:r>
              <w:rPr>
                <w:rFonts w:hint="eastAsia" w:ascii="仿宋" w:hAnsi="仿宋" w:eastAsia="仿宋" w:cs="仿宋"/>
                <w:b/>
                <w:bCs/>
                <w:sz w:val="21"/>
                <w:szCs w:val="21"/>
              </w:rPr>
              <w:t>交货地点；</w:t>
            </w:r>
          </w:p>
          <w:p w14:paraId="1055004C">
            <w:pPr>
              <w:pStyle w:val="11"/>
              <w:topLinePunct/>
              <w:spacing w:line="400" w:lineRule="exact"/>
              <w:rPr>
                <w:rFonts w:hint="eastAsia" w:ascii="仿宋" w:hAnsi="仿宋" w:eastAsia="仿宋" w:cs="仿宋"/>
                <w:b/>
                <w:bCs/>
                <w:sz w:val="21"/>
                <w:szCs w:val="21"/>
              </w:rPr>
            </w:pPr>
            <w:r>
              <w:rPr>
                <w:rFonts w:hint="eastAsia" w:ascii="仿宋" w:hAnsi="仿宋" w:eastAsia="仿宋" w:cs="仿宋"/>
                <w:b/>
                <w:bCs/>
                <w:sz w:val="21"/>
                <w:szCs w:val="21"/>
              </w:rPr>
              <w:t>质量要求；</w:t>
            </w:r>
          </w:p>
          <w:p w14:paraId="0A9F9C6A">
            <w:pPr>
              <w:pStyle w:val="11"/>
              <w:topLinePunct/>
              <w:spacing w:line="400" w:lineRule="exact"/>
              <w:rPr>
                <w:rFonts w:hint="eastAsia" w:ascii="仿宋" w:hAnsi="仿宋" w:eastAsia="仿宋" w:cs="仿宋"/>
                <w:b/>
                <w:bCs/>
                <w:sz w:val="21"/>
                <w:szCs w:val="21"/>
              </w:rPr>
            </w:pPr>
            <w:r>
              <w:rPr>
                <w:rFonts w:hint="eastAsia" w:ascii="仿宋" w:hAnsi="仿宋" w:eastAsia="仿宋" w:cs="仿宋"/>
                <w:b/>
                <w:bCs/>
                <w:sz w:val="21"/>
                <w:szCs w:val="21"/>
              </w:rPr>
              <w:t>安全目标；</w:t>
            </w:r>
          </w:p>
          <w:p w14:paraId="06FD6D5D">
            <w:pPr>
              <w:pStyle w:val="11"/>
              <w:topLinePunct/>
              <w:spacing w:line="400" w:lineRule="exact"/>
              <w:rPr>
                <w:rFonts w:hint="eastAsia" w:ascii="仿宋" w:hAnsi="仿宋" w:eastAsia="仿宋" w:cs="仿宋"/>
                <w:b/>
                <w:bCs/>
                <w:sz w:val="21"/>
                <w:szCs w:val="21"/>
              </w:rPr>
            </w:pPr>
            <w:r>
              <w:rPr>
                <w:rFonts w:hint="eastAsia" w:ascii="仿宋" w:hAnsi="仿宋" w:eastAsia="仿宋" w:cs="仿宋"/>
                <w:b/>
                <w:bCs/>
                <w:sz w:val="21"/>
                <w:szCs w:val="21"/>
              </w:rPr>
              <w:t>质保期；</w:t>
            </w:r>
          </w:p>
          <w:p w14:paraId="19333E12">
            <w:pPr>
              <w:pStyle w:val="11"/>
              <w:topLinePunct/>
              <w:spacing w:line="400" w:lineRule="exact"/>
              <w:rPr>
                <w:rFonts w:hint="eastAsia" w:ascii="仿宋" w:hAnsi="仿宋" w:eastAsia="仿宋" w:cs="仿宋"/>
                <w:b/>
                <w:bCs/>
                <w:sz w:val="21"/>
                <w:szCs w:val="21"/>
              </w:rPr>
            </w:pPr>
            <w:r>
              <w:rPr>
                <w:rFonts w:hint="eastAsia" w:ascii="仿宋" w:hAnsi="仿宋" w:eastAsia="仿宋" w:cs="仿宋"/>
                <w:b/>
                <w:bCs/>
                <w:sz w:val="21"/>
                <w:szCs w:val="21"/>
              </w:rPr>
              <w:t>投标有效期；</w:t>
            </w:r>
          </w:p>
          <w:p w14:paraId="16A10985">
            <w:pPr>
              <w:pStyle w:val="11"/>
              <w:topLinePunct/>
              <w:spacing w:line="400" w:lineRule="exact"/>
              <w:rPr>
                <w:rFonts w:hint="eastAsia" w:ascii="仿宋" w:hAnsi="仿宋" w:eastAsia="仿宋" w:cs="仿宋"/>
                <w:b/>
                <w:bCs/>
                <w:sz w:val="21"/>
                <w:szCs w:val="21"/>
                <w:lang w:val="en-US" w:eastAsia="zh-CN"/>
              </w:rPr>
            </w:pPr>
            <w:r>
              <w:rPr>
                <w:rFonts w:hint="eastAsia" w:ascii="仿宋" w:hAnsi="仿宋" w:eastAsia="仿宋" w:cs="仿宋"/>
                <w:b/>
                <w:bCs/>
                <w:sz w:val="21"/>
                <w:szCs w:val="21"/>
              </w:rPr>
              <w:t>付款方式；</w:t>
            </w:r>
          </w:p>
        </w:tc>
      </w:tr>
      <w:tr w14:paraId="6668AB53">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7A5670AB">
            <w:pPr>
              <w:spacing w:line="400" w:lineRule="exact"/>
              <w:jc w:val="center"/>
              <w:rPr>
                <w:rFonts w:ascii="仿宋" w:hAnsi="仿宋" w:eastAsia="仿宋" w:cs="仿宋"/>
                <w:szCs w:val="21"/>
              </w:rPr>
            </w:pPr>
            <w:r>
              <w:rPr>
                <w:rFonts w:hint="eastAsia" w:ascii="仿宋" w:hAnsi="仿宋" w:eastAsia="仿宋" w:cs="仿宋"/>
                <w:szCs w:val="21"/>
              </w:rPr>
              <w:t>1.11.3</w:t>
            </w:r>
          </w:p>
        </w:tc>
        <w:tc>
          <w:tcPr>
            <w:tcW w:w="2486" w:type="dxa"/>
            <w:tcBorders>
              <w:top w:val="single" w:color="auto" w:sz="4" w:space="0"/>
              <w:left w:val="single" w:color="auto" w:sz="4" w:space="0"/>
              <w:bottom w:val="single" w:color="auto" w:sz="4" w:space="0"/>
              <w:right w:val="single" w:color="auto" w:sz="4" w:space="0"/>
            </w:tcBorders>
            <w:vAlign w:val="center"/>
          </w:tcPr>
          <w:p w14:paraId="3EFEDB4A">
            <w:pPr>
              <w:spacing w:line="400" w:lineRule="exact"/>
              <w:jc w:val="center"/>
              <w:rPr>
                <w:rFonts w:hint="eastAsia" w:ascii="仿宋" w:hAnsi="仿宋" w:eastAsia="仿宋" w:cs="仿宋"/>
                <w:szCs w:val="21"/>
              </w:rPr>
            </w:pPr>
            <w:r>
              <w:rPr>
                <w:rFonts w:hint="eastAsia" w:ascii="仿宋" w:hAnsi="仿宋" w:eastAsia="仿宋" w:cs="仿宋"/>
                <w:szCs w:val="21"/>
              </w:rPr>
              <w:t>其他可以被接受的</w:t>
            </w:r>
          </w:p>
          <w:p w14:paraId="0A857D70">
            <w:pPr>
              <w:spacing w:line="400" w:lineRule="exact"/>
              <w:jc w:val="center"/>
              <w:rPr>
                <w:rFonts w:ascii="仿宋" w:hAnsi="仿宋" w:eastAsia="仿宋" w:cs="仿宋"/>
                <w:szCs w:val="21"/>
              </w:rPr>
            </w:pPr>
            <w:r>
              <w:rPr>
                <w:rFonts w:hint="eastAsia" w:ascii="仿宋" w:hAnsi="仿宋" w:eastAsia="仿宋" w:cs="仿宋"/>
                <w:szCs w:val="21"/>
              </w:rPr>
              <w:t>技术支持资料</w:t>
            </w:r>
          </w:p>
        </w:tc>
        <w:tc>
          <w:tcPr>
            <w:tcW w:w="5830" w:type="dxa"/>
            <w:tcBorders>
              <w:top w:val="single" w:color="auto" w:sz="4" w:space="0"/>
              <w:left w:val="single" w:color="auto" w:sz="4" w:space="0"/>
              <w:bottom w:val="single" w:color="auto" w:sz="4" w:space="0"/>
              <w:right w:val="single" w:color="auto" w:sz="4" w:space="0"/>
            </w:tcBorders>
            <w:vAlign w:val="center"/>
          </w:tcPr>
          <w:p w14:paraId="798C087E">
            <w:pPr>
              <w:pStyle w:val="11"/>
              <w:topLinePunct/>
              <w:spacing w:line="400" w:lineRule="exact"/>
              <w:rPr>
                <w:rFonts w:ascii="仿宋" w:hAnsi="仿宋" w:eastAsia="仿宋" w:cs="仿宋"/>
                <w:sz w:val="21"/>
                <w:szCs w:val="21"/>
              </w:rPr>
            </w:pPr>
            <w:r>
              <w:rPr>
                <w:rFonts w:hint="eastAsia" w:ascii="仿宋" w:hAnsi="仿宋" w:eastAsia="仿宋" w:cs="仿宋"/>
                <w:sz w:val="21"/>
                <w:szCs w:val="21"/>
              </w:rPr>
              <w:t>/</w:t>
            </w:r>
          </w:p>
        </w:tc>
      </w:tr>
      <w:tr w14:paraId="7AAA30F7">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096DDBFA">
            <w:pPr>
              <w:spacing w:line="400" w:lineRule="exact"/>
              <w:jc w:val="center"/>
              <w:rPr>
                <w:rFonts w:ascii="仿宋" w:hAnsi="仿宋" w:eastAsia="仿宋" w:cs="仿宋"/>
                <w:szCs w:val="21"/>
              </w:rPr>
            </w:pPr>
            <w:r>
              <w:rPr>
                <w:rFonts w:hint="eastAsia" w:ascii="仿宋" w:hAnsi="仿宋" w:eastAsia="仿宋" w:cs="仿宋"/>
                <w:szCs w:val="21"/>
              </w:rPr>
              <w:t>1.11.4</w:t>
            </w:r>
          </w:p>
        </w:tc>
        <w:tc>
          <w:tcPr>
            <w:tcW w:w="2486" w:type="dxa"/>
            <w:tcBorders>
              <w:top w:val="single" w:color="auto" w:sz="4" w:space="0"/>
              <w:left w:val="single" w:color="auto" w:sz="4" w:space="0"/>
              <w:bottom w:val="single" w:color="auto" w:sz="4" w:space="0"/>
              <w:right w:val="single" w:color="auto" w:sz="4" w:space="0"/>
            </w:tcBorders>
            <w:vAlign w:val="center"/>
          </w:tcPr>
          <w:p w14:paraId="3F62CFAD">
            <w:pPr>
              <w:spacing w:line="400" w:lineRule="exact"/>
              <w:jc w:val="center"/>
              <w:rPr>
                <w:rFonts w:ascii="仿宋" w:hAnsi="仿宋" w:eastAsia="仿宋" w:cs="仿宋"/>
                <w:szCs w:val="21"/>
                <w:highlight w:val="none"/>
              </w:rPr>
            </w:pPr>
            <w:r>
              <w:rPr>
                <w:rFonts w:hint="eastAsia" w:ascii="仿宋" w:hAnsi="仿宋" w:eastAsia="仿宋" w:cs="仿宋"/>
                <w:szCs w:val="21"/>
                <w:highlight w:val="none"/>
              </w:rPr>
              <w:t>偏差</w:t>
            </w:r>
          </w:p>
        </w:tc>
        <w:tc>
          <w:tcPr>
            <w:tcW w:w="5830" w:type="dxa"/>
            <w:tcBorders>
              <w:top w:val="single" w:color="auto" w:sz="4" w:space="0"/>
              <w:left w:val="single" w:color="auto" w:sz="4" w:space="0"/>
              <w:bottom w:val="single" w:color="auto" w:sz="4" w:space="0"/>
              <w:right w:val="single" w:color="auto" w:sz="4" w:space="0"/>
            </w:tcBorders>
          </w:tcPr>
          <w:p w14:paraId="0094A60B">
            <w:pPr>
              <w:spacing w:line="400" w:lineRule="exact"/>
              <w:rPr>
                <w:rFonts w:ascii="仿宋" w:hAnsi="仿宋" w:eastAsia="仿宋" w:cs="仿宋"/>
                <w:szCs w:val="21"/>
                <w:highlight w:val="yellow"/>
              </w:rPr>
            </w:pPr>
            <w:r>
              <w:rPr>
                <w:rFonts w:hint="eastAsia" w:ascii="仿宋" w:hAnsi="仿宋" w:eastAsia="仿宋" w:cs="仿宋"/>
                <w:szCs w:val="21"/>
              </w:rPr>
              <w:t>允许</w:t>
            </w:r>
          </w:p>
        </w:tc>
      </w:tr>
      <w:tr w14:paraId="0A377232">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3DFD8706">
            <w:pPr>
              <w:spacing w:line="400" w:lineRule="exact"/>
              <w:jc w:val="center"/>
              <w:rPr>
                <w:rFonts w:ascii="仿宋" w:hAnsi="仿宋" w:eastAsia="仿宋" w:cs="仿宋"/>
                <w:szCs w:val="21"/>
              </w:rPr>
            </w:pPr>
            <w:r>
              <w:rPr>
                <w:rFonts w:hint="eastAsia" w:ascii="仿宋" w:hAnsi="仿宋" w:eastAsia="仿宋" w:cs="仿宋"/>
                <w:szCs w:val="21"/>
              </w:rPr>
              <w:t>2.1</w:t>
            </w:r>
          </w:p>
        </w:tc>
        <w:tc>
          <w:tcPr>
            <w:tcW w:w="2486" w:type="dxa"/>
            <w:tcBorders>
              <w:top w:val="single" w:color="auto" w:sz="4" w:space="0"/>
              <w:left w:val="single" w:color="auto" w:sz="4" w:space="0"/>
              <w:bottom w:val="single" w:color="auto" w:sz="4" w:space="0"/>
              <w:right w:val="single" w:color="auto" w:sz="4" w:space="0"/>
            </w:tcBorders>
            <w:vAlign w:val="center"/>
          </w:tcPr>
          <w:p w14:paraId="6E5E8798">
            <w:pPr>
              <w:spacing w:line="400" w:lineRule="exact"/>
              <w:jc w:val="center"/>
              <w:rPr>
                <w:rFonts w:hint="eastAsia" w:ascii="仿宋" w:hAnsi="仿宋" w:eastAsia="仿宋" w:cs="仿宋"/>
                <w:szCs w:val="21"/>
              </w:rPr>
            </w:pPr>
            <w:r>
              <w:rPr>
                <w:rFonts w:hint="eastAsia" w:ascii="仿宋" w:hAnsi="仿宋" w:eastAsia="仿宋" w:cs="仿宋"/>
                <w:szCs w:val="21"/>
              </w:rPr>
              <w:t>构成招标文件的</w:t>
            </w:r>
          </w:p>
          <w:p w14:paraId="1299842B">
            <w:pPr>
              <w:spacing w:line="400" w:lineRule="exact"/>
              <w:jc w:val="center"/>
              <w:rPr>
                <w:rFonts w:ascii="仿宋" w:hAnsi="仿宋" w:eastAsia="仿宋" w:cs="仿宋"/>
                <w:szCs w:val="21"/>
              </w:rPr>
            </w:pPr>
            <w:r>
              <w:rPr>
                <w:rFonts w:hint="eastAsia" w:ascii="仿宋" w:hAnsi="仿宋" w:eastAsia="仿宋" w:cs="仿宋"/>
                <w:szCs w:val="21"/>
              </w:rPr>
              <w:t>其他资料</w:t>
            </w:r>
          </w:p>
        </w:tc>
        <w:tc>
          <w:tcPr>
            <w:tcW w:w="5830" w:type="dxa"/>
            <w:tcBorders>
              <w:top w:val="single" w:color="auto" w:sz="4" w:space="0"/>
              <w:left w:val="single" w:color="auto" w:sz="4" w:space="0"/>
              <w:bottom w:val="single" w:color="auto" w:sz="4" w:space="0"/>
              <w:right w:val="single" w:color="auto" w:sz="4" w:space="0"/>
            </w:tcBorders>
            <w:vAlign w:val="center"/>
          </w:tcPr>
          <w:p w14:paraId="7D049324">
            <w:pPr>
              <w:spacing w:line="400" w:lineRule="exact"/>
              <w:rPr>
                <w:rFonts w:ascii="仿宋" w:hAnsi="仿宋" w:eastAsia="仿宋" w:cs="仿宋"/>
                <w:szCs w:val="21"/>
              </w:rPr>
            </w:pPr>
            <w:r>
              <w:rPr>
                <w:rFonts w:hint="eastAsia" w:ascii="仿宋" w:hAnsi="仿宋" w:eastAsia="仿宋" w:cs="仿宋"/>
                <w:szCs w:val="21"/>
              </w:rPr>
              <w:t>招标过程的澄清、修改、补充、招标文件及图纸答疑等（如有）</w:t>
            </w:r>
          </w:p>
        </w:tc>
      </w:tr>
      <w:tr w14:paraId="2BAE89E0">
        <w:tblPrEx>
          <w:tblCellMar>
            <w:top w:w="0" w:type="dxa"/>
            <w:left w:w="108" w:type="dxa"/>
            <w:bottom w:w="0" w:type="dxa"/>
            <w:right w:w="108" w:type="dxa"/>
          </w:tblCellMar>
        </w:tblPrEx>
        <w:trPr>
          <w:jc w:val="center"/>
        </w:trPr>
        <w:tc>
          <w:tcPr>
            <w:tcW w:w="1006" w:type="dxa"/>
            <w:tcBorders>
              <w:left w:val="single" w:color="auto" w:sz="4" w:space="0"/>
              <w:bottom w:val="single" w:color="auto" w:sz="4" w:space="0"/>
              <w:right w:val="single" w:color="auto" w:sz="4" w:space="0"/>
            </w:tcBorders>
            <w:vAlign w:val="center"/>
          </w:tcPr>
          <w:p w14:paraId="1B908A7C">
            <w:pPr>
              <w:spacing w:line="400" w:lineRule="exact"/>
              <w:jc w:val="center"/>
              <w:rPr>
                <w:rFonts w:ascii="仿宋" w:hAnsi="仿宋" w:eastAsia="仿宋" w:cs="仿宋"/>
                <w:szCs w:val="21"/>
              </w:rPr>
            </w:pPr>
            <w:r>
              <w:rPr>
                <w:rFonts w:hint="eastAsia" w:ascii="仿宋" w:hAnsi="仿宋" w:eastAsia="仿宋" w:cs="仿宋"/>
                <w:szCs w:val="21"/>
              </w:rPr>
              <w:t>2.2</w:t>
            </w:r>
          </w:p>
        </w:tc>
        <w:tc>
          <w:tcPr>
            <w:tcW w:w="2486" w:type="dxa"/>
            <w:tcBorders>
              <w:left w:val="single" w:color="auto" w:sz="4" w:space="0"/>
              <w:bottom w:val="single" w:color="auto" w:sz="4" w:space="0"/>
              <w:right w:val="single" w:color="auto" w:sz="4" w:space="0"/>
            </w:tcBorders>
          </w:tcPr>
          <w:p w14:paraId="107A6E6C">
            <w:pPr>
              <w:pStyle w:val="55"/>
              <w:spacing w:before="1"/>
              <w:ind w:left="14"/>
              <w:jc w:val="center"/>
              <w:rPr>
                <w:rFonts w:ascii="仿宋" w:hAnsi="仿宋" w:eastAsia="仿宋" w:cs="仿宋"/>
                <w:szCs w:val="21"/>
              </w:rPr>
            </w:pPr>
            <w:r>
              <w:rPr>
                <w:rFonts w:hint="eastAsia" w:ascii="仿宋" w:hAnsi="仿宋" w:eastAsia="仿宋" w:cs="仿宋"/>
                <w:szCs w:val="21"/>
              </w:rPr>
              <w:t>投标人确认收到招标文件澄清的时间</w:t>
            </w:r>
          </w:p>
        </w:tc>
        <w:tc>
          <w:tcPr>
            <w:tcW w:w="5830" w:type="dxa"/>
            <w:tcBorders>
              <w:top w:val="single" w:color="auto" w:sz="4" w:space="0"/>
              <w:left w:val="single" w:color="auto" w:sz="4" w:space="0"/>
              <w:bottom w:val="single" w:color="auto" w:sz="4" w:space="0"/>
              <w:right w:val="single" w:color="auto" w:sz="4" w:space="0"/>
            </w:tcBorders>
            <w:vAlign w:val="center"/>
          </w:tcPr>
          <w:p w14:paraId="08D4EA04">
            <w:pPr>
              <w:pStyle w:val="55"/>
              <w:jc w:val="left"/>
              <w:rPr>
                <w:rFonts w:ascii="仿宋" w:hAnsi="仿宋" w:eastAsia="仿宋" w:cs="仿宋"/>
                <w:szCs w:val="21"/>
              </w:rPr>
            </w:pPr>
            <w:r>
              <w:rPr>
                <w:rFonts w:hint="eastAsia" w:ascii="仿宋" w:hAnsi="仿宋" w:eastAsia="仿宋" w:cs="仿宋"/>
                <w:szCs w:val="21"/>
              </w:rPr>
              <w:t>招标人在规定的媒介发出澄清时。</w:t>
            </w:r>
          </w:p>
        </w:tc>
      </w:tr>
      <w:tr w14:paraId="088A79B8">
        <w:tblPrEx>
          <w:tblCellMar>
            <w:top w:w="0" w:type="dxa"/>
            <w:left w:w="108" w:type="dxa"/>
            <w:bottom w:w="0" w:type="dxa"/>
            <w:right w:w="108" w:type="dxa"/>
          </w:tblCellMar>
        </w:tblPrEx>
        <w:trPr>
          <w:jc w:val="center"/>
        </w:trPr>
        <w:tc>
          <w:tcPr>
            <w:tcW w:w="1006" w:type="dxa"/>
            <w:tcBorders>
              <w:left w:val="single" w:color="auto" w:sz="4" w:space="0"/>
              <w:bottom w:val="single" w:color="auto" w:sz="4" w:space="0"/>
              <w:right w:val="single" w:color="auto" w:sz="4" w:space="0"/>
            </w:tcBorders>
            <w:vAlign w:val="center"/>
          </w:tcPr>
          <w:p w14:paraId="7EAB5B1F">
            <w:pPr>
              <w:spacing w:line="400" w:lineRule="exact"/>
              <w:jc w:val="center"/>
              <w:rPr>
                <w:rFonts w:ascii="仿宋" w:hAnsi="仿宋" w:eastAsia="仿宋" w:cs="仿宋"/>
                <w:szCs w:val="21"/>
              </w:rPr>
            </w:pPr>
            <w:r>
              <w:rPr>
                <w:rFonts w:hint="eastAsia" w:ascii="仿宋" w:hAnsi="仿宋" w:eastAsia="仿宋" w:cs="仿宋"/>
                <w:szCs w:val="21"/>
              </w:rPr>
              <w:t>2.3</w:t>
            </w:r>
          </w:p>
        </w:tc>
        <w:tc>
          <w:tcPr>
            <w:tcW w:w="2486" w:type="dxa"/>
            <w:tcBorders>
              <w:left w:val="single" w:color="auto" w:sz="4" w:space="0"/>
              <w:bottom w:val="single" w:color="auto" w:sz="4" w:space="0"/>
              <w:right w:val="single" w:color="auto" w:sz="4" w:space="0"/>
            </w:tcBorders>
            <w:vAlign w:val="center"/>
          </w:tcPr>
          <w:p w14:paraId="7B40BD08">
            <w:pPr>
              <w:spacing w:line="400" w:lineRule="exact"/>
              <w:jc w:val="center"/>
              <w:rPr>
                <w:rFonts w:ascii="仿宋" w:hAnsi="仿宋" w:eastAsia="仿宋" w:cs="仿宋"/>
                <w:szCs w:val="21"/>
              </w:rPr>
            </w:pPr>
            <w:r>
              <w:rPr>
                <w:rFonts w:hint="eastAsia" w:ascii="仿宋" w:hAnsi="仿宋" w:eastAsia="仿宋" w:cs="仿宋"/>
                <w:szCs w:val="21"/>
              </w:rPr>
              <w:t>投标人确认收到招标文件修改的时间</w:t>
            </w:r>
          </w:p>
        </w:tc>
        <w:tc>
          <w:tcPr>
            <w:tcW w:w="5830" w:type="dxa"/>
            <w:tcBorders>
              <w:top w:val="single" w:color="auto" w:sz="4" w:space="0"/>
              <w:left w:val="single" w:color="auto" w:sz="4" w:space="0"/>
              <w:bottom w:val="single" w:color="auto" w:sz="4" w:space="0"/>
              <w:right w:val="single" w:color="auto" w:sz="4" w:space="0"/>
            </w:tcBorders>
            <w:vAlign w:val="center"/>
          </w:tcPr>
          <w:p w14:paraId="5E084B90">
            <w:pPr>
              <w:spacing w:line="400" w:lineRule="exact"/>
              <w:jc w:val="left"/>
              <w:rPr>
                <w:rFonts w:ascii="仿宋" w:hAnsi="仿宋" w:eastAsia="仿宋" w:cs="仿宋"/>
                <w:szCs w:val="21"/>
              </w:rPr>
            </w:pPr>
            <w:r>
              <w:rPr>
                <w:rFonts w:hint="eastAsia" w:ascii="仿宋" w:hAnsi="仿宋" w:eastAsia="仿宋" w:cs="仿宋"/>
                <w:szCs w:val="21"/>
              </w:rPr>
              <w:t>招标人在规定的媒介发出修改时。</w:t>
            </w:r>
          </w:p>
        </w:tc>
      </w:tr>
      <w:tr w14:paraId="47338C09">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789DD1D1">
            <w:pPr>
              <w:spacing w:line="400" w:lineRule="exact"/>
              <w:jc w:val="center"/>
              <w:rPr>
                <w:rFonts w:ascii="仿宋" w:hAnsi="仿宋" w:eastAsia="仿宋" w:cs="仿宋"/>
                <w:szCs w:val="21"/>
              </w:rPr>
            </w:pPr>
            <w:r>
              <w:rPr>
                <w:rFonts w:hint="eastAsia" w:ascii="仿宋" w:hAnsi="仿宋" w:eastAsia="仿宋" w:cs="仿宋"/>
                <w:szCs w:val="21"/>
              </w:rPr>
              <w:t>3.1.1</w:t>
            </w:r>
          </w:p>
        </w:tc>
        <w:tc>
          <w:tcPr>
            <w:tcW w:w="2486" w:type="dxa"/>
            <w:tcBorders>
              <w:top w:val="single" w:color="auto" w:sz="4" w:space="0"/>
              <w:left w:val="single" w:color="auto" w:sz="4" w:space="0"/>
              <w:bottom w:val="single" w:color="auto" w:sz="4" w:space="0"/>
              <w:right w:val="single" w:color="auto" w:sz="4" w:space="0"/>
            </w:tcBorders>
            <w:vAlign w:val="center"/>
          </w:tcPr>
          <w:p w14:paraId="268835DC">
            <w:pPr>
              <w:spacing w:line="400" w:lineRule="exact"/>
              <w:jc w:val="center"/>
              <w:rPr>
                <w:rFonts w:hint="eastAsia" w:ascii="仿宋" w:hAnsi="仿宋" w:eastAsia="仿宋" w:cs="仿宋"/>
                <w:szCs w:val="21"/>
              </w:rPr>
            </w:pPr>
            <w:r>
              <w:rPr>
                <w:rFonts w:hint="eastAsia" w:ascii="仿宋" w:hAnsi="仿宋" w:eastAsia="仿宋" w:cs="仿宋"/>
                <w:szCs w:val="21"/>
              </w:rPr>
              <w:t>构成投标文件的</w:t>
            </w:r>
          </w:p>
          <w:p w14:paraId="0CEB744C">
            <w:pPr>
              <w:spacing w:line="400" w:lineRule="exact"/>
              <w:jc w:val="center"/>
              <w:rPr>
                <w:rFonts w:ascii="仿宋" w:hAnsi="仿宋" w:eastAsia="仿宋" w:cs="仿宋"/>
                <w:szCs w:val="21"/>
              </w:rPr>
            </w:pPr>
            <w:r>
              <w:rPr>
                <w:rFonts w:hint="eastAsia" w:ascii="仿宋" w:hAnsi="仿宋" w:eastAsia="仿宋" w:cs="仿宋"/>
                <w:szCs w:val="21"/>
              </w:rPr>
              <w:t>其他资料</w:t>
            </w:r>
          </w:p>
        </w:tc>
        <w:tc>
          <w:tcPr>
            <w:tcW w:w="5830" w:type="dxa"/>
            <w:tcBorders>
              <w:top w:val="single" w:color="auto" w:sz="4" w:space="0"/>
              <w:left w:val="single" w:color="auto" w:sz="4" w:space="0"/>
              <w:bottom w:val="single" w:color="auto" w:sz="4" w:space="0"/>
              <w:right w:val="single" w:color="auto" w:sz="4" w:space="0"/>
            </w:tcBorders>
            <w:vAlign w:val="center"/>
          </w:tcPr>
          <w:p w14:paraId="05B164E4">
            <w:pPr>
              <w:spacing w:line="400" w:lineRule="exact"/>
              <w:rPr>
                <w:rFonts w:ascii="仿宋" w:hAnsi="仿宋" w:eastAsia="仿宋" w:cs="仿宋"/>
                <w:szCs w:val="21"/>
              </w:rPr>
            </w:pPr>
            <w:r>
              <w:rPr>
                <w:rFonts w:hint="eastAsia" w:ascii="仿宋" w:hAnsi="仿宋" w:eastAsia="仿宋" w:cs="仿宋"/>
                <w:szCs w:val="21"/>
              </w:rPr>
              <w:t>招标文件要求提交的其他资料</w:t>
            </w:r>
          </w:p>
        </w:tc>
      </w:tr>
      <w:tr w14:paraId="34F790CC">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4A3F9824">
            <w:pPr>
              <w:spacing w:line="400" w:lineRule="exact"/>
              <w:jc w:val="center"/>
              <w:rPr>
                <w:rFonts w:ascii="仿宋" w:hAnsi="仿宋" w:eastAsia="仿宋" w:cs="仿宋"/>
                <w:szCs w:val="21"/>
              </w:rPr>
            </w:pPr>
            <w:r>
              <w:rPr>
                <w:rFonts w:hint="eastAsia" w:ascii="仿宋" w:hAnsi="仿宋" w:eastAsia="仿宋" w:cs="仿宋"/>
                <w:szCs w:val="21"/>
              </w:rPr>
              <w:t>3.2.1</w:t>
            </w:r>
          </w:p>
        </w:tc>
        <w:tc>
          <w:tcPr>
            <w:tcW w:w="2486" w:type="dxa"/>
            <w:tcBorders>
              <w:top w:val="single" w:color="auto" w:sz="4" w:space="0"/>
              <w:left w:val="single" w:color="auto" w:sz="4" w:space="0"/>
              <w:bottom w:val="single" w:color="auto" w:sz="4" w:space="0"/>
              <w:right w:val="single" w:color="auto" w:sz="4" w:space="0"/>
            </w:tcBorders>
            <w:vAlign w:val="center"/>
          </w:tcPr>
          <w:p w14:paraId="75D3E781">
            <w:pPr>
              <w:spacing w:line="400" w:lineRule="exact"/>
              <w:jc w:val="center"/>
              <w:rPr>
                <w:rFonts w:ascii="仿宋" w:hAnsi="仿宋" w:eastAsia="仿宋" w:cs="仿宋"/>
                <w:szCs w:val="21"/>
              </w:rPr>
            </w:pPr>
            <w:r>
              <w:rPr>
                <w:rFonts w:hint="eastAsia" w:ascii="仿宋" w:hAnsi="仿宋" w:eastAsia="仿宋" w:cs="仿宋"/>
                <w:szCs w:val="21"/>
              </w:rPr>
              <w:t>增值税税金的计算方法</w:t>
            </w:r>
          </w:p>
        </w:tc>
        <w:tc>
          <w:tcPr>
            <w:tcW w:w="5830" w:type="dxa"/>
            <w:tcBorders>
              <w:top w:val="single" w:color="auto" w:sz="4" w:space="0"/>
              <w:left w:val="single" w:color="auto" w:sz="4" w:space="0"/>
              <w:bottom w:val="single" w:color="auto" w:sz="4" w:space="0"/>
              <w:right w:val="single" w:color="auto" w:sz="4" w:space="0"/>
            </w:tcBorders>
            <w:vAlign w:val="center"/>
          </w:tcPr>
          <w:p w14:paraId="2CD861D4">
            <w:pPr>
              <w:spacing w:line="400" w:lineRule="exact"/>
              <w:rPr>
                <w:rFonts w:hint="eastAsia" w:ascii="仿宋" w:hAnsi="仿宋" w:eastAsia="仿宋" w:cs="仿宋"/>
                <w:szCs w:val="21"/>
                <w:lang w:eastAsia="zh-CN"/>
              </w:rPr>
            </w:pPr>
            <w:r>
              <w:rPr>
                <w:rFonts w:hint="eastAsia" w:ascii="仿宋" w:hAnsi="仿宋" w:eastAsia="仿宋" w:cs="仿宋"/>
                <w:szCs w:val="21"/>
                <w:lang w:eastAsia="zh-CN"/>
              </w:rPr>
              <w:t>按国家行业规定计取</w:t>
            </w:r>
          </w:p>
        </w:tc>
      </w:tr>
      <w:tr w14:paraId="784861C1">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34A2B448">
            <w:pPr>
              <w:spacing w:line="400" w:lineRule="exact"/>
              <w:jc w:val="center"/>
              <w:rPr>
                <w:rFonts w:ascii="仿宋" w:hAnsi="仿宋" w:eastAsia="仿宋" w:cs="仿宋"/>
                <w:szCs w:val="21"/>
              </w:rPr>
            </w:pPr>
            <w:r>
              <w:rPr>
                <w:rFonts w:hint="eastAsia" w:ascii="仿宋" w:hAnsi="仿宋" w:eastAsia="仿宋" w:cs="仿宋"/>
                <w:szCs w:val="21"/>
              </w:rPr>
              <w:t>3.2.4</w:t>
            </w:r>
          </w:p>
        </w:tc>
        <w:tc>
          <w:tcPr>
            <w:tcW w:w="2486" w:type="dxa"/>
            <w:tcBorders>
              <w:top w:val="single" w:color="auto" w:sz="4" w:space="0"/>
              <w:left w:val="single" w:color="auto" w:sz="4" w:space="0"/>
              <w:bottom w:val="single" w:color="auto" w:sz="4" w:space="0"/>
              <w:right w:val="single" w:color="auto" w:sz="4" w:space="0"/>
            </w:tcBorders>
            <w:vAlign w:val="center"/>
          </w:tcPr>
          <w:p w14:paraId="3B2C627B">
            <w:pPr>
              <w:spacing w:line="400" w:lineRule="exact"/>
              <w:jc w:val="center"/>
              <w:rPr>
                <w:rFonts w:hint="eastAsia" w:ascii="仿宋" w:hAnsi="仿宋" w:eastAsia="仿宋" w:cs="仿宋"/>
                <w:szCs w:val="21"/>
                <w:lang w:eastAsia="zh-CN"/>
              </w:rPr>
            </w:pPr>
            <w:r>
              <w:rPr>
                <w:rFonts w:hint="eastAsia" w:ascii="仿宋" w:hAnsi="仿宋" w:eastAsia="仿宋" w:cs="仿宋"/>
                <w:szCs w:val="21"/>
                <w:lang w:eastAsia="zh-CN"/>
              </w:rPr>
              <w:t>招标控制价</w:t>
            </w:r>
          </w:p>
        </w:tc>
        <w:tc>
          <w:tcPr>
            <w:tcW w:w="5830" w:type="dxa"/>
            <w:tcBorders>
              <w:top w:val="single" w:color="auto" w:sz="4" w:space="0"/>
              <w:left w:val="single" w:color="auto" w:sz="4" w:space="0"/>
              <w:bottom w:val="single" w:color="auto" w:sz="4" w:space="0"/>
              <w:right w:val="single" w:color="auto" w:sz="4" w:space="0"/>
            </w:tcBorders>
            <w:vAlign w:val="center"/>
          </w:tcPr>
          <w:p w14:paraId="0B628064">
            <w:pPr>
              <w:spacing w:line="400" w:lineRule="exact"/>
              <w:rPr>
                <w:rFonts w:hint="eastAsia" w:ascii="仿宋" w:hAnsi="仿宋" w:eastAsia="仿宋" w:cs="仿宋"/>
                <w:b/>
                <w:bCs/>
                <w:szCs w:val="21"/>
              </w:rPr>
            </w:pPr>
            <w:r>
              <w:rPr>
                <w:rFonts w:hint="eastAsia" w:ascii="仿宋" w:hAnsi="仿宋" w:eastAsia="仿宋" w:cs="仿宋"/>
                <w:b/>
                <w:bCs/>
                <w:szCs w:val="21"/>
                <w:lang w:val="en-US" w:eastAsia="zh-CN"/>
              </w:rPr>
              <w:t>9512276.00</w:t>
            </w:r>
            <w:r>
              <w:rPr>
                <w:rFonts w:hint="eastAsia" w:ascii="仿宋" w:hAnsi="仿宋" w:eastAsia="仿宋" w:cs="仿宋"/>
                <w:b/>
                <w:bCs/>
                <w:szCs w:val="21"/>
              </w:rPr>
              <w:t>元</w:t>
            </w:r>
          </w:p>
          <w:p w14:paraId="2297DBF9">
            <w:pPr>
              <w:spacing w:line="400" w:lineRule="exact"/>
              <w:rPr>
                <w:rFonts w:ascii="仿宋" w:hAnsi="仿宋" w:eastAsia="仿宋" w:cs="仿宋"/>
                <w:szCs w:val="21"/>
              </w:rPr>
            </w:pPr>
            <w:r>
              <w:rPr>
                <w:rFonts w:hint="eastAsia" w:ascii="仿宋" w:hAnsi="仿宋" w:eastAsia="仿宋" w:cs="仿宋"/>
                <w:b/>
                <w:bCs/>
                <w:szCs w:val="21"/>
              </w:rPr>
              <w:t>注：最高投标限价为招标人设定的最高限价，投标人的投标报价高于（不含等于）最高投标限价的，按无效投标处理。</w:t>
            </w:r>
          </w:p>
        </w:tc>
      </w:tr>
      <w:tr w14:paraId="171F93B1">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644A1177">
            <w:pPr>
              <w:spacing w:line="400" w:lineRule="exact"/>
              <w:jc w:val="center"/>
              <w:rPr>
                <w:rFonts w:ascii="仿宋" w:hAnsi="仿宋" w:eastAsia="仿宋" w:cs="仿宋"/>
                <w:szCs w:val="21"/>
              </w:rPr>
            </w:pPr>
            <w:r>
              <w:rPr>
                <w:rFonts w:hint="eastAsia" w:ascii="仿宋" w:hAnsi="仿宋" w:eastAsia="仿宋" w:cs="仿宋"/>
                <w:szCs w:val="21"/>
              </w:rPr>
              <w:t>3.2.5</w:t>
            </w:r>
          </w:p>
        </w:tc>
        <w:tc>
          <w:tcPr>
            <w:tcW w:w="2486" w:type="dxa"/>
            <w:tcBorders>
              <w:top w:val="single" w:color="auto" w:sz="4" w:space="0"/>
              <w:left w:val="single" w:color="auto" w:sz="4" w:space="0"/>
              <w:bottom w:val="single" w:color="auto" w:sz="4" w:space="0"/>
              <w:right w:val="single" w:color="auto" w:sz="4" w:space="0"/>
            </w:tcBorders>
            <w:vAlign w:val="center"/>
          </w:tcPr>
          <w:p w14:paraId="3E94793B">
            <w:pPr>
              <w:spacing w:line="400" w:lineRule="exact"/>
              <w:jc w:val="center"/>
              <w:rPr>
                <w:rFonts w:ascii="仿宋" w:hAnsi="仿宋" w:eastAsia="仿宋" w:cs="仿宋"/>
                <w:szCs w:val="21"/>
              </w:rPr>
            </w:pPr>
            <w:r>
              <w:rPr>
                <w:rFonts w:hint="eastAsia" w:ascii="仿宋" w:hAnsi="仿宋" w:eastAsia="仿宋" w:cs="仿宋"/>
                <w:szCs w:val="21"/>
              </w:rPr>
              <w:t>投标报价的其他要求</w:t>
            </w:r>
          </w:p>
        </w:tc>
        <w:tc>
          <w:tcPr>
            <w:tcW w:w="5830" w:type="dxa"/>
            <w:tcBorders>
              <w:top w:val="single" w:color="auto" w:sz="4" w:space="0"/>
              <w:left w:val="single" w:color="auto" w:sz="4" w:space="0"/>
              <w:bottom w:val="single" w:color="auto" w:sz="4" w:space="0"/>
              <w:right w:val="single" w:color="auto" w:sz="4" w:space="0"/>
            </w:tcBorders>
            <w:vAlign w:val="center"/>
          </w:tcPr>
          <w:p w14:paraId="7BE6943F">
            <w:pPr>
              <w:spacing w:line="400" w:lineRule="exact"/>
              <w:rPr>
                <w:rFonts w:ascii="仿宋" w:hAnsi="仿宋" w:eastAsia="仿宋" w:cs="仿宋"/>
                <w:szCs w:val="21"/>
              </w:rPr>
            </w:pPr>
            <w:r>
              <w:rPr>
                <w:rFonts w:hint="eastAsia" w:ascii="仿宋" w:hAnsi="仿宋" w:eastAsia="仿宋" w:cs="仿宋"/>
                <w:szCs w:val="21"/>
              </w:rPr>
              <w:t>投标报价是履行合同的最终报价，无特别注明，均为人民币报价。应包括本招标项目所包含的货物、软件、标准附件、备品备件、专用工具、图纸资料、技术服务，包装、仓储、运输、装卸、保险、税金，货到就位以及安装、调试、验收（包含质量监督部门或第三方验收</w:t>
            </w:r>
            <w:r>
              <w:rPr>
                <w:rFonts w:hint="eastAsia" w:ascii="仿宋" w:hAnsi="仿宋" w:eastAsia="仿宋" w:cs="仿宋"/>
                <w:szCs w:val="21"/>
                <w:lang w:val="en-US" w:eastAsia="zh-CN"/>
              </w:rPr>
              <w:t>费</w:t>
            </w:r>
            <w:r>
              <w:rPr>
                <w:rFonts w:hint="eastAsia" w:ascii="仿宋" w:hAnsi="仿宋" w:eastAsia="仿宋" w:cs="仿宋"/>
                <w:szCs w:val="21"/>
              </w:rPr>
              <w:t>）、培训、保修等一切税金和费用。</w:t>
            </w:r>
          </w:p>
        </w:tc>
      </w:tr>
      <w:tr w14:paraId="40E5067F">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24E41495">
            <w:pPr>
              <w:spacing w:line="400" w:lineRule="exact"/>
              <w:jc w:val="center"/>
              <w:rPr>
                <w:rFonts w:ascii="仿宋" w:hAnsi="仿宋" w:eastAsia="仿宋" w:cs="仿宋"/>
                <w:szCs w:val="21"/>
              </w:rPr>
            </w:pPr>
            <w:r>
              <w:rPr>
                <w:rFonts w:hint="eastAsia" w:ascii="仿宋" w:hAnsi="仿宋" w:eastAsia="仿宋" w:cs="仿宋"/>
                <w:szCs w:val="21"/>
              </w:rPr>
              <w:t>3.3.1</w:t>
            </w:r>
          </w:p>
        </w:tc>
        <w:tc>
          <w:tcPr>
            <w:tcW w:w="2486" w:type="dxa"/>
            <w:tcBorders>
              <w:top w:val="single" w:color="auto" w:sz="4" w:space="0"/>
              <w:left w:val="single" w:color="auto" w:sz="4" w:space="0"/>
              <w:bottom w:val="single" w:color="auto" w:sz="4" w:space="0"/>
              <w:right w:val="single" w:color="auto" w:sz="4" w:space="0"/>
            </w:tcBorders>
            <w:vAlign w:val="center"/>
          </w:tcPr>
          <w:p w14:paraId="4A23844D">
            <w:pPr>
              <w:spacing w:line="400" w:lineRule="exact"/>
              <w:jc w:val="center"/>
              <w:rPr>
                <w:rFonts w:ascii="仿宋" w:hAnsi="仿宋" w:eastAsia="仿宋" w:cs="仿宋"/>
                <w:szCs w:val="21"/>
              </w:rPr>
            </w:pPr>
            <w:r>
              <w:rPr>
                <w:rFonts w:hint="eastAsia" w:ascii="仿宋" w:hAnsi="仿宋" w:eastAsia="仿宋" w:cs="仿宋"/>
                <w:szCs w:val="21"/>
              </w:rPr>
              <w:t>投标有效期</w:t>
            </w:r>
          </w:p>
        </w:tc>
        <w:tc>
          <w:tcPr>
            <w:tcW w:w="5830" w:type="dxa"/>
            <w:tcBorders>
              <w:top w:val="single" w:color="auto" w:sz="4" w:space="0"/>
              <w:left w:val="single" w:color="auto" w:sz="4" w:space="0"/>
              <w:bottom w:val="single" w:color="auto" w:sz="4" w:space="0"/>
              <w:right w:val="single" w:color="auto" w:sz="4" w:space="0"/>
            </w:tcBorders>
            <w:vAlign w:val="center"/>
          </w:tcPr>
          <w:p w14:paraId="1ABDD646">
            <w:pPr>
              <w:spacing w:line="400" w:lineRule="exact"/>
              <w:rPr>
                <w:rFonts w:ascii="仿宋" w:hAnsi="仿宋" w:eastAsia="仿宋" w:cs="仿宋"/>
                <w:szCs w:val="21"/>
              </w:rPr>
            </w:pPr>
            <w:bookmarkStart w:id="81" w:name="_Toc300834946"/>
            <w:bookmarkStart w:id="82" w:name="_Toc369531512"/>
            <w:bookmarkStart w:id="83" w:name="_Toc352691470"/>
            <w:bookmarkStart w:id="84" w:name="_Toc1789"/>
            <w:bookmarkStart w:id="85" w:name="_Toc384308207"/>
            <w:bookmarkStart w:id="86" w:name="_Toc361508582"/>
            <w:r>
              <w:rPr>
                <w:rFonts w:hint="eastAsia" w:ascii="仿宋" w:hAnsi="仿宋" w:eastAsia="仿宋" w:cs="仿宋"/>
                <w:szCs w:val="21"/>
              </w:rPr>
              <w:t>投标截止之日起90日历天</w:t>
            </w:r>
          </w:p>
        </w:tc>
      </w:tr>
      <w:tr w14:paraId="16266AC5">
        <w:tblPrEx>
          <w:tblCellMar>
            <w:top w:w="0" w:type="dxa"/>
            <w:left w:w="108" w:type="dxa"/>
            <w:bottom w:w="0" w:type="dxa"/>
            <w:right w:w="108" w:type="dxa"/>
          </w:tblCellMar>
        </w:tblPrEx>
        <w:trPr>
          <w:trHeight w:val="603"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4079E154">
            <w:pPr>
              <w:spacing w:line="400" w:lineRule="exact"/>
              <w:jc w:val="center"/>
              <w:rPr>
                <w:rFonts w:ascii="仿宋" w:hAnsi="仿宋" w:eastAsia="仿宋" w:cs="仿宋"/>
                <w:szCs w:val="21"/>
              </w:rPr>
            </w:pPr>
            <w:r>
              <w:rPr>
                <w:rFonts w:hint="eastAsia" w:ascii="仿宋" w:hAnsi="仿宋" w:eastAsia="仿宋" w:cs="仿宋"/>
                <w:szCs w:val="21"/>
              </w:rPr>
              <w:t>3.4.</w:t>
            </w:r>
            <w:bookmarkEnd w:id="81"/>
            <w:bookmarkEnd w:id="82"/>
            <w:bookmarkEnd w:id="83"/>
            <w:bookmarkEnd w:id="84"/>
            <w:bookmarkEnd w:id="85"/>
            <w:bookmarkEnd w:id="86"/>
            <w:r>
              <w:rPr>
                <w:rFonts w:hint="eastAsia" w:ascii="仿宋" w:hAnsi="仿宋" w:eastAsia="仿宋" w:cs="仿宋"/>
                <w:szCs w:val="21"/>
              </w:rPr>
              <w:t>1</w:t>
            </w:r>
          </w:p>
        </w:tc>
        <w:tc>
          <w:tcPr>
            <w:tcW w:w="2486" w:type="dxa"/>
            <w:tcBorders>
              <w:top w:val="single" w:color="auto" w:sz="4" w:space="0"/>
              <w:left w:val="single" w:color="auto" w:sz="4" w:space="0"/>
              <w:bottom w:val="single" w:color="auto" w:sz="4" w:space="0"/>
              <w:right w:val="single" w:color="auto" w:sz="4" w:space="0"/>
            </w:tcBorders>
            <w:vAlign w:val="center"/>
          </w:tcPr>
          <w:p w14:paraId="793A2F40">
            <w:pPr>
              <w:spacing w:line="400" w:lineRule="exact"/>
              <w:jc w:val="center"/>
              <w:rPr>
                <w:rFonts w:ascii="仿宋" w:hAnsi="仿宋" w:eastAsia="仿宋" w:cs="仿宋"/>
                <w:szCs w:val="21"/>
              </w:rPr>
            </w:pPr>
            <w:r>
              <w:rPr>
                <w:rFonts w:hint="eastAsia" w:ascii="仿宋" w:hAnsi="仿宋" w:eastAsia="仿宋" w:cs="仿宋"/>
                <w:szCs w:val="21"/>
              </w:rPr>
              <w:t>投标保证金</w:t>
            </w:r>
          </w:p>
          <w:p w14:paraId="434245D2">
            <w:pPr>
              <w:spacing w:line="400" w:lineRule="exact"/>
              <w:jc w:val="center"/>
              <w:rPr>
                <w:rFonts w:ascii="仿宋" w:hAnsi="仿宋" w:eastAsia="仿宋" w:cs="仿宋"/>
                <w:szCs w:val="21"/>
              </w:rPr>
            </w:pPr>
            <w:r>
              <w:rPr>
                <w:rFonts w:hint="eastAsia" w:ascii="仿宋" w:hAnsi="仿宋" w:eastAsia="仿宋" w:cs="仿宋"/>
                <w:szCs w:val="21"/>
              </w:rPr>
              <w:t>（投标保证金企业信用承诺函）</w:t>
            </w:r>
          </w:p>
        </w:tc>
        <w:tc>
          <w:tcPr>
            <w:tcW w:w="5830" w:type="dxa"/>
            <w:tcBorders>
              <w:top w:val="single" w:color="auto" w:sz="4" w:space="0"/>
              <w:left w:val="single" w:color="auto" w:sz="4" w:space="0"/>
              <w:bottom w:val="single" w:color="auto" w:sz="4" w:space="0"/>
              <w:right w:val="single" w:color="auto" w:sz="4" w:space="0"/>
            </w:tcBorders>
            <w:vAlign w:val="center"/>
          </w:tcPr>
          <w:p w14:paraId="6DCB3699">
            <w:pPr>
              <w:pStyle w:val="40"/>
              <w:spacing w:line="400" w:lineRule="exact"/>
              <w:rPr>
                <w:rFonts w:ascii="仿宋" w:hAnsi="仿宋" w:eastAsia="仿宋" w:cs="仿宋"/>
                <w:color w:val="auto"/>
                <w:kern w:val="2"/>
                <w:sz w:val="21"/>
                <w:szCs w:val="21"/>
              </w:rPr>
            </w:pPr>
            <w:r>
              <w:rPr>
                <w:rFonts w:hint="eastAsia" w:ascii="仿宋" w:hAnsi="仿宋" w:eastAsia="仿宋" w:cs="仿宋"/>
                <w:color w:val="auto"/>
                <w:kern w:val="2"/>
                <w:sz w:val="21"/>
                <w:szCs w:val="21"/>
              </w:rPr>
              <w:t>本项目免收投标保证金，投标人须提供《投标保证金企业信用承诺函》，格式见投标文件格式。</w:t>
            </w:r>
          </w:p>
          <w:p w14:paraId="037D322E">
            <w:pPr>
              <w:pStyle w:val="40"/>
              <w:spacing w:line="400" w:lineRule="exact"/>
              <w:rPr>
                <w:rFonts w:ascii="仿宋" w:hAnsi="仿宋" w:eastAsia="仿宋" w:cs="仿宋"/>
                <w:color w:val="auto"/>
                <w:sz w:val="21"/>
                <w:szCs w:val="21"/>
              </w:rPr>
            </w:pPr>
            <w:r>
              <w:rPr>
                <w:rFonts w:hint="eastAsia" w:ascii="仿宋" w:hAnsi="仿宋" w:eastAsia="仿宋" w:cs="仿宋"/>
                <w:b/>
                <w:bCs/>
                <w:color w:val="auto"/>
                <w:kern w:val="2"/>
                <w:sz w:val="21"/>
                <w:szCs w:val="21"/>
              </w:rPr>
              <w:t>注：未提供视为未实质性响应招标文件要求，按无效投标处理。</w:t>
            </w:r>
          </w:p>
        </w:tc>
      </w:tr>
      <w:tr w14:paraId="7A8A7770">
        <w:tblPrEx>
          <w:tblCellMar>
            <w:top w:w="0" w:type="dxa"/>
            <w:left w:w="108" w:type="dxa"/>
            <w:bottom w:w="0" w:type="dxa"/>
            <w:right w:w="108" w:type="dxa"/>
          </w:tblCellMar>
        </w:tblPrEx>
        <w:trPr>
          <w:trHeight w:val="906"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51FF604C">
            <w:pPr>
              <w:spacing w:line="400" w:lineRule="exact"/>
              <w:jc w:val="center"/>
              <w:rPr>
                <w:rFonts w:ascii="仿宋" w:hAnsi="仿宋" w:eastAsia="仿宋" w:cs="仿宋"/>
                <w:szCs w:val="21"/>
              </w:rPr>
            </w:pPr>
            <w:r>
              <w:rPr>
                <w:rFonts w:hint="eastAsia" w:ascii="仿宋" w:hAnsi="仿宋" w:eastAsia="仿宋" w:cs="仿宋"/>
                <w:szCs w:val="21"/>
              </w:rPr>
              <w:t>3.5.1</w:t>
            </w:r>
          </w:p>
        </w:tc>
        <w:tc>
          <w:tcPr>
            <w:tcW w:w="2486" w:type="dxa"/>
            <w:tcBorders>
              <w:top w:val="single" w:color="auto" w:sz="4" w:space="0"/>
              <w:left w:val="single" w:color="auto" w:sz="4" w:space="0"/>
              <w:bottom w:val="single" w:color="auto" w:sz="4" w:space="0"/>
              <w:right w:val="single" w:color="auto" w:sz="4" w:space="0"/>
            </w:tcBorders>
            <w:vAlign w:val="center"/>
          </w:tcPr>
          <w:p w14:paraId="3F67F2FA">
            <w:pPr>
              <w:spacing w:line="400" w:lineRule="exact"/>
              <w:jc w:val="center"/>
              <w:rPr>
                <w:rFonts w:hint="eastAsia" w:ascii="仿宋" w:hAnsi="仿宋" w:eastAsia="仿宋" w:cs="仿宋"/>
                <w:szCs w:val="21"/>
              </w:rPr>
            </w:pPr>
            <w:r>
              <w:rPr>
                <w:rFonts w:hint="eastAsia" w:ascii="仿宋" w:hAnsi="仿宋" w:eastAsia="仿宋" w:cs="仿宋"/>
                <w:szCs w:val="21"/>
              </w:rPr>
              <w:t>资格审查资料的</w:t>
            </w:r>
          </w:p>
          <w:p w14:paraId="5EEA45FE">
            <w:pPr>
              <w:spacing w:line="400" w:lineRule="exact"/>
              <w:jc w:val="center"/>
              <w:rPr>
                <w:rFonts w:ascii="仿宋" w:hAnsi="仿宋" w:eastAsia="仿宋" w:cs="仿宋"/>
                <w:szCs w:val="21"/>
              </w:rPr>
            </w:pPr>
            <w:r>
              <w:rPr>
                <w:rFonts w:hint="eastAsia" w:ascii="仿宋" w:hAnsi="仿宋" w:eastAsia="仿宋" w:cs="仿宋"/>
                <w:szCs w:val="21"/>
              </w:rPr>
              <w:t>特殊要求</w:t>
            </w:r>
          </w:p>
        </w:tc>
        <w:tc>
          <w:tcPr>
            <w:tcW w:w="5830" w:type="dxa"/>
            <w:tcBorders>
              <w:top w:val="single" w:color="auto" w:sz="4" w:space="0"/>
              <w:left w:val="single" w:color="auto" w:sz="4" w:space="0"/>
              <w:bottom w:val="single" w:color="auto" w:sz="4" w:space="0"/>
              <w:right w:val="single" w:color="auto" w:sz="4" w:space="0"/>
            </w:tcBorders>
            <w:vAlign w:val="center"/>
          </w:tcPr>
          <w:p w14:paraId="14350B07">
            <w:pPr>
              <w:pStyle w:val="11"/>
              <w:topLinePunct/>
              <w:spacing w:line="400" w:lineRule="exact"/>
              <w:rPr>
                <w:rFonts w:ascii="仿宋" w:hAnsi="仿宋" w:eastAsia="仿宋" w:cs="仿宋"/>
                <w:sz w:val="21"/>
                <w:szCs w:val="21"/>
              </w:rPr>
            </w:pPr>
            <w:r>
              <w:rPr>
                <w:rFonts w:hint="eastAsia" w:ascii="仿宋" w:hAnsi="仿宋" w:eastAsia="仿宋" w:cs="仿宋"/>
                <w:sz w:val="21"/>
                <w:szCs w:val="21"/>
              </w:rPr>
              <w:t>☑无</w:t>
            </w:r>
          </w:p>
        </w:tc>
      </w:tr>
      <w:tr w14:paraId="3C93E7D7">
        <w:tblPrEx>
          <w:tblCellMar>
            <w:top w:w="0" w:type="dxa"/>
            <w:left w:w="108" w:type="dxa"/>
            <w:bottom w:w="0" w:type="dxa"/>
            <w:right w:w="108" w:type="dxa"/>
          </w:tblCellMar>
        </w:tblPrEx>
        <w:trPr>
          <w:trHeight w:val="906"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1FE92CCA">
            <w:pPr>
              <w:spacing w:line="400" w:lineRule="exact"/>
              <w:jc w:val="center"/>
              <w:rPr>
                <w:rFonts w:ascii="仿宋" w:hAnsi="仿宋" w:eastAsia="仿宋" w:cs="仿宋"/>
                <w:szCs w:val="21"/>
              </w:rPr>
            </w:pPr>
            <w:r>
              <w:rPr>
                <w:rFonts w:hint="eastAsia" w:ascii="仿宋" w:hAnsi="仿宋" w:eastAsia="仿宋" w:cs="仿宋"/>
                <w:szCs w:val="21"/>
              </w:rPr>
              <w:t>3.5.2</w:t>
            </w:r>
          </w:p>
        </w:tc>
        <w:tc>
          <w:tcPr>
            <w:tcW w:w="2486" w:type="dxa"/>
            <w:tcBorders>
              <w:top w:val="single" w:color="auto" w:sz="4" w:space="0"/>
              <w:left w:val="single" w:color="auto" w:sz="4" w:space="0"/>
              <w:bottom w:val="single" w:color="auto" w:sz="4" w:space="0"/>
              <w:right w:val="single" w:color="auto" w:sz="4" w:space="0"/>
            </w:tcBorders>
            <w:vAlign w:val="center"/>
          </w:tcPr>
          <w:p w14:paraId="1D59C32F">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rPr>
              <w:t>近年完成的类似项目</w:t>
            </w:r>
          </w:p>
          <w:p w14:paraId="51D9433A">
            <w:pPr>
              <w:spacing w:line="400" w:lineRule="exact"/>
              <w:jc w:val="center"/>
              <w:rPr>
                <w:rFonts w:ascii="仿宋" w:hAnsi="仿宋" w:eastAsia="仿宋" w:cs="仿宋"/>
                <w:szCs w:val="21"/>
                <w:highlight w:val="none"/>
              </w:rPr>
            </w:pPr>
            <w:r>
              <w:rPr>
                <w:rFonts w:hint="eastAsia" w:ascii="仿宋" w:hAnsi="仿宋" w:eastAsia="仿宋" w:cs="仿宋"/>
                <w:szCs w:val="21"/>
                <w:highlight w:val="none"/>
              </w:rPr>
              <w:t>情况的时间要求</w:t>
            </w:r>
          </w:p>
        </w:tc>
        <w:tc>
          <w:tcPr>
            <w:tcW w:w="5830" w:type="dxa"/>
            <w:tcBorders>
              <w:top w:val="single" w:color="auto" w:sz="4" w:space="0"/>
              <w:left w:val="single" w:color="auto" w:sz="4" w:space="0"/>
              <w:bottom w:val="single" w:color="auto" w:sz="4" w:space="0"/>
              <w:right w:val="single" w:color="auto" w:sz="4" w:space="0"/>
            </w:tcBorders>
            <w:vAlign w:val="center"/>
          </w:tcPr>
          <w:p w14:paraId="6B7C406E">
            <w:pPr>
              <w:spacing w:line="400" w:lineRule="exact"/>
              <w:rPr>
                <w:rFonts w:hint="eastAsia" w:ascii="仿宋" w:hAnsi="仿宋" w:eastAsia="仿宋" w:cs="仿宋"/>
                <w:szCs w:val="21"/>
                <w:highlight w:val="yellow"/>
                <w:lang w:eastAsia="zh-CN"/>
              </w:rPr>
            </w:pPr>
            <w:r>
              <w:rPr>
                <w:rFonts w:hint="eastAsia" w:ascii="仿宋" w:hAnsi="仿宋" w:eastAsia="仿宋" w:cs="仿宋"/>
                <w:szCs w:val="21"/>
                <w:highlight w:val="none"/>
                <w:lang w:val="en-US" w:eastAsia="zh-CN"/>
              </w:rPr>
              <w:t>/</w:t>
            </w:r>
          </w:p>
        </w:tc>
      </w:tr>
      <w:tr w14:paraId="61F7E368">
        <w:tblPrEx>
          <w:tblCellMar>
            <w:top w:w="0" w:type="dxa"/>
            <w:left w:w="108" w:type="dxa"/>
            <w:bottom w:w="0" w:type="dxa"/>
            <w:right w:w="108" w:type="dxa"/>
          </w:tblCellMar>
        </w:tblPrEx>
        <w:trPr>
          <w:trHeight w:val="906"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10487089">
            <w:pPr>
              <w:spacing w:line="400" w:lineRule="exact"/>
              <w:jc w:val="center"/>
              <w:rPr>
                <w:rFonts w:ascii="仿宋" w:hAnsi="仿宋" w:eastAsia="仿宋" w:cs="仿宋"/>
                <w:szCs w:val="21"/>
              </w:rPr>
            </w:pPr>
            <w:r>
              <w:rPr>
                <w:rFonts w:hint="eastAsia" w:ascii="仿宋" w:hAnsi="仿宋" w:eastAsia="仿宋" w:cs="仿宋"/>
                <w:szCs w:val="21"/>
              </w:rPr>
              <w:t>3.6.1</w:t>
            </w:r>
          </w:p>
        </w:tc>
        <w:tc>
          <w:tcPr>
            <w:tcW w:w="2486" w:type="dxa"/>
            <w:tcBorders>
              <w:top w:val="single" w:color="auto" w:sz="4" w:space="0"/>
              <w:left w:val="single" w:color="auto" w:sz="4" w:space="0"/>
              <w:bottom w:val="single" w:color="auto" w:sz="4" w:space="0"/>
              <w:right w:val="single" w:color="auto" w:sz="4" w:space="0"/>
            </w:tcBorders>
            <w:vAlign w:val="center"/>
          </w:tcPr>
          <w:p w14:paraId="009EEC99">
            <w:pPr>
              <w:spacing w:line="400" w:lineRule="exact"/>
              <w:jc w:val="center"/>
              <w:rPr>
                <w:rFonts w:ascii="仿宋" w:hAnsi="仿宋" w:eastAsia="仿宋" w:cs="仿宋"/>
                <w:szCs w:val="21"/>
              </w:rPr>
            </w:pPr>
            <w:r>
              <w:rPr>
                <w:rFonts w:hint="eastAsia" w:ascii="仿宋" w:hAnsi="仿宋" w:eastAsia="仿宋" w:cs="仿宋"/>
                <w:szCs w:val="21"/>
              </w:rPr>
              <w:t>是否允许递交备选投标方案</w:t>
            </w:r>
          </w:p>
        </w:tc>
        <w:tc>
          <w:tcPr>
            <w:tcW w:w="5830" w:type="dxa"/>
            <w:tcBorders>
              <w:top w:val="single" w:color="auto" w:sz="4" w:space="0"/>
              <w:left w:val="single" w:color="auto" w:sz="4" w:space="0"/>
              <w:bottom w:val="single" w:color="auto" w:sz="4" w:space="0"/>
              <w:right w:val="single" w:color="auto" w:sz="4" w:space="0"/>
            </w:tcBorders>
            <w:vAlign w:val="center"/>
          </w:tcPr>
          <w:p w14:paraId="3347C8EC">
            <w:pPr>
              <w:pStyle w:val="11"/>
              <w:topLinePunct/>
              <w:spacing w:line="400" w:lineRule="exact"/>
              <w:rPr>
                <w:rFonts w:ascii="仿宋" w:hAnsi="仿宋" w:eastAsia="仿宋" w:cs="仿宋"/>
                <w:sz w:val="21"/>
                <w:szCs w:val="21"/>
              </w:rPr>
            </w:pPr>
            <w:r>
              <w:rPr>
                <w:rFonts w:hint="eastAsia" w:ascii="仿宋" w:hAnsi="仿宋" w:eastAsia="仿宋" w:cs="仿宋"/>
                <w:sz w:val="21"/>
                <w:szCs w:val="21"/>
              </w:rPr>
              <w:t>☑不允许</w:t>
            </w:r>
          </w:p>
        </w:tc>
      </w:tr>
      <w:tr w14:paraId="791855CB">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4FD28894">
            <w:pPr>
              <w:spacing w:line="400" w:lineRule="exact"/>
              <w:jc w:val="center"/>
              <w:rPr>
                <w:rFonts w:ascii="仿宋" w:hAnsi="仿宋" w:eastAsia="仿宋" w:cs="仿宋"/>
                <w:szCs w:val="21"/>
              </w:rPr>
            </w:pPr>
            <w:r>
              <w:rPr>
                <w:rFonts w:hint="eastAsia" w:ascii="仿宋" w:hAnsi="仿宋" w:eastAsia="仿宋" w:cs="仿宋"/>
                <w:szCs w:val="21"/>
              </w:rPr>
              <w:t>3.7.3</w:t>
            </w:r>
          </w:p>
        </w:tc>
        <w:tc>
          <w:tcPr>
            <w:tcW w:w="2486" w:type="dxa"/>
            <w:tcBorders>
              <w:top w:val="single" w:color="auto" w:sz="4" w:space="0"/>
              <w:left w:val="single" w:color="auto" w:sz="4" w:space="0"/>
              <w:bottom w:val="single" w:color="auto" w:sz="4" w:space="0"/>
              <w:right w:val="single" w:color="auto" w:sz="4" w:space="0"/>
            </w:tcBorders>
            <w:vAlign w:val="center"/>
          </w:tcPr>
          <w:p w14:paraId="3136B001">
            <w:pPr>
              <w:spacing w:line="400" w:lineRule="exact"/>
              <w:jc w:val="center"/>
              <w:rPr>
                <w:rFonts w:ascii="仿宋" w:hAnsi="仿宋" w:eastAsia="仿宋" w:cs="仿宋"/>
                <w:szCs w:val="21"/>
              </w:rPr>
            </w:pPr>
            <w:r>
              <w:rPr>
                <w:rFonts w:hint="eastAsia" w:ascii="仿宋" w:hAnsi="仿宋" w:eastAsia="仿宋" w:cs="仿宋"/>
                <w:szCs w:val="21"/>
              </w:rPr>
              <w:t>投标文件签字或盖章要求</w:t>
            </w:r>
          </w:p>
        </w:tc>
        <w:tc>
          <w:tcPr>
            <w:tcW w:w="5830" w:type="dxa"/>
            <w:tcBorders>
              <w:top w:val="single" w:color="auto" w:sz="4" w:space="0"/>
              <w:left w:val="single" w:color="auto" w:sz="4" w:space="0"/>
              <w:bottom w:val="single" w:color="auto" w:sz="4" w:space="0"/>
              <w:right w:val="single" w:color="auto" w:sz="4" w:space="0"/>
            </w:tcBorders>
            <w:vAlign w:val="center"/>
          </w:tcPr>
          <w:p w14:paraId="014511C2">
            <w:pPr>
              <w:spacing w:line="400" w:lineRule="exact"/>
              <w:jc w:val="left"/>
              <w:rPr>
                <w:rFonts w:ascii="仿宋" w:hAnsi="仿宋" w:eastAsia="仿宋" w:cs="仿宋"/>
                <w:szCs w:val="21"/>
              </w:rPr>
            </w:pPr>
            <w:r>
              <w:rPr>
                <w:rFonts w:hint="eastAsia" w:ascii="仿宋" w:hAnsi="仿宋" w:eastAsia="仿宋" w:cs="仿宋"/>
                <w:szCs w:val="21"/>
              </w:rPr>
              <w:t>投标文件中要盖单位章的地方，投标人均应使用CA数字证书加盖投标人的单位电子签章。签字可以是手签后上传的，也可以是电子手写签名或法定代表人的个人电子签章。</w:t>
            </w:r>
          </w:p>
        </w:tc>
      </w:tr>
      <w:tr w14:paraId="33213DFA">
        <w:tblPrEx>
          <w:tblCellMar>
            <w:top w:w="0" w:type="dxa"/>
            <w:left w:w="108" w:type="dxa"/>
            <w:bottom w:w="0" w:type="dxa"/>
            <w:right w:w="108" w:type="dxa"/>
          </w:tblCellMar>
        </w:tblPrEx>
        <w:trPr>
          <w:trHeight w:val="90"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5112F813">
            <w:pPr>
              <w:pStyle w:val="55"/>
              <w:jc w:val="center"/>
              <w:rPr>
                <w:rFonts w:hint="eastAsia" w:ascii="仿宋" w:hAnsi="仿宋" w:eastAsia="仿宋" w:cs="仿宋"/>
                <w:color w:val="FF0000"/>
                <w:szCs w:val="21"/>
              </w:rPr>
            </w:pPr>
            <w:r>
              <w:rPr>
                <w:rFonts w:hint="eastAsia" w:ascii="仿宋" w:hAnsi="仿宋" w:eastAsia="仿宋" w:cs="仿宋"/>
                <w:color w:val="auto"/>
                <w:sz w:val="21"/>
                <w:szCs w:val="21"/>
                <w:highlight w:val="none"/>
                <w:lang w:val="en-US" w:eastAsia="zh-CN"/>
              </w:rPr>
              <w:t>3.7.7</w:t>
            </w:r>
          </w:p>
        </w:tc>
        <w:tc>
          <w:tcPr>
            <w:tcW w:w="2486" w:type="dxa"/>
            <w:tcBorders>
              <w:top w:val="single" w:color="auto" w:sz="4" w:space="0"/>
              <w:left w:val="single" w:color="auto" w:sz="4" w:space="0"/>
              <w:bottom w:val="single" w:color="auto" w:sz="4" w:space="0"/>
              <w:right w:val="single" w:color="auto" w:sz="4" w:space="0"/>
            </w:tcBorders>
            <w:vAlign w:val="center"/>
          </w:tcPr>
          <w:p w14:paraId="7B205E65">
            <w:pPr>
              <w:pStyle w:val="100"/>
              <w:spacing w:line="50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技术标暗标格式</w:t>
            </w:r>
          </w:p>
        </w:tc>
        <w:tc>
          <w:tcPr>
            <w:tcW w:w="5830" w:type="dxa"/>
            <w:tcBorders>
              <w:top w:val="single" w:color="auto" w:sz="4" w:space="0"/>
              <w:left w:val="single" w:color="auto" w:sz="4" w:space="0"/>
              <w:bottom w:val="single" w:color="auto" w:sz="4" w:space="0"/>
              <w:right w:val="single" w:color="auto" w:sz="4" w:space="0"/>
            </w:tcBorders>
            <w:vAlign w:val="center"/>
          </w:tcPr>
          <w:p w14:paraId="5803CE20">
            <w:pPr>
              <w:adjustRightInd w:val="0"/>
              <w:spacing w:line="360" w:lineRule="auto"/>
              <w:textAlignment w:val="baseline"/>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本项目</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技术标</w:t>
            </w:r>
            <w:r>
              <w:rPr>
                <w:rFonts w:hint="eastAsia" w:ascii="仿宋" w:hAnsi="仿宋" w:eastAsia="仿宋" w:cs="仿宋"/>
                <w:b/>
                <w:bCs/>
                <w:color w:val="000000" w:themeColor="text1"/>
                <w:sz w:val="21"/>
                <w:szCs w:val="21"/>
                <w:highlight w:val="none"/>
                <w14:textFill>
                  <w14:solidFill>
                    <w14:schemeClr w14:val="tx1"/>
                  </w14:solidFill>
                </w14:textFill>
              </w:rPr>
              <w:t>（项目实施方案）采用“暗标”评审，投标人编制的</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技术标</w:t>
            </w:r>
            <w:r>
              <w:rPr>
                <w:rFonts w:hint="eastAsia" w:ascii="仿宋" w:hAnsi="仿宋" w:eastAsia="仿宋" w:cs="仿宋"/>
                <w:b/>
                <w:bCs/>
                <w:color w:val="000000" w:themeColor="text1"/>
                <w:sz w:val="21"/>
                <w:szCs w:val="21"/>
                <w:highlight w:val="none"/>
                <w14:textFill>
                  <w14:solidFill>
                    <w14:schemeClr w14:val="tx1"/>
                  </w14:solidFill>
                </w14:textFill>
              </w:rPr>
              <w:t>（项目实施方案）应满足以下要求：</w:t>
            </w:r>
          </w:p>
          <w:p w14:paraId="2DD143AD">
            <w:pPr>
              <w:adjustRightInd w:val="0"/>
              <w:spacing w:line="360" w:lineRule="auto"/>
              <w:textAlignment w:val="baseline"/>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（1）签章要求：不得对暗标部分进行电子签章。</w:t>
            </w:r>
          </w:p>
          <w:p w14:paraId="693CE0C5">
            <w:pPr>
              <w:adjustRightInd w:val="0"/>
              <w:spacing w:line="360" w:lineRule="auto"/>
              <w:textAlignment w:val="baseline"/>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（2）排版要求：全文采用A4大小，不允许插入空白页，页边距均为2.5厘米，不得出现页眉、页脚、页码，全文均为白底黑字，字体为宋体四号字，不允许倾斜和下划线，行间距采用固定值28磅，段前段后间距为0。</w:t>
            </w:r>
          </w:p>
          <w:p w14:paraId="30AAB665">
            <w:pPr>
              <w:adjustRightInd w:val="0"/>
              <w:spacing w:line="360" w:lineRule="auto"/>
              <w:textAlignment w:val="baseline"/>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（3）标题编号要求：标题序号最多设置7级，每一个暗标部分的标题都要重新开始编号，编号格式为：</w:t>
            </w:r>
          </w:p>
          <w:p w14:paraId="2F4C0F9E">
            <w:pPr>
              <w:adjustRightInd w:val="0"/>
              <w:spacing w:line="360" w:lineRule="auto"/>
              <w:textAlignment w:val="baseline"/>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一级为“一、”、“二、”......，</w:t>
            </w:r>
          </w:p>
          <w:p w14:paraId="23004D2F">
            <w:pPr>
              <w:adjustRightInd w:val="0"/>
              <w:spacing w:line="360" w:lineRule="auto"/>
              <w:textAlignment w:val="baseline"/>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二级为“（一）”、“（二）”......，</w:t>
            </w:r>
          </w:p>
          <w:p w14:paraId="13DB1ABD">
            <w:pPr>
              <w:adjustRightInd w:val="0"/>
              <w:spacing w:line="360" w:lineRule="auto"/>
              <w:textAlignment w:val="baseline"/>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三级为“1.”、“2.”......，</w:t>
            </w:r>
          </w:p>
          <w:p w14:paraId="58C60284">
            <w:pPr>
              <w:adjustRightInd w:val="0"/>
              <w:spacing w:line="360" w:lineRule="auto"/>
              <w:textAlignment w:val="baseline"/>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四级为“（1）”、“（2）”......，</w:t>
            </w:r>
          </w:p>
          <w:p w14:paraId="11E4AF17">
            <w:pPr>
              <w:adjustRightInd w:val="0"/>
              <w:spacing w:line="360" w:lineRule="auto"/>
              <w:textAlignment w:val="baseline"/>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五级为“1）”、“2）”......，</w:t>
            </w:r>
          </w:p>
          <w:p w14:paraId="150A2FD2">
            <w:pPr>
              <w:adjustRightInd w:val="0"/>
              <w:spacing w:line="360" w:lineRule="auto"/>
              <w:textAlignment w:val="baseline"/>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六级为“a.”、“b.”......，</w:t>
            </w:r>
          </w:p>
          <w:p w14:paraId="501D2E13">
            <w:pPr>
              <w:adjustRightInd w:val="0"/>
              <w:spacing w:line="360" w:lineRule="auto"/>
              <w:textAlignment w:val="baseline"/>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七级为“a）”、“b）”......。</w:t>
            </w:r>
          </w:p>
          <w:p w14:paraId="21C176FB">
            <w:pPr>
              <w:adjustRightInd w:val="0"/>
              <w:spacing w:line="360" w:lineRule="auto"/>
              <w:textAlignment w:val="baseline"/>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（4）图表要求：电脑绘制（不得手绘），白底黑字。宋体四号字，字体不允许倾斜和下划线；</w:t>
            </w:r>
          </w:p>
          <w:p w14:paraId="037505E4">
            <w:pPr>
              <w:adjustRightInd w:val="0"/>
              <w:spacing w:line="360" w:lineRule="auto"/>
              <w:textAlignment w:val="baseline"/>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（5）内容中不得出现投标人名称和其他可识别投标人身份的字符、徽标、人员名称以及其他特殊标记等。</w:t>
            </w:r>
          </w:p>
          <w:p w14:paraId="35549367">
            <w:pPr>
              <w:adjustRightInd w:val="0"/>
              <w:spacing w:line="360" w:lineRule="auto"/>
              <w:textAlignment w:val="baseline"/>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（6）不得插入图片（招标文件要求有图片除外）。</w:t>
            </w:r>
          </w:p>
          <w:p w14:paraId="615F8F1B">
            <w:pPr>
              <w:adjustRightInd w:val="0"/>
              <w:spacing w:line="360" w:lineRule="auto"/>
              <w:textAlignment w:val="baseline"/>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（7）黑字必须为标准黑色字体，颜色为RGB（0,0,0）。</w:t>
            </w:r>
          </w:p>
          <w:p w14:paraId="1CF1A249">
            <w:pPr>
              <w:adjustRightInd w:val="0"/>
              <w:spacing w:line="360" w:lineRule="auto"/>
              <w:textAlignment w:val="baseline"/>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（8）每个暗标评审点的文档都要重新开始标题编号。</w:t>
            </w:r>
          </w:p>
          <w:p w14:paraId="09238887">
            <w:pPr>
              <w:adjustRightInd w:val="0"/>
              <w:spacing w:line="360" w:lineRule="auto"/>
              <w:textAlignment w:val="baseline"/>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9）不允许出现能透露投标人信息的内容。不能出现涉及投标供应商信息、投标产品信息、产品厂家信息及其他能够识别到投标供应商的任何信息(暗标部分信息处理：单位名称必须隐去，一律采用本公司、我公司来表示；暗标中如有相关证明材料、企业制度等，必须遮盖投标单位的名称、标志及相关可识别信息)。</w:t>
            </w:r>
          </w:p>
          <w:p w14:paraId="6B49682A">
            <w:pPr>
              <w:adjustRightInd w:val="0"/>
              <w:spacing w:line="360" w:lineRule="auto"/>
              <w:textAlignment w:val="baseline"/>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注：投标文件中暗标部分不符合要求的，暗标部分整体得零分。</w:t>
            </w:r>
          </w:p>
        </w:tc>
      </w:tr>
      <w:tr w14:paraId="15B9D1BD">
        <w:tblPrEx>
          <w:tblCellMar>
            <w:top w:w="0" w:type="dxa"/>
            <w:left w:w="108" w:type="dxa"/>
            <w:bottom w:w="0" w:type="dxa"/>
            <w:right w:w="108" w:type="dxa"/>
          </w:tblCellMar>
        </w:tblPrEx>
        <w:trPr>
          <w:trHeight w:val="375"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3CADE121">
            <w:pPr>
              <w:spacing w:line="400" w:lineRule="exact"/>
              <w:jc w:val="center"/>
              <w:rPr>
                <w:rFonts w:ascii="仿宋" w:hAnsi="仿宋" w:eastAsia="仿宋" w:cs="仿宋"/>
                <w:szCs w:val="21"/>
              </w:rPr>
            </w:pPr>
            <w:r>
              <w:rPr>
                <w:rFonts w:hint="eastAsia" w:ascii="仿宋" w:hAnsi="仿宋" w:eastAsia="仿宋" w:cs="仿宋"/>
                <w:szCs w:val="21"/>
              </w:rPr>
              <w:t>4.2.1</w:t>
            </w:r>
          </w:p>
        </w:tc>
        <w:tc>
          <w:tcPr>
            <w:tcW w:w="2486" w:type="dxa"/>
            <w:tcBorders>
              <w:top w:val="single" w:color="auto" w:sz="4" w:space="0"/>
              <w:left w:val="single" w:color="auto" w:sz="4" w:space="0"/>
              <w:bottom w:val="single" w:color="auto" w:sz="4" w:space="0"/>
              <w:right w:val="single" w:color="auto" w:sz="4" w:space="0"/>
            </w:tcBorders>
            <w:vAlign w:val="center"/>
          </w:tcPr>
          <w:p w14:paraId="774DD863">
            <w:pPr>
              <w:spacing w:line="400" w:lineRule="exact"/>
              <w:jc w:val="center"/>
              <w:rPr>
                <w:rFonts w:ascii="仿宋" w:hAnsi="仿宋" w:eastAsia="仿宋" w:cs="仿宋"/>
                <w:szCs w:val="21"/>
              </w:rPr>
            </w:pPr>
            <w:r>
              <w:rPr>
                <w:rFonts w:hint="eastAsia" w:ascii="仿宋" w:hAnsi="仿宋" w:eastAsia="仿宋" w:cs="仿宋"/>
                <w:szCs w:val="21"/>
              </w:rPr>
              <w:t>投标截止时间</w:t>
            </w:r>
          </w:p>
        </w:tc>
        <w:tc>
          <w:tcPr>
            <w:tcW w:w="5830" w:type="dxa"/>
            <w:tcBorders>
              <w:top w:val="single" w:color="auto" w:sz="4" w:space="0"/>
              <w:left w:val="single" w:color="auto" w:sz="4" w:space="0"/>
              <w:bottom w:val="single" w:color="auto" w:sz="4" w:space="0"/>
              <w:right w:val="single" w:color="auto" w:sz="4" w:space="0"/>
            </w:tcBorders>
            <w:vAlign w:val="center"/>
          </w:tcPr>
          <w:p w14:paraId="315C8CB8">
            <w:pPr>
              <w:spacing w:line="400" w:lineRule="exact"/>
              <w:rPr>
                <w:rFonts w:ascii="仿宋" w:hAnsi="仿宋" w:eastAsia="仿宋" w:cs="仿宋"/>
                <w:szCs w:val="21"/>
              </w:rPr>
            </w:pPr>
            <w:r>
              <w:rPr>
                <w:rFonts w:hint="eastAsia" w:ascii="仿宋" w:hAnsi="仿宋" w:eastAsia="仿宋" w:cs="仿宋"/>
                <w:szCs w:val="21"/>
              </w:rPr>
              <w:t>详见招标公告</w:t>
            </w:r>
          </w:p>
        </w:tc>
      </w:tr>
      <w:tr w14:paraId="33F458D3">
        <w:tblPrEx>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vAlign w:val="center"/>
          </w:tcPr>
          <w:p w14:paraId="343B5EC4">
            <w:pPr>
              <w:spacing w:line="400" w:lineRule="exact"/>
              <w:jc w:val="center"/>
              <w:rPr>
                <w:rFonts w:ascii="仿宋" w:hAnsi="仿宋" w:eastAsia="仿宋" w:cs="仿宋"/>
                <w:szCs w:val="21"/>
              </w:rPr>
            </w:pPr>
            <w:r>
              <w:rPr>
                <w:rFonts w:hint="eastAsia" w:ascii="仿宋" w:hAnsi="仿宋" w:eastAsia="仿宋" w:cs="仿宋"/>
                <w:szCs w:val="21"/>
              </w:rPr>
              <w:t>4.2.2</w:t>
            </w:r>
          </w:p>
        </w:tc>
        <w:tc>
          <w:tcPr>
            <w:tcW w:w="2486" w:type="dxa"/>
            <w:tcBorders>
              <w:top w:val="single" w:color="auto" w:sz="4" w:space="0"/>
              <w:left w:val="single" w:color="auto" w:sz="4" w:space="0"/>
              <w:bottom w:val="single" w:color="auto" w:sz="4" w:space="0"/>
              <w:right w:val="single" w:color="auto" w:sz="4" w:space="0"/>
            </w:tcBorders>
            <w:vAlign w:val="center"/>
          </w:tcPr>
          <w:p w14:paraId="190B5A34">
            <w:pPr>
              <w:spacing w:line="400" w:lineRule="exact"/>
              <w:jc w:val="center"/>
              <w:rPr>
                <w:rFonts w:ascii="仿宋" w:hAnsi="仿宋" w:eastAsia="仿宋" w:cs="仿宋"/>
                <w:szCs w:val="21"/>
              </w:rPr>
            </w:pPr>
            <w:r>
              <w:rPr>
                <w:rFonts w:hint="eastAsia" w:ascii="仿宋" w:hAnsi="仿宋" w:eastAsia="仿宋" w:cs="仿宋"/>
                <w:szCs w:val="21"/>
              </w:rPr>
              <w:t>递交投标文件地点</w:t>
            </w:r>
          </w:p>
        </w:tc>
        <w:tc>
          <w:tcPr>
            <w:tcW w:w="5830" w:type="dxa"/>
            <w:tcBorders>
              <w:top w:val="single" w:color="auto" w:sz="4" w:space="0"/>
              <w:left w:val="single" w:color="auto" w:sz="4" w:space="0"/>
              <w:bottom w:val="single" w:color="auto" w:sz="4" w:space="0"/>
              <w:right w:val="single" w:color="auto" w:sz="4" w:space="0"/>
            </w:tcBorders>
            <w:vAlign w:val="center"/>
          </w:tcPr>
          <w:p w14:paraId="27B152B5">
            <w:pPr>
              <w:spacing w:line="400" w:lineRule="exact"/>
              <w:rPr>
                <w:rFonts w:ascii="仿宋" w:hAnsi="仿宋" w:eastAsia="仿宋" w:cs="仿宋"/>
                <w:szCs w:val="21"/>
              </w:rPr>
            </w:pPr>
            <w:r>
              <w:rPr>
                <w:rFonts w:hint="eastAsia" w:ascii="仿宋" w:hAnsi="仿宋" w:eastAsia="仿宋" w:cs="仿宋"/>
                <w:szCs w:val="21"/>
              </w:rPr>
              <w:t>时间：同投标截止时间</w:t>
            </w:r>
          </w:p>
          <w:p w14:paraId="5D6ECB48">
            <w:pPr>
              <w:spacing w:line="400" w:lineRule="exact"/>
              <w:rPr>
                <w:rFonts w:ascii="仿宋" w:hAnsi="仿宋" w:eastAsia="仿宋" w:cs="仿宋"/>
                <w:szCs w:val="21"/>
              </w:rPr>
            </w:pPr>
            <w:r>
              <w:rPr>
                <w:rFonts w:hint="eastAsia" w:ascii="仿宋" w:hAnsi="仿宋" w:eastAsia="仿宋" w:cs="仿宋"/>
                <w:szCs w:val="21"/>
              </w:rPr>
              <w:t>电子投标文件（加密版）递交地点：在投标截止时间前通过全国公共资源交易平台（河南省·洛阳市）系统中在线完成上传加密的电子投标文件。</w:t>
            </w:r>
          </w:p>
          <w:p w14:paraId="00A925A5">
            <w:pPr>
              <w:spacing w:line="400" w:lineRule="exact"/>
              <w:rPr>
                <w:rFonts w:ascii="仿宋" w:hAnsi="仿宋" w:eastAsia="仿宋" w:cs="仿宋"/>
                <w:szCs w:val="21"/>
              </w:rPr>
            </w:pPr>
            <w:r>
              <w:rPr>
                <w:rFonts w:hint="eastAsia" w:ascii="仿宋" w:hAnsi="仿宋" w:eastAsia="仿宋" w:cs="仿宋"/>
                <w:b/>
                <w:bCs/>
                <w:szCs w:val="21"/>
              </w:rPr>
              <w:t>（提醒：投标人应考虑投标数据传输耗时以及意外情况的影响，适当提前上传。因投标人自身原因而导致投标文件无法导入洛阳市电子招投标交易平台电子开标、评标系统，该投标视为无效投标，投标人自行承担由此导致的全部责任。</w:t>
            </w:r>
          </w:p>
        </w:tc>
      </w:tr>
      <w:tr w14:paraId="4CA5A37F">
        <w:tblPrEx>
          <w:tblCellMar>
            <w:top w:w="0" w:type="dxa"/>
            <w:left w:w="108" w:type="dxa"/>
            <w:bottom w:w="0" w:type="dxa"/>
            <w:right w:w="108" w:type="dxa"/>
          </w:tblCellMar>
        </w:tblPrEx>
        <w:trPr>
          <w:trHeight w:val="880" w:hRule="atLeast"/>
          <w:jc w:val="center"/>
        </w:trPr>
        <w:tc>
          <w:tcPr>
            <w:tcW w:w="1006" w:type="dxa"/>
            <w:tcBorders>
              <w:top w:val="single" w:color="auto" w:sz="4" w:space="0"/>
              <w:left w:val="single" w:color="auto" w:sz="4" w:space="0"/>
              <w:bottom w:val="nil"/>
              <w:right w:val="single" w:color="auto" w:sz="4" w:space="0"/>
            </w:tcBorders>
            <w:vAlign w:val="center"/>
          </w:tcPr>
          <w:p w14:paraId="271D2C31">
            <w:pPr>
              <w:spacing w:line="400" w:lineRule="exact"/>
              <w:jc w:val="center"/>
              <w:rPr>
                <w:rFonts w:ascii="仿宋" w:hAnsi="仿宋" w:eastAsia="仿宋" w:cs="仿宋"/>
                <w:szCs w:val="21"/>
              </w:rPr>
            </w:pPr>
            <w:r>
              <w:rPr>
                <w:rFonts w:hint="eastAsia" w:ascii="仿宋" w:hAnsi="仿宋" w:eastAsia="仿宋" w:cs="仿宋"/>
                <w:szCs w:val="21"/>
              </w:rPr>
              <w:t>5.1</w:t>
            </w:r>
          </w:p>
        </w:tc>
        <w:tc>
          <w:tcPr>
            <w:tcW w:w="2486" w:type="dxa"/>
            <w:tcBorders>
              <w:top w:val="single" w:color="auto" w:sz="4" w:space="0"/>
              <w:left w:val="single" w:color="auto" w:sz="4" w:space="0"/>
              <w:bottom w:val="nil"/>
              <w:right w:val="single" w:color="auto" w:sz="4" w:space="0"/>
            </w:tcBorders>
            <w:vAlign w:val="center"/>
          </w:tcPr>
          <w:p w14:paraId="2008A00D">
            <w:pPr>
              <w:spacing w:line="400" w:lineRule="exact"/>
              <w:jc w:val="center"/>
              <w:rPr>
                <w:rFonts w:ascii="仿宋" w:hAnsi="仿宋" w:eastAsia="仿宋" w:cs="仿宋"/>
                <w:szCs w:val="21"/>
                <w:highlight w:val="none"/>
              </w:rPr>
            </w:pPr>
            <w:r>
              <w:rPr>
                <w:rFonts w:hint="eastAsia" w:ascii="仿宋" w:hAnsi="仿宋" w:eastAsia="仿宋" w:cs="仿宋"/>
                <w:szCs w:val="21"/>
                <w:highlight w:val="none"/>
              </w:rPr>
              <w:t>开标时间和地点</w:t>
            </w:r>
          </w:p>
        </w:tc>
        <w:tc>
          <w:tcPr>
            <w:tcW w:w="5830" w:type="dxa"/>
            <w:tcBorders>
              <w:top w:val="single" w:color="auto" w:sz="4" w:space="0"/>
              <w:left w:val="single" w:color="auto" w:sz="4" w:space="0"/>
              <w:bottom w:val="nil"/>
              <w:right w:val="single" w:color="auto" w:sz="4" w:space="0"/>
            </w:tcBorders>
            <w:vAlign w:val="center"/>
          </w:tcPr>
          <w:p w14:paraId="5CACAEEB">
            <w:pPr>
              <w:spacing w:line="400" w:lineRule="exact"/>
              <w:rPr>
                <w:rFonts w:ascii="仿宋" w:hAnsi="仿宋" w:eastAsia="仿宋" w:cs="仿宋"/>
                <w:szCs w:val="21"/>
                <w:highlight w:val="none"/>
              </w:rPr>
            </w:pPr>
            <w:r>
              <w:rPr>
                <w:rFonts w:hint="eastAsia" w:ascii="仿宋" w:hAnsi="仿宋" w:eastAsia="仿宋" w:cs="仿宋"/>
                <w:szCs w:val="21"/>
                <w:highlight w:val="none"/>
              </w:rPr>
              <w:t>开标时间：同投标截止时间</w:t>
            </w:r>
          </w:p>
          <w:p w14:paraId="13D0C7D8">
            <w:pPr>
              <w:spacing w:line="400" w:lineRule="exact"/>
              <w:rPr>
                <w:rFonts w:hint="default" w:ascii="仿宋" w:hAnsi="仿宋" w:eastAsia="仿宋" w:cs="仿宋"/>
                <w:szCs w:val="21"/>
                <w:highlight w:val="none"/>
                <w:lang w:val="en-US" w:eastAsia="zh-CN"/>
              </w:rPr>
            </w:pPr>
            <w:r>
              <w:rPr>
                <w:rFonts w:hint="eastAsia" w:ascii="仿宋" w:hAnsi="仿宋" w:eastAsia="仿宋" w:cs="仿宋"/>
                <w:szCs w:val="21"/>
                <w:highlight w:val="none"/>
              </w:rPr>
              <w:t>开标地点：</w:t>
            </w:r>
            <w:r>
              <w:rPr>
                <w:rFonts w:hint="eastAsia" w:ascii="仿宋" w:hAnsi="仿宋" w:eastAsia="仿宋" w:cs="仿宋"/>
                <w:szCs w:val="21"/>
                <w:highlight w:val="none"/>
                <w:lang w:val="en-US" w:eastAsia="zh-CN"/>
              </w:rPr>
              <w:t>详见招标公告</w:t>
            </w:r>
          </w:p>
        </w:tc>
      </w:tr>
      <w:tr w14:paraId="51A2E1C8">
        <w:tblPrEx>
          <w:tblCellMar>
            <w:top w:w="0" w:type="dxa"/>
            <w:left w:w="108" w:type="dxa"/>
            <w:bottom w:w="0" w:type="dxa"/>
            <w:right w:w="108" w:type="dxa"/>
          </w:tblCellMar>
        </w:tblPrEx>
        <w:trPr>
          <w:trHeight w:val="381" w:hRule="atLeast"/>
          <w:jc w:val="center"/>
        </w:trPr>
        <w:tc>
          <w:tcPr>
            <w:tcW w:w="1006" w:type="dxa"/>
            <w:tcBorders>
              <w:top w:val="single" w:color="auto" w:sz="4" w:space="0"/>
              <w:left w:val="single" w:color="auto" w:sz="4" w:space="0"/>
              <w:bottom w:val="nil"/>
              <w:right w:val="single" w:color="auto" w:sz="4" w:space="0"/>
            </w:tcBorders>
            <w:vAlign w:val="center"/>
          </w:tcPr>
          <w:p w14:paraId="5EC2BB16">
            <w:pPr>
              <w:spacing w:line="400" w:lineRule="exact"/>
              <w:jc w:val="center"/>
              <w:rPr>
                <w:rFonts w:ascii="仿宋" w:hAnsi="仿宋" w:eastAsia="仿宋" w:cs="仿宋"/>
                <w:szCs w:val="21"/>
              </w:rPr>
            </w:pPr>
            <w:r>
              <w:rPr>
                <w:rFonts w:hint="eastAsia" w:ascii="仿宋" w:hAnsi="仿宋" w:eastAsia="仿宋" w:cs="仿宋"/>
                <w:szCs w:val="21"/>
              </w:rPr>
              <w:t>5.2</w:t>
            </w:r>
          </w:p>
        </w:tc>
        <w:tc>
          <w:tcPr>
            <w:tcW w:w="2486" w:type="dxa"/>
            <w:tcBorders>
              <w:top w:val="single" w:color="auto" w:sz="4" w:space="0"/>
              <w:left w:val="single" w:color="auto" w:sz="4" w:space="0"/>
              <w:bottom w:val="nil"/>
              <w:right w:val="single" w:color="auto" w:sz="4" w:space="0"/>
            </w:tcBorders>
            <w:vAlign w:val="center"/>
          </w:tcPr>
          <w:p w14:paraId="50CC4F6D">
            <w:pPr>
              <w:spacing w:line="400" w:lineRule="exact"/>
              <w:jc w:val="center"/>
              <w:rPr>
                <w:rFonts w:ascii="仿宋" w:hAnsi="仿宋" w:eastAsia="仿宋" w:cs="仿宋"/>
                <w:szCs w:val="21"/>
              </w:rPr>
            </w:pPr>
            <w:r>
              <w:rPr>
                <w:rFonts w:hint="eastAsia" w:ascii="仿宋" w:hAnsi="仿宋" w:eastAsia="仿宋" w:cs="仿宋"/>
                <w:szCs w:val="21"/>
              </w:rPr>
              <w:t>开标程序</w:t>
            </w:r>
          </w:p>
        </w:tc>
        <w:tc>
          <w:tcPr>
            <w:tcW w:w="5830" w:type="dxa"/>
            <w:tcBorders>
              <w:top w:val="single" w:color="auto" w:sz="4" w:space="0"/>
              <w:left w:val="single" w:color="auto" w:sz="4" w:space="0"/>
              <w:bottom w:val="nil"/>
              <w:right w:val="single" w:color="auto" w:sz="4" w:space="0"/>
            </w:tcBorders>
            <w:vAlign w:val="center"/>
          </w:tcPr>
          <w:p w14:paraId="390BE022">
            <w:pPr>
              <w:spacing w:line="400" w:lineRule="exact"/>
              <w:rPr>
                <w:rFonts w:ascii="仿宋" w:hAnsi="仿宋" w:eastAsia="仿宋" w:cs="仿宋"/>
                <w:szCs w:val="21"/>
              </w:rPr>
            </w:pPr>
            <w:r>
              <w:rPr>
                <w:rFonts w:hint="eastAsia" w:ascii="仿宋" w:hAnsi="仿宋" w:eastAsia="仿宋" w:cs="仿宋"/>
                <w:szCs w:val="21"/>
              </w:rPr>
              <w:t>开标顺序：按照递交电子投标文件的顺序。</w:t>
            </w:r>
          </w:p>
        </w:tc>
      </w:tr>
      <w:tr w14:paraId="67CDB11D">
        <w:tblPrEx>
          <w:tblCellMar>
            <w:top w:w="0" w:type="dxa"/>
            <w:left w:w="108" w:type="dxa"/>
            <w:bottom w:w="0" w:type="dxa"/>
            <w:right w:w="108" w:type="dxa"/>
          </w:tblCellMar>
        </w:tblPrEx>
        <w:trPr>
          <w:trHeight w:val="880"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4C91BA34">
            <w:pPr>
              <w:spacing w:line="400" w:lineRule="exact"/>
              <w:jc w:val="center"/>
              <w:rPr>
                <w:rFonts w:ascii="仿宋" w:hAnsi="仿宋" w:eastAsia="仿宋" w:cs="仿宋"/>
                <w:szCs w:val="21"/>
              </w:rPr>
            </w:pPr>
            <w:r>
              <w:rPr>
                <w:rFonts w:hint="eastAsia" w:ascii="仿宋" w:hAnsi="仿宋" w:eastAsia="仿宋" w:cs="仿宋"/>
                <w:szCs w:val="21"/>
              </w:rPr>
              <w:t>6.1.1</w:t>
            </w:r>
          </w:p>
        </w:tc>
        <w:tc>
          <w:tcPr>
            <w:tcW w:w="2486" w:type="dxa"/>
            <w:tcBorders>
              <w:top w:val="single" w:color="auto" w:sz="4" w:space="0"/>
              <w:left w:val="single" w:color="auto" w:sz="4" w:space="0"/>
              <w:bottom w:val="single" w:color="auto" w:sz="4" w:space="0"/>
              <w:right w:val="single" w:color="auto" w:sz="4" w:space="0"/>
            </w:tcBorders>
            <w:vAlign w:val="center"/>
          </w:tcPr>
          <w:p w14:paraId="1E5B5019">
            <w:pPr>
              <w:spacing w:line="400" w:lineRule="exact"/>
              <w:jc w:val="center"/>
              <w:rPr>
                <w:rFonts w:ascii="仿宋" w:hAnsi="仿宋" w:eastAsia="仿宋" w:cs="仿宋"/>
                <w:szCs w:val="21"/>
              </w:rPr>
            </w:pPr>
            <w:r>
              <w:rPr>
                <w:rFonts w:hint="eastAsia" w:ascii="仿宋" w:hAnsi="仿宋" w:eastAsia="仿宋" w:cs="仿宋"/>
                <w:szCs w:val="21"/>
              </w:rPr>
              <w:t>评标委员会的组建</w:t>
            </w:r>
          </w:p>
        </w:tc>
        <w:tc>
          <w:tcPr>
            <w:tcW w:w="5830" w:type="dxa"/>
            <w:tcBorders>
              <w:top w:val="single" w:color="auto" w:sz="4" w:space="0"/>
              <w:left w:val="single" w:color="auto" w:sz="4" w:space="0"/>
              <w:bottom w:val="single" w:color="auto" w:sz="4" w:space="0"/>
              <w:right w:val="single" w:color="auto" w:sz="4" w:space="0"/>
            </w:tcBorders>
            <w:vAlign w:val="center"/>
          </w:tcPr>
          <w:p w14:paraId="077C0566">
            <w:pPr>
              <w:spacing w:line="400" w:lineRule="exac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评标委员会构成：</w:t>
            </w:r>
            <w:r>
              <w:rPr>
                <w:rFonts w:hint="eastAsia" w:ascii="仿宋" w:hAnsi="仿宋" w:eastAsia="仿宋" w:cs="仿宋"/>
                <w:sz w:val="21"/>
                <w:szCs w:val="21"/>
                <w:highlight w:val="none"/>
                <w:u w:val="single"/>
                <w:lang w:val="en-US" w:eastAsia="zh-CN"/>
              </w:rPr>
              <w:t xml:space="preserve"> 7 </w:t>
            </w:r>
            <w:r>
              <w:rPr>
                <w:rFonts w:hint="eastAsia" w:ascii="仿宋" w:hAnsi="仿宋" w:eastAsia="仿宋" w:cs="仿宋"/>
                <w:sz w:val="21"/>
                <w:szCs w:val="21"/>
                <w:highlight w:val="none"/>
              </w:rPr>
              <w:t>人</w:t>
            </w:r>
            <w:r>
              <w:rPr>
                <w:rFonts w:hint="eastAsia" w:ascii="仿宋" w:hAnsi="仿宋" w:eastAsia="仿宋" w:cs="仿宋"/>
                <w:sz w:val="21"/>
                <w:szCs w:val="21"/>
                <w:highlight w:val="none"/>
                <w:lang w:eastAsia="zh-CN"/>
              </w:rPr>
              <w:t>；</w:t>
            </w:r>
          </w:p>
          <w:p w14:paraId="52928BB5">
            <w:pPr>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其中：招标人代表</w:t>
            </w:r>
            <w:r>
              <w:rPr>
                <w:rFonts w:hint="eastAsia" w:ascii="仿宋" w:hAnsi="仿宋" w:eastAsia="仿宋" w:cs="仿宋"/>
                <w:sz w:val="21"/>
                <w:szCs w:val="21"/>
                <w:highlight w:val="none"/>
                <w:u w:val="single"/>
                <w:lang w:val="en-US" w:eastAsia="zh-CN"/>
              </w:rPr>
              <w:t xml:space="preserve"> 2 </w:t>
            </w:r>
            <w:r>
              <w:rPr>
                <w:rFonts w:hint="eastAsia" w:ascii="仿宋" w:hAnsi="仿宋" w:eastAsia="仿宋" w:cs="仿宋"/>
                <w:sz w:val="21"/>
                <w:szCs w:val="21"/>
                <w:highlight w:val="none"/>
              </w:rPr>
              <w:t>人，经济、技术专家</w:t>
            </w:r>
            <w:r>
              <w:rPr>
                <w:rFonts w:hint="eastAsia" w:ascii="仿宋" w:hAnsi="仿宋" w:eastAsia="仿宋" w:cs="仿宋"/>
                <w:sz w:val="21"/>
                <w:szCs w:val="21"/>
                <w:highlight w:val="none"/>
                <w:u w:val="single"/>
                <w:lang w:val="en-US" w:eastAsia="zh-CN"/>
              </w:rPr>
              <w:t xml:space="preserve"> 5 </w:t>
            </w:r>
            <w:r>
              <w:rPr>
                <w:rFonts w:hint="eastAsia" w:ascii="仿宋" w:hAnsi="仿宋" w:eastAsia="仿宋" w:cs="仿宋"/>
                <w:sz w:val="21"/>
                <w:szCs w:val="21"/>
                <w:highlight w:val="none"/>
              </w:rPr>
              <w:t>人；</w:t>
            </w:r>
          </w:p>
          <w:p w14:paraId="303C27C8">
            <w:pPr>
              <w:spacing w:line="400" w:lineRule="exact"/>
              <w:rPr>
                <w:rFonts w:ascii="仿宋" w:hAnsi="仿宋" w:eastAsia="仿宋" w:cs="仿宋"/>
                <w:szCs w:val="21"/>
              </w:rPr>
            </w:pPr>
            <w:r>
              <w:rPr>
                <w:rFonts w:hint="eastAsia" w:ascii="仿宋" w:hAnsi="仿宋" w:eastAsia="仿宋" w:cs="仿宋"/>
                <w:sz w:val="21"/>
                <w:szCs w:val="21"/>
                <w:highlight w:val="none"/>
              </w:rPr>
              <w:t>评标专家确定方式：经济、技术专家从河南省综合评标专家库中随机抽取确定。</w:t>
            </w:r>
          </w:p>
        </w:tc>
      </w:tr>
      <w:tr w14:paraId="4DC4FED1">
        <w:tblPrEx>
          <w:tblCellMar>
            <w:top w:w="0" w:type="dxa"/>
            <w:left w:w="108" w:type="dxa"/>
            <w:bottom w:w="0" w:type="dxa"/>
            <w:right w:w="108" w:type="dxa"/>
          </w:tblCellMar>
        </w:tblPrEx>
        <w:trPr>
          <w:trHeight w:val="880"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3596E6AA">
            <w:pPr>
              <w:spacing w:line="400" w:lineRule="exact"/>
              <w:jc w:val="center"/>
              <w:rPr>
                <w:rFonts w:ascii="仿宋" w:hAnsi="仿宋" w:eastAsia="仿宋" w:cs="仿宋"/>
                <w:szCs w:val="21"/>
              </w:rPr>
            </w:pPr>
            <w:r>
              <w:rPr>
                <w:rFonts w:hint="eastAsia" w:ascii="仿宋" w:hAnsi="仿宋" w:eastAsia="仿宋" w:cs="仿宋"/>
                <w:szCs w:val="21"/>
              </w:rPr>
              <w:t>6.3.2</w:t>
            </w:r>
          </w:p>
        </w:tc>
        <w:tc>
          <w:tcPr>
            <w:tcW w:w="2486" w:type="dxa"/>
            <w:tcBorders>
              <w:top w:val="single" w:color="auto" w:sz="4" w:space="0"/>
              <w:left w:val="single" w:color="auto" w:sz="4" w:space="0"/>
              <w:bottom w:val="single" w:color="auto" w:sz="4" w:space="0"/>
              <w:right w:val="single" w:color="auto" w:sz="4" w:space="0"/>
            </w:tcBorders>
            <w:vAlign w:val="center"/>
          </w:tcPr>
          <w:p w14:paraId="0AD8090E">
            <w:pPr>
              <w:spacing w:line="400" w:lineRule="exact"/>
              <w:jc w:val="center"/>
              <w:rPr>
                <w:rFonts w:hint="eastAsia" w:ascii="仿宋" w:hAnsi="仿宋" w:eastAsia="仿宋" w:cs="仿宋"/>
                <w:b/>
                <w:bCs/>
                <w:szCs w:val="21"/>
              </w:rPr>
            </w:pPr>
            <w:r>
              <w:rPr>
                <w:rFonts w:hint="eastAsia" w:ascii="仿宋" w:hAnsi="仿宋" w:eastAsia="仿宋" w:cs="仿宋"/>
                <w:b/>
                <w:bCs/>
                <w:szCs w:val="21"/>
              </w:rPr>
              <w:t>评标委员会推荐中标候选人的人数</w:t>
            </w:r>
          </w:p>
        </w:tc>
        <w:tc>
          <w:tcPr>
            <w:tcW w:w="5830" w:type="dxa"/>
            <w:tcBorders>
              <w:top w:val="single" w:color="auto" w:sz="4" w:space="0"/>
              <w:left w:val="single" w:color="auto" w:sz="4" w:space="0"/>
              <w:bottom w:val="single" w:color="auto" w:sz="4" w:space="0"/>
              <w:right w:val="single" w:color="auto" w:sz="4" w:space="0"/>
            </w:tcBorders>
            <w:vAlign w:val="center"/>
          </w:tcPr>
          <w:p w14:paraId="26925B70">
            <w:pPr>
              <w:spacing w:line="400" w:lineRule="exact"/>
              <w:rPr>
                <w:rFonts w:hint="eastAsia" w:ascii="仿宋" w:hAnsi="仿宋" w:eastAsia="仿宋" w:cs="仿宋"/>
                <w:b/>
                <w:bCs/>
                <w:szCs w:val="21"/>
              </w:rPr>
            </w:pPr>
            <w:r>
              <w:rPr>
                <w:rFonts w:hint="eastAsia" w:ascii="仿宋" w:hAnsi="仿宋" w:eastAsia="仿宋" w:cs="仿宋"/>
                <w:b/>
                <w:bCs/>
                <w:szCs w:val="21"/>
              </w:rPr>
              <w:t>有效投标人数量为3至10家（含10家）时，全部推荐为中标候选人；有效投标人数量为10家以上时，按照择优原则</w:t>
            </w:r>
            <w:r>
              <w:rPr>
                <w:rFonts w:hint="eastAsia" w:ascii="仿宋" w:hAnsi="仿宋" w:eastAsia="仿宋" w:cs="仿宋"/>
                <w:b/>
                <w:bCs/>
                <w:szCs w:val="21"/>
                <w:lang w:eastAsia="zh-CN"/>
              </w:rPr>
              <w:t>（</w:t>
            </w:r>
            <w:r>
              <w:rPr>
                <w:rFonts w:hint="eastAsia" w:ascii="仿宋" w:hAnsi="仿宋" w:eastAsia="仿宋" w:cs="仿宋"/>
                <w:b/>
                <w:bCs/>
                <w:szCs w:val="21"/>
              </w:rPr>
              <w:t>综合得分排序</w:t>
            </w:r>
            <w:r>
              <w:rPr>
                <w:rFonts w:hint="eastAsia" w:ascii="仿宋" w:hAnsi="仿宋" w:eastAsia="仿宋" w:cs="仿宋"/>
                <w:b/>
                <w:bCs/>
                <w:szCs w:val="21"/>
                <w:lang w:eastAsia="zh-CN"/>
              </w:rPr>
              <w:t>由高到低）</w:t>
            </w:r>
            <w:r>
              <w:rPr>
                <w:rFonts w:hint="eastAsia" w:ascii="仿宋" w:hAnsi="仿宋" w:eastAsia="仿宋" w:cs="仿宋"/>
                <w:b/>
                <w:bCs/>
                <w:szCs w:val="21"/>
              </w:rPr>
              <w:t>，由评标委员会推荐</w:t>
            </w:r>
            <w:bookmarkStart w:id="87" w:name="EB5dfaf461b731431e84b9dfc657704cfb"/>
            <w:r>
              <w:rPr>
                <w:rFonts w:hint="eastAsia" w:ascii="仿宋" w:hAnsi="仿宋" w:eastAsia="仿宋" w:cs="仿宋"/>
                <w:b/>
                <w:bCs/>
                <w:szCs w:val="21"/>
              </w:rPr>
              <w:t>10</w:t>
            </w:r>
            <w:bookmarkEnd w:id="87"/>
            <w:r>
              <w:rPr>
                <w:rFonts w:hint="eastAsia" w:ascii="仿宋" w:hAnsi="仿宋" w:eastAsia="仿宋" w:cs="仿宋"/>
                <w:b/>
                <w:bCs/>
                <w:szCs w:val="21"/>
              </w:rPr>
              <w:t>名不标明排序的中标候选人。</w:t>
            </w:r>
          </w:p>
        </w:tc>
      </w:tr>
      <w:tr w14:paraId="5C751A1F">
        <w:tblPrEx>
          <w:tblCellMar>
            <w:top w:w="0" w:type="dxa"/>
            <w:left w:w="108" w:type="dxa"/>
            <w:bottom w:w="0" w:type="dxa"/>
            <w:right w:w="108" w:type="dxa"/>
          </w:tblCellMar>
        </w:tblPrEx>
        <w:trPr>
          <w:trHeight w:val="464"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7F50A0C0">
            <w:pPr>
              <w:spacing w:line="400" w:lineRule="exact"/>
              <w:jc w:val="center"/>
              <w:rPr>
                <w:rFonts w:ascii="仿宋" w:hAnsi="仿宋" w:eastAsia="仿宋" w:cs="仿宋"/>
                <w:szCs w:val="21"/>
              </w:rPr>
            </w:pPr>
            <w:r>
              <w:rPr>
                <w:rFonts w:hint="eastAsia" w:ascii="仿宋" w:hAnsi="仿宋" w:eastAsia="仿宋" w:cs="仿宋"/>
                <w:szCs w:val="21"/>
              </w:rPr>
              <w:t>7.1</w:t>
            </w:r>
          </w:p>
        </w:tc>
        <w:tc>
          <w:tcPr>
            <w:tcW w:w="2486" w:type="dxa"/>
            <w:tcBorders>
              <w:top w:val="single" w:color="auto" w:sz="4" w:space="0"/>
              <w:left w:val="single" w:color="auto" w:sz="4" w:space="0"/>
              <w:bottom w:val="single" w:color="auto" w:sz="4" w:space="0"/>
              <w:right w:val="single" w:color="auto" w:sz="4" w:space="0"/>
            </w:tcBorders>
            <w:vAlign w:val="center"/>
          </w:tcPr>
          <w:p w14:paraId="3AB16BE3">
            <w:pPr>
              <w:spacing w:line="400" w:lineRule="exact"/>
              <w:jc w:val="center"/>
              <w:rPr>
                <w:rFonts w:ascii="仿宋" w:hAnsi="仿宋" w:eastAsia="仿宋" w:cs="仿宋"/>
                <w:szCs w:val="21"/>
              </w:rPr>
            </w:pPr>
            <w:r>
              <w:rPr>
                <w:rFonts w:hint="eastAsia" w:ascii="仿宋" w:hAnsi="仿宋" w:eastAsia="仿宋" w:cs="仿宋"/>
                <w:szCs w:val="21"/>
              </w:rPr>
              <w:t>中标候选人公示媒介及期限</w:t>
            </w:r>
          </w:p>
        </w:tc>
        <w:tc>
          <w:tcPr>
            <w:tcW w:w="5830" w:type="dxa"/>
            <w:tcBorders>
              <w:top w:val="single" w:color="auto" w:sz="4" w:space="0"/>
              <w:left w:val="single" w:color="auto" w:sz="4" w:space="0"/>
              <w:bottom w:val="single" w:color="auto" w:sz="4" w:space="0"/>
              <w:right w:val="single" w:color="auto" w:sz="4" w:space="0"/>
            </w:tcBorders>
            <w:vAlign w:val="center"/>
          </w:tcPr>
          <w:p w14:paraId="3DAF0963">
            <w:pPr>
              <w:spacing w:line="400" w:lineRule="exact"/>
              <w:rPr>
                <w:rFonts w:hint="eastAsia" w:ascii="仿宋" w:hAnsi="仿宋" w:eastAsia="仿宋" w:cs="仿宋"/>
                <w:szCs w:val="21"/>
                <w:lang w:eastAsia="zh-CN"/>
              </w:rPr>
            </w:pPr>
            <w:r>
              <w:rPr>
                <w:rFonts w:hint="eastAsia" w:ascii="仿宋" w:hAnsi="仿宋" w:eastAsia="仿宋" w:cs="仿宋"/>
                <w:szCs w:val="21"/>
              </w:rPr>
              <w:t>公示媒介：</w:t>
            </w:r>
            <w:r>
              <w:rPr>
                <w:rFonts w:hint="eastAsia" w:ascii="仿宋" w:hAnsi="仿宋" w:eastAsia="仿宋" w:cs="仿宋"/>
                <w:szCs w:val="21"/>
                <w:lang w:eastAsia="zh-CN"/>
              </w:rPr>
              <w:t>《中国招标投标公共服务平台》、《河南省政府采购网》、《洛阳市公共资源交易中心网》</w:t>
            </w:r>
          </w:p>
          <w:p w14:paraId="47AF0E3D">
            <w:pPr>
              <w:spacing w:line="400" w:lineRule="exact"/>
              <w:rPr>
                <w:rFonts w:ascii="仿宋" w:hAnsi="仿宋" w:eastAsia="仿宋" w:cs="仿宋"/>
                <w:szCs w:val="21"/>
              </w:rPr>
            </w:pPr>
            <w:r>
              <w:rPr>
                <w:rFonts w:hint="eastAsia" w:ascii="仿宋" w:hAnsi="仿宋" w:eastAsia="仿宋" w:cs="仿宋"/>
                <w:szCs w:val="21"/>
              </w:rPr>
              <w:t>公示期限：3日</w:t>
            </w:r>
          </w:p>
        </w:tc>
      </w:tr>
      <w:tr w14:paraId="0920E32C">
        <w:tblPrEx>
          <w:tblCellMar>
            <w:top w:w="0" w:type="dxa"/>
            <w:left w:w="108" w:type="dxa"/>
            <w:bottom w:w="0" w:type="dxa"/>
            <w:right w:w="108" w:type="dxa"/>
          </w:tblCellMar>
        </w:tblPrEx>
        <w:trPr>
          <w:trHeight w:val="3266"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6372CFBE">
            <w:pPr>
              <w:spacing w:line="400" w:lineRule="exact"/>
              <w:jc w:val="center"/>
              <w:rPr>
                <w:rFonts w:ascii="仿宋" w:hAnsi="仿宋" w:eastAsia="仿宋" w:cs="仿宋"/>
                <w:szCs w:val="21"/>
              </w:rPr>
            </w:pPr>
            <w:r>
              <w:rPr>
                <w:rFonts w:hint="eastAsia" w:ascii="仿宋" w:hAnsi="仿宋" w:eastAsia="仿宋" w:cs="仿宋"/>
                <w:szCs w:val="21"/>
              </w:rPr>
              <w:t>7.4</w:t>
            </w:r>
          </w:p>
        </w:tc>
        <w:tc>
          <w:tcPr>
            <w:tcW w:w="2486" w:type="dxa"/>
            <w:tcBorders>
              <w:top w:val="single" w:color="auto" w:sz="4" w:space="0"/>
              <w:left w:val="single" w:color="auto" w:sz="4" w:space="0"/>
              <w:bottom w:val="single" w:color="auto" w:sz="4" w:space="0"/>
              <w:right w:val="single" w:color="auto" w:sz="4" w:space="0"/>
            </w:tcBorders>
            <w:vAlign w:val="center"/>
          </w:tcPr>
          <w:p w14:paraId="665F957D">
            <w:pPr>
              <w:spacing w:line="400" w:lineRule="exact"/>
              <w:jc w:val="center"/>
              <w:rPr>
                <w:rFonts w:hint="eastAsia" w:ascii="仿宋" w:hAnsi="仿宋" w:eastAsia="仿宋" w:cs="仿宋"/>
                <w:b/>
                <w:bCs/>
                <w:szCs w:val="21"/>
              </w:rPr>
            </w:pPr>
            <w:r>
              <w:rPr>
                <w:rFonts w:hint="eastAsia" w:ascii="仿宋" w:hAnsi="仿宋" w:eastAsia="仿宋" w:cs="仿宋"/>
                <w:b/>
                <w:bCs/>
                <w:szCs w:val="21"/>
              </w:rPr>
              <w:t>是否授权评标委员会</w:t>
            </w:r>
          </w:p>
          <w:p w14:paraId="19D24723">
            <w:pPr>
              <w:spacing w:line="400" w:lineRule="exact"/>
              <w:jc w:val="center"/>
              <w:rPr>
                <w:rFonts w:hint="eastAsia" w:ascii="仿宋" w:hAnsi="仿宋" w:eastAsia="仿宋" w:cs="仿宋"/>
                <w:szCs w:val="21"/>
                <w:highlight w:val="yellow"/>
              </w:rPr>
            </w:pPr>
            <w:r>
              <w:rPr>
                <w:rFonts w:hint="eastAsia" w:ascii="仿宋" w:hAnsi="仿宋" w:eastAsia="仿宋" w:cs="仿宋"/>
                <w:b/>
                <w:bCs/>
                <w:szCs w:val="21"/>
              </w:rPr>
              <w:t>确定中标人</w:t>
            </w:r>
          </w:p>
        </w:tc>
        <w:tc>
          <w:tcPr>
            <w:tcW w:w="5830" w:type="dxa"/>
            <w:tcBorders>
              <w:top w:val="single" w:color="auto" w:sz="4" w:space="0"/>
              <w:left w:val="single" w:color="auto" w:sz="4" w:space="0"/>
              <w:bottom w:val="single" w:color="auto" w:sz="4" w:space="0"/>
              <w:right w:val="single" w:color="auto" w:sz="4" w:space="0"/>
            </w:tcBorders>
            <w:vAlign w:val="center"/>
          </w:tcPr>
          <w:p w14:paraId="679757E2">
            <w:pPr>
              <w:spacing w:line="400" w:lineRule="exact"/>
              <w:rPr>
                <w:rFonts w:hint="eastAsia" w:ascii="仿宋" w:hAnsi="仿宋" w:eastAsia="仿宋" w:cs="仿宋"/>
                <w:b/>
                <w:bCs/>
                <w:szCs w:val="21"/>
              </w:rPr>
            </w:pPr>
            <w:r>
              <w:rPr>
                <w:rFonts w:hint="eastAsia" w:ascii="仿宋" w:hAnsi="仿宋" w:eastAsia="仿宋" w:cs="仿宋"/>
                <w:b/>
                <w:bCs/>
                <w:szCs w:val="21"/>
              </w:rPr>
              <w:t>☑否，中标候选人排序方法详见第三章评标办法。</w:t>
            </w:r>
          </w:p>
          <w:p w14:paraId="7052B17F">
            <w:pPr>
              <w:spacing w:line="400" w:lineRule="exact"/>
              <w:rPr>
                <w:rFonts w:hint="eastAsia" w:ascii="仿宋" w:hAnsi="仿宋" w:eastAsia="仿宋" w:cs="仿宋"/>
                <w:b/>
                <w:bCs/>
                <w:szCs w:val="21"/>
              </w:rPr>
            </w:pPr>
            <w:r>
              <w:rPr>
                <w:rFonts w:hint="eastAsia" w:ascii="仿宋" w:hAnsi="仿宋" w:eastAsia="仿宋" w:cs="仿宋"/>
                <w:b/>
                <w:bCs/>
                <w:szCs w:val="21"/>
              </w:rPr>
              <w:t>招标人通过</w:t>
            </w:r>
            <w:r>
              <w:rPr>
                <w:rFonts w:hint="eastAsia" w:ascii="仿宋" w:hAnsi="仿宋" w:eastAsia="仿宋" w:cs="仿宋"/>
                <w:b/>
                <w:bCs/>
                <w:szCs w:val="21"/>
                <w:lang w:eastAsia="zh-CN"/>
              </w:rPr>
              <w:t>评定分离</w:t>
            </w:r>
            <w:r>
              <w:rPr>
                <w:rFonts w:hint="eastAsia" w:ascii="仿宋" w:hAnsi="仿宋" w:eastAsia="仿宋" w:cs="仿宋"/>
                <w:b/>
                <w:bCs/>
                <w:szCs w:val="21"/>
                <w:lang w:val="en-US" w:eastAsia="zh-CN"/>
              </w:rPr>
              <w:t>-核查随机法</w:t>
            </w:r>
            <w:r>
              <w:rPr>
                <w:rFonts w:hint="eastAsia" w:ascii="仿宋" w:hAnsi="仿宋" w:eastAsia="仿宋" w:cs="仿宋"/>
                <w:b/>
                <w:bCs/>
                <w:szCs w:val="21"/>
              </w:rPr>
              <w:t>（定标方法）在评标委员会推荐的中标候选人中择优确定中标人。定标前</w:t>
            </w:r>
            <w:bookmarkStart w:id="88" w:name="EBf4d3833030384af8b5cdcabc129a614d"/>
            <w:r>
              <w:rPr>
                <w:rFonts w:hint="eastAsia" w:ascii="仿宋" w:hAnsi="仿宋" w:eastAsia="仿宋" w:cs="仿宋"/>
                <w:b/>
                <w:bCs/>
                <w:szCs w:val="21"/>
              </w:rPr>
              <w:t>□</w:t>
            </w:r>
            <w:bookmarkEnd w:id="88"/>
            <w:r>
              <w:rPr>
                <w:rFonts w:hint="eastAsia" w:ascii="仿宋" w:hAnsi="仿宋" w:eastAsia="仿宋" w:cs="仿宋"/>
                <w:b/>
                <w:bCs/>
                <w:szCs w:val="21"/>
              </w:rPr>
              <w:t>组织/</w:t>
            </w:r>
            <w:bookmarkStart w:id="89" w:name="EBd4dfcb1eb61642139a1b8bafbf6c3688"/>
            <w:r>
              <w:rPr>
                <w:rFonts w:hint="eastAsia" w:ascii="仿宋" w:hAnsi="仿宋" w:eastAsia="仿宋" w:cs="仿宋"/>
                <w:b/>
                <w:bCs/>
                <w:szCs w:val="21"/>
              </w:rPr>
              <w:t>☑</w:t>
            </w:r>
            <w:bookmarkEnd w:id="89"/>
            <w:r>
              <w:rPr>
                <w:rFonts w:hint="eastAsia" w:ascii="仿宋" w:hAnsi="仿宋" w:eastAsia="仿宋" w:cs="仿宋"/>
                <w:b/>
                <w:bCs/>
                <w:szCs w:val="21"/>
              </w:rPr>
              <w:t>不组织对所有中标候选人进行考察或质询。</w:t>
            </w:r>
          </w:p>
          <w:p w14:paraId="463ADA4A">
            <w:pPr>
              <w:spacing w:line="400" w:lineRule="exact"/>
              <w:rPr>
                <w:rFonts w:hint="eastAsia" w:ascii="仿宋" w:hAnsi="仿宋" w:eastAsia="仿宋" w:cs="仿宋"/>
                <w:b/>
                <w:bCs/>
                <w:szCs w:val="21"/>
              </w:rPr>
            </w:pPr>
            <w:r>
              <w:rPr>
                <w:rFonts w:hint="eastAsia" w:ascii="仿宋" w:hAnsi="仿宋" w:eastAsia="仿宋" w:cs="仿宋"/>
                <w:b/>
                <w:bCs/>
                <w:szCs w:val="21"/>
              </w:rPr>
              <w:t>定标方法具体为：</w:t>
            </w:r>
          </w:p>
          <w:p w14:paraId="3181DF31">
            <w:pPr>
              <w:spacing w:line="400" w:lineRule="exact"/>
              <w:rPr>
                <w:rFonts w:hint="eastAsia" w:ascii="仿宋" w:hAnsi="仿宋" w:eastAsia="仿宋" w:cs="仿宋"/>
                <w:b/>
                <w:bCs/>
                <w:szCs w:val="21"/>
              </w:rPr>
            </w:pPr>
            <w:bookmarkStart w:id="90" w:name="EBf44f632aaeee46efa277e7c7e8ec5a6d"/>
            <w:r>
              <w:rPr>
                <w:rFonts w:hint="eastAsia" w:ascii="仿宋" w:hAnsi="仿宋" w:eastAsia="仿宋" w:cs="仿宋"/>
                <w:b/>
                <w:bCs/>
                <w:szCs w:val="21"/>
              </w:rPr>
              <w:t>本项目按照《河南省政府投资工程建设项目招标投标“评定分离”管理办法(试行)》的相关要求，采用“评定分离”的方式，评标委员会推荐不标明排序的中标候选人，按照其统一社会信用代码后4位(除校验码外)由大到小排列。</w:t>
            </w:r>
          </w:p>
          <w:p w14:paraId="1DB8CE27">
            <w:pPr>
              <w:spacing w:line="400" w:lineRule="exact"/>
              <w:rPr>
                <w:rFonts w:hint="eastAsia" w:ascii="仿宋" w:hAnsi="仿宋" w:eastAsia="仿宋" w:cs="仿宋"/>
                <w:b/>
                <w:bCs/>
                <w:szCs w:val="21"/>
              </w:rPr>
            </w:pPr>
            <w:r>
              <w:rPr>
                <w:rFonts w:hint="eastAsia" w:ascii="仿宋" w:hAnsi="仿宋" w:eastAsia="仿宋" w:cs="仿宋"/>
                <w:b/>
                <w:bCs/>
                <w:szCs w:val="21"/>
              </w:rPr>
              <w:t>评标报告还应当载明每个中标候选人的特点、优势、缺点、风险等评审情况和推荐理由，并对技术、质量、安全、工期的控制能力等提供技术咨询建议，供定标委员会参考。</w:t>
            </w:r>
          </w:p>
          <w:p w14:paraId="790BDDD0">
            <w:pPr>
              <w:spacing w:line="400" w:lineRule="exact"/>
              <w:rPr>
                <w:rFonts w:hint="eastAsia" w:ascii="仿宋" w:hAnsi="仿宋" w:eastAsia="仿宋" w:cs="仿宋"/>
                <w:b/>
                <w:bCs/>
                <w:szCs w:val="21"/>
              </w:rPr>
            </w:pPr>
            <w:r>
              <w:rPr>
                <w:rFonts w:hint="eastAsia" w:ascii="仿宋" w:hAnsi="仿宋" w:eastAsia="仿宋" w:cs="仿宋"/>
                <w:b/>
                <w:bCs/>
                <w:szCs w:val="21"/>
              </w:rPr>
              <w:t>评标委员会应当按照招标文件进行评标。评标委员会否决不合格投标后，确定有效投标人，对有效投标人的投标文件进行评标，出具评标报告。有效投标人数量不足3家时，应当重新招标；有效投标人数量为3至10家（含10家）时，全部推荐为中标候选人；有效投标人数量为10家以上时，按照择优原则（综合得分排序</w:t>
            </w:r>
            <w:r>
              <w:rPr>
                <w:rFonts w:hint="eastAsia" w:ascii="仿宋" w:hAnsi="仿宋" w:eastAsia="仿宋" w:cs="仿宋"/>
                <w:b/>
                <w:bCs/>
                <w:szCs w:val="21"/>
                <w:lang w:eastAsia="zh-CN"/>
              </w:rPr>
              <w:t>由高到低</w:t>
            </w:r>
            <w:r>
              <w:rPr>
                <w:rFonts w:hint="eastAsia" w:ascii="仿宋" w:hAnsi="仿宋" w:eastAsia="仿宋" w:cs="仿宋"/>
                <w:b/>
                <w:bCs/>
                <w:szCs w:val="21"/>
              </w:rPr>
              <w:t>）进行</w:t>
            </w:r>
            <w:r>
              <w:rPr>
                <w:rFonts w:hint="eastAsia" w:ascii="仿宋" w:hAnsi="仿宋" w:eastAsia="仿宋" w:cs="仿宋"/>
                <w:b/>
                <w:bCs/>
                <w:szCs w:val="21"/>
                <w:lang w:eastAsia="zh-CN"/>
              </w:rPr>
              <w:t>推荐</w:t>
            </w:r>
            <w:r>
              <w:rPr>
                <w:rFonts w:hint="eastAsia" w:ascii="仿宋" w:hAnsi="仿宋" w:eastAsia="仿宋" w:cs="仿宋"/>
                <w:b/>
                <w:bCs/>
                <w:szCs w:val="21"/>
              </w:rPr>
              <w:t>，推荐中标候选人数量为10家，中标候选人依法确定。</w:t>
            </w:r>
          </w:p>
          <w:p w14:paraId="578037DE">
            <w:pPr>
              <w:spacing w:line="400" w:lineRule="exact"/>
              <w:rPr>
                <w:rFonts w:hint="eastAsia" w:ascii="仿宋" w:hAnsi="仿宋" w:eastAsia="仿宋" w:cs="仿宋"/>
                <w:b/>
                <w:bCs/>
                <w:szCs w:val="21"/>
              </w:rPr>
            </w:pPr>
            <w:r>
              <w:rPr>
                <w:rFonts w:hint="eastAsia" w:ascii="仿宋" w:hAnsi="仿宋" w:eastAsia="仿宋" w:cs="仿宋"/>
                <w:b/>
                <w:bCs/>
                <w:szCs w:val="21"/>
              </w:rPr>
              <w:t>招标人通过定标方法（</w:t>
            </w:r>
            <w:r>
              <w:rPr>
                <w:rFonts w:hint="eastAsia" w:ascii="仿宋" w:hAnsi="仿宋" w:eastAsia="仿宋" w:cs="仿宋"/>
                <w:b/>
                <w:bCs/>
                <w:szCs w:val="21"/>
                <w:lang w:eastAsia="zh-CN"/>
              </w:rPr>
              <w:t>核查随机法</w:t>
            </w:r>
            <w:r>
              <w:rPr>
                <w:rFonts w:hint="eastAsia" w:ascii="仿宋" w:hAnsi="仿宋" w:eastAsia="仿宋" w:cs="仿宋"/>
                <w:b/>
                <w:bCs/>
                <w:szCs w:val="21"/>
              </w:rPr>
              <w:t>）在评标委员会推荐的中标候选人中确定中标人。</w:t>
            </w:r>
          </w:p>
          <w:p w14:paraId="2A5A1D31">
            <w:pPr>
              <w:spacing w:line="400" w:lineRule="exact"/>
              <w:rPr>
                <w:rFonts w:hint="eastAsia" w:ascii="仿宋" w:hAnsi="仿宋" w:eastAsia="仿宋" w:cs="仿宋"/>
                <w:b/>
                <w:bCs/>
                <w:szCs w:val="21"/>
              </w:rPr>
            </w:pPr>
            <w:r>
              <w:rPr>
                <w:rFonts w:hint="eastAsia" w:ascii="仿宋" w:hAnsi="仿宋" w:eastAsia="仿宋" w:cs="仿宋"/>
                <w:b/>
                <w:bCs/>
                <w:szCs w:val="21"/>
              </w:rPr>
              <w:t>定标会中标候选人答辩要求：无</w:t>
            </w:r>
          </w:p>
          <w:p w14:paraId="6D842C4C">
            <w:pPr>
              <w:spacing w:line="400" w:lineRule="exact"/>
              <w:rPr>
                <w:rFonts w:hint="eastAsia" w:ascii="仿宋" w:hAnsi="仿宋" w:eastAsia="仿宋" w:cs="仿宋"/>
                <w:szCs w:val="21"/>
              </w:rPr>
            </w:pPr>
            <w:r>
              <w:rPr>
                <w:rFonts w:hint="eastAsia" w:ascii="仿宋" w:hAnsi="仿宋" w:eastAsia="仿宋" w:cs="仿宋"/>
                <w:b/>
                <w:bCs/>
                <w:szCs w:val="21"/>
              </w:rPr>
              <w:t>（定标方案详见招标文件附件一：定标方案）</w:t>
            </w:r>
            <w:bookmarkEnd w:id="90"/>
          </w:p>
        </w:tc>
      </w:tr>
      <w:tr w14:paraId="30E65955">
        <w:tblPrEx>
          <w:tblCellMar>
            <w:top w:w="0" w:type="dxa"/>
            <w:left w:w="108" w:type="dxa"/>
            <w:bottom w:w="0" w:type="dxa"/>
            <w:right w:w="108" w:type="dxa"/>
          </w:tblCellMar>
        </w:tblPrEx>
        <w:trPr>
          <w:trHeight w:val="485"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05C9BD1F">
            <w:pPr>
              <w:spacing w:line="400" w:lineRule="exact"/>
              <w:jc w:val="center"/>
              <w:rPr>
                <w:rFonts w:ascii="仿宋" w:hAnsi="仿宋" w:eastAsia="仿宋" w:cs="仿宋"/>
                <w:szCs w:val="21"/>
              </w:rPr>
            </w:pPr>
            <w:r>
              <w:rPr>
                <w:rFonts w:hint="eastAsia" w:ascii="仿宋" w:hAnsi="仿宋" w:eastAsia="仿宋" w:cs="仿宋"/>
                <w:szCs w:val="21"/>
              </w:rPr>
              <w:t>7.6.1</w:t>
            </w:r>
          </w:p>
        </w:tc>
        <w:tc>
          <w:tcPr>
            <w:tcW w:w="2486" w:type="dxa"/>
            <w:tcBorders>
              <w:top w:val="single" w:color="auto" w:sz="4" w:space="0"/>
              <w:left w:val="single" w:color="auto" w:sz="4" w:space="0"/>
              <w:bottom w:val="single" w:color="auto" w:sz="4" w:space="0"/>
              <w:right w:val="single" w:color="auto" w:sz="4" w:space="0"/>
            </w:tcBorders>
            <w:vAlign w:val="center"/>
          </w:tcPr>
          <w:p w14:paraId="5F6149B2">
            <w:pPr>
              <w:spacing w:line="400" w:lineRule="exact"/>
              <w:jc w:val="center"/>
              <w:rPr>
                <w:rFonts w:ascii="仿宋" w:hAnsi="仿宋" w:eastAsia="仿宋" w:cs="仿宋"/>
                <w:szCs w:val="21"/>
                <w:highlight w:val="none"/>
              </w:rPr>
            </w:pPr>
            <w:r>
              <w:rPr>
                <w:rFonts w:hint="eastAsia" w:ascii="仿宋" w:hAnsi="仿宋" w:eastAsia="仿宋" w:cs="仿宋"/>
                <w:szCs w:val="21"/>
                <w:highlight w:val="none"/>
              </w:rPr>
              <w:t>履约担保</w:t>
            </w:r>
          </w:p>
        </w:tc>
        <w:tc>
          <w:tcPr>
            <w:tcW w:w="5830" w:type="dxa"/>
            <w:tcBorders>
              <w:top w:val="single" w:color="auto" w:sz="4" w:space="0"/>
              <w:left w:val="single" w:color="auto" w:sz="4" w:space="0"/>
              <w:bottom w:val="single" w:color="auto" w:sz="4" w:space="0"/>
              <w:right w:val="single" w:color="auto" w:sz="4" w:space="0"/>
            </w:tcBorders>
            <w:vAlign w:val="center"/>
          </w:tcPr>
          <w:p w14:paraId="288E6C13">
            <w:pPr>
              <w:spacing w:line="400" w:lineRule="exact"/>
              <w:rPr>
                <w:rFonts w:ascii="仿宋" w:hAnsi="仿宋" w:eastAsia="仿宋" w:cs="仿宋"/>
                <w:szCs w:val="21"/>
                <w:highlight w:val="none"/>
              </w:rPr>
            </w:pPr>
            <w:r>
              <w:rPr>
                <w:rFonts w:hint="eastAsia" w:ascii="仿宋" w:hAnsi="仿宋" w:eastAsia="仿宋" w:cs="仿宋"/>
                <w:szCs w:val="21"/>
                <w:highlight w:val="none"/>
              </w:rPr>
              <w:t>不收取</w:t>
            </w:r>
          </w:p>
        </w:tc>
      </w:tr>
      <w:tr w14:paraId="188E225C">
        <w:tblPrEx>
          <w:tblCellMar>
            <w:top w:w="0" w:type="dxa"/>
            <w:left w:w="108" w:type="dxa"/>
            <w:bottom w:w="0" w:type="dxa"/>
            <w:right w:w="108" w:type="dxa"/>
          </w:tblCellMar>
        </w:tblPrEx>
        <w:trPr>
          <w:trHeight w:val="880"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33E98A0F">
            <w:pPr>
              <w:spacing w:line="400" w:lineRule="exact"/>
              <w:jc w:val="center"/>
              <w:rPr>
                <w:rFonts w:ascii="仿宋" w:hAnsi="仿宋" w:eastAsia="仿宋" w:cs="仿宋"/>
                <w:szCs w:val="21"/>
              </w:rPr>
            </w:pPr>
            <w:r>
              <w:rPr>
                <w:rFonts w:hint="eastAsia" w:ascii="仿宋" w:hAnsi="仿宋" w:eastAsia="仿宋" w:cs="仿宋"/>
                <w:szCs w:val="21"/>
              </w:rPr>
              <w:t>9</w:t>
            </w:r>
          </w:p>
        </w:tc>
        <w:tc>
          <w:tcPr>
            <w:tcW w:w="2486" w:type="dxa"/>
            <w:tcBorders>
              <w:top w:val="single" w:color="auto" w:sz="4" w:space="0"/>
              <w:left w:val="single" w:color="auto" w:sz="4" w:space="0"/>
              <w:bottom w:val="single" w:color="auto" w:sz="4" w:space="0"/>
              <w:right w:val="single" w:color="auto" w:sz="4" w:space="0"/>
            </w:tcBorders>
            <w:vAlign w:val="center"/>
          </w:tcPr>
          <w:p w14:paraId="22DCAD22">
            <w:pPr>
              <w:pStyle w:val="55"/>
              <w:jc w:val="center"/>
              <w:rPr>
                <w:rFonts w:ascii="仿宋" w:hAnsi="仿宋" w:eastAsia="仿宋" w:cs="仿宋"/>
                <w:szCs w:val="21"/>
              </w:rPr>
            </w:pPr>
            <w:r>
              <w:rPr>
                <w:rFonts w:hint="eastAsia" w:ascii="仿宋" w:hAnsi="仿宋" w:eastAsia="仿宋" w:cs="仿宋"/>
                <w:szCs w:val="21"/>
              </w:rPr>
              <w:t>是否采用电子招标投标</w:t>
            </w:r>
          </w:p>
        </w:tc>
        <w:tc>
          <w:tcPr>
            <w:tcW w:w="5830" w:type="dxa"/>
            <w:tcBorders>
              <w:top w:val="single" w:color="auto" w:sz="4" w:space="0"/>
              <w:left w:val="single" w:color="auto" w:sz="4" w:space="0"/>
              <w:bottom w:val="single" w:color="auto" w:sz="4" w:space="0"/>
              <w:right w:val="single" w:color="auto" w:sz="4" w:space="0"/>
            </w:tcBorders>
            <w:vAlign w:val="center"/>
          </w:tcPr>
          <w:p w14:paraId="475E369F">
            <w:pPr>
              <w:adjustRightInd w:val="0"/>
              <w:spacing w:line="400" w:lineRule="exact"/>
              <w:rPr>
                <w:rFonts w:ascii="仿宋" w:hAnsi="仿宋" w:eastAsia="仿宋" w:cs="仿宋"/>
                <w:szCs w:val="21"/>
              </w:rPr>
            </w:pPr>
            <w:r>
              <w:rPr>
                <w:rFonts w:hint="eastAsia" w:ascii="仿宋" w:hAnsi="仿宋" w:eastAsia="仿宋" w:cs="仿宋"/>
                <w:szCs w:val="21"/>
              </w:rPr>
              <w:t>是；具体要求：投标文件所附证明材料均为原件的扫描件（或照片），尺寸和清晰度应该能够在电脑上被阅读、识别和判断；若投标人未按要求提供证明材料或提供不清晰的扫描件（或照片）的，评标委员会有权认定其投标文件未对招标文件有关要求进行响应，涉及资格审查或符合性审查的将不予通过。</w:t>
            </w:r>
          </w:p>
        </w:tc>
      </w:tr>
      <w:tr w14:paraId="5EC4D997">
        <w:tblPrEx>
          <w:tblCellMar>
            <w:top w:w="0" w:type="dxa"/>
            <w:left w:w="108" w:type="dxa"/>
            <w:bottom w:w="0" w:type="dxa"/>
            <w:right w:w="108" w:type="dxa"/>
          </w:tblCellMar>
        </w:tblPrEx>
        <w:trPr>
          <w:trHeight w:val="644"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173AB7C6">
            <w:pPr>
              <w:spacing w:line="400" w:lineRule="exact"/>
              <w:jc w:val="center"/>
              <w:rPr>
                <w:rFonts w:ascii="仿宋" w:hAnsi="仿宋" w:eastAsia="仿宋" w:cs="仿宋"/>
                <w:szCs w:val="21"/>
              </w:rPr>
            </w:pPr>
            <w:r>
              <w:rPr>
                <w:rFonts w:hint="eastAsia" w:ascii="仿宋" w:hAnsi="仿宋" w:eastAsia="仿宋" w:cs="仿宋"/>
                <w:szCs w:val="21"/>
              </w:rPr>
              <w:t>10</w:t>
            </w:r>
          </w:p>
        </w:tc>
        <w:tc>
          <w:tcPr>
            <w:tcW w:w="8316" w:type="dxa"/>
            <w:gridSpan w:val="2"/>
            <w:tcBorders>
              <w:top w:val="single" w:color="auto" w:sz="4" w:space="0"/>
              <w:left w:val="single" w:color="auto" w:sz="4" w:space="0"/>
              <w:bottom w:val="single" w:color="auto" w:sz="4" w:space="0"/>
              <w:right w:val="single" w:color="auto" w:sz="4" w:space="0"/>
            </w:tcBorders>
            <w:vAlign w:val="center"/>
          </w:tcPr>
          <w:p w14:paraId="4BDD4D28">
            <w:pPr>
              <w:spacing w:line="400" w:lineRule="exact"/>
              <w:jc w:val="center"/>
              <w:rPr>
                <w:rFonts w:ascii="仿宋" w:hAnsi="仿宋" w:eastAsia="仿宋" w:cs="仿宋"/>
                <w:szCs w:val="21"/>
              </w:rPr>
            </w:pPr>
            <w:r>
              <w:rPr>
                <w:rFonts w:hint="eastAsia" w:ascii="仿宋" w:hAnsi="仿宋" w:eastAsia="仿宋" w:cs="仿宋"/>
                <w:b/>
                <w:bCs/>
                <w:szCs w:val="21"/>
              </w:rPr>
              <w:t>需要补充的其他内容</w:t>
            </w:r>
          </w:p>
        </w:tc>
      </w:tr>
      <w:tr w14:paraId="6D12EB48">
        <w:tblPrEx>
          <w:tblCellMar>
            <w:top w:w="0" w:type="dxa"/>
            <w:left w:w="108" w:type="dxa"/>
            <w:bottom w:w="0" w:type="dxa"/>
            <w:right w:w="108" w:type="dxa"/>
          </w:tblCellMar>
        </w:tblPrEx>
        <w:trPr>
          <w:trHeight w:val="540"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4FA631FF">
            <w:pPr>
              <w:spacing w:line="400" w:lineRule="exact"/>
              <w:jc w:val="center"/>
              <w:rPr>
                <w:rFonts w:ascii="仿宋" w:hAnsi="仿宋" w:eastAsia="仿宋" w:cs="仿宋"/>
                <w:szCs w:val="21"/>
              </w:rPr>
            </w:pPr>
            <w:r>
              <w:rPr>
                <w:rFonts w:hint="eastAsia" w:ascii="仿宋" w:hAnsi="仿宋" w:eastAsia="仿宋" w:cs="仿宋"/>
                <w:szCs w:val="21"/>
              </w:rPr>
              <w:t>10.1</w:t>
            </w:r>
          </w:p>
        </w:tc>
        <w:tc>
          <w:tcPr>
            <w:tcW w:w="2486" w:type="dxa"/>
            <w:tcBorders>
              <w:top w:val="single" w:color="auto" w:sz="4" w:space="0"/>
              <w:left w:val="single" w:color="auto" w:sz="4" w:space="0"/>
              <w:bottom w:val="single" w:color="auto" w:sz="4" w:space="0"/>
              <w:right w:val="single" w:color="auto" w:sz="4" w:space="0"/>
            </w:tcBorders>
            <w:vAlign w:val="center"/>
          </w:tcPr>
          <w:p w14:paraId="0D3EF1EE">
            <w:pPr>
              <w:pStyle w:val="55"/>
              <w:jc w:val="center"/>
              <w:rPr>
                <w:rFonts w:ascii="仿宋" w:hAnsi="仿宋" w:eastAsia="仿宋" w:cs="仿宋"/>
                <w:szCs w:val="21"/>
              </w:rPr>
            </w:pPr>
            <w:r>
              <w:rPr>
                <w:rFonts w:hint="eastAsia" w:ascii="仿宋" w:hAnsi="仿宋" w:eastAsia="仿宋" w:cs="仿宋"/>
                <w:szCs w:val="21"/>
              </w:rPr>
              <w:t>投标人代表出席开标会</w:t>
            </w:r>
          </w:p>
        </w:tc>
        <w:tc>
          <w:tcPr>
            <w:tcW w:w="5830" w:type="dxa"/>
            <w:tcBorders>
              <w:top w:val="single" w:color="auto" w:sz="4" w:space="0"/>
              <w:left w:val="single" w:color="auto" w:sz="4" w:space="0"/>
              <w:bottom w:val="single" w:color="auto" w:sz="4" w:space="0"/>
              <w:right w:val="single" w:color="auto" w:sz="4" w:space="0"/>
            </w:tcBorders>
            <w:vAlign w:val="center"/>
          </w:tcPr>
          <w:p w14:paraId="75B7855B">
            <w:pPr>
              <w:wordWrap w:val="0"/>
              <w:autoSpaceDE w:val="0"/>
              <w:autoSpaceDN w:val="0"/>
              <w:adjustRightInd w:val="0"/>
              <w:spacing w:line="400" w:lineRule="exact"/>
              <w:rPr>
                <w:rFonts w:ascii="仿宋" w:hAnsi="仿宋" w:eastAsia="仿宋" w:cs="仿宋"/>
                <w:szCs w:val="21"/>
              </w:rPr>
            </w:pPr>
            <w:r>
              <w:rPr>
                <w:rFonts w:hint="eastAsia" w:ascii="仿宋" w:hAnsi="仿宋" w:eastAsia="仿宋" w:cs="仿宋"/>
                <w:szCs w:val="21"/>
              </w:rPr>
              <w:t>本项目采用远程不见面交易的模式，开标当日，投标人无需到开标现场参加开标会议，投标人应当在投标截止时间前，访问到http://61.54.85.189/BidOpening进入，在线准时参加开标活动并进行投标文件解密等。因投标人原因未能解密、解密失败或解密超时的将被拒绝。请参照洛阳市公共资源交易中心首页-办事指南-下载中心-新交易平台使用手册。</w:t>
            </w:r>
          </w:p>
        </w:tc>
      </w:tr>
      <w:tr w14:paraId="2DB91748">
        <w:tblPrEx>
          <w:tblCellMar>
            <w:top w:w="0" w:type="dxa"/>
            <w:left w:w="108" w:type="dxa"/>
            <w:bottom w:w="0" w:type="dxa"/>
            <w:right w:w="108" w:type="dxa"/>
          </w:tblCellMar>
        </w:tblPrEx>
        <w:trPr>
          <w:trHeight w:val="540"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5FDEE521">
            <w:pPr>
              <w:spacing w:line="400" w:lineRule="exact"/>
              <w:jc w:val="center"/>
              <w:rPr>
                <w:rFonts w:ascii="仿宋" w:hAnsi="仿宋" w:eastAsia="仿宋" w:cs="仿宋"/>
                <w:szCs w:val="21"/>
              </w:rPr>
            </w:pPr>
            <w:r>
              <w:rPr>
                <w:rFonts w:hint="eastAsia" w:ascii="仿宋" w:hAnsi="仿宋" w:eastAsia="仿宋" w:cs="仿宋"/>
                <w:szCs w:val="21"/>
              </w:rPr>
              <w:t>10.2</w:t>
            </w:r>
          </w:p>
        </w:tc>
        <w:tc>
          <w:tcPr>
            <w:tcW w:w="2486" w:type="dxa"/>
            <w:tcBorders>
              <w:top w:val="single" w:color="auto" w:sz="4" w:space="0"/>
              <w:left w:val="single" w:color="auto" w:sz="4" w:space="0"/>
              <w:bottom w:val="single" w:color="auto" w:sz="4" w:space="0"/>
              <w:right w:val="single" w:color="auto" w:sz="4" w:space="0"/>
            </w:tcBorders>
            <w:vAlign w:val="center"/>
          </w:tcPr>
          <w:p w14:paraId="5069DD33">
            <w:pPr>
              <w:pStyle w:val="55"/>
              <w:jc w:val="center"/>
              <w:rPr>
                <w:rFonts w:ascii="仿宋" w:hAnsi="仿宋" w:eastAsia="仿宋" w:cs="仿宋"/>
                <w:szCs w:val="21"/>
              </w:rPr>
            </w:pPr>
            <w:r>
              <w:rPr>
                <w:rFonts w:hint="eastAsia" w:ascii="仿宋" w:hAnsi="仿宋" w:eastAsia="仿宋" w:cs="仿宋"/>
                <w:szCs w:val="21"/>
              </w:rPr>
              <w:t>代理服务费</w:t>
            </w:r>
          </w:p>
        </w:tc>
        <w:tc>
          <w:tcPr>
            <w:tcW w:w="5830" w:type="dxa"/>
            <w:tcBorders>
              <w:top w:val="single" w:color="auto" w:sz="4" w:space="0"/>
              <w:left w:val="single" w:color="auto" w:sz="4" w:space="0"/>
              <w:bottom w:val="single" w:color="auto" w:sz="4" w:space="0"/>
              <w:right w:val="single" w:color="auto" w:sz="4" w:space="0"/>
            </w:tcBorders>
            <w:vAlign w:val="center"/>
          </w:tcPr>
          <w:p w14:paraId="2335763B">
            <w:pPr>
              <w:wordWrap w:val="0"/>
              <w:autoSpaceDE w:val="0"/>
              <w:autoSpaceDN w:val="0"/>
              <w:adjustRightInd w:val="0"/>
              <w:spacing w:line="400" w:lineRule="exact"/>
              <w:rPr>
                <w:rFonts w:ascii="仿宋" w:hAnsi="仿宋" w:eastAsia="仿宋" w:cs="仿宋"/>
                <w:szCs w:val="21"/>
              </w:rPr>
            </w:pPr>
            <w:r>
              <w:rPr>
                <w:rFonts w:hint="eastAsia" w:ascii="仿宋" w:hAnsi="仿宋" w:eastAsia="仿宋" w:cs="仿宋"/>
                <w:szCs w:val="21"/>
              </w:rPr>
              <w:t>本</w:t>
            </w:r>
            <w:r>
              <w:rPr>
                <w:rFonts w:hint="eastAsia" w:ascii="仿宋" w:hAnsi="仿宋" w:eastAsia="仿宋" w:cs="仿宋"/>
                <w:szCs w:val="21"/>
                <w:lang w:eastAsia="zh-CN"/>
              </w:rPr>
              <w:t>项目</w:t>
            </w:r>
            <w:r>
              <w:rPr>
                <w:rFonts w:hint="eastAsia" w:ascii="仿宋" w:hAnsi="仿宋" w:eastAsia="仿宋" w:cs="仿宋"/>
                <w:szCs w:val="21"/>
              </w:rPr>
              <w:t>招标代理服务费参照河南省招标代理服务收费计算标准（豫招协【2023】002号）文件标准</w:t>
            </w:r>
            <w:r>
              <w:rPr>
                <w:rFonts w:hint="eastAsia" w:ascii="仿宋" w:hAnsi="仿宋" w:eastAsia="仿宋" w:cs="仿宋"/>
                <w:szCs w:val="21"/>
                <w:lang w:eastAsia="zh-CN"/>
              </w:rPr>
              <w:t>的</w:t>
            </w:r>
            <w:r>
              <w:rPr>
                <w:rFonts w:hint="eastAsia" w:ascii="仿宋" w:hAnsi="仿宋" w:eastAsia="仿宋" w:cs="仿宋"/>
                <w:szCs w:val="21"/>
                <w:lang w:val="en-US" w:eastAsia="zh-CN"/>
              </w:rPr>
              <w:t>95%</w:t>
            </w:r>
            <w:r>
              <w:rPr>
                <w:rFonts w:hint="eastAsia" w:ascii="仿宋" w:hAnsi="仿宋" w:eastAsia="仿宋" w:cs="仿宋"/>
                <w:szCs w:val="21"/>
              </w:rPr>
              <w:t>计取。由中标人向代理机构一次性支付。中标人在领取《中标通知书》前，向招标代理机构一次性转账缴纳招标代理服务费，此费用由投标人在投标报价中综合考虑。</w:t>
            </w:r>
          </w:p>
        </w:tc>
      </w:tr>
      <w:tr w14:paraId="62F914BC">
        <w:tblPrEx>
          <w:tblCellMar>
            <w:top w:w="0" w:type="dxa"/>
            <w:left w:w="108" w:type="dxa"/>
            <w:bottom w:w="0" w:type="dxa"/>
            <w:right w:w="108" w:type="dxa"/>
          </w:tblCellMar>
        </w:tblPrEx>
        <w:trPr>
          <w:trHeight w:val="540"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3DFBD977">
            <w:pPr>
              <w:spacing w:line="400" w:lineRule="exact"/>
              <w:jc w:val="center"/>
              <w:rPr>
                <w:rFonts w:ascii="仿宋" w:hAnsi="仿宋" w:eastAsia="仿宋" w:cs="仿宋"/>
                <w:szCs w:val="21"/>
              </w:rPr>
            </w:pPr>
            <w:r>
              <w:rPr>
                <w:rFonts w:hint="eastAsia" w:ascii="仿宋" w:hAnsi="仿宋" w:eastAsia="仿宋" w:cs="仿宋"/>
                <w:szCs w:val="21"/>
              </w:rPr>
              <w:t>10.3</w:t>
            </w:r>
          </w:p>
        </w:tc>
        <w:tc>
          <w:tcPr>
            <w:tcW w:w="2486" w:type="dxa"/>
            <w:tcBorders>
              <w:top w:val="single" w:color="auto" w:sz="4" w:space="0"/>
              <w:left w:val="single" w:color="auto" w:sz="4" w:space="0"/>
              <w:bottom w:val="single" w:color="auto" w:sz="4" w:space="0"/>
              <w:right w:val="single" w:color="auto" w:sz="4" w:space="0"/>
            </w:tcBorders>
            <w:vAlign w:val="center"/>
          </w:tcPr>
          <w:p w14:paraId="7661D3B9">
            <w:pPr>
              <w:spacing w:line="400" w:lineRule="exact"/>
              <w:jc w:val="center"/>
              <w:rPr>
                <w:rFonts w:ascii="仿宋" w:hAnsi="仿宋" w:eastAsia="仿宋" w:cs="仿宋"/>
                <w:szCs w:val="21"/>
                <w:highlight w:val="none"/>
              </w:rPr>
            </w:pPr>
            <w:r>
              <w:rPr>
                <w:rFonts w:hint="eastAsia" w:ascii="仿宋" w:hAnsi="仿宋" w:eastAsia="仿宋" w:cs="仿宋"/>
                <w:szCs w:val="21"/>
                <w:highlight w:val="none"/>
              </w:rPr>
              <w:t>付款方式</w:t>
            </w:r>
          </w:p>
        </w:tc>
        <w:tc>
          <w:tcPr>
            <w:tcW w:w="5830" w:type="dxa"/>
            <w:tcBorders>
              <w:top w:val="single" w:color="auto" w:sz="4" w:space="0"/>
              <w:left w:val="single" w:color="auto" w:sz="4" w:space="0"/>
              <w:bottom w:val="single" w:color="auto" w:sz="4" w:space="0"/>
              <w:right w:val="single" w:color="auto" w:sz="4" w:space="0"/>
            </w:tcBorders>
            <w:vAlign w:val="center"/>
          </w:tcPr>
          <w:p w14:paraId="593E747D">
            <w:pPr>
              <w:wordWrap w:val="0"/>
              <w:autoSpaceDE w:val="0"/>
              <w:autoSpaceDN w:val="0"/>
              <w:adjustRightInd w:val="0"/>
              <w:spacing w:line="400" w:lineRule="exact"/>
              <w:rPr>
                <w:rFonts w:hint="default" w:ascii="仿宋" w:hAnsi="仿宋" w:eastAsia="仿宋" w:cs="仿宋"/>
                <w:szCs w:val="21"/>
                <w:lang w:val="en-US" w:eastAsia="zh-CN"/>
              </w:rPr>
            </w:pPr>
            <w:r>
              <w:rPr>
                <w:rFonts w:hint="eastAsia" w:ascii="仿宋" w:hAnsi="仿宋" w:eastAsia="仿宋" w:cs="仿宋"/>
                <w:szCs w:val="21"/>
                <w:lang w:val="en-US" w:eastAsia="zh-CN"/>
              </w:rPr>
              <w:t>设备安装调试完成后付合同价20%，验收通过后付至验收审定金额的97%，剩余3%为质保金。最终付款以双方签订合同为准。</w:t>
            </w:r>
          </w:p>
        </w:tc>
      </w:tr>
      <w:tr w14:paraId="581785F2">
        <w:tblPrEx>
          <w:tblCellMar>
            <w:top w:w="0" w:type="dxa"/>
            <w:left w:w="108" w:type="dxa"/>
            <w:bottom w:w="0" w:type="dxa"/>
            <w:right w:w="108" w:type="dxa"/>
          </w:tblCellMar>
        </w:tblPrEx>
        <w:trPr>
          <w:trHeight w:val="540"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36AE3676">
            <w:pPr>
              <w:spacing w:line="400" w:lineRule="exact"/>
              <w:jc w:val="center"/>
              <w:rPr>
                <w:rFonts w:hint="eastAsia" w:ascii="仿宋" w:hAnsi="仿宋" w:eastAsia="仿宋" w:cs="仿宋"/>
                <w:szCs w:val="21"/>
                <w:lang w:val="en-US" w:eastAsia="zh-CN"/>
              </w:rPr>
            </w:pPr>
            <w:r>
              <w:rPr>
                <w:rFonts w:hint="eastAsia" w:ascii="仿宋" w:hAnsi="仿宋" w:eastAsia="仿宋" w:cs="仿宋"/>
                <w:szCs w:val="21"/>
              </w:rPr>
              <w:t>10.</w:t>
            </w:r>
            <w:r>
              <w:rPr>
                <w:rFonts w:hint="eastAsia" w:ascii="仿宋" w:hAnsi="仿宋" w:eastAsia="仿宋" w:cs="仿宋"/>
                <w:szCs w:val="21"/>
                <w:lang w:val="en-US" w:eastAsia="zh-CN"/>
              </w:rPr>
              <w:t>4</w:t>
            </w:r>
          </w:p>
        </w:tc>
        <w:tc>
          <w:tcPr>
            <w:tcW w:w="2486" w:type="dxa"/>
            <w:tcBorders>
              <w:top w:val="single" w:color="auto" w:sz="4" w:space="0"/>
              <w:left w:val="single" w:color="auto" w:sz="4" w:space="0"/>
              <w:bottom w:val="single" w:color="auto" w:sz="4" w:space="0"/>
              <w:right w:val="single" w:color="auto" w:sz="4" w:space="0"/>
            </w:tcBorders>
            <w:vAlign w:val="center"/>
          </w:tcPr>
          <w:p w14:paraId="498706A2">
            <w:pPr>
              <w:pStyle w:val="55"/>
              <w:jc w:val="center"/>
              <w:rPr>
                <w:rFonts w:ascii="仿宋" w:hAnsi="仿宋" w:eastAsia="仿宋" w:cs="仿宋"/>
                <w:szCs w:val="21"/>
              </w:rPr>
            </w:pPr>
            <w:r>
              <w:rPr>
                <w:rFonts w:hint="eastAsia" w:ascii="仿宋" w:hAnsi="仿宋" w:eastAsia="仿宋" w:cs="仿宋"/>
                <w:szCs w:val="21"/>
              </w:rPr>
              <w:t>投标人违法行为</w:t>
            </w:r>
          </w:p>
          <w:p w14:paraId="14AD0CFC">
            <w:pPr>
              <w:pStyle w:val="55"/>
              <w:jc w:val="center"/>
              <w:rPr>
                <w:rFonts w:ascii="仿宋" w:hAnsi="仿宋" w:eastAsia="仿宋" w:cs="仿宋"/>
                <w:szCs w:val="21"/>
              </w:rPr>
            </w:pPr>
            <w:r>
              <w:rPr>
                <w:rFonts w:hint="eastAsia" w:ascii="仿宋" w:hAnsi="仿宋" w:eastAsia="仿宋" w:cs="仿宋"/>
                <w:szCs w:val="21"/>
              </w:rPr>
              <w:t>的处理</w:t>
            </w:r>
          </w:p>
        </w:tc>
        <w:tc>
          <w:tcPr>
            <w:tcW w:w="5830" w:type="dxa"/>
            <w:tcBorders>
              <w:top w:val="single" w:color="auto" w:sz="4" w:space="0"/>
              <w:left w:val="single" w:color="auto" w:sz="4" w:space="0"/>
              <w:bottom w:val="single" w:color="auto" w:sz="4" w:space="0"/>
              <w:right w:val="single" w:color="auto" w:sz="4" w:space="0"/>
            </w:tcBorders>
            <w:vAlign w:val="center"/>
          </w:tcPr>
          <w:p w14:paraId="72DA80FA">
            <w:pPr>
              <w:adjustRightInd w:val="0"/>
              <w:spacing w:line="400" w:lineRule="exact"/>
              <w:rPr>
                <w:rFonts w:ascii="仿宋" w:hAnsi="仿宋" w:eastAsia="仿宋" w:cs="仿宋"/>
                <w:szCs w:val="21"/>
              </w:rPr>
            </w:pPr>
            <w:r>
              <w:rPr>
                <w:rFonts w:hint="eastAsia" w:ascii="仿宋" w:hAnsi="仿宋" w:eastAsia="仿宋" w:cs="仿宋"/>
                <w:szCs w:val="21"/>
              </w:rPr>
              <w:t>招标人若发现评标委员会推举的中标候选人有借用资质、串标围标、弄虚作假或其他违法行为谋取中标的，招标人将报请有关监督部门取消其中候选人资格或中标资格，情节严重的，招标人将上报有关监督部门按相关法律法规处理。给招标人造成的损失还应当予以赔偿。</w:t>
            </w:r>
          </w:p>
        </w:tc>
      </w:tr>
      <w:tr w14:paraId="36E59D94">
        <w:tblPrEx>
          <w:tblCellMar>
            <w:top w:w="0" w:type="dxa"/>
            <w:left w:w="108" w:type="dxa"/>
            <w:bottom w:w="0" w:type="dxa"/>
            <w:right w:w="108" w:type="dxa"/>
          </w:tblCellMar>
        </w:tblPrEx>
        <w:trPr>
          <w:trHeight w:val="540"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6ACD7388">
            <w:pPr>
              <w:spacing w:line="400" w:lineRule="exact"/>
              <w:jc w:val="center"/>
              <w:rPr>
                <w:rFonts w:hint="eastAsia" w:ascii="仿宋" w:hAnsi="仿宋" w:eastAsia="仿宋" w:cs="仿宋"/>
                <w:szCs w:val="21"/>
                <w:lang w:val="en-US" w:eastAsia="zh-CN"/>
              </w:rPr>
            </w:pPr>
            <w:r>
              <w:rPr>
                <w:rFonts w:hint="eastAsia" w:ascii="仿宋" w:hAnsi="仿宋" w:eastAsia="仿宋" w:cs="仿宋"/>
                <w:szCs w:val="21"/>
              </w:rPr>
              <w:t>10.</w:t>
            </w:r>
            <w:r>
              <w:rPr>
                <w:rFonts w:hint="eastAsia" w:ascii="仿宋" w:hAnsi="仿宋" w:eastAsia="仿宋" w:cs="仿宋"/>
                <w:szCs w:val="21"/>
                <w:lang w:val="en-US" w:eastAsia="zh-CN"/>
              </w:rPr>
              <w:t>5</w:t>
            </w:r>
          </w:p>
        </w:tc>
        <w:tc>
          <w:tcPr>
            <w:tcW w:w="2486" w:type="dxa"/>
            <w:tcBorders>
              <w:top w:val="single" w:color="auto" w:sz="4" w:space="0"/>
              <w:left w:val="single" w:color="auto" w:sz="4" w:space="0"/>
              <w:bottom w:val="single" w:color="auto" w:sz="4" w:space="0"/>
              <w:right w:val="single" w:color="auto" w:sz="4" w:space="0"/>
            </w:tcBorders>
            <w:vAlign w:val="center"/>
          </w:tcPr>
          <w:p w14:paraId="5CE8E96C">
            <w:pPr>
              <w:pStyle w:val="55"/>
              <w:jc w:val="center"/>
              <w:rPr>
                <w:rFonts w:ascii="仿宋" w:hAnsi="仿宋" w:eastAsia="仿宋" w:cs="仿宋"/>
                <w:szCs w:val="21"/>
              </w:rPr>
            </w:pPr>
            <w:r>
              <w:rPr>
                <w:rFonts w:hint="eastAsia" w:ascii="仿宋" w:hAnsi="仿宋" w:eastAsia="仿宋" w:cs="仿宋"/>
                <w:szCs w:val="21"/>
              </w:rPr>
              <w:t>解释权</w:t>
            </w:r>
          </w:p>
        </w:tc>
        <w:tc>
          <w:tcPr>
            <w:tcW w:w="5830" w:type="dxa"/>
            <w:tcBorders>
              <w:top w:val="single" w:color="auto" w:sz="4" w:space="0"/>
              <w:left w:val="single" w:color="auto" w:sz="4" w:space="0"/>
              <w:bottom w:val="single" w:color="auto" w:sz="4" w:space="0"/>
              <w:right w:val="single" w:color="auto" w:sz="4" w:space="0"/>
            </w:tcBorders>
            <w:vAlign w:val="center"/>
          </w:tcPr>
          <w:p w14:paraId="6EDBE242">
            <w:pPr>
              <w:adjustRightInd w:val="0"/>
              <w:spacing w:line="400" w:lineRule="exact"/>
              <w:rPr>
                <w:rFonts w:ascii="仿宋" w:hAnsi="仿宋" w:eastAsia="仿宋" w:cs="仿宋"/>
                <w:szCs w:val="21"/>
              </w:rPr>
            </w:pPr>
            <w:r>
              <w:rPr>
                <w:rFonts w:hint="eastAsia" w:ascii="仿宋" w:hAnsi="仿宋" w:eastAsia="仿宋" w:cs="仿宋"/>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或招标代理机构负责解释。</w:t>
            </w:r>
          </w:p>
        </w:tc>
      </w:tr>
      <w:tr w14:paraId="47FA27F8">
        <w:tblPrEx>
          <w:tblCellMar>
            <w:top w:w="0" w:type="dxa"/>
            <w:left w:w="108" w:type="dxa"/>
            <w:bottom w:w="0" w:type="dxa"/>
            <w:right w:w="108" w:type="dxa"/>
          </w:tblCellMar>
        </w:tblPrEx>
        <w:trPr>
          <w:trHeight w:val="410"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7BA6F2FA">
            <w:pPr>
              <w:spacing w:line="400" w:lineRule="exact"/>
              <w:jc w:val="center"/>
              <w:rPr>
                <w:rFonts w:hint="eastAsia" w:ascii="仿宋" w:hAnsi="仿宋" w:eastAsia="仿宋" w:cs="仿宋"/>
                <w:szCs w:val="21"/>
                <w:lang w:val="en-US" w:eastAsia="zh-CN"/>
              </w:rPr>
            </w:pPr>
            <w:r>
              <w:rPr>
                <w:rFonts w:hint="eastAsia" w:ascii="仿宋" w:hAnsi="仿宋" w:eastAsia="仿宋" w:cs="仿宋"/>
                <w:szCs w:val="21"/>
              </w:rPr>
              <w:t>10.</w:t>
            </w:r>
            <w:r>
              <w:rPr>
                <w:rFonts w:hint="eastAsia" w:ascii="仿宋" w:hAnsi="仿宋" w:eastAsia="仿宋" w:cs="仿宋"/>
                <w:szCs w:val="21"/>
                <w:lang w:val="en-US" w:eastAsia="zh-CN"/>
              </w:rPr>
              <w:t>6</w:t>
            </w:r>
          </w:p>
        </w:tc>
        <w:tc>
          <w:tcPr>
            <w:tcW w:w="2486" w:type="dxa"/>
            <w:tcBorders>
              <w:top w:val="single" w:color="auto" w:sz="4" w:space="0"/>
              <w:left w:val="single" w:color="auto" w:sz="4" w:space="0"/>
              <w:bottom w:val="single" w:color="auto" w:sz="4" w:space="0"/>
              <w:right w:val="single" w:color="auto" w:sz="4" w:space="0"/>
            </w:tcBorders>
            <w:vAlign w:val="center"/>
          </w:tcPr>
          <w:p w14:paraId="381BEFF8">
            <w:pPr>
              <w:pStyle w:val="55"/>
              <w:jc w:val="center"/>
              <w:rPr>
                <w:rFonts w:ascii="仿宋" w:hAnsi="仿宋" w:eastAsia="仿宋" w:cs="仿宋"/>
                <w:szCs w:val="21"/>
              </w:rPr>
            </w:pPr>
            <w:r>
              <w:rPr>
                <w:rFonts w:hint="eastAsia" w:ascii="仿宋" w:hAnsi="仿宋" w:eastAsia="仿宋" w:cs="仿宋"/>
                <w:szCs w:val="21"/>
              </w:rPr>
              <w:t>知识产权</w:t>
            </w:r>
          </w:p>
        </w:tc>
        <w:tc>
          <w:tcPr>
            <w:tcW w:w="5830" w:type="dxa"/>
            <w:tcBorders>
              <w:top w:val="single" w:color="auto" w:sz="4" w:space="0"/>
              <w:left w:val="single" w:color="auto" w:sz="4" w:space="0"/>
              <w:bottom w:val="single" w:color="auto" w:sz="4" w:space="0"/>
              <w:right w:val="single" w:color="auto" w:sz="4" w:space="0"/>
            </w:tcBorders>
            <w:vAlign w:val="center"/>
          </w:tcPr>
          <w:p w14:paraId="7050E809">
            <w:pPr>
              <w:adjustRightInd w:val="0"/>
              <w:spacing w:line="400" w:lineRule="exact"/>
              <w:rPr>
                <w:rFonts w:ascii="仿宋" w:hAnsi="仿宋" w:eastAsia="仿宋" w:cs="仿宋"/>
                <w:szCs w:val="21"/>
              </w:rPr>
            </w:pPr>
            <w:r>
              <w:rPr>
                <w:rFonts w:hint="eastAsia" w:ascii="仿宋" w:hAnsi="仿宋" w:eastAsia="仿宋" w:cs="仿宋"/>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当投标人报价涉及到专利技术、知识产权时，所发生的费用应包含在投标报价中，招标人不另行支付。</w:t>
            </w:r>
          </w:p>
        </w:tc>
      </w:tr>
      <w:tr w14:paraId="7BFB611A">
        <w:tblPrEx>
          <w:tblCellMar>
            <w:top w:w="0" w:type="dxa"/>
            <w:left w:w="108" w:type="dxa"/>
            <w:bottom w:w="0" w:type="dxa"/>
            <w:right w:w="108" w:type="dxa"/>
          </w:tblCellMar>
        </w:tblPrEx>
        <w:trPr>
          <w:trHeight w:val="540"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480A3739">
            <w:pPr>
              <w:spacing w:line="400" w:lineRule="exact"/>
              <w:jc w:val="center"/>
              <w:rPr>
                <w:rFonts w:hint="eastAsia" w:ascii="仿宋" w:hAnsi="仿宋" w:eastAsia="仿宋" w:cs="仿宋"/>
                <w:szCs w:val="21"/>
                <w:lang w:val="en-US" w:eastAsia="zh-CN"/>
              </w:rPr>
            </w:pPr>
            <w:r>
              <w:rPr>
                <w:rFonts w:hint="eastAsia" w:ascii="仿宋" w:hAnsi="仿宋" w:eastAsia="仿宋" w:cs="仿宋"/>
                <w:szCs w:val="21"/>
              </w:rPr>
              <w:t>10.</w:t>
            </w:r>
            <w:r>
              <w:rPr>
                <w:rFonts w:hint="eastAsia" w:ascii="仿宋" w:hAnsi="仿宋" w:eastAsia="仿宋" w:cs="仿宋"/>
                <w:szCs w:val="21"/>
                <w:lang w:val="en-US" w:eastAsia="zh-CN"/>
              </w:rPr>
              <w:t>7</w:t>
            </w:r>
          </w:p>
        </w:tc>
        <w:tc>
          <w:tcPr>
            <w:tcW w:w="2486" w:type="dxa"/>
            <w:tcBorders>
              <w:top w:val="single" w:color="auto" w:sz="4" w:space="0"/>
              <w:left w:val="single" w:color="auto" w:sz="4" w:space="0"/>
              <w:bottom w:val="single" w:color="auto" w:sz="4" w:space="0"/>
              <w:right w:val="single" w:color="auto" w:sz="4" w:space="0"/>
            </w:tcBorders>
            <w:vAlign w:val="center"/>
          </w:tcPr>
          <w:p w14:paraId="06A0CF33">
            <w:pPr>
              <w:pStyle w:val="55"/>
              <w:jc w:val="center"/>
              <w:rPr>
                <w:rFonts w:ascii="仿宋" w:hAnsi="仿宋" w:eastAsia="仿宋" w:cs="仿宋"/>
                <w:szCs w:val="21"/>
              </w:rPr>
            </w:pPr>
            <w:r>
              <w:rPr>
                <w:rFonts w:hint="eastAsia" w:ascii="仿宋" w:hAnsi="仿宋" w:eastAsia="仿宋" w:cs="仿宋"/>
                <w:szCs w:val="21"/>
              </w:rPr>
              <w:t>其他说明</w:t>
            </w:r>
          </w:p>
        </w:tc>
        <w:tc>
          <w:tcPr>
            <w:tcW w:w="5830" w:type="dxa"/>
            <w:tcBorders>
              <w:top w:val="single" w:color="auto" w:sz="4" w:space="0"/>
              <w:left w:val="single" w:color="auto" w:sz="4" w:space="0"/>
              <w:bottom w:val="single" w:color="auto" w:sz="4" w:space="0"/>
              <w:right w:val="single" w:color="auto" w:sz="4" w:space="0"/>
            </w:tcBorders>
            <w:vAlign w:val="center"/>
          </w:tcPr>
          <w:p w14:paraId="0889B3AB">
            <w:pPr>
              <w:adjustRightInd w:val="0"/>
              <w:spacing w:line="400" w:lineRule="exact"/>
              <w:rPr>
                <w:rFonts w:ascii="仿宋" w:hAnsi="仿宋" w:eastAsia="仿宋" w:cs="仿宋"/>
                <w:szCs w:val="21"/>
              </w:rPr>
            </w:pPr>
            <w:r>
              <w:rPr>
                <w:rFonts w:hint="eastAsia" w:ascii="仿宋" w:hAnsi="仿宋" w:eastAsia="仿宋" w:cs="仿宋"/>
                <w:szCs w:val="21"/>
              </w:rPr>
              <w:t>注：1、本项目采用电子开评标，投标人开标前必须通过UK上传投标文件。开标时因投标人自身原因而导致投标文件无法导入“洛阳市电子招投标交易平台”电子开标、评标系统，该投标视为无效投标，投标人自行承担由此导致的全部责任。</w:t>
            </w:r>
          </w:p>
          <w:p w14:paraId="3FE5171F">
            <w:pPr>
              <w:adjustRightInd w:val="0"/>
              <w:spacing w:line="400" w:lineRule="exact"/>
              <w:rPr>
                <w:rFonts w:ascii="仿宋" w:hAnsi="仿宋" w:eastAsia="仿宋" w:cs="仿宋"/>
                <w:szCs w:val="21"/>
              </w:rPr>
            </w:pPr>
            <w:r>
              <w:rPr>
                <w:rFonts w:hint="eastAsia" w:ascii="仿宋" w:hAnsi="仿宋" w:eastAsia="仿宋" w:cs="仿宋"/>
                <w:szCs w:val="21"/>
              </w:rPr>
              <w:t>2、投标人无需递交纸质版投标文件。</w:t>
            </w:r>
          </w:p>
          <w:p w14:paraId="78308CEC">
            <w:pPr>
              <w:adjustRightInd w:val="0"/>
              <w:spacing w:line="400" w:lineRule="exact"/>
              <w:rPr>
                <w:rFonts w:ascii="仿宋" w:hAnsi="仿宋" w:eastAsia="仿宋" w:cs="仿宋"/>
                <w:szCs w:val="21"/>
              </w:rPr>
            </w:pPr>
            <w:r>
              <w:rPr>
                <w:rFonts w:hint="eastAsia" w:ascii="仿宋" w:hAnsi="仿宋" w:eastAsia="仿宋" w:cs="仿宋"/>
                <w:szCs w:val="21"/>
              </w:rPr>
              <w:t>3、投标文件的制作</w:t>
            </w:r>
          </w:p>
          <w:p w14:paraId="34FD6BC6">
            <w:pPr>
              <w:adjustRightInd w:val="0"/>
              <w:spacing w:line="400" w:lineRule="exact"/>
              <w:rPr>
                <w:rFonts w:ascii="仿宋" w:hAnsi="仿宋" w:eastAsia="仿宋" w:cs="仿宋"/>
                <w:szCs w:val="21"/>
              </w:rPr>
            </w:pPr>
            <w:r>
              <w:rPr>
                <w:rFonts w:hint="eastAsia" w:ascii="仿宋" w:hAnsi="仿宋" w:eastAsia="仿宋" w:cs="仿宋"/>
                <w:szCs w:val="21"/>
              </w:rPr>
              <w:t>（1）投标文件由投标人使用洛阳市公共资源交易中心网站提供的最新版的投标文件制作工具制作生成。</w:t>
            </w:r>
          </w:p>
          <w:p w14:paraId="5BD2ECC9">
            <w:pPr>
              <w:adjustRightInd w:val="0"/>
              <w:spacing w:line="400" w:lineRule="exact"/>
              <w:rPr>
                <w:rFonts w:ascii="仿宋" w:hAnsi="仿宋" w:eastAsia="仿宋" w:cs="仿宋"/>
                <w:szCs w:val="21"/>
              </w:rPr>
            </w:pPr>
            <w:r>
              <w:rPr>
                <w:rFonts w:hint="eastAsia" w:ascii="仿宋" w:hAnsi="仿宋" w:eastAsia="仿宋" w:cs="仿宋"/>
                <w:szCs w:val="21"/>
              </w:rPr>
              <w:t>（2）投标人在编制投标文件时应建立分级目录，并按照标签提示导入相关内容。</w:t>
            </w:r>
          </w:p>
          <w:p w14:paraId="729579AA">
            <w:pPr>
              <w:adjustRightInd w:val="0"/>
              <w:spacing w:line="400" w:lineRule="exact"/>
              <w:rPr>
                <w:rFonts w:ascii="仿宋" w:hAnsi="仿宋" w:eastAsia="仿宋" w:cs="仿宋"/>
                <w:szCs w:val="21"/>
              </w:rPr>
            </w:pPr>
            <w:r>
              <w:rPr>
                <w:rFonts w:hint="eastAsia" w:ascii="仿宋" w:hAnsi="仿宋" w:eastAsia="仿宋" w:cs="仿宋"/>
                <w:szCs w:val="21"/>
              </w:rPr>
              <w:t>（3）</w:t>
            </w:r>
            <w:r>
              <w:rPr>
                <w:rFonts w:hint="eastAsia" w:ascii="仿宋" w:hAnsi="仿宋" w:eastAsia="仿宋" w:cs="仿宋"/>
                <w:b/>
                <w:bCs/>
                <w:szCs w:val="21"/>
              </w:rPr>
              <w:t>投标文件所附证明材料均为原件的扫描件</w:t>
            </w:r>
            <w:r>
              <w:rPr>
                <w:rFonts w:hint="eastAsia" w:ascii="仿宋" w:hAnsi="仿宋" w:eastAsia="仿宋" w:cs="仿宋"/>
                <w:szCs w:val="21"/>
              </w:rPr>
              <w:t>，尺寸和清晰度应该能够在电脑上被阅读、识别和判断；若投标人未按要求提供证明材料或提供不清晰的扫描件的，评标委员会有权认定其投标文件未对招标文件有关要求进行响应，各投标单位对原件扫描件的真实性、合法性、有效性负责。</w:t>
            </w:r>
          </w:p>
          <w:p w14:paraId="609CBDC1">
            <w:pPr>
              <w:adjustRightInd w:val="0"/>
              <w:spacing w:line="400" w:lineRule="exact"/>
              <w:rPr>
                <w:rFonts w:ascii="仿宋" w:hAnsi="仿宋" w:eastAsia="仿宋" w:cs="仿宋"/>
                <w:szCs w:val="21"/>
              </w:rPr>
            </w:pPr>
            <w:r>
              <w:rPr>
                <w:rFonts w:hint="eastAsia" w:ascii="仿宋" w:hAnsi="仿宋" w:eastAsia="仿宋" w:cs="仿宋"/>
                <w:szCs w:val="21"/>
              </w:rPr>
              <w:t>（4）投标文件中要盖单位章的地方，投标人均应使用CA数字证书加盖投标人的单位电子签章。签字可以是手签后上传的，也可以是电子手写签名或法定代表人的个人电子签章。联合体投标的，投标文件由联合体牵头人按上述规定加盖联合体牵头人单位电子签章和（或）法定代表人手签后上传的，也可以是电子手写签名或法定代表人的个人电子签章。</w:t>
            </w:r>
          </w:p>
          <w:p w14:paraId="4932AC0B">
            <w:pPr>
              <w:adjustRightInd w:val="0"/>
              <w:spacing w:line="400" w:lineRule="exact"/>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）投标文件制作完成后，最后一步生成电子投标文件和对投标文件进行加密时，投标人应使用投标人单位CA数字证书。</w:t>
            </w:r>
          </w:p>
          <w:p w14:paraId="366D78C0">
            <w:pPr>
              <w:adjustRightInd w:val="0"/>
              <w:spacing w:line="400" w:lineRule="exact"/>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6</w:t>
            </w:r>
            <w:r>
              <w:rPr>
                <w:rFonts w:hint="eastAsia" w:ascii="仿宋" w:hAnsi="仿宋" w:eastAsia="仿宋" w:cs="仿宋"/>
                <w:szCs w:val="21"/>
              </w:rPr>
              <w:t>）投标文件制作的具体方法详见投标文件制作工具操作手册及投标文件制作工具中的帮助文档。</w:t>
            </w:r>
          </w:p>
        </w:tc>
      </w:tr>
      <w:tr w14:paraId="59BE4367">
        <w:tblPrEx>
          <w:tblCellMar>
            <w:top w:w="0" w:type="dxa"/>
            <w:left w:w="108" w:type="dxa"/>
            <w:bottom w:w="0" w:type="dxa"/>
            <w:right w:w="108" w:type="dxa"/>
          </w:tblCellMar>
        </w:tblPrEx>
        <w:trPr>
          <w:trHeight w:val="540"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63F94390">
            <w:pPr>
              <w:spacing w:line="400" w:lineRule="exact"/>
              <w:jc w:val="center"/>
              <w:rPr>
                <w:rFonts w:hint="eastAsia" w:ascii="仿宋" w:hAnsi="仿宋" w:eastAsia="仿宋" w:cs="仿宋"/>
                <w:szCs w:val="21"/>
                <w:lang w:eastAsia="zh-CN"/>
              </w:rPr>
            </w:pPr>
            <w:r>
              <w:rPr>
                <w:rFonts w:hint="eastAsia" w:ascii="仿宋" w:hAnsi="仿宋" w:eastAsia="仿宋" w:cs="仿宋"/>
                <w:szCs w:val="21"/>
              </w:rPr>
              <w:t>10.</w:t>
            </w:r>
            <w:r>
              <w:rPr>
                <w:rFonts w:hint="eastAsia" w:ascii="仿宋" w:hAnsi="仿宋" w:eastAsia="仿宋" w:cs="仿宋"/>
                <w:szCs w:val="21"/>
                <w:lang w:val="en-US" w:eastAsia="zh-CN"/>
              </w:rPr>
              <w:t>8</w:t>
            </w:r>
          </w:p>
        </w:tc>
        <w:tc>
          <w:tcPr>
            <w:tcW w:w="8316" w:type="dxa"/>
            <w:gridSpan w:val="2"/>
            <w:tcBorders>
              <w:top w:val="single" w:color="auto" w:sz="4" w:space="0"/>
              <w:left w:val="single" w:color="auto" w:sz="4" w:space="0"/>
              <w:bottom w:val="single" w:color="auto" w:sz="4" w:space="0"/>
              <w:right w:val="single" w:color="auto" w:sz="4" w:space="0"/>
            </w:tcBorders>
            <w:vAlign w:val="center"/>
          </w:tcPr>
          <w:p w14:paraId="5208ED2D">
            <w:pPr>
              <w:adjustRightInd w:val="0"/>
              <w:spacing w:line="400" w:lineRule="exact"/>
              <w:rPr>
                <w:rFonts w:ascii="仿宋" w:hAnsi="仿宋" w:eastAsia="仿宋" w:cs="仿宋"/>
                <w:szCs w:val="21"/>
              </w:rPr>
            </w:pPr>
            <w:r>
              <w:rPr>
                <w:rFonts w:hint="eastAsia" w:ascii="仿宋" w:hAnsi="仿宋" w:eastAsia="仿宋" w:cs="仿宋"/>
                <w:szCs w:val="21"/>
              </w:rPr>
              <w:t>招标人有权核查投标人在投标文件中提供的资料，若在评标期间发现投标人提供了虚假资料，其投标将被否决；在中标通知书发出前发现的，按中标无效处理；在合同执行阶段发现的，委托人有权通知企业解除合同，合同自委托人解除合同通知送达企业时解除，合同解除后，委托人有权不予支付任何费用，给招标人造成的损失还应当赔偿。</w:t>
            </w:r>
          </w:p>
        </w:tc>
      </w:tr>
      <w:tr w14:paraId="33C6A585">
        <w:tblPrEx>
          <w:tblCellMar>
            <w:top w:w="0" w:type="dxa"/>
            <w:left w:w="108" w:type="dxa"/>
            <w:bottom w:w="0" w:type="dxa"/>
            <w:right w:w="108" w:type="dxa"/>
          </w:tblCellMar>
        </w:tblPrEx>
        <w:trPr>
          <w:trHeight w:val="540"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74EE22C9">
            <w:pPr>
              <w:spacing w:line="400" w:lineRule="exact"/>
              <w:jc w:val="center"/>
              <w:rPr>
                <w:rFonts w:hint="default" w:ascii="仿宋" w:hAnsi="仿宋" w:eastAsia="仿宋" w:cs="仿宋"/>
                <w:szCs w:val="21"/>
                <w:lang w:val="en-US" w:eastAsia="zh-CN"/>
              </w:rPr>
            </w:pPr>
            <w:r>
              <w:rPr>
                <w:rFonts w:hint="eastAsia" w:ascii="仿宋" w:hAnsi="仿宋" w:eastAsia="仿宋" w:cs="仿宋"/>
                <w:szCs w:val="21"/>
              </w:rPr>
              <w:t>10.</w:t>
            </w:r>
            <w:r>
              <w:rPr>
                <w:rFonts w:hint="eastAsia" w:ascii="仿宋" w:hAnsi="仿宋" w:eastAsia="仿宋" w:cs="仿宋"/>
                <w:szCs w:val="21"/>
                <w:lang w:val="en-US" w:eastAsia="zh-CN"/>
              </w:rPr>
              <w:t>9</w:t>
            </w:r>
          </w:p>
        </w:tc>
        <w:tc>
          <w:tcPr>
            <w:tcW w:w="8316" w:type="dxa"/>
            <w:gridSpan w:val="2"/>
            <w:tcBorders>
              <w:top w:val="single" w:color="auto" w:sz="4" w:space="0"/>
              <w:left w:val="single" w:color="auto" w:sz="4" w:space="0"/>
              <w:bottom w:val="single" w:color="auto" w:sz="4" w:space="0"/>
              <w:right w:val="single" w:color="auto" w:sz="4" w:space="0"/>
            </w:tcBorders>
            <w:vAlign w:val="center"/>
          </w:tcPr>
          <w:p w14:paraId="7B9A095B">
            <w:pPr>
              <w:adjustRightInd w:val="0"/>
              <w:spacing w:line="400" w:lineRule="exact"/>
              <w:rPr>
                <w:rFonts w:ascii="仿宋" w:hAnsi="仿宋" w:eastAsia="仿宋" w:cs="仿宋"/>
                <w:szCs w:val="21"/>
              </w:rPr>
            </w:pPr>
            <w:r>
              <w:rPr>
                <w:rFonts w:hint="eastAsia" w:ascii="仿宋" w:hAnsi="仿宋" w:eastAsia="仿宋" w:cs="仿宋"/>
                <w:szCs w:val="21"/>
              </w:rPr>
              <w:t>根据《洛阳市住房和城乡建设局关于进一步做好房屋建筑和市政基础设施工程电子投标文件雷同认定与处理的通知》（洛建〔2022〕47号），房屋建筑和市政基础设施工程数据电文形式投标文件（以下简称电子投标文件）的雷同认定如下：</w:t>
            </w:r>
          </w:p>
          <w:p w14:paraId="7DB09938">
            <w:pPr>
              <w:adjustRightInd w:val="0"/>
              <w:spacing w:line="400" w:lineRule="exact"/>
              <w:rPr>
                <w:rFonts w:ascii="仿宋" w:hAnsi="仿宋" w:eastAsia="仿宋" w:cs="仿宋"/>
                <w:szCs w:val="21"/>
              </w:rPr>
            </w:pPr>
            <w:r>
              <w:rPr>
                <w:rFonts w:hint="eastAsia" w:ascii="仿宋" w:hAnsi="仿宋" w:eastAsia="仿宋" w:cs="仿宋"/>
                <w:szCs w:val="21"/>
              </w:rPr>
              <w:t>一、开评标过程中，电子开评标系统提示不同投标人的电子投标文件记录的文件制作机器码、文件创建标识码、文件生成标识码、IP地址、计价软件电子加密锁锁号、计价软件电子加密锁企业实名认证信息等软硬件信息中有一条及以上一致的，评标委员会应当对提示内容集体认定是否属于《中华人民共和国招标投标法实施条例》第四十条“视为投标人相互串通投标”第(一)项“不同投标人的投标文件由同一单位或者个人编制”的情形。</w:t>
            </w:r>
          </w:p>
          <w:p w14:paraId="4D6898E7">
            <w:pPr>
              <w:adjustRightInd w:val="0"/>
              <w:spacing w:line="400" w:lineRule="exact"/>
              <w:rPr>
                <w:rFonts w:ascii="仿宋" w:hAnsi="仿宋" w:eastAsia="仿宋" w:cs="仿宋"/>
                <w:szCs w:val="21"/>
              </w:rPr>
            </w:pPr>
            <w:r>
              <w:rPr>
                <w:rFonts w:hint="eastAsia" w:ascii="仿宋" w:hAnsi="仿宋" w:eastAsia="仿宋" w:cs="仿宋"/>
                <w:szCs w:val="21"/>
              </w:rPr>
              <w:t>二、开评标过程中，电子开评标系统提示不同投标人的投标技术文件存在高度雷同、投标报价或报价组成出现一致或者呈规律性变化的，评标委员会应当对提示内容进行综合分析研判，集体认定是否属于《中华人民共和国招标投标法实施条例》第四十条“视为投标人相互串通投标”第(四)项“不同投标人的投标文件异常一致或者投标报价呈规律性差异”的情形。</w:t>
            </w:r>
          </w:p>
          <w:p w14:paraId="6AE76E5D">
            <w:pPr>
              <w:adjustRightInd w:val="0"/>
              <w:spacing w:line="400" w:lineRule="exact"/>
              <w:rPr>
                <w:rFonts w:ascii="仿宋" w:hAnsi="仿宋" w:eastAsia="仿宋" w:cs="仿宋"/>
                <w:szCs w:val="21"/>
              </w:rPr>
            </w:pPr>
            <w:r>
              <w:rPr>
                <w:rFonts w:hint="eastAsia" w:ascii="仿宋" w:hAnsi="仿宋" w:eastAsia="仿宋" w:cs="仿宋"/>
                <w:szCs w:val="21"/>
              </w:rPr>
              <w:t>三、评标委员会在认定串通投标行为时，认为有必要的，可以要求投标人对有关情况作出书面澄清。经认定，属于《中华人民共和国招标投标法实施条例》第四十条“视为投标人相互串通投标”情形的，评标委员会应当按照《中华人民共和国招标投标法实施条例》第四十条和第五十一条第（七）项的规定否决相应投标人的投标，并在评标报告中进行记录。评标委员会应当对电子开评标系统作出的雷同性提示内容以及串通投标行为的认定情况，在评标报告中进行详细记录。招标人或其委托的招标代理机构应当对评标委员会关于串通投标行为的认定情况和否决投标情况在招标投标情况书面报告中作出说明。</w:t>
            </w:r>
          </w:p>
          <w:p w14:paraId="08CD43E0">
            <w:pPr>
              <w:adjustRightInd w:val="0"/>
              <w:spacing w:line="400" w:lineRule="exact"/>
              <w:rPr>
                <w:rFonts w:ascii="仿宋" w:hAnsi="仿宋" w:eastAsia="仿宋" w:cs="仿宋"/>
                <w:szCs w:val="21"/>
              </w:rPr>
            </w:pPr>
            <w:r>
              <w:rPr>
                <w:rFonts w:hint="eastAsia" w:ascii="仿宋" w:hAnsi="仿宋" w:eastAsia="仿宋" w:cs="仿宋"/>
                <w:b/>
                <w:bCs/>
                <w:szCs w:val="21"/>
              </w:rPr>
              <w:t>注：电子开评标系统对不同投标人的电子投标文件作出雷同性提示或预警的，资格评审委员会或评标委员会集体表决认定属于《中华人民共和国招标投标法实施条例》第四十条“视为投标人相互串通投标”的情形，同时写出串（围）标行为认定报告并签字的，按废标处理。</w:t>
            </w:r>
          </w:p>
        </w:tc>
      </w:tr>
      <w:tr w14:paraId="648DE8C3">
        <w:tblPrEx>
          <w:tblCellMar>
            <w:top w:w="0" w:type="dxa"/>
            <w:left w:w="108" w:type="dxa"/>
            <w:bottom w:w="0" w:type="dxa"/>
            <w:right w:w="108" w:type="dxa"/>
          </w:tblCellMar>
        </w:tblPrEx>
        <w:trPr>
          <w:trHeight w:val="540"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02E2F574">
            <w:pPr>
              <w:spacing w:line="400" w:lineRule="exact"/>
              <w:jc w:val="center"/>
              <w:rPr>
                <w:rFonts w:hint="default" w:ascii="仿宋" w:hAnsi="仿宋" w:eastAsia="仿宋" w:cs="仿宋"/>
                <w:szCs w:val="21"/>
                <w:lang w:val="en-US" w:eastAsia="zh-CN"/>
              </w:rPr>
            </w:pPr>
            <w:r>
              <w:rPr>
                <w:rFonts w:hint="eastAsia" w:ascii="仿宋" w:hAnsi="仿宋" w:eastAsia="仿宋" w:cs="仿宋"/>
                <w:szCs w:val="21"/>
              </w:rPr>
              <w:t>10.</w:t>
            </w:r>
            <w:r>
              <w:rPr>
                <w:rFonts w:hint="eastAsia" w:ascii="仿宋" w:hAnsi="仿宋" w:eastAsia="仿宋" w:cs="仿宋"/>
                <w:szCs w:val="21"/>
                <w:lang w:val="en-US" w:eastAsia="zh-CN"/>
              </w:rPr>
              <w:t>10</w:t>
            </w:r>
          </w:p>
        </w:tc>
        <w:tc>
          <w:tcPr>
            <w:tcW w:w="8316" w:type="dxa"/>
            <w:gridSpan w:val="2"/>
            <w:tcBorders>
              <w:top w:val="single" w:color="auto" w:sz="4" w:space="0"/>
              <w:left w:val="single" w:color="auto" w:sz="4" w:space="0"/>
              <w:bottom w:val="single" w:color="auto" w:sz="4" w:space="0"/>
              <w:right w:val="single" w:color="auto" w:sz="4" w:space="0"/>
            </w:tcBorders>
            <w:vAlign w:val="center"/>
          </w:tcPr>
          <w:p w14:paraId="5F6E1956">
            <w:pPr>
              <w:adjustRightInd w:val="0"/>
              <w:spacing w:line="400" w:lineRule="exact"/>
              <w:rPr>
                <w:rFonts w:ascii="仿宋" w:hAnsi="仿宋" w:eastAsia="仿宋" w:cs="仿宋"/>
                <w:szCs w:val="21"/>
              </w:rPr>
            </w:pPr>
            <w:r>
              <w:rPr>
                <w:rFonts w:hint="eastAsia" w:ascii="仿宋" w:hAnsi="仿宋" w:eastAsia="仿宋" w:cs="仿宋"/>
                <w:szCs w:val="21"/>
              </w:rPr>
              <w:t>其它未尽事宜，按国家有关法律、法规执行。</w:t>
            </w:r>
          </w:p>
        </w:tc>
      </w:tr>
      <w:tr w14:paraId="28D2BA55">
        <w:tblPrEx>
          <w:tblCellMar>
            <w:top w:w="0" w:type="dxa"/>
            <w:left w:w="108" w:type="dxa"/>
            <w:bottom w:w="0" w:type="dxa"/>
            <w:right w:w="108" w:type="dxa"/>
          </w:tblCellMar>
        </w:tblPrEx>
        <w:trPr>
          <w:trHeight w:val="540"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11C1231C">
            <w:pPr>
              <w:spacing w:line="400" w:lineRule="exact"/>
              <w:jc w:val="center"/>
              <w:rPr>
                <w:rFonts w:hint="default" w:ascii="仿宋" w:hAnsi="仿宋" w:eastAsia="仿宋" w:cs="仿宋"/>
                <w:szCs w:val="21"/>
                <w:lang w:val="en-US" w:eastAsia="zh-CN"/>
              </w:rPr>
            </w:pPr>
            <w:r>
              <w:rPr>
                <w:rFonts w:hint="eastAsia" w:ascii="仿宋" w:hAnsi="仿宋" w:eastAsia="仿宋" w:cs="仿宋"/>
                <w:szCs w:val="21"/>
              </w:rPr>
              <w:t>10.</w:t>
            </w:r>
            <w:r>
              <w:rPr>
                <w:rFonts w:hint="eastAsia" w:ascii="仿宋" w:hAnsi="仿宋" w:eastAsia="仿宋" w:cs="仿宋"/>
                <w:szCs w:val="21"/>
                <w:lang w:val="en-US" w:eastAsia="zh-CN"/>
              </w:rPr>
              <w:t>11</w:t>
            </w:r>
          </w:p>
        </w:tc>
        <w:tc>
          <w:tcPr>
            <w:tcW w:w="8316" w:type="dxa"/>
            <w:gridSpan w:val="2"/>
            <w:tcBorders>
              <w:top w:val="single" w:color="auto" w:sz="4" w:space="0"/>
              <w:left w:val="single" w:color="auto" w:sz="4" w:space="0"/>
              <w:bottom w:val="single" w:color="auto" w:sz="4" w:space="0"/>
              <w:right w:val="single" w:color="auto" w:sz="4" w:space="0"/>
            </w:tcBorders>
            <w:vAlign w:val="center"/>
          </w:tcPr>
          <w:p w14:paraId="21F24C0E">
            <w:pPr>
              <w:pStyle w:val="29"/>
              <w:widowControl/>
              <w:spacing w:line="360" w:lineRule="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监管部门：洛宁县住房和城乡建设局</w:t>
            </w:r>
          </w:p>
          <w:p w14:paraId="27439D44">
            <w:pPr>
              <w:pStyle w:val="29"/>
              <w:widowControl/>
              <w:spacing w:line="360" w:lineRule="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监管部门联系人：张先生</w:t>
            </w:r>
          </w:p>
          <w:p w14:paraId="0F118D6B">
            <w:pPr>
              <w:pStyle w:val="29"/>
              <w:widowControl/>
              <w:spacing w:line="360" w:lineRule="auto"/>
              <w:rPr>
                <w:rFonts w:ascii="仿宋" w:hAnsi="仿宋" w:eastAsia="仿宋" w:cs="仿宋"/>
                <w:szCs w:val="21"/>
              </w:rPr>
            </w:pPr>
            <w:r>
              <w:rPr>
                <w:rFonts w:hint="eastAsia" w:ascii="仿宋" w:hAnsi="仿宋" w:eastAsia="仿宋" w:cs="仿宋"/>
                <w:kern w:val="2"/>
                <w:sz w:val="21"/>
                <w:szCs w:val="21"/>
                <w:highlight w:val="none"/>
                <w:lang w:val="en-US" w:eastAsia="zh-CN" w:bidi="ar-SA"/>
              </w:rPr>
              <w:t>监管部门联系方式：0379-66261339</w:t>
            </w:r>
          </w:p>
        </w:tc>
      </w:tr>
      <w:bookmarkEnd w:id="76"/>
      <w:bookmarkEnd w:id="77"/>
      <w:bookmarkEnd w:id="78"/>
      <w:bookmarkEnd w:id="79"/>
    </w:tbl>
    <w:p w14:paraId="261B7207">
      <w:pPr>
        <w:pStyle w:val="3"/>
        <w:rPr>
          <w:rFonts w:ascii="仿宋" w:hAnsi="仿宋" w:eastAsia="仿宋" w:cs="仿宋"/>
          <w:sz w:val="21"/>
          <w:szCs w:val="21"/>
        </w:rPr>
      </w:pPr>
      <w:bookmarkStart w:id="91" w:name="_Toc25094"/>
      <w:bookmarkStart w:id="92" w:name="_Toc4493"/>
      <w:bookmarkStart w:id="93" w:name="_Toc185327305"/>
      <w:bookmarkStart w:id="94" w:name="_Toc26451"/>
      <w:r>
        <w:rPr>
          <w:rFonts w:hint="eastAsia" w:ascii="仿宋" w:hAnsi="仿宋" w:eastAsia="仿宋" w:cs="仿宋"/>
          <w:sz w:val="21"/>
          <w:szCs w:val="21"/>
        </w:rPr>
        <w:t>1. 总则</w:t>
      </w:r>
      <w:bookmarkEnd w:id="91"/>
      <w:bookmarkEnd w:id="92"/>
      <w:bookmarkEnd w:id="93"/>
      <w:bookmarkEnd w:id="94"/>
    </w:p>
    <w:p w14:paraId="05F24512">
      <w:pPr>
        <w:pStyle w:val="4"/>
        <w:ind w:firstLine="105"/>
        <w:rPr>
          <w:rFonts w:ascii="仿宋" w:hAnsi="仿宋" w:eastAsia="仿宋" w:cs="仿宋"/>
          <w:szCs w:val="21"/>
        </w:rPr>
      </w:pPr>
      <w:bookmarkStart w:id="95" w:name="_Toc30438"/>
      <w:bookmarkStart w:id="96" w:name="_Toc29840"/>
      <w:r>
        <w:rPr>
          <w:rFonts w:hint="eastAsia" w:ascii="仿宋" w:hAnsi="仿宋" w:eastAsia="仿宋" w:cs="仿宋"/>
          <w:szCs w:val="21"/>
        </w:rPr>
        <w:t>1.1 招标项目概况</w:t>
      </w:r>
      <w:bookmarkEnd w:id="95"/>
      <w:bookmarkEnd w:id="96"/>
    </w:p>
    <w:p w14:paraId="3A5084CD">
      <w:pPr>
        <w:spacing w:line="360" w:lineRule="auto"/>
        <w:ind w:firstLine="420" w:firstLineChars="200"/>
        <w:rPr>
          <w:rFonts w:ascii="仿宋" w:hAnsi="仿宋" w:eastAsia="仿宋" w:cs="仿宋"/>
          <w:szCs w:val="21"/>
        </w:rPr>
      </w:pPr>
      <w:r>
        <w:rPr>
          <w:rFonts w:hint="eastAsia" w:ascii="仿宋" w:hAnsi="仿宋" w:eastAsia="仿宋" w:cs="仿宋"/>
          <w:szCs w:val="21"/>
        </w:rPr>
        <w:t>1.1.1 根据《中华人民共和国招标投标法》《中华人民共和国招标投标法实施条例》等有关法律、法规和规章的规定，本招标项目已具备招标条件，现进行招标。</w:t>
      </w:r>
    </w:p>
    <w:p w14:paraId="3E038E54">
      <w:pPr>
        <w:spacing w:line="360" w:lineRule="auto"/>
        <w:ind w:firstLine="420" w:firstLineChars="200"/>
        <w:rPr>
          <w:rFonts w:ascii="仿宋" w:hAnsi="仿宋" w:eastAsia="仿宋" w:cs="仿宋"/>
          <w:szCs w:val="21"/>
        </w:rPr>
      </w:pPr>
      <w:r>
        <w:rPr>
          <w:rFonts w:hint="eastAsia" w:ascii="仿宋" w:hAnsi="仿宋" w:eastAsia="仿宋" w:cs="仿宋"/>
          <w:szCs w:val="21"/>
        </w:rPr>
        <w:t>1.1.2 招标人：见投标人须知前附表。</w:t>
      </w:r>
    </w:p>
    <w:p w14:paraId="29780EE6">
      <w:pPr>
        <w:spacing w:line="360" w:lineRule="auto"/>
        <w:ind w:firstLine="420" w:firstLineChars="200"/>
        <w:rPr>
          <w:rFonts w:ascii="仿宋" w:hAnsi="仿宋" w:eastAsia="仿宋" w:cs="仿宋"/>
          <w:szCs w:val="21"/>
        </w:rPr>
      </w:pPr>
      <w:r>
        <w:rPr>
          <w:rFonts w:hint="eastAsia" w:ascii="仿宋" w:hAnsi="仿宋" w:eastAsia="仿宋" w:cs="仿宋"/>
          <w:szCs w:val="21"/>
        </w:rPr>
        <w:t>1.1.3 招标代理机构：见投标人须知前附表。</w:t>
      </w:r>
    </w:p>
    <w:p w14:paraId="7DE053FC">
      <w:pPr>
        <w:spacing w:line="360" w:lineRule="auto"/>
        <w:ind w:firstLine="420" w:firstLineChars="200"/>
        <w:rPr>
          <w:rFonts w:ascii="仿宋" w:hAnsi="仿宋" w:eastAsia="仿宋" w:cs="仿宋"/>
          <w:szCs w:val="21"/>
        </w:rPr>
      </w:pPr>
      <w:r>
        <w:rPr>
          <w:rFonts w:hint="eastAsia" w:ascii="仿宋" w:hAnsi="仿宋" w:eastAsia="仿宋" w:cs="仿宋"/>
          <w:szCs w:val="21"/>
        </w:rPr>
        <w:t>1.1.4 招标项目名称：见投标人须知前附表。</w:t>
      </w:r>
    </w:p>
    <w:p w14:paraId="2202E0DC">
      <w:pPr>
        <w:spacing w:line="360" w:lineRule="auto"/>
        <w:ind w:firstLine="420" w:firstLineChars="200"/>
        <w:rPr>
          <w:rFonts w:ascii="仿宋" w:hAnsi="仿宋" w:eastAsia="仿宋" w:cs="仿宋"/>
          <w:szCs w:val="21"/>
        </w:rPr>
      </w:pPr>
      <w:r>
        <w:rPr>
          <w:rFonts w:hint="eastAsia" w:ascii="仿宋" w:hAnsi="仿宋" w:eastAsia="仿宋" w:cs="仿宋"/>
          <w:szCs w:val="21"/>
        </w:rPr>
        <w:t>1.1.5 项目编号</w:t>
      </w:r>
      <w:r>
        <w:rPr>
          <w:rFonts w:hint="eastAsia" w:ascii="仿宋" w:hAnsi="仿宋" w:eastAsia="仿宋" w:cs="仿宋"/>
          <w:szCs w:val="21"/>
          <w:lang w:val="en-US" w:eastAsia="zh-CN"/>
        </w:rPr>
        <w:t>及招标编号</w:t>
      </w:r>
      <w:r>
        <w:rPr>
          <w:rFonts w:hint="eastAsia" w:ascii="仿宋" w:hAnsi="仿宋" w:eastAsia="仿宋" w:cs="仿宋"/>
          <w:szCs w:val="21"/>
        </w:rPr>
        <w:t>：见投标人须知前附表。</w:t>
      </w:r>
    </w:p>
    <w:p w14:paraId="63792A91">
      <w:pPr>
        <w:pStyle w:val="4"/>
        <w:ind w:firstLine="105"/>
        <w:rPr>
          <w:rFonts w:ascii="仿宋" w:hAnsi="仿宋" w:eastAsia="仿宋" w:cs="仿宋"/>
          <w:szCs w:val="21"/>
        </w:rPr>
      </w:pPr>
      <w:bookmarkStart w:id="97" w:name="_Toc14935"/>
      <w:bookmarkStart w:id="98" w:name="_Toc19749"/>
      <w:r>
        <w:rPr>
          <w:rFonts w:hint="eastAsia" w:ascii="仿宋" w:hAnsi="仿宋" w:eastAsia="仿宋" w:cs="仿宋"/>
          <w:szCs w:val="21"/>
        </w:rPr>
        <w:t>1.2 招标项目的资金来源和落实情况</w:t>
      </w:r>
      <w:bookmarkEnd w:id="97"/>
      <w:bookmarkEnd w:id="98"/>
    </w:p>
    <w:p w14:paraId="3A62E3ED">
      <w:pPr>
        <w:spacing w:line="360" w:lineRule="auto"/>
        <w:ind w:firstLine="420" w:firstLineChars="200"/>
        <w:rPr>
          <w:rFonts w:ascii="仿宋" w:hAnsi="仿宋" w:eastAsia="仿宋" w:cs="仿宋"/>
          <w:szCs w:val="21"/>
        </w:rPr>
      </w:pPr>
      <w:r>
        <w:rPr>
          <w:rFonts w:hint="eastAsia" w:ascii="仿宋" w:hAnsi="仿宋" w:eastAsia="仿宋" w:cs="仿宋"/>
          <w:szCs w:val="21"/>
        </w:rPr>
        <w:t>1.2.1 资金来源：见投标人须知前附表。</w:t>
      </w:r>
    </w:p>
    <w:p w14:paraId="7ECEE079">
      <w:pPr>
        <w:spacing w:line="360" w:lineRule="auto"/>
        <w:ind w:firstLine="420" w:firstLineChars="200"/>
        <w:rPr>
          <w:rFonts w:ascii="仿宋" w:hAnsi="仿宋" w:eastAsia="仿宋" w:cs="仿宋"/>
          <w:szCs w:val="21"/>
        </w:rPr>
      </w:pPr>
      <w:r>
        <w:rPr>
          <w:rFonts w:hint="eastAsia" w:ascii="仿宋" w:hAnsi="仿宋" w:eastAsia="仿宋" w:cs="仿宋"/>
          <w:szCs w:val="21"/>
        </w:rPr>
        <w:t>1.2.2 资金落实情况：见投标人须知前附表。</w:t>
      </w:r>
    </w:p>
    <w:p w14:paraId="618678F1">
      <w:pPr>
        <w:pStyle w:val="4"/>
        <w:ind w:firstLine="105"/>
        <w:rPr>
          <w:rFonts w:ascii="仿宋" w:hAnsi="仿宋" w:eastAsia="仿宋" w:cs="仿宋"/>
          <w:szCs w:val="21"/>
        </w:rPr>
      </w:pPr>
      <w:bookmarkStart w:id="99" w:name="_Toc3064"/>
      <w:bookmarkStart w:id="100" w:name="_Toc10296"/>
      <w:r>
        <w:rPr>
          <w:rFonts w:hint="eastAsia" w:ascii="仿宋" w:hAnsi="仿宋" w:eastAsia="仿宋" w:cs="仿宋"/>
          <w:szCs w:val="21"/>
        </w:rPr>
        <w:t>1.3 招标范围、</w:t>
      </w:r>
      <w:r>
        <w:rPr>
          <w:rFonts w:hint="eastAsia" w:ascii="仿宋" w:hAnsi="仿宋" w:eastAsia="仿宋" w:cs="仿宋"/>
          <w:szCs w:val="21"/>
          <w:lang w:eastAsia="zh-CN"/>
        </w:rPr>
        <w:t>交货安装周期</w:t>
      </w:r>
      <w:r>
        <w:rPr>
          <w:rFonts w:hint="eastAsia" w:ascii="仿宋" w:hAnsi="仿宋" w:eastAsia="仿宋" w:cs="仿宋"/>
          <w:szCs w:val="21"/>
        </w:rPr>
        <w:t>、交货地点</w:t>
      </w:r>
      <w:bookmarkEnd w:id="99"/>
      <w:bookmarkEnd w:id="100"/>
      <w:r>
        <w:rPr>
          <w:rFonts w:hint="eastAsia" w:ascii="仿宋" w:hAnsi="仿宋" w:eastAsia="仿宋" w:cs="仿宋"/>
          <w:szCs w:val="21"/>
        </w:rPr>
        <w:t>等</w:t>
      </w:r>
    </w:p>
    <w:p w14:paraId="7EDAA078">
      <w:pPr>
        <w:spacing w:line="360" w:lineRule="auto"/>
        <w:ind w:firstLine="420" w:firstLineChars="200"/>
        <w:rPr>
          <w:rFonts w:ascii="仿宋" w:hAnsi="仿宋" w:eastAsia="仿宋" w:cs="仿宋"/>
          <w:szCs w:val="21"/>
        </w:rPr>
      </w:pPr>
      <w:r>
        <w:rPr>
          <w:rFonts w:hint="eastAsia" w:ascii="仿宋" w:hAnsi="仿宋" w:eastAsia="仿宋" w:cs="仿宋"/>
          <w:szCs w:val="21"/>
        </w:rPr>
        <w:t>1.3.1 招标范围：见投标人须知前附表。</w:t>
      </w:r>
    </w:p>
    <w:p w14:paraId="244B2384">
      <w:pPr>
        <w:spacing w:line="360" w:lineRule="auto"/>
        <w:ind w:firstLine="420" w:firstLineChars="200"/>
        <w:rPr>
          <w:rFonts w:ascii="仿宋" w:hAnsi="仿宋" w:eastAsia="仿宋" w:cs="仿宋"/>
          <w:szCs w:val="21"/>
        </w:rPr>
      </w:pPr>
      <w:r>
        <w:rPr>
          <w:rFonts w:hint="eastAsia" w:ascii="仿宋" w:hAnsi="仿宋" w:eastAsia="仿宋" w:cs="仿宋"/>
          <w:szCs w:val="21"/>
        </w:rPr>
        <w:t xml:space="preserve">1.3.2 </w:t>
      </w:r>
      <w:r>
        <w:rPr>
          <w:rFonts w:hint="eastAsia" w:ascii="仿宋" w:hAnsi="仿宋" w:eastAsia="仿宋" w:cs="仿宋"/>
          <w:szCs w:val="21"/>
          <w:lang w:eastAsia="zh-CN"/>
        </w:rPr>
        <w:t>交货安装周期</w:t>
      </w:r>
      <w:r>
        <w:rPr>
          <w:rFonts w:hint="eastAsia" w:ascii="仿宋" w:hAnsi="仿宋" w:eastAsia="仿宋" w:cs="仿宋"/>
          <w:szCs w:val="21"/>
        </w:rPr>
        <w:t>：见投标人须知前附表。</w:t>
      </w:r>
    </w:p>
    <w:p w14:paraId="719E459C">
      <w:pPr>
        <w:spacing w:line="360" w:lineRule="auto"/>
        <w:ind w:firstLine="420" w:firstLineChars="200"/>
        <w:rPr>
          <w:rFonts w:ascii="仿宋" w:hAnsi="仿宋" w:eastAsia="仿宋" w:cs="仿宋"/>
          <w:szCs w:val="21"/>
        </w:rPr>
      </w:pPr>
      <w:r>
        <w:rPr>
          <w:rFonts w:hint="eastAsia" w:ascii="仿宋" w:hAnsi="仿宋" w:eastAsia="仿宋" w:cs="仿宋"/>
          <w:szCs w:val="21"/>
        </w:rPr>
        <w:t>1.3.3 交货地点：见投标人须知前附表。</w:t>
      </w:r>
    </w:p>
    <w:p w14:paraId="0CA895B4">
      <w:pPr>
        <w:spacing w:line="360" w:lineRule="auto"/>
        <w:ind w:firstLine="420" w:firstLineChars="200"/>
        <w:rPr>
          <w:rFonts w:ascii="仿宋" w:hAnsi="仿宋" w:eastAsia="仿宋" w:cs="仿宋"/>
          <w:szCs w:val="21"/>
        </w:rPr>
      </w:pPr>
      <w:r>
        <w:rPr>
          <w:rFonts w:hint="eastAsia" w:ascii="仿宋" w:hAnsi="仿宋" w:eastAsia="仿宋" w:cs="仿宋"/>
          <w:szCs w:val="21"/>
        </w:rPr>
        <w:t>1.3.</w:t>
      </w:r>
      <w:r>
        <w:rPr>
          <w:rFonts w:hint="eastAsia" w:ascii="仿宋" w:hAnsi="仿宋" w:eastAsia="仿宋" w:cs="仿宋"/>
          <w:szCs w:val="21"/>
          <w:lang w:val="en-US" w:eastAsia="zh-CN"/>
        </w:rPr>
        <w:t>4</w:t>
      </w:r>
      <w:r>
        <w:rPr>
          <w:rFonts w:hint="eastAsia" w:ascii="仿宋" w:hAnsi="仿宋" w:eastAsia="仿宋" w:cs="仿宋"/>
          <w:szCs w:val="21"/>
        </w:rPr>
        <w:t xml:space="preserve"> </w:t>
      </w:r>
      <w:r>
        <w:rPr>
          <w:rFonts w:hint="eastAsia" w:ascii="仿宋" w:hAnsi="仿宋" w:eastAsia="仿宋" w:cs="仿宋"/>
          <w:szCs w:val="21"/>
          <w:lang w:val="en-US" w:eastAsia="zh-CN"/>
        </w:rPr>
        <w:t>质量要求</w:t>
      </w:r>
      <w:r>
        <w:rPr>
          <w:rFonts w:hint="eastAsia" w:ascii="仿宋" w:hAnsi="仿宋" w:eastAsia="仿宋" w:cs="仿宋"/>
          <w:szCs w:val="21"/>
        </w:rPr>
        <w:t>：见投标人须知前附表。</w:t>
      </w:r>
    </w:p>
    <w:p w14:paraId="62C13F66">
      <w:pPr>
        <w:spacing w:line="360" w:lineRule="auto"/>
        <w:ind w:firstLine="420" w:firstLineChars="200"/>
        <w:rPr>
          <w:rFonts w:ascii="仿宋" w:hAnsi="仿宋" w:eastAsia="仿宋" w:cs="仿宋"/>
          <w:szCs w:val="21"/>
        </w:rPr>
      </w:pPr>
      <w:r>
        <w:rPr>
          <w:rFonts w:hint="eastAsia" w:ascii="仿宋" w:hAnsi="仿宋" w:eastAsia="仿宋" w:cs="仿宋"/>
          <w:szCs w:val="21"/>
        </w:rPr>
        <w:t>1.3.</w:t>
      </w:r>
      <w:r>
        <w:rPr>
          <w:rFonts w:hint="eastAsia" w:ascii="仿宋" w:hAnsi="仿宋" w:eastAsia="仿宋" w:cs="仿宋"/>
          <w:szCs w:val="21"/>
          <w:lang w:val="en-US" w:eastAsia="zh-CN"/>
        </w:rPr>
        <w:t>5</w:t>
      </w:r>
      <w:r>
        <w:rPr>
          <w:rFonts w:hint="eastAsia" w:ascii="仿宋" w:hAnsi="仿宋" w:eastAsia="仿宋" w:cs="仿宋"/>
          <w:szCs w:val="21"/>
        </w:rPr>
        <w:t xml:space="preserve"> 安全目标：见投标人须知前附表。</w:t>
      </w:r>
    </w:p>
    <w:p w14:paraId="2AAA1B66">
      <w:pPr>
        <w:spacing w:line="360" w:lineRule="auto"/>
        <w:ind w:firstLine="420" w:firstLineChars="200"/>
        <w:rPr>
          <w:rFonts w:ascii="仿宋" w:hAnsi="仿宋" w:eastAsia="仿宋" w:cs="仿宋"/>
          <w:szCs w:val="21"/>
        </w:rPr>
      </w:pPr>
      <w:r>
        <w:rPr>
          <w:rFonts w:hint="eastAsia" w:ascii="仿宋" w:hAnsi="仿宋" w:eastAsia="仿宋" w:cs="仿宋"/>
          <w:szCs w:val="21"/>
        </w:rPr>
        <w:t>1.3.</w:t>
      </w:r>
      <w:r>
        <w:rPr>
          <w:rFonts w:hint="eastAsia" w:ascii="仿宋" w:hAnsi="仿宋" w:eastAsia="仿宋" w:cs="仿宋"/>
          <w:szCs w:val="21"/>
          <w:lang w:val="en-US" w:eastAsia="zh-CN"/>
        </w:rPr>
        <w:t>6</w:t>
      </w:r>
      <w:r>
        <w:rPr>
          <w:rFonts w:hint="eastAsia" w:ascii="仿宋" w:hAnsi="仿宋" w:eastAsia="仿宋" w:cs="仿宋"/>
          <w:szCs w:val="21"/>
        </w:rPr>
        <w:t xml:space="preserve"> 质保期：见投标人须知前附表。</w:t>
      </w:r>
    </w:p>
    <w:p w14:paraId="5AE9EEBF">
      <w:pPr>
        <w:pStyle w:val="4"/>
        <w:ind w:firstLine="105"/>
        <w:rPr>
          <w:rFonts w:ascii="仿宋" w:hAnsi="仿宋" w:eastAsia="仿宋" w:cs="仿宋"/>
          <w:szCs w:val="21"/>
        </w:rPr>
      </w:pPr>
      <w:bookmarkStart w:id="101" w:name="_Toc19837"/>
      <w:bookmarkStart w:id="102" w:name="_Toc18918"/>
      <w:r>
        <w:rPr>
          <w:rFonts w:hint="eastAsia" w:ascii="仿宋" w:hAnsi="仿宋" w:eastAsia="仿宋" w:cs="仿宋"/>
          <w:szCs w:val="21"/>
        </w:rPr>
        <w:t>1.4 投标人资格要求</w:t>
      </w:r>
      <w:bookmarkEnd w:id="101"/>
      <w:bookmarkEnd w:id="102"/>
    </w:p>
    <w:p w14:paraId="5B78F54B">
      <w:pPr>
        <w:spacing w:line="360" w:lineRule="auto"/>
        <w:ind w:firstLine="420" w:firstLineChars="200"/>
        <w:rPr>
          <w:rFonts w:ascii="仿宋" w:hAnsi="仿宋" w:eastAsia="仿宋" w:cs="仿宋"/>
          <w:szCs w:val="21"/>
        </w:rPr>
      </w:pPr>
      <w:r>
        <w:rPr>
          <w:rFonts w:hint="eastAsia" w:ascii="仿宋" w:hAnsi="仿宋" w:eastAsia="仿宋" w:cs="仿宋"/>
          <w:szCs w:val="21"/>
        </w:rPr>
        <w:t>1.4.1 投标人应具备承担本招标项目资质条件、能力和信誉：见投标人须知前附表。</w:t>
      </w:r>
    </w:p>
    <w:p w14:paraId="4A672B44">
      <w:pPr>
        <w:spacing w:line="360" w:lineRule="auto"/>
        <w:ind w:firstLine="420" w:firstLineChars="200"/>
        <w:rPr>
          <w:rFonts w:ascii="仿宋" w:hAnsi="仿宋" w:eastAsia="仿宋" w:cs="仿宋"/>
          <w:szCs w:val="21"/>
        </w:rPr>
      </w:pPr>
      <w:r>
        <w:rPr>
          <w:rFonts w:hint="eastAsia" w:ascii="仿宋" w:hAnsi="仿宋" w:eastAsia="仿宋" w:cs="仿宋"/>
          <w:szCs w:val="21"/>
        </w:rPr>
        <w:t>1.4.2 本项目不接受联合体投标。</w:t>
      </w:r>
    </w:p>
    <w:p w14:paraId="72F3B48E">
      <w:pPr>
        <w:spacing w:line="360" w:lineRule="auto"/>
        <w:ind w:firstLine="420" w:firstLineChars="200"/>
        <w:rPr>
          <w:rFonts w:ascii="仿宋" w:hAnsi="仿宋" w:eastAsia="仿宋" w:cs="仿宋"/>
          <w:szCs w:val="21"/>
        </w:rPr>
      </w:pPr>
      <w:r>
        <w:rPr>
          <w:rFonts w:hint="eastAsia" w:ascii="仿宋" w:hAnsi="仿宋" w:eastAsia="仿宋" w:cs="仿宋"/>
          <w:szCs w:val="21"/>
        </w:rPr>
        <w:t>1.4.3 投标人不得存在下列情形之一：</w:t>
      </w:r>
    </w:p>
    <w:p w14:paraId="0A629829">
      <w:pPr>
        <w:spacing w:line="360" w:lineRule="auto"/>
        <w:ind w:firstLine="420" w:firstLineChars="200"/>
        <w:rPr>
          <w:rFonts w:ascii="仿宋" w:hAnsi="仿宋" w:eastAsia="仿宋" w:cs="仿宋"/>
          <w:szCs w:val="21"/>
        </w:rPr>
      </w:pPr>
      <w:r>
        <w:rPr>
          <w:rFonts w:hint="eastAsia" w:ascii="仿宋" w:hAnsi="仿宋" w:eastAsia="仿宋" w:cs="仿宋"/>
          <w:szCs w:val="21"/>
        </w:rPr>
        <w:t>（1）与招标人存在利害关系且可能影响招标公正性；</w:t>
      </w:r>
    </w:p>
    <w:p w14:paraId="03741804">
      <w:pPr>
        <w:spacing w:line="360" w:lineRule="auto"/>
        <w:ind w:firstLine="420" w:firstLineChars="200"/>
        <w:rPr>
          <w:rFonts w:ascii="仿宋" w:hAnsi="仿宋" w:eastAsia="仿宋" w:cs="仿宋"/>
          <w:szCs w:val="21"/>
        </w:rPr>
      </w:pPr>
      <w:r>
        <w:rPr>
          <w:rFonts w:hint="eastAsia" w:ascii="仿宋" w:hAnsi="仿宋" w:eastAsia="仿宋" w:cs="仿宋"/>
          <w:szCs w:val="21"/>
        </w:rPr>
        <w:t>（2）与本招标项目的其他投标人为同一个单位负责人；</w:t>
      </w:r>
    </w:p>
    <w:p w14:paraId="56F0BA23">
      <w:pPr>
        <w:spacing w:line="360" w:lineRule="auto"/>
        <w:ind w:firstLine="420" w:firstLineChars="200"/>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3</w:t>
      </w:r>
      <w:r>
        <w:rPr>
          <w:rFonts w:hint="eastAsia" w:ascii="仿宋" w:hAnsi="仿宋" w:eastAsia="仿宋" w:cs="仿宋"/>
          <w:szCs w:val="21"/>
        </w:rPr>
        <w:t>）为本招标项目提供过设计、编制技术规范和其他文件的咨询服务；</w:t>
      </w:r>
    </w:p>
    <w:p w14:paraId="6C21B4E4">
      <w:pPr>
        <w:spacing w:line="360" w:lineRule="auto"/>
        <w:ind w:firstLine="420" w:firstLineChars="200"/>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4</w:t>
      </w:r>
      <w:r>
        <w:rPr>
          <w:rFonts w:hint="eastAsia" w:ascii="仿宋" w:hAnsi="仿宋" w:eastAsia="仿宋" w:cs="仿宋"/>
          <w:szCs w:val="21"/>
        </w:rPr>
        <w:t>）为本工程项目的相关监理人，或者与本工程项目的相关监理人存在隶属关系或者其他利害关系；</w:t>
      </w:r>
    </w:p>
    <w:p w14:paraId="64258969">
      <w:pPr>
        <w:spacing w:line="360" w:lineRule="auto"/>
        <w:ind w:firstLine="420" w:firstLineChars="200"/>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）为本招标项目的代建人；</w:t>
      </w:r>
    </w:p>
    <w:p w14:paraId="0F156148">
      <w:pPr>
        <w:spacing w:line="360" w:lineRule="auto"/>
        <w:ind w:firstLine="420" w:firstLineChars="200"/>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6</w:t>
      </w:r>
      <w:r>
        <w:rPr>
          <w:rFonts w:hint="eastAsia" w:ascii="仿宋" w:hAnsi="仿宋" w:eastAsia="仿宋" w:cs="仿宋"/>
          <w:szCs w:val="21"/>
        </w:rPr>
        <w:t>）为本招标项目的招标代理机构；</w:t>
      </w:r>
    </w:p>
    <w:p w14:paraId="4241BC5B">
      <w:pPr>
        <w:spacing w:line="360" w:lineRule="auto"/>
        <w:ind w:firstLine="420" w:firstLineChars="200"/>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7</w:t>
      </w:r>
      <w:r>
        <w:rPr>
          <w:rFonts w:hint="eastAsia" w:ascii="仿宋" w:hAnsi="仿宋" w:eastAsia="仿宋" w:cs="仿宋"/>
          <w:szCs w:val="21"/>
        </w:rPr>
        <w:t>）与本招标项目的监理人或代建人或招标代理机构同为一个法定代表人；</w:t>
      </w:r>
    </w:p>
    <w:p w14:paraId="6EE3C78C">
      <w:pPr>
        <w:spacing w:line="360" w:lineRule="auto"/>
        <w:ind w:firstLine="420" w:firstLineChars="200"/>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8</w:t>
      </w:r>
      <w:r>
        <w:rPr>
          <w:rFonts w:hint="eastAsia" w:ascii="仿宋" w:hAnsi="仿宋" w:eastAsia="仿宋" w:cs="仿宋"/>
          <w:szCs w:val="21"/>
        </w:rPr>
        <w:t>）与本招标项目的监理人或代建人或招标代理机构存在控股或参股关系；</w:t>
      </w:r>
    </w:p>
    <w:p w14:paraId="336B338E">
      <w:pPr>
        <w:spacing w:line="360" w:lineRule="auto"/>
        <w:ind w:firstLine="420" w:firstLineChars="200"/>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9</w:t>
      </w:r>
      <w:r>
        <w:rPr>
          <w:rFonts w:hint="eastAsia" w:ascii="仿宋" w:hAnsi="仿宋" w:eastAsia="仿宋" w:cs="仿宋"/>
          <w:szCs w:val="21"/>
        </w:rPr>
        <w:t>）被依法暂停或者取消投标资格；</w:t>
      </w:r>
    </w:p>
    <w:p w14:paraId="32A5A56E">
      <w:pPr>
        <w:spacing w:line="360" w:lineRule="auto"/>
        <w:ind w:firstLine="420" w:firstLineChars="200"/>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10</w:t>
      </w:r>
      <w:r>
        <w:rPr>
          <w:rFonts w:hint="eastAsia" w:ascii="仿宋" w:hAnsi="仿宋" w:eastAsia="仿宋" w:cs="仿宋"/>
          <w:szCs w:val="21"/>
        </w:rPr>
        <w:t>）被责令停产停业、暂扣或者吊销许可证、暂扣或者吊销执照；</w:t>
      </w:r>
    </w:p>
    <w:p w14:paraId="17C83472">
      <w:pPr>
        <w:spacing w:line="360" w:lineRule="auto"/>
        <w:ind w:firstLine="420" w:firstLineChars="200"/>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1</w:t>
      </w:r>
      <w:r>
        <w:rPr>
          <w:rFonts w:hint="eastAsia" w:ascii="仿宋" w:hAnsi="仿宋" w:eastAsia="仿宋" w:cs="仿宋"/>
          <w:szCs w:val="21"/>
        </w:rPr>
        <w:t>）进入清算程序，或被宣告破产，或其他丧失履约能力的情形；</w:t>
      </w:r>
    </w:p>
    <w:p w14:paraId="7690B7D4">
      <w:pPr>
        <w:spacing w:line="360" w:lineRule="auto"/>
        <w:ind w:firstLine="420" w:firstLineChars="200"/>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2</w:t>
      </w:r>
      <w:r>
        <w:rPr>
          <w:rFonts w:hint="eastAsia" w:ascii="仿宋" w:hAnsi="仿宋" w:eastAsia="仿宋" w:cs="仿宋"/>
          <w:szCs w:val="21"/>
        </w:rPr>
        <w:t>）在最近三年内发生重大产品质量问题（以相关行业主管部门的行政处罚决定或司法机关出具的有关法律文书为准）；</w:t>
      </w:r>
    </w:p>
    <w:p w14:paraId="28E9259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3</w:t>
      </w:r>
      <w:r>
        <w:rPr>
          <w:rFonts w:hint="eastAsia" w:ascii="仿宋" w:hAnsi="仿宋" w:eastAsia="仿宋" w:cs="仿宋"/>
          <w:szCs w:val="21"/>
        </w:rPr>
        <w:t>）投标人及投标人法定代表被列入信用中国“失信被执行人”、“重大税收违法失信主体”的；</w:t>
      </w:r>
    </w:p>
    <w:p w14:paraId="6382911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4</w:t>
      </w:r>
      <w:r>
        <w:rPr>
          <w:rFonts w:hint="eastAsia" w:ascii="仿宋" w:hAnsi="仿宋" w:eastAsia="仿宋" w:cs="仿宋"/>
          <w:szCs w:val="21"/>
        </w:rPr>
        <w:t>）近三年内</w:t>
      </w:r>
      <w:r>
        <w:rPr>
          <w:rFonts w:hint="eastAsia" w:ascii="仿宋" w:hAnsi="仿宋" w:eastAsia="仿宋" w:cs="仿宋"/>
          <w:szCs w:val="21"/>
          <w:lang w:val="en-US" w:eastAsia="zh-CN"/>
        </w:rPr>
        <w:t>投标人</w:t>
      </w:r>
      <w:r>
        <w:rPr>
          <w:rFonts w:hint="eastAsia" w:ascii="仿宋" w:hAnsi="仿宋" w:eastAsia="仿宋" w:cs="仿宋"/>
          <w:szCs w:val="21"/>
        </w:rPr>
        <w:t>有行贿犯罪行为的；</w:t>
      </w:r>
    </w:p>
    <w:p w14:paraId="75872CF1">
      <w:pPr>
        <w:spacing w:line="360" w:lineRule="auto"/>
        <w:ind w:firstLine="420" w:firstLineChars="200"/>
        <w:rPr>
          <w:rFonts w:hint="eastAsia" w:ascii="仿宋" w:hAnsi="仿宋" w:eastAsia="仿宋" w:cs="仿宋"/>
          <w:color w:val="0000FF"/>
          <w:szCs w:val="21"/>
          <w:lang w:eastAsia="zh-CN"/>
        </w:rPr>
      </w:pPr>
      <w:r>
        <w:rPr>
          <w:rFonts w:hint="eastAsia" w:ascii="仿宋" w:hAnsi="仿宋" w:eastAsia="仿宋" w:cs="仿宋"/>
          <w:szCs w:val="21"/>
        </w:rPr>
        <w:t>（1</w:t>
      </w:r>
      <w:r>
        <w:rPr>
          <w:rFonts w:hint="eastAsia" w:ascii="仿宋" w:hAnsi="仿宋" w:eastAsia="仿宋" w:cs="仿宋"/>
          <w:szCs w:val="21"/>
          <w:lang w:val="en-US" w:eastAsia="zh-CN"/>
        </w:rPr>
        <w:t>5</w:t>
      </w:r>
      <w:r>
        <w:rPr>
          <w:rFonts w:hint="eastAsia" w:ascii="仿宋" w:hAnsi="仿宋" w:eastAsia="仿宋" w:cs="仿宋"/>
          <w:szCs w:val="21"/>
        </w:rPr>
        <w:t>）单位负责人为同一人或者存在控股、管理关系的不同单位，同时对本项目投标</w:t>
      </w:r>
      <w:r>
        <w:rPr>
          <w:rFonts w:hint="eastAsia" w:ascii="仿宋" w:hAnsi="仿宋" w:eastAsia="仿宋" w:cs="仿宋"/>
          <w:szCs w:val="21"/>
          <w:lang w:val="en-US" w:eastAsia="zh-CN"/>
        </w:rPr>
        <w:t>的</w:t>
      </w:r>
      <w:r>
        <w:rPr>
          <w:rFonts w:hint="eastAsia" w:ascii="仿宋" w:hAnsi="仿宋" w:eastAsia="仿宋" w:cs="仿宋"/>
          <w:szCs w:val="21"/>
        </w:rPr>
        <w:t>；</w:t>
      </w:r>
    </w:p>
    <w:p w14:paraId="135503EE">
      <w:pPr>
        <w:spacing w:line="360" w:lineRule="auto"/>
        <w:ind w:firstLine="420" w:firstLineChars="200"/>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6</w:t>
      </w:r>
      <w:r>
        <w:rPr>
          <w:rFonts w:hint="eastAsia" w:ascii="仿宋" w:hAnsi="仿宋" w:eastAsia="仿宋" w:cs="仿宋"/>
          <w:szCs w:val="21"/>
        </w:rPr>
        <w:t>）法律法规或投标人须知前附表规定的其他情形。</w:t>
      </w:r>
    </w:p>
    <w:p w14:paraId="3F8479A8">
      <w:pPr>
        <w:pStyle w:val="4"/>
        <w:ind w:firstLine="105"/>
        <w:rPr>
          <w:rFonts w:ascii="仿宋" w:hAnsi="仿宋" w:eastAsia="仿宋" w:cs="仿宋"/>
          <w:szCs w:val="21"/>
        </w:rPr>
      </w:pPr>
      <w:bookmarkStart w:id="103" w:name="_Toc26654"/>
      <w:bookmarkStart w:id="104" w:name="_Toc1764"/>
      <w:r>
        <w:rPr>
          <w:rFonts w:hint="eastAsia" w:ascii="仿宋" w:hAnsi="仿宋" w:eastAsia="仿宋" w:cs="仿宋"/>
          <w:szCs w:val="21"/>
        </w:rPr>
        <w:t>1.5 费用承担</w:t>
      </w:r>
      <w:bookmarkEnd w:id="103"/>
      <w:bookmarkEnd w:id="104"/>
    </w:p>
    <w:p w14:paraId="583C04B6">
      <w:pPr>
        <w:spacing w:line="360" w:lineRule="auto"/>
        <w:ind w:firstLine="420" w:firstLineChars="200"/>
        <w:rPr>
          <w:rFonts w:ascii="仿宋" w:hAnsi="仿宋" w:eastAsia="仿宋" w:cs="仿宋"/>
          <w:szCs w:val="21"/>
        </w:rPr>
      </w:pPr>
      <w:r>
        <w:rPr>
          <w:rFonts w:hint="eastAsia" w:ascii="仿宋" w:hAnsi="仿宋" w:eastAsia="仿宋" w:cs="仿宋"/>
          <w:szCs w:val="21"/>
        </w:rPr>
        <w:t>投标人准备和参加投标活动发生的费用自理。</w:t>
      </w:r>
    </w:p>
    <w:p w14:paraId="118D9C6D">
      <w:pPr>
        <w:pStyle w:val="4"/>
        <w:ind w:firstLine="105"/>
        <w:rPr>
          <w:rFonts w:ascii="仿宋" w:hAnsi="仿宋" w:eastAsia="仿宋" w:cs="仿宋"/>
          <w:szCs w:val="21"/>
        </w:rPr>
      </w:pPr>
      <w:bookmarkStart w:id="105" w:name="_Toc14582"/>
      <w:bookmarkStart w:id="106" w:name="_Toc29730"/>
      <w:r>
        <w:rPr>
          <w:rFonts w:hint="eastAsia" w:ascii="仿宋" w:hAnsi="仿宋" w:eastAsia="仿宋" w:cs="仿宋"/>
          <w:szCs w:val="21"/>
        </w:rPr>
        <w:t>1.6 保密</w:t>
      </w:r>
      <w:bookmarkEnd w:id="105"/>
      <w:bookmarkEnd w:id="106"/>
    </w:p>
    <w:p w14:paraId="00B6C111">
      <w:pPr>
        <w:spacing w:line="360" w:lineRule="auto"/>
        <w:ind w:firstLine="420" w:firstLineChars="200"/>
        <w:rPr>
          <w:rFonts w:ascii="仿宋" w:hAnsi="仿宋" w:eastAsia="仿宋" w:cs="仿宋"/>
          <w:szCs w:val="21"/>
        </w:rPr>
      </w:pPr>
      <w:r>
        <w:rPr>
          <w:rFonts w:hint="eastAsia" w:ascii="仿宋" w:hAnsi="仿宋" w:eastAsia="仿宋" w:cs="仿宋"/>
          <w:szCs w:val="21"/>
        </w:rPr>
        <w:t>参与招标投标活动的各方应对招标文件和投标文件中</w:t>
      </w:r>
      <w:bookmarkStart w:id="107" w:name="_Toc369531519"/>
      <w:bookmarkStart w:id="108" w:name="_Toc352691477"/>
      <w:bookmarkStart w:id="109" w:name="_Toc5326"/>
      <w:bookmarkStart w:id="110" w:name="_Toc384308214"/>
      <w:bookmarkStart w:id="111" w:name="_Toc361508589"/>
      <w:r>
        <w:rPr>
          <w:rFonts w:hint="eastAsia" w:ascii="仿宋" w:hAnsi="仿宋" w:eastAsia="仿宋" w:cs="仿宋"/>
          <w:szCs w:val="21"/>
        </w:rPr>
        <w:t>的商业和技术等秘密保密</w:t>
      </w:r>
      <w:bookmarkEnd w:id="107"/>
      <w:bookmarkEnd w:id="108"/>
      <w:bookmarkEnd w:id="109"/>
      <w:bookmarkEnd w:id="110"/>
      <w:bookmarkEnd w:id="111"/>
      <w:r>
        <w:rPr>
          <w:rFonts w:hint="eastAsia" w:ascii="仿宋" w:hAnsi="仿宋" w:eastAsia="仿宋" w:cs="仿宋"/>
          <w:szCs w:val="21"/>
        </w:rPr>
        <w:t>，否则应承担相应的法律责任。</w:t>
      </w:r>
    </w:p>
    <w:p w14:paraId="7E1956E1">
      <w:pPr>
        <w:pStyle w:val="4"/>
        <w:ind w:firstLine="105"/>
        <w:rPr>
          <w:rFonts w:ascii="仿宋" w:hAnsi="仿宋" w:eastAsia="仿宋" w:cs="仿宋"/>
          <w:szCs w:val="21"/>
        </w:rPr>
      </w:pPr>
      <w:bookmarkStart w:id="112" w:name="_Toc2754"/>
      <w:bookmarkStart w:id="113" w:name="_Toc16221"/>
      <w:r>
        <w:rPr>
          <w:rFonts w:hint="eastAsia" w:ascii="仿宋" w:hAnsi="仿宋" w:eastAsia="仿宋" w:cs="仿宋"/>
          <w:szCs w:val="21"/>
        </w:rPr>
        <w:t>1.7 语言文字</w:t>
      </w:r>
      <w:bookmarkEnd w:id="112"/>
      <w:bookmarkEnd w:id="113"/>
    </w:p>
    <w:p w14:paraId="2D26EE4D">
      <w:pPr>
        <w:spacing w:line="360" w:lineRule="auto"/>
        <w:ind w:firstLine="420" w:firstLineChars="200"/>
        <w:rPr>
          <w:rFonts w:ascii="仿宋" w:hAnsi="仿宋" w:eastAsia="仿宋" w:cs="仿宋"/>
          <w:szCs w:val="21"/>
        </w:rPr>
      </w:pPr>
      <w:r>
        <w:rPr>
          <w:rFonts w:hint="eastAsia" w:ascii="仿宋" w:hAnsi="仿宋" w:eastAsia="仿宋" w:cs="仿宋"/>
          <w:szCs w:val="21"/>
        </w:rPr>
        <w:t>招标投标文件使用的语言文字为中文。专用术语使用外文的，应附有中文注释。</w:t>
      </w:r>
    </w:p>
    <w:p w14:paraId="4990C907">
      <w:pPr>
        <w:pStyle w:val="4"/>
        <w:ind w:firstLine="105"/>
        <w:rPr>
          <w:rFonts w:ascii="仿宋" w:hAnsi="仿宋" w:eastAsia="仿宋" w:cs="仿宋"/>
          <w:szCs w:val="21"/>
        </w:rPr>
      </w:pPr>
      <w:bookmarkStart w:id="114" w:name="_Toc28679"/>
      <w:bookmarkStart w:id="115" w:name="_Toc2764"/>
      <w:r>
        <w:rPr>
          <w:rFonts w:hint="eastAsia" w:ascii="仿宋" w:hAnsi="仿宋" w:eastAsia="仿宋" w:cs="仿宋"/>
          <w:szCs w:val="21"/>
        </w:rPr>
        <w:t>1.8 计量单位</w:t>
      </w:r>
      <w:bookmarkEnd w:id="114"/>
      <w:bookmarkEnd w:id="115"/>
    </w:p>
    <w:p w14:paraId="527CEF34">
      <w:pPr>
        <w:spacing w:line="360" w:lineRule="auto"/>
        <w:ind w:firstLine="420" w:firstLineChars="200"/>
        <w:rPr>
          <w:rFonts w:ascii="仿宋" w:hAnsi="仿宋" w:eastAsia="仿宋" w:cs="仿宋"/>
          <w:szCs w:val="21"/>
        </w:rPr>
      </w:pPr>
      <w:r>
        <w:rPr>
          <w:rFonts w:hint="eastAsia" w:ascii="仿宋" w:hAnsi="仿宋" w:eastAsia="仿宋" w:cs="仿宋"/>
          <w:szCs w:val="21"/>
        </w:rPr>
        <w:t>所有计量均采用中华人民共和国法定计量单位。</w:t>
      </w:r>
    </w:p>
    <w:p w14:paraId="1DF179AE">
      <w:pPr>
        <w:pStyle w:val="4"/>
        <w:ind w:firstLine="105"/>
        <w:rPr>
          <w:rFonts w:ascii="仿宋" w:hAnsi="仿宋" w:eastAsia="仿宋" w:cs="仿宋"/>
          <w:szCs w:val="21"/>
        </w:rPr>
      </w:pPr>
      <w:bookmarkStart w:id="116" w:name="_Toc1368"/>
      <w:bookmarkStart w:id="117" w:name="_Toc8989"/>
      <w:bookmarkStart w:id="118" w:name="_Toc485303284"/>
      <w:r>
        <w:rPr>
          <w:rFonts w:hint="eastAsia" w:ascii="仿宋" w:hAnsi="仿宋" w:eastAsia="仿宋" w:cs="仿宋"/>
          <w:szCs w:val="21"/>
        </w:rPr>
        <w:t>1.9 投标预备会</w:t>
      </w:r>
      <w:bookmarkEnd w:id="116"/>
      <w:bookmarkEnd w:id="117"/>
      <w:bookmarkEnd w:id="118"/>
      <w:r>
        <w:rPr>
          <w:rFonts w:hint="eastAsia" w:ascii="仿宋" w:hAnsi="仿宋" w:eastAsia="仿宋" w:cs="仿宋"/>
          <w:szCs w:val="21"/>
        </w:rPr>
        <w:t>（本项目不</w:t>
      </w:r>
      <w:r>
        <w:rPr>
          <w:rFonts w:hint="eastAsia" w:ascii="仿宋" w:hAnsi="仿宋" w:eastAsia="仿宋" w:cs="仿宋"/>
          <w:szCs w:val="21"/>
          <w:lang w:val="en-US" w:eastAsia="zh-CN"/>
        </w:rPr>
        <w:t>组织</w:t>
      </w:r>
      <w:r>
        <w:rPr>
          <w:rFonts w:hint="eastAsia" w:ascii="仿宋" w:hAnsi="仿宋" w:eastAsia="仿宋" w:cs="仿宋"/>
          <w:szCs w:val="21"/>
        </w:rPr>
        <w:t>）</w:t>
      </w:r>
    </w:p>
    <w:p w14:paraId="53D5CF3E">
      <w:pPr>
        <w:spacing w:line="360" w:lineRule="auto"/>
        <w:ind w:firstLine="420" w:firstLineChars="200"/>
        <w:rPr>
          <w:rFonts w:ascii="仿宋" w:hAnsi="仿宋" w:eastAsia="仿宋" w:cs="仿宋"/>
          <w:szCs w:val="21"/>
        </w:rPr>
      </w:pPr>
      <w:r>
        <w:rPr>
          <w:rFonts w:hint="eastAsia" w:ascii="仿宋" w:hAnsi="仿宋" w:eastAsia="仿宋" w:cs="仿宋"/>
          <w:szCs w:val="21"/>
        </w:rPr>
        <w:t>1.9.1 投标人须知前附表规定召开投标预备会的，招标人按投标人须知前附表规定的时间和地点召开投标预备会，澄清投标人提出的问题。</w:t>
      </w:r>
    </w:p>
    <w:p w14:paraId="4C7C5EDB">
      <w:pPr>
        <w:spacing w:line="360" w:lineRule="auto"/>
        <w:ind w:firstLine="420" w:firstLineChars="200"/>
        <w:rPr>
          <w:rFonts w:ascii="仿宋" w:hAnsi="仿宋" w:eastAsia="仿宋" w:cs="仿宋"/>
          <w:szCs w:val="21"/>
        </w:rPr>
      </w:pPr>
      <w:r>
        <w:rPr>
          <w:rFonts w:hint="eastAsia" w:ascii="仿宋" w:hAnsi="仿宋" w:eastAsia="仿宋" w:cs="仿宋"/>
          <w:szCs w:val="21"/>
        </w:rPr>
        <w:t>1.9.2 投标人应按投标人须知前附表规定的时间和形式将提出的问题送达招标人，以便招标人澄清。</w:t>
      </w:r>
    </w:p>
    <w:p w14:paraId="5A4FCF86">
      <w:pPr>
        <w:spacing w:line="360" w:lineRule="auto"/>
        <w:ind w:firstLine="420" w:firstLineChars="200"/>
        <w:rPr>
          <w:rFonts w:ascii="仿宋" w:hAnsi="仿宋" w:eastAsia="仿宋" w:cs="仿宋"/>
          <w:szCs w:val="21"/>
        </w:rPr>
      </w:pPr>
      <w:r>
        <w:rPr>
          <w:rFonts w:hint="eastAsia" w:ascii="仿宋" w:hAnsi="仿宋" w:eastAsia="仿宋" w:cs="仿宋"/>
          <w:szCs w:val="21"/>
        </w:rPr>
        <w:t>1.9.3 投标预备会后，招标人将对投标人所提问题的澄清，以投标人须知前附表规定的形式通知所有购买招标文件的投标人。该澄清内容为招标文件的组成部分。</w:t>
      </w:r>
    </w:p>
    <w:p w14:paraId="42D92AF6">
      <w:pPr>
        <w:pStyle w:val="4"/>
        <w:ind w:firstLine="105"/>
        <w:rPr>
          <w:rFonts w:ascii="仿宋" w:hAnsi="仿宋" w:eastAsia="仿宋" w:cs="仿宋"/>
          <w:szCs w:val="21"/>
        </w:rPr>
      </w:pPr>
      <w:bookmarkStart w:id="119" w:name="_Toc9295"/>
      <w:bookmarkStart w:id="120" w:name="_Toc13991"/>
      <w:r>
        <w:rPr>
          <w:rFonts w:hint="eastAsia" w:ascii="仿宋" w:hAnsi="仿宋" w:eastAsia="仿宋" w:cs="仿宋"/>
          <w:szCs w:val="21"/>
        </w:rPr>
        <w:t>1.10 分包</w:t>
      </w:r>
      <w:bookmarkEnd w:id="119"/>
      <w:bookmarkEnd w:id="120"/>
      <w:r>
        <w:rPr>
          <w:rFonts w:hint="eastAsia" w:ascii="仿宋" w:hAnsi="仿宋" w:eastAsia="仿宋" w:cs="仿宋"/>
          <w:szCs w:val="21"/>
        </w:rPr>
        <w:t>（本项目不允许）</w:t>
      </w:r>
    </w:p>
    <w:p w14:paraId="2051ECB2">
      <w:pPr>
        <w:spacing w:line="360" w:lineRule="auto"/>
        <w:ind w:firstLine="420" w:firstLineChars="200"/>
        <w:rPr>
          <w:rFonts w:ascii="仿宋" w:hAnsi="仿宋" w:eastAsia="仿宋" w:cs="仿宋"/>
          <w:szCs w:val="21"/>
        </w:rPr>
      </w:pPr>
      <w:r>
        <w:rPr>
          <w:rFonts w:hint="eastAsia" w:ascii="仿宋" w:hAnsi="仿宋" w:eastAsia="仿宋" w:cs="仿宋"/>
          <w:szCs w:val="21"/>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01F22D87">
      <w:pPr>
        <w:spacing w:line="360" w:lineRule="auto"/>
        <w:ind w:firstLine="420" w:firstLineChars="200"/>
        <w:rPr>
          <w:rFonts w:ascii="仿宋" w:hAnsi="仿宋" w:eastAsia="仿宋" w:cs="仿宋"/>
          <w:szCs w:val="21"/>
        </w:rPr>
      </w:pPr>
      <w:r>
        <w:rPr>
          <w:rFonts w:hint="eastAsia" w:ascii="仿宋" w:hAnsi="仿宋" w:eastAsia="仿宋" w:cs="仿宋"/>
          <w:szCs w:val="21"/>
        </w:rPr>
        <w:t>1.10.2 中标人不得向他人转让中标项目，接受分包的人不得再次分包。中标人应当就分包项目向招标人负责，接受分包的人就分包项目承担连带责任。</w:t>
      </w:r>
    </w:p>
    <w:p w14:paraId="42C944BF">
      <w:pPr>
        <w:spacing w:line="360" w:lineRule="auto"/>
        <w:ind w:firstLine="420" w:firstLineChars="200"/>
        <w:rPr>
          <w:rFonts w:ascii="仿宋" w:hAnsi="仿宋" w:eastAsia="仿宋" w:cs="仿宋"/>
          <w:szCs w:val="21"/>
        </w:rPr>
      </w:pPr>
      <w:r>
        <w:rPr>
          <w:rFonts w:hint="eastAsia" w:ascii="仿宋" w:hAnsi="仿宋" w:eastAsia="仿宋" w:cs="仿宋"/>
          <w:szCs w:val="21"/>
        </w:rPr>
        <w:t>1.10.3 中标人在拟分包前，必须经招标人书面同意后，根据招标人意见依法分包给具有相应资质的单位。</w:t>
      </w:r>
    </w:p>
    <w:p w14:paraId="3E5F2FC7">
      <w:pPr>
        <w:pStyle w:val="4"/>
        <w:ind w:firstLine="105"/>
        <w:rPr>
          <w:rFonts w:ascii="仿宋" w:hAnsi="仿宋" w:eastAsia="仿宋" w:cs="仿宋"/>
          <w:szCs w:val="21"/>
        </w:rPr>
      </w:pPr>
      <w:bookmarkStart w:id="121" w:name="_Toc22890"/>
      <w:bookmarkStart w:id="122" w:name="_Toc18423"/>
      <w:r>
        <w:rPr>
          <w:rFonts w:hint="eastAsia" w:ascii="仿宋" w:hAnsi="仿宋" w:eastAsia="仿宋" w:cs="仿宋"/>
          <w:szCs w:val="21"/>
        </w:rPr>
        <w:t>1.11 响应和偏差</w:t>
      </w:r>
      <w:bookmarkEnd w:id="121"/>
      <w:bookmarkEnd w:id="122"/>
    </w:p>
    <w:p w14:paraId="64B8AE59">
      <w:pPr>
        <w:spacing w:line="360" w:lineRule="auto"/>
        <w:ind w:firstLine="420" w:firstLineChars="200"/>
        <w:rPr>
          <w:rFonts w:ascii="仿宋" w:hAnsi="仿宋" w:eastAsia="仿宋" w:cs="仿宋"/>
          <w:szCs w:val="21"/>
        </w:rPr>
      </w:pPr>
      <w:r>
        <w:rPr>
          <w:rFonts w:hint="eastAsia" w:ascii="仿宋" w:hAnsi="仿宋" w:eastAsia="仿宋" w:cs="仿宋"/>
          <w:szCs w:val="21"/>
        </w:rPr>
        <w:t>1.11.1 投标文件应当对招标文件的实质性要求和条件作出满足性或更有利于招标人的响应，否则，投标人的投标将被否决。实质性要求和条件见投标人须知前附表。</w:t>
      </w:r>
    </w:p>
    <w:p w14:paraId="1C0569FF">
      <w:pPr>
        <w:spacing w:line="360" w:lineRule="auto"/>
        <w:ind w:firstLine="420" w:firstLineChars="200"/>
        <w:rPr>
          <w:rFonts w:ascii="仿宋" w:hAnsi="仿宋" w:eastAsia="仿宋" w:cs="仿宋"/>
          <w:szCs w:val="21"/>
          <w:highlight w:val="yellow"/>
        </w:rPr>
      </w:pPr>
    </w:p>
    <w:p w14:paraId="089294CE">
      <w:pPr>
        <w:spacing w:line="360" w:lineRule="auto"/>
        <w:ind w:firstLine="420" w:firstLineChars="200"/>
        <w:rPr>
          <w:rFonts w:ascii="仿宋" w:hAnsi="仿宋" w:eastAsia="仿宋" w:cs="仿宋"/>
          <w:szCs w:val="21"/>
        </w:rPr>
      </w:pPr>
      <w:r>
        <w:rPr>
          <w:rFonts w:hint="eastAsia" w:ascii="仿宋" w:hAnsi="仿宋" w:eastAsia="仿宋" w:cs="仿宋"/>
          <w:szCs w:val="21"/>
        </w:rPr>
        <w:t>1.11.</w:t>
      </w:r>
      <w:r>
        <w:rPr>
          <w:rFonts w:hint="eastAsia" w:ascii="仿宋" w:hAnsi="仿宋" w:eastAsia="仿宋" w:cs="仿宋"/>
          <w:szCs w:val="21"/>
          <w:lang w:val="en-US" w:eastAsia="zh-CN"/>
        </w:rPr>
        <w:t>4</w:t>
      </w:r>
      <w:r>
        <w:rPr>
          <w:rFonts w:hint="eastAsia" w:ascii="仿宋" w:hAnsi="仿宋" w:eastAsia="仿宋" w:cs="仿宋"/>
          <w:szCs w:val="21"/>
        </w:rPr>
        <w:t xml:space="preserve"> 投标人须知前附表规定了可以偏差的范围和最高偏差项数的，偏差应当符合投标人须知前附表规定的偏差范围和最高项数，超出偏差范围和最高偏差项数的投标将被否决</w:t>
      </w:r>
      <w:r>
        <w:rPr>
          <w:rFonts w:hint="eastAsia" w:ascii="仿宋" w:hAnsi="仿宋" w:eastAsia="仿宋" w:cs="仿宋"/>
          <w:szCs w:val="21"/>
          <w:lang w:eastAsia="zh-CN"/>
        </w:rPr>
        <w:t>。</w:t>
      </w:r>
      <w:r>
        <w:rPr>
          <w:rFonts w:hint="eastAsia" w:ascii="仿宋" w:hAnsi="仿宋" w:eastAsia="仿宋" w:cs="仿宋"/>
          <w:szCs w:val="21"/>
        </w:rPr>
        <w:t xml:space="preserve"> 投标文件对招标文件的全部偏差，均应在投标文件的商务和技术偏差表中列明，除列明的内容外，视为投标人响应招标文件的全部要求。</w:t>
      </w:r>
    </w:p>
    <w:p w14:paraId="7A63546F">
      <w:pPr>
        <w:pStyle w:val="3"/>
        <w:rPr>
          <w:rFonts w:ascii="仿宋" w:hAnsi="仿宋" w:eastAsia="仿宋" w:cs="仿宋"/>
          <w:sz w:val="21"/>
          <w:szCs w:val="21"/>
        </w:rPr>
      </w:pPr>
      <w:bookmarkStart w:id="123" w:name="_Toc5683"/>
      <w:bookmarkStart w:id="124" w:name="_Toc6298"/>
      <w:bookmarkStart w:id="125" w:name="_Toc6352"/>
      <w:bookmarkStart w:id="126" w:name="_Toc185327306"/>
      <w:r>
        <w:rPr>
          <w:rFonts w:hint="eastAsia" w:ascii="仿宋" w:hAnsi="仿宋" w:eastAsia="仿宋" w:cs="仿宋"/>
          <w:sz w:val="21"/>
          <w:szCs w:val="21"/>
        </w:rPr>
        <w:t>2. 招标文件</w:t>
      </w:r>
      <w:bookmarkEnd w:id="123"/>
      <w:bookmarkEnd w:id="124"/>
      <w:bookmarkEnd w:id="125"/>
      <w:bookmarkEnd w:id="126"/>
    </w:p>
    <w:p w14:paraId="4FAB2FF8">
      <w:pPr>
        <w:pStyle w:val="4"/>
        <w:ind w:firstLine="105"/>
        <w:rPr>
          <w:rFonts w:ascii="仿宋" w:hAnsi="仿宋" w:eastAsia="仿宋" w:cs="仿宋"/>
          <w:szCs w:val="21"/>
        </w:rPr>
      </w:pPr>
      <w:bookmarkStart w:id="127" w:name="_Toc1428"/>
      <w:bookmarkStart w:id="128" w:name="_Toc13078"/>
      <w:r>
        <w:rPr>
          <w:rFonts w:hint="eastAsia" w:ascii="仿宋" w:hAnsi="仿宋" w:eastAsia="仿宋" w:cs="仿宋"/>
          <w:szCs w:val="21"/>
        </w:rPr>
        <w:t>2.1 招标文件的组成</w:t>
      </w:r>
      <w:bookmarkEnd w:id="127"/>
      <w:bookmarkEnd w:id="128"/>
    </w:p>
    <w:p w14:paraId="755C0A7E">
      <w:pPr>
        <w:spacing w:line="360" w:lineRule="auto"/>
        <w:ind w:firstLine="359" w:firstLineChars="171"/>
        <w:rPr>
          <w:rFonts w:ascii="仿宋" w:hAnsi="仿宋" w:eastAsia="仿宋" w:cs="仿宋"/>
          <w:szCs w:val="21"/>
        </w:rPr>
      </w:pPr>
      <w:r>
        <w:rPr>
          <w:rFonts w:hint="eastAsia" w:ascii="仿宋" w:hAnsi="仿宋" w:eastAsia="仿宋" w:cs="仿宋"/>
          <w:szCs w:val="21"/>
        </w:rPr>
        <w:t>本招标文件包括：</w:t>
      </w:r>
    </w:p>
    <w:p w14:paraId="670B75F6">
      <w:pPr>
        <w:spacing w:line="360" w:lineRule="auto"/>
        <w:ind w:firstLine="359" w:firstLineChars="171"/>
        <w:rPr>
          <w:rFonts w:ascii="仿宋" w:hAnsi="仿宋" w:eastAsia="仿宋" w:cs="仿宋"/>
          <w:szCs w:val="21"/>
        </w:rPr>
      </w:pPr>
      <w:r>
        <w:rPr>
          <w:rFonts w:hint="eastAsia" w:ascii="仿宋" w:hAnsi="仿宋" w:eastAsia="仿宋" w:cs="仿宋"/>
          <w:szCs w:val="21"/>
        </w:rPr>
        <w:t>（1）招标公告；</w:t>
      </w:r>
    </w:p>
    <w:p w14:paraId="3DB957AD">
      <w:pPr>
        <w:spacing w:line="360" w:lineRule="auto"/>
        <w:ind w:firstLine="359" w:firstLineChars="171"/>
        <w:rPr>
          <w:rFonts w:ascii="仿宋" w:hAnsi="仿宋" w:eastAsia="仿宋" w:cs="仿宋"/>
          <w:szCs w:val="21"/>
        </w:rPr>
      </w:pPr>
      <w:r>
        <w:rPr>
          <w:rFonts w:hint="eastAsia" w:ascii="仿宋" w:hAnsi="仿宋" w:eastAsia="仿宋" w:cs="仿宋"/>
          <w:szCs w:val="21"/>
        </w:rPr>
        <w:t>（2）投标人须知；</w:t>
      </w:r>
    </w:p>
    <w:p w14:paraId="0A65649D">
      <w:pPr>
        <w:spacing w:line="360" w:lineRule="auto"/>
        <w:ind w:firstLine="359" w:firstLineChars="171"/>
        <w:rPr>
          <w:rFonts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lang w:eastAsia="zh-CN"/>
        </w:rPr>
        <w:t>评标办法</w:t>
      </w:r>
      <w:r>
        <w:rPr>
          <w:rFonts w:hint="eastAsia" w:ascii="仿宋" w:hAnsi="仿宋" w:eastAsia="仿宋" w:cs="仿宋"/>
          <w:szCs w:val="21"/>
        </w:rPr>
        <w:t>；</w:t>
      </w:r>
    </w:p>
    <w:p w14:paraId="6ED18990">
      <w:pPr>
        <w:spacing w:line="360" w:lineRule="auto"/>
        <w:ind w:firstLine="359" w:firstLineChars="171"/>
        <w:rPr>
          <w:rFonts w:ascii="仿宋" w:hAnsi="仿宋" w:eastAsia="仿宋" w:cs="仿宋"/>
          <w:szCs w:val="21"/>
        </w:rPr>
      </w:pPr>
      <w:r>
        <w:rPr>
          <w:rFonts w:hint="eastAsia" w:ascii="仿宋" w:hAnsi="仿宋" w:eastAsia="仿宋" w:cs="仿宋"/>
          <w:szCs w:val="21"/>
        </w:rPr>
        <w:t>（4）合同条款及格式；</w:t>
      </w:r>
    </w:p>
    <w:p w14:paraId="779751CB">
      <w:pPr>
        <w:spacing w:line="360" w:lineRule="auto"/>
        <w:ind w:firstLine="359" w:firstLineChars="171"/>
        <w:rPr>
          <w:rFonts w:ascii="仿宋" w:hAnsi="仿宋" w:eastAsia="仿宋" w:cs="仿宋"/>
          <w:szCs w:val="21"/>
        </w:rPr>
      </w:pPr>
      <w:r>
        <w:rPr>
          <w:rFonts w:hint="eastAsia" w:ascii="仿宋" w:hAnsi="仿宋" w:eastAsia="仿宋" w:cs="仿宋"/>
          <w:szCs w:val="21"/>
        </w:rPr>
        <w:t>（5）供货要求；</w:t>
      </w:r>
    </w:p>
    <w:p w14:paraId="0329DBF3">
      <w:pPr>
        <w:spacing w:line="360" w:lineRule="auto"/>
        <w:ind w:firstLine="359" w:firstLineChars="171"/>
        <w:rPr>
          <w:rFonts w:ascii="仿宋" w:hAnsi="仿宋" w:eastAsia="仿宋" w:cs="仿宋"/>
          <w:szCs w:val="21"/>
        </w:rPr>
      </w:pPr>
      <w:r>
        <w:rPr>
          <w:rFonts w:hint="eastAsia" w:ascii="仿宋" w:hAnsi="仿宋" w:eastAsia="仿宋" w:cs="仿宋"/>
          <w:szCs w:val="21"/>
        </w:rPr>
        <w:t>（6）投标文件格式；</w:t>
      </w:r>
    </w:p>
    <w:p w14:paraId="77E7AED9">
      <w:pPr>
        <w:spacing w:line="360" w:lineRule="auto"/>
        <w:ind w:firstLine="359" w:firstLineChars="171"/>
        <w:rPr>
          <w:rFonts w:ascii="仿宋" w:hAnsi="仿宋" w:eastAsia="仿宋" w:cs="仿宋"/>
          <w:szCs w:val="21"/>
        </w:rPr>
      </w:pPr>
      <w:r>
        <w:rPr>
          <w:rFonts w:hint="eastAsia" w:ascii="仿宋" w:hAnsi="仿宋" w:eastAsia="仿宋" w:cs="仿宋"/>
          <w:szCs w:val="21"/>
        </w:rPr>
        <w:t>（7）投标人须知前附表规定的其他资料。</w:t>
      </w:r>
    </w:p>
    <w:p w14:paraId="0E2BB62B">
      <w:pPr>
        <w:spacing w:line="360" w:lineRule="auto"/>
        <w:ind w:firstLine="420" w:firstLineChars="200"/>
        <w:rPr>
          <w:rFonts w:ascii="仿宋" w:hAnsi="仿宋" w:eastAsia="仿宋" w:cs="仿宋"/>
          <w:szCs w:val="21"/>
        </w:rPr>
      </w:pPr>
      <w:r>
        <w:rPr>
          <w:rFonts w:hint="eastAsia" w:ascii="仿宋" w:hAnsi="仿宋" w:eastAsia="仿宋" w:cs="仿宋"/>
          <w:szCs w:val="21"/>
        </w:rPr>
        <w:t>根据本章第1.9款、第2.2款和第2.3款对招标文件所作的澄清、修改，构成招标文件的组成部分。</w:t>
      </w:r>
    </w:p>
    <w:p w14:paraId="3DF8596D">
      <w:pPr>
        <w:pStyle w:val="4"/>
        <w:ind w:firstLine="105"/>
        <w:rPr>
          <w:rFonts w:ascii="仿宋" w:hAnsi="仿宋" w:eastAsia="仿宋" w:cs="仿宋"/>
          <w:szCs w:val="21"/>
        </w:rPr>
      </w:pPr>
      <w:bookmarkStart w:id="129" w:name="_Toc27672"/>
      <w:bookmarkStart w:id="130" w:name="_Toc485303289"/>
      <w:bookmarkStart w:id="131" w:name="_Toc17116"/>
      <w:bookmarkStart w:id="132" w:name="_Toc16623"/>
      <w:bookmarkStart w:id="133" w:name="_Toc152045540"/>
      <w:bookmarkStart w:id="134" w:name="_Toc247513963"/>
      <w:bookmarkStart w:id="135" w:name="_Toc384308220"/>
      <w:bookmarkStart w:id="136" w:name="_Toc247527564"/>
      <w:bookmarkStart w:id="137" w:name="_Toc300834960"/>
      <w:bookmarkStart w:id="138" w:name="_Toc144974508"/>
      <w:bookmarkStart w:id="139" w:name="_Toc152042316"/>
      <w:bookmarkStart w:id="140" w:name="_Toc361508595"/>
      <w:bookmarkStart w:id="141" w:name="_Toc369531526"/>
      <w:bookmarkStart w:id="142" w:name="_Toc352691484"/>
      <w:r>
        <w:rPr>
          <w:rFonts w:hint="eastAsia" w:ascii="仿宋" w:hAnsi="仿宋" w:eastAsia="仿宋" w:cs="仿宋"/>
          <w:szCs w:val="21"/>
        </w:rPr>
        <w:t>2.2 招标文件的澄清</w:t>
      </w:r>
      <w:bookmarkEnd w:id="129"/>
      <w:bookmarkEnd w:id="130"/>
      <w:bookmarkEnd w:id="131"/>
    </w:p>
    <w:p w14:paraId="7B8B8136">
      <w:pPr>
        <w:spacing w:line="360" w:lineRule="auto"/>
        <w:ind w:firstLine="420" w:firstLineChars="200"/>
        <w:rPr>
          <w:rFonts w:ascii="仿宋" w:hAnsi="仿宋" w:eastAsia="仿宋" w:cs="仿宋"/>
          <w:szCs w:val="21"/>
        </w:rPr>
      </w:pPr>
      <w:bookmarkStart w:id="143" w:name="_Toc485303290"/>
      <w:bookmarkStart w:id="144" w:name="_Toc352691479"/>
      <w:r>
        <w:rPr>
          <w:rFonts w:hint="eastAsia" w:ascii="仿宋" w:hAnsi="仿宋" w:eastAsia="仿宋" w:cs="仿宋"/>
          <w:szCs w:val="21"/>
        </w:rPr>
        <w:t>2.2.1 投标人应仔细阅读和检查招标文件的全部内容。如发现缺页或附件不全，应及时向招标人提出，以便补齐。如有疑问，应在投标截止时间10天前以书面形式（包括信函、电报、传真等可以有形地表现所载内容的形式，下同），要求招标人对招标文件予以澄清。</w:t>
      </w:r>
    </w:p>
    <w:p w14:paraId="31E8F3EC">
      <w:pPr>
        <w:spacing w:line="360" w:lineRule="auto"/>
        <w:ind w:firstLine="420" w:firstLineChars="200"/>
        <w:rPr>
          <w:rFonts w:ascii="仿宋" w:hAnsi="仿宋" w:eastAsia="仿宋" w:cs="仿宋"/>
          <w:szCs w:val="21"/>
        </w:rPr>
      </w:pPr>
      <w:r>
        <w:rPr>
          <w:rFonts w:hint="eastAsia" w:ascii="仿宋" w:hAnsi="仿宋" w:eastAsia="仿宋" w:cs="仿宋"/>
          <w:szCs w:val="21"/>
        </w:rPr>
        <w:t>2.2.2 招标文件的澄清将在投标人须知前附表规定的投标截止时间15天前发布，如果澄清发出的时间距投标截止时间不足15天，且澄清的内容影响投标文件编制的，相应延长投标截止时间。</w:t>
      </w:r>
    </w:p>
    <w:p w14:paraId="50E26F96">
      <w:pPr>
        <w:spacing w:line="360" w:lineRule="auto"/>
        <w:ind w:firstLine="422" w:firstLineChars="200"/>
        <w:rPr>
          <w:rFonts w:ascii="仿宋" w:hAnsi="仿宋" w:eastAsia="仿宋" w:cs="仿宋"/>
          <w:b/>
          <w:bCs/>
          <w:szCs w:val="21"/>
        </w:rPr>
      </w:pPr>
      <w:r>
        <w:rPr>
          <w:rFonts w:hint="eastAsia" w:ascii="仿宋" w:hAnsi="仿宋" w:eastAsia="仿宋" w:cs="仿宋"/>
          <w:b/>
          <w:bCs/>
          <w:szCs w:val="21"/>
        </w:rPr>
        <w:t>招标文件的澄清将在投标截止时间15天前在洛阳市公共资源交易中心网上发布“变更公告”，如需修改招标文件，则同时在洛阳市公共资源交易中心网发布“答疑文件”（答疑文件指修改后最新的招标文件）。各投标人须重新下载最新的“答疑文件”，并以此编制投标文件。如不以最新发布的“答疑文件”编制投标文件，造成投标无效的后果由投标人自己承担。</w:t>
      </w:r>
    </w:p>
    <w:p w14:paraId="19DFB8F1">
      <w:pPr>
        <w:spacing w:line="360" w:lineRule="auto"/>
        <w:ind w:firstLine="420" w:firstLineChars="200"/>
        <w:rPr>
          <w:rFonts w:ascii="仿宋" w:hAnsi="仿宋" w:eastAsia="仿宋" w:cs="仿宋"/>
          <w:szCs w:val="21"/>
        </w:rPr>
      </w:pPr>
      <w:r>
        <w:rPr>
          <w:rFonts w:hint="eastAsia" w:ascii="仿宋" w:hAnsi="仿宋" w:eastAsia="仿宋" w:cs="仿宋"/>
          <w:szCs w:val="21"/>
        </w:rPr>
        <w:t>2.2.3 投标人确认收到招标文件澄清的时间见投标人须知前附表。</w:t>
      </w:r>
      <w:r>
        <w:rPr>
          <w:rFonts w:hint="eastAsia" w:ascii="仿宋" w:hAnsi="仿宋" w:eastAsia="仿宋" w:cs="仿宋"/>
          <w:b/>
          <w:bCs/>
          <w:szCs w:val="21"/>
        </w:rPr>
        <w:t>因洛阳市公共资源交易中心网在开标前具有保密性，投标人在投标文件递交截止时间前须自行查看项目进展、变更通知、澄清及回复，因投标人未及时查看而造成的后果自负。</w:t>
      </w:r>
    </w:p>
    <w:p w14:paraId="36C6BB29">
      <w:pPr>
        <w:pStyle w:val="4"/>
        <w:ind w:firstLine="105"/>
        <w:rPr>
          <w:rFonts w:ascii="仿宋" w:hAnsi="仿宋" w:eastAsia="仿宋" w:cs="仿宋"/>
          <w:szCs w:val="21"/>
        </w:rPr>
      </w:pPr>
      <w:bookmarkStart w:id="145" w:name="_Toc22526"/>
      <w:bookmarkStart w:id="146" w:name="_Toc24256"/>
      <w:r>
        <w:rPr>
          <w:rFonts w:hint="eastAsia" w:ascii="仿宋" w:hAnsi="仿宋" w:eastAsia="仿宋" w:cs="仿宋"/>
          <w:szCs w:val="21"/>
        </w:rPr>
        <w:t>2.3 招标文件的修</w:t>
      </w:r>
      <w:bookmarkStart w:id="147" w:name="_Toc369531521"/>
      <w:bookmarkStart w:id="148" w:name="_Toc16514"/>
      <w:r>
        <w:rPr>
          <w:rFonts w:hint="eastAsia" w:ascii="仿宋" w:hAnsi="仿宋" w:eastAsia="仿宋" w:cs="仿宋"/>
          <w:szCs w:val="21"/>
        </w:rPr>
        <w:t>改</w:t>
      </w:r>
      <w:bookmarkEnd w:id="143"/>
      <w:bookmarkEnd w:id="145"/>
      <w:bookmarkEnd w:id="146"/>
    </w:p>
    <w:bookmarkEnd w:id="144"/>
    <w:bookmarkEnd w:id="147"/>
    <w:bookmarkEnd w:id="148"/>
    <w:p w14:paraId="0106E3EC">
      <w:pPr>
        <w:spacing w:line="360" w:lineRule="auto"/>
        <w:ind w:firstLine="420" w:firstLineChars="200"/>
        <w:rPr>
          <w:rFonts w:ascii="仿宋" w:hAnsi="仿宋" w:eastAsia="仿宋" w:cs="仿宋"/>
          <w:szCs w:val="21"/>
        </w:rPr>
      </w:pPr>
      <w:r>
        <w:rPr>
          <w:rFonts w:hint="eastAsia" w:ascii="仿宋" w:hAnsi="仿宋" w:eastAsia="仿宋" w:cs="仿宋"/>
          <w:szCs w:val="21"/>
        </w:rPr>
        <w:t>2.3.1 招标文件的修改将在投标人须知前附表规定的投标截止时间15天前发布，如果修改发出的时间距投标截止时间不足15天，且修改的内容影响投标文件编制的，相应延长投标截止时间。</w:t>
      </w:r>
    </w:p>
    <w:p w14:paraId="006287EA">
      <w:pPr>
        <w:spacing w:line="360" w:lineRule="auto"/>
        <w:ind w:firstLine="422" w:firstLineChars="200"/>
        <w:rPr>
          <w:rFonts w:ascii="仿宋" w:hAnsi="仿宋" w:eastAsia="仿宋" w:cs="仿宋"/>
          <w:b/>
          <w:bCs/>
          <w:szCs w:val="21"/>
        </w:rPr>
      </w:pPr>
      <w:r>
        <w:rPr>
          <w:rFonts w:hint="eastAsia" w:ascii="仿宋" w:hAnsi="仿宋" w:eastAsia="仿宋" w:cs="仿宋"/>
          <w:b/>
          <w:bCs/>
          <w:szCs w:val="21"/>
        </w:rPr>
        <w:t>在投标截止时间15天前招标人可以通过洛阳市公共资源交易中心网交易主体系统以信息通知形式修改招标文件或以答疑澄清形式修改招标文件。招标文件的澄清、修改、补充等内容均以交易主体系统答疑形式明确的内容为准。当招标文件的澄清、修改、补充等在同一内容的表述上不一致时，以最后发出的答疑为准。投标人应注意及时浏览交易主体系统内发布的答疑澄清文件通知并下载或信息通知。因投标人原因未及时获知相关内容而导致的任何后果，概由投标人自己承担。</w:t>
      </w:r>
    </w:p>
    <w:p w14:paraId="5F04D1CE">
      <w:pPr>
        <w:spacing w:line="360" w:lineRule="auto"/>
        <w:ind w:firstLine="420" w:firstLineChars="200"/>
        <w:rPr>
          <w:rFonts w:ascii="仿宋" w:hAnsi="仿宋" w:eastAsia="仿宋" w:cs="仿宋"/>
          <w:b/>
          <w:bCs/>
          <w:szCs w:val="21"/>
        </w:rPr>
      </w:pPr>
      <w:r>
        <w:rPr>
          <w:rFonts w:hint="eastAsia" w:ascii="仿宋" w:hAnsi="仿宋" w:eastAsia="仿宋" w:cs="仿宋"/>
          <w:szCs w:val="21"/>
        </w:rPr>
        <w:t>2.3.2 投标人确认收到招标文件修改的时间见投标人须知前附表。</w:t>
      </w:r>
      <w:r>
        <w:rPr>
          <w:rFonts w:hint="eastAsia" w:ascii="仿宋" w:hAnsi="仿宋" w:eastAsia="仿宋" w:cs="仿宋"/>
          <w:b/>
          <w:bCs/>
          <w:szCs w:val="21"/>
        </w:rPr>
        <w:t>因洛阳市公共资源交易中心网在开标前具有保密性，投标人在投标文件递交截止时间前须自行查看项目进展、变更通知、澄清及回复，因投标人未及时查看而造成的后果自负。</w:t>
      </w:r>
    </w:p>
    <w:p w14:paraId="56F1C135">
      <w:pPr>
        <w:pStyle w:val="4"/>
        <w:ind w:firstLine="105"/>
        <w:rPr>
          <w:rFonts w:ascii="仿宋" w:hAnsi="仿宋" w:eastAsia="仿宋" w:cs="仿宋"/>
          <w:szCs w:val="21"/>
        </w:rPr>
      </w:pPr>
      <w:bookmarkStart w:id="149" w:name="_Toc1966"/>
      <w:bookmarkStart w:id="150" w:name="_Toc27290"/>
      <w:r>
        <w:rPr>
          <w:rFonts w:hint="eastAsia" w:ascii="仿宋" w:hAnsi="仿宋" w:eastAsia="仿宋" w:cs="仿宋"/>
          <w:szCs w:val="21"/>
        </w:rPr>
        <w:t>2.</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szCs w:val="21"/>
        </w:rPr>
        <w:t>4 招标文件的异议</w:t>
      </w:r>
      <w:bookmarkEnd w:id="149"/>
      <w:bookmarkEnd w:id="150"/>
    </w:p>
    <w:p w14:paraId="138DFBE1">
      <w:pPr>
        <w:spacing w:line="360" w:lineRule="auto"/>
        <w:ind w:firstLine="420" w:firstLineChars="200"/>
        <w:rPr>
          <w:rFonts w:ascii="仿宋" w:hAnsi="仿宋" w:eastAsia="仿宋" w:cs="仿宋"/>
          <w:szCs w:val="21"/>
        </w:rPr>
      </w:pPr>
      <w:r>
        <w:rPr>
          <w:rFonts w:hint="eastAsia" w:ascii="仿宋" w:hAnsi="仿宋" w:eastAsia="仿宋" w:cs="仿宋"/>
          <w:szCs w:val="21"/>
        </w:rPr>
        <w:t>投标人或者其他利害关系人对招标文件有异议的，应当在投标截止时间10日前以书面形式提出。招标人将在收到异议之日起3日内作出答复；作出答复前，将暂停招标投标活动。</w:t>
      </w:r>
    </w:p>
    <w:p w14:paraId="49049040">
      <w:pPr>
        <w:pStyle w:val="3"/>
        <w:rPr>
          <w:rFonts w:ascii="仿宋" w:hAnsi="仿宋" w:eastAsia="仿宋" w:cs="仿宋"/>
          <w:sz w:val="21"/>
          <w:szCs w:val="21"/>
        </w:rPr>
      </w:pPr>
      <w:bookmarkStart w:id="151" w:name="_Toc185327307"/>
      <w:bookmarkStart w:id="152" w:name="_Toc28006"/>
      <w:bookmarkStart w:id="153" w:name="_Toc20973"/>
      <w:bookmarkStart w:id="154" w:name="_Toc15458"/>
      <w:r>
        <w:rPr>
          <w:rFonts w:hint="eastAsia" w:ascii="仿宋" w:hAnsi="仿宋" w:eastAsia="仿宋" w:cs="仿宋"/>
          <w:sz w:val="21"/>
          <w:szCs w:val="21"/>
        </w:rPr>
        <w:t>3. 投标文件</w:t>
      </w:r>
      <w:bookmarkEnd w:id="151"/>
      <w:bookmarkEnd w:id="152"/>
      <w:bookmarkEnd w:id="153"/>
      <w:bookmarkEnd w:id="154"/>
    </w:p>
    <w:p w14:paraId="4F1EB2DA">
      <w:pPr>
        <w:pStyle w:val="4"/>
        <w:ind w:firstLine="105"/>
        <w:rPr>
          <w:rFonts w:ascii="仿宋" w:hAnsi="仿宋" w:eastAsia="仿宋" w:cs="仿宋"/>
          <w:szCs w:val="21"/>
        </w:rPr>
      </w:pPr>
      <w:bookmarkStart w:id="155" w:name="_Toc14658"/>
      <w:bookmarkStart w:id="156" w:name="_Toc16116"/>
      <w:r>
        <w:rPr>
          <w:rFonts w:hint="eastAsia" w:ascii="仿宋" w:hAnsi="仿宋" w:eastAsia="仿宋" w:cs="仿宋"/>
          <w:szCs w:val="21"/>
        </w:rPr>
        <w:t>3.1 投标文件的组成</w:t>
      </w:r>
      <w:bookmarkEnd w:id="155"/>
      <w:bookmarkEnd w:id="156"/>
    </w:p>
    <w:p w14:paraId="67C0399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3.1.1 投标文件应包括下列内容：</w:t>
      </w:r>
    </w:p>
    <w:p w14:paraId="546E8BB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（1）投标函及投标函附录；</w:t>
      </w:r>
    </w:p>
    <w:p w14:paraId="2FF2728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（2）法定代表人身份证明；</w:t>
      </w:r>
    </w:p>
    <w:p w14:paraId="03205B5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（3）授权委托书；</w:t>
      </w:r>
    </w:p>
    <w:p w14:paraId="0B5DF31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（4）商务和技术偏差表；</w:t>
      </w:r>
    </w:p>
    <w:p w14:paraId="2E42F62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w:t>
      </w:r>
      <w:r>
        <w:rPr>
          <w:rFonts w:hint="eastAsia" w:ascii="仿宋" w:hAnsi="仿宋" w:eastAsia="仿宋" w:cs="仿宋"/>
          <w:szCs w:val="21"/>
          <w:lang w:eastAsia="zh-CN"/>
        </w:rPr>
        <w:t>分项报价表</w:t>
      </w:r>
      <w:r>
        <w:rPr>
          <w:rFonts w:hint="eastAsia" w:ascii="仿宋" w:hAnsi="仿宋" w:eastAsia="仿宋" w:cs="仿宋"/>
          <w:szCs w:val="21"/>
        </w:rPr>
        <w:t>；</w:t>
      </w:r>
    </w:p>
    <w:p w14:paraId="59E9DCE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（6）投标保证金（投标保证金企业信用承诺函）；</w:t>
      </w:r>
    </w:p>
    <w:p w14:paraId="7BCC2A9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（7）资格审查资料；</w:t>
      </w:r>
    </w:p>
    <w:p w14:paraId="628C0DC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（8）技术性能指标的详细描述；</w:t>
      </w:r>
    </w:p>
    <w:p w14:paraId="645CD07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（9）项目实施方案；</w:t>
      </w:r>
    </w:p>
    <w:p w14:paraId="57C6E09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10</w:t>
      </w:r>
      <w:r>
        <w:rPr>
          <w:rFonts w:hint="eastAsia" w:ascii="仿宋" w:hAnsi="仿宋" w:eastAsia="仿宋" w:cs="仿宋"/>
          <w:szCs w:val="21"/>
        </w:rPr>
        <w:t>）其他资料。</w:t>
      </w:r>
    </w:p>
    <w:p w14:paraId="03A39259">
      <w:pPr>
        <w:spacing w:line="360" w:lineRule="auto"/>
        <w:ind w:firstLine="420" w:firstLineChars="200"/>
        <w:rPr>
          <w:rFonts w:ascii="仿宋" w:hAnsi="仿宋" w:eastAsia="仿宋" w:cs="仿宋"/>
          <w:szCs w:val="21"/>
        </w:rPr>
      </w:pPr>
      <w:r>
        <w:rPr>
          <w:rFonts w:hint="eastAsia" w:ascii="仿宋" w:hAnsi="仿宋" w:eastAsia="仿宋" w:cs="仿宋"/>
          <w:szCs w:val="21"/>
        </w:rPr>
        <w:t>投标人在评标过程中作出的符合法律法规和招标文件规定的澄清确认，构成投标文件的组成部分。</w:t>
      </w:r>
    </w:p>
    <w:p w14:paraId="3532135C">
      <w:pPr>
        <w:pStyle w:val="4"/>
        <w:ind w:firstLine="105"/>
        <w:rPr>
          <w:rFonts w:ascii="仿宋" w:hAnsi="仿宋" w:eastAsia="仿宋" w:cs="仿宋"/>
          <w:szCs w:val="21"/>
        </w:rPr>
      </w:pPr>
      <w:bookmarkStart w:id="157" w:name="_Toc19855"/>
      <w:bookmarkStart w:id="158" w:name="_Toc13658"/>
      <w:r>
        <w:rPr>
          <w:rFonts w:hint="eastAsia" w:ascii="仿宋" w:hAnsi="仿宋" w:eastAsia="仿宋" w:cs="仿宋"/>
          <w:szCs w:val="21"/>
        </w:rPr>
        <w:t>3.2 投标报价</w:t>
      </w:r>
      <w:bookmarkEnd w:id="157"/>
      <w:bookmarkEnd w:id="158"/>
    </w:p>
    <w:p w14:paraId="2483A698">
      <w:pPr>
        <w:spacing w:line="360" w:lineRule="auto"/>
        <w:ind w:firstLine="420" w:firstLineChars="200"/>
        <w:rPr>
          <w:rFonts w:hint="eastAsia" w:ascii="仿宋" w:hAnsi="仿宋" w:eastAsia="仿宋" w:cs="仿宋"/>
          <w:szCs w:val="21"/>
          <w:lang w:eastAsia="zh-CN"/>
        </w:rPr>
      </w:pPr>
      <w:r>
        <w:rPr>
          <w:rFonts w:hint="eastAsia" w:ascii="仿宋" w:hAnsi="仿宋" w:eastAsia="仿宋" w:cs="仿宋"/>
          <w:szCs w:val="21"/>
        </w:rPr>
        <w:t>3.2.1 投标报价应包括国家规定的增值税税金。投标人应按第七章“投标文件格式”的要求在投标函中进行报价</w:t>
      </w:r>
      <w:r>
        <w:rPr>
          <w:rFonts w:hint="eastAsia" w:ascii="仿宋" w:hAnsi="仿宋" w:eastAsia="仿宋" w:cs="仿宋"/>
          <w:szCs w:val="21"/>
          <w:lang w:eastAsia="zh-CN"/>
        </w:rPr>
        <w:t>。</w:t>
      </w:r>
    </w:p>
    <w:p w14:paraId="4F90720E">
      <w:pPr>
        <w:spacing w:line="360" w:lineRule="auto"/>
        <w:ind w:firstLine="420" w:firstLineChars="200"/>
        <w:rPr>
          <w:rFonts w:ascii="仿宋" w:hAnsi="仿宋" w:eastAsia="仿宋" w:cs="仿宋"/>
          <w:szCs w:val="21"/>
        </w:rPr>
      </w:pPr>
      <w:r>
        <w:rPr>
          <w:rFonts w:hint="eastAsia" w:ascii="仿宋" w:hAnsi="仿宋" w:eastAsia="仿宋" w:cs="仿宋"/>
          <w:szCs w:val="21"/>
        </w:rPr>
        <w:t>3.2.2 投标人应充分了解该项目的总体情况以及影响投标报价的其他要素。</w:t>
      </w:r>
    </w:p>
    <w:p w14:paraId="7374756C">
      <w:pPr>
        <w:spacing w:line="360" w:lineRule="auto"/>
        <w:ind w:firstLine="420" w:firstLineChars="200"/>
        <w:rPr>
          <w:rFonts w:ascii="仿宋" w:hAnsi="仿宋" w:eastAsia="仿宋" w:cs="仿宋"/>
          <w:szCs w:val="21"/>
        </w:rPr>
      </w:pPr>
      <w:r>
        <w:rPr>
          <w:rFonts w:hint="eastAsia" w:ascii="仿宋" w:hAnsi="仿宋" w:eastAsia="仿宋" w:cs="仿宋"/>
          <w:szCs w:val="21"/>
        </w:rPr>
        <w:t>3.2.3</w:t>
      </w:r>
      <w:bookmarkStart w:id="159" w:name="_Toc247513967"/>
      <w:bookmarkEnd w:id="159"/>
      <w:bookmarkStart w:id="160" w:name="_Toc384308224"/>
      <w:bookmarkEnd w:id="160"/>
      <w:bookmarkStart w:id="161" w:name="_Toc247527568"/>
      <w:bookmarkEnd w:id="161"/>
      <w:bookmarkStart w:id="162" w:name="_Toc144974511"/>
      <w:bookmarkEnd w:id="162"/>
      <w:bookmarkStart w:id="163" w:name="_Toc15242"/>
      <w:bookmarkEnd w:id="163"/>
      <w:bookmarkStart w:id="164" w:name="_Toc300834964"/>
      <w:bookmarkEnd w:id="164"/>
      <w:bookmarkStart w:id="165" w:name="_Toc152045543"/>
      <w:bookmarkEnd w:id="165"/>
      <w:bookmarkStart w:id="166" w:name="_Toc152042319"/>
      <w:bookmarkEnd w:id="166"/>
      <w:bookmarkStart w:id="167" w:name="_Toc361508599"/>
      <w:bookmarkEnd w:id="167"/>
      <w:bookmarkStart w:id="168" w:name="_Toc352691487"/>
      <w:bookmarkEnd w:id="168"/>
      <w:bookmarkStart w:id="169" w:name="_Toc369531530"/>
      <w:bookmarkEnd w:id="169"/>
      <w:r>
        <w:rPr>
          <w:rFonts w:hint="eastAsia" w:ascii="仿宋" w:hAnsi="仿宋" w:eastAsia="仿宋" w:cs="仿宋"/>
          <w:szCs w:val="21"/>
        </w:rPr>
        <w:t xml:space="preserve">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汇总表”中的相应报价。此修改须符合本章第4.3款的有关要求。</w:t>
      </w:r>
    </w:p>
    <w:p w14:paraId="55C9B77B">
      <w:pPr>
        <w:spacing w:line="360" w:lineRule="auto"/>
        <w:ind w:firstLine="420" w:firstLineChars="200"/>
        <w:rPr>
          <w:rFonts w:ascii="仿宋" w:hAnsi="仿宋" w:eastAsia="仿宋" w:cs="仿宋"/>
          <w:szCs w:val="21"/>
        </w:rPr>
      </w:pPr>
      <w:r>
        <w:rPr>
          <w:rFonts w:hint="eastAsia" w:ascii="仿宋" w:hAnsi="仿宋" w:eastAsia="仿宋" w:cs="仿宋"/>
          <w:szCs w:val="21"/>
        </w:rPr>
        <w:t>3.2.4 招标人设有最高投标限价的，投标人的投标报价不得超过最高投标限价，最高投标限价在投标</w:t>
      </w:r>
      <w:bookmarkStart w:id="170" w:name="_Toc361508600"/>
      <w:bookmarkStart w:id="171" w:name="_Toc152042320"/>
      <w:bookmarkStart w:id="172" w:name="_Toc369531531"/>
      <w:bookmarkStart w:id="173" w:name="_Toc352691488"/>
      <w:bookmarkStart w:id="174" w:name="_Toc247527569"/>
      <w:bookmarkStart w:id="175" w:name="_Toc10429"/>
      <w:bookmarkStart w:id="176" w:name="_Toc152045544"/>
      <w:bookmarkStart w:id="177" w:name="_Toc144974512"/>
      <w:bookmarkStart w:id="178" w:name="_Toc384308225"/>
      <w:bookmarkStart w:id="179" w:name="_Toc300834965"/>
      <w:bookmarkStart w:id="180" w:name="_Toc247513968"/>
      <w:r>
        <w:rPr>
          <w:rFonts w:hint="eastAsia" w:ascii="仿宋" w:hAnsi="仿宋" w:eastAsia="仿宋" w:cs="仿宋"/>
          <w:szCs w:val="21"/>
        </w:rPr>
        <w:t>人须知前附表中载明。</w:t>
      </w:r>
      <w:bookmarkEnd w:id="170"/>
      <w:bookmarkEnd w:id="171"/>
      <w:bookmarkEnd w:id="172"/>
      <w:bookmarkEnd w:id="173"/>
      <w:bookmarkEnd w:id="174"/>
      <w:bookmarkEnd w:id="175"/>
      <w:bookmarkEnd w:id="176"/>
      <w:bookmarkEnd w:id="177"/>
      <w:bookmarkEnd w:id="178"/>
      <w:bookmarkEnd w:id="179"/>
      <w:bookmarkEnd w:id="180"/>
    </w:p>
    <w:p w14:paraId="3690BE47">
      <w:pPr>
        <w:spacing w:line="360" w:lineRule="auto"/>
        <w:ind w:firstLine="420" w:firstLineChars="200"/>
        <w:rPr>
          <w:rFonts w:ascii="仿宋" w:hAnsi="仿宋" w:eastAsia="仿宋" w:cs="仿宋"/>
          <w:szCs w:val="21"/>
        </w:rPr>
      </w:pPr>
      <w:r>
        <w:rPr>
          <w:rFonts w:hint="eastAsia" w:ascii="仿宋" w:hAnsi="仿宋" w:eastAsia="仿宋" w:cs="仿宋"/>
          <w:szCs w:val="21"/>
        </w:rPr>
        <w:t>3.2.5 投标报价的其他要求见投标人须知前附表。</w:t>
      </w:r>
    </w:p>
    <w:p w14:paraId="69E08667">
      <w:pPr>
        <w:pStyle w:val="4"/>
        <w:ind w:firstLine="105"/>
        <w:rPr>
          <w:rFonts w:ascii="仿宋" w:hAnsi="仿宋" w:eastAsia="仿宋" w:cs="仿宋"/>
          <w:szCs w:val="21"/>
        </w:rPr>
      </w:pPr>
      <w:bookmarkStart w:id="181" w:name="_Toc9371"/>
      <w:bookmarkStart w:id="182" w:name="_Toc24023"/>
      <w:r>
        <w:rPr>
          <w:rFonts w:hint="eastAsia" w:ascii="仿宋" w:hAnsi="仿宋" w:eastAsia="仿宋" w:cs="仿宋"/>
          <w:szCs w:val="21"/>
        </w:rPr>
        <w:t>3.3 投标有效期</w:t>
      </w:r>
      <w:bookmarkEnd w:id="181"/>
      <w:bookmarkEnd w:id="182"/>
    </w:p>
    <w:p w14:paraId="65910ABD">
      <w:pPr>
        <w:spacing w:line="360" w:lineRule="auto"/>
        <w:ind w:firstLine="420" w:firstLineChars="200"/>
        <w:rPr>
          <w:rFonts w:ascii="仿宋" w:hAnsi="仿宋" w:eastAsia="仿宋" w:cs="仿宋"/>
          <w:szCs w:val="21"/>
        </w:rPr>
      </w:pPr>
      <w:r>
        <w:rPr>
          <w:rFonts w:hint="eastAsia" w:ascii="仿宋" w:hAnsi="仿宋" w:eastAsia="仿宋" w:cs="仿宋"/>
          <w:szCs w:val="21"/>
        </w:rPr>
        <w:t>3.3.1 除投标人须知前附表另有规定外，投标有效期投标截止之日起90天。</w:t>
      </w:r>
    </w:p>
    <w:p w14:paraId="0855CF07">
      <w:pPr>
        <w:spacing w:line="360" w:lineRule="auto"/>
        <w:ind w:firstLine="420" w:firstLineChars="200"/>
        <w:rPr>
          <w:rFonts w:ascii="仿宋" w:hAnsi="仿宋" w:eastAsia="仿宋" w:cs="仿宋"/>
          <w:szCs w:val="21"/>
        </w:rPr>
      </w:pPr>
      <w:r>
        <w:rPr>
          <w:rFonts w:hint="eastAsia" w:ascii="仿宋" w:hAnsi="仿宋" w:eastAsia="仿宋" w:cs="仿宋"/>
          <w:szCs w:val="21"/>
        </w:rPr>
        <w:t>3.3.2 在投标有效期内，投标人撤销投标文件的，应承担招标文件和法律规定的责任。</w:t>
      </w:r>
    </w:p>
    <w:p w14:paraId="5EF3F544">
      <w:pPr>
        <w:spacing w:line="360" w:lineRule="auto"/>
        <w:ind w:firstLine="420" w:firstLineChars="200"/>
        <w:rPr>
          <w:rFonts w:ascii="仿宋" w:hAnsi="仿宋" w:eastAsia="仿宋" w:cs="仿宋"/>
          <w:szCs w:val="21"/>
        </w:rPr>
      </w:pPr>
      <w:r>
        <w:rPr>
          <w:rFonts w:hint="eastAsia" w:ascii="仿宋" w:hAnsi="仿宋" w:eastAsia="仿宋" w:cs="仿宋"/>
          <w:szCs w:val="21"/>
        </w:rPr>
        <w:t>3.3.3 出现特殊情况需要延长投标有效期的，招标人以书面形式通知所有投标人延长投标有效期。投标人应予以书面答复，同意延长的，应相应延长其投标保证金（投标保证金企业信用承诺函）的有效期，但不得要求或被允许修改其投标文件；投标人拒绝延长的，其投标失效。</w:t>
      </w:r>
    </w:p>
    <w:p w14:paraId="5015149C">
      <w:pPr>
        <w:pStyle w:val="4"/>
        <w:ind w:firstLine="105"/>
        <w:rPr>
          <w:rFonts w:ascii="仿宋" w:hAnsi="仿宋" w:eastAsia="仿宋" w:cs="仿宋"/>
          <w:szCs w:val="21"/>
        </w:rPr>
      </w:pPr>
      <w:bookmarkStart w:id="183" w:name="_Toc19209"/>
      <w:bookmarkStart w:id="184" w:name="_Toc28477"/>
      <w:r>
        <w:rPr>
          <w:rFonts w:hint="eastAsia" w:ascii="仿宋" w:hAnsi="仿宋" w:eastAsia="仿宋" w:cs="仿宋"/>
          <w:szCs w:val="21"/>
        </w:rPr>
        <w:t>3.4 投标保证金</w:t>
      </w:r>
      <w:bookmarkEnd w:id="183"/>
      <w:bookmarkEnd w:id="184"/>
      <w:r>
        <w:rPr>
          <w:rFonts w:hint="eastAsia" w:ascii="仿宋" w:hAnsi="仿宋" w:eastAsia="仿宋" w:cs="仿宋"/>
          <w:szCs w:val="21"/>
        </w:rPr>
        <w:t>（投标保证金企业信用承诺函）</w:t>
      </w:r>
    </w:p>
    <w:p w14:paraId="53C47585">
      <w:pPr>
        <w:spacing w:line="360" w:lineRule="auto"/>
        <w:ind w:firstLine="420" w:firstLineChars="200"/>
        <w:rPr>
          <w:rFonts w:ascii="仿宋" w:hAnsi="仿宋" w:eastAsia="仿宋" w:cs="仿宋"/>
          <w:szCs w:val="21"/>
        </w:rPr>
      </w:pPr>
      <w:r>
        <w:rPr>
          <w:rFonts w:hint="eastAsia" w:ascii="仿宋" w:hAnsi="仿宋" w:eastAsia="仿宋" w:cs="仿宋"/>
          <w:szCs w:val="21"/>
        </w:rPr>
        <w:t>3.4.1 投标人须提供《投标保证金企业信用承诺函》，并应符合投标人须知前附表的规定。</w:t>
      </w:r>
    </w:p>
    <w:p w14:paraId="32DD48C8">
      <w:pPr>
        <w:spacing w:line="360" w:lineRule="auto"/>
        <w:ind w:firstLine="420" w:firstLineChars="200"/>
        <w:jc w:val="left"/>
        <w:rPr>
          <w:rFonts w:ascii="仿宋" w:hAnsi="仿宋" w:eastAsia="仿宋" w:cs="仿宋"/>
          <w:szCs w:val="21"/>
        </w:rPr>
      </w:pPr>
      <w:r>
        <w:rPr>
          <w:rFonts w:hint="eastAsia" w:ascii="仿宋" w:hAnsi="仿宋" w:eastAsia="仿宋" w:cs="仿宋"/>
          <w:szCs w:val="21"/>
        </w:rPr>
        <w:t>3.4.2 投标人不按本章第3.4.1项要求提交《投标保证金企业信用承诺函》，视为未实质性响应招标文件要求，按无效投标处理。</w:t>
      </w:r>
    </w:p>
    <w:p w14:paraId="6E3DF5D9">
      <w:pPr>
        <w:pStyle w:val="4"/>
        <w:ind w:firstLine="105"/>
        <w:rPr>
          <w:rFonts w:ascii="仿宋" w:hAnsi="仿宋" w:eastAsia="仿宋" w:cs="仿宋"/>
          <w:szCs w:val="21"/>
        </w:rPr>
      </w:pPr>
      <w:bookmarkStart w:id="185" w:name="_Toc14055"/>
      <w:bookmarkStart w:id="186" w:name="_Toc25515"/>
      <w:r>
        <w:rPr>
          <w:rFonts w:hint="eastAsia" w:ascii="仿宋" w:hAnsi="仿宋" w:eastAsia="仿宋" w:cs="仿宋"/>
          <w:szCs w:val="21"/>
        </w:rPr>
        <w:t>3.5 资格审查资料</w:t>
      </w:r>
      <w:bookmarkEnd w:id="185"/>
      <w:bookmarkEnd w:id="186"/>
    </w:p>
    <w:p w14:paraId="5A0D73D3">
      <w:pPr>
        <w:spacing w:line="360" w:lineRule="auto"/>
        <w:ind w:firstLine="315" w:firstLineChars="150"/>
        <w:rPr>
          <w:rFonts w:ascii="仿宋" w:hAnsi="仿宋" w:eastAsia="仿宋" w:cs="仿宋"/>
          <w:szCs w:val="21"/>
        </w:rPr>
      </w:pPr>
      <w:bookmarkStart w:id="187" w:name="_Toc22279"/>
      <w:bookmarkStart w:id="188" w:name="_Toc1663"/>
      <w:r>
        <w:rPr>
          <w:rFonts w:hint="eastAsia" w:ascii="仿宋" w:hAnsi="仿宋" w:eastAsia="仿宋" w:cs="仿宋"/>
          <w:szCs w:val="21"/>
        </w:rPr>
        <w:t>3.5.1 资格审查资料的特殊要求，见投标人须知前附表。</w:t>
      </w:r>
    </w:p>
    <w:p w14:paraId="5121585E">
      <w:pPr>
        <w:spacing w:line="360" w:lineRule="auto"/>
        <w:ind w:firstLine="315" w:firstLineChars="150"/>
        <w:rPr>
          <w:rFonts w:ascii="仿宋" w:hAnsi="仿宋" w:eastAsia="仿宋" w:cs="仿宋"/>
          <w:szCs w:val="21"/>
        </w:rPr>
      </w:pPr>
      <w:r>
        <w:rPr>
          <w:rFonts w:hint="eastAsia" w:ascii="仿宋" w:hAnsi="仿宋" w:eastAsia="仿宋" w:cs="仿宋"/>
          <w:szCs w:val="21"/>
        </w:rPr>
        <w:t>3.5.2 近年完成的类似项目情况的时间要求，见投标人须知前附表。</w:t>
      </w:r>
    </w:p>
    <w:p w14:paraId="0747EB83">
      <w:pPr>
        <w:pStyle w:val="4"/>
        <w:ind w:firstLine="105"/>
        <w:rPr>
          <w:rFonts w:ascii="仿宋" w:hAnsi="仿宋" w:eastAsia="仿宋" w:cs="仿宋"/>
          <w:szCs w:val="21"/>
        </w:rPr>
      </w:pPr>
      <w:r>
        <w:rPr>
          <w:rFonts w:hint="eastAsia" w:ascii="仿宋" w:hAnsi="仿宋" w:eastAsia="仿宋" w:cs="仿宋"/>
          <w:szCs w:val="21"/>
        </w:rPr>
        <w:t>3.6 备选投标方案</w:t>
      </w:r>
      <w:bookmarkEnd w:id="187"/>
      <w:bookmarkEnd w:id="188"/>
    </w:p>
    <w:p w14:paraId="6D22C080">
      <w:pPr>
        <w:spacing w:line="360" w:lineRule="auto"/>
        <w:ind w:firstLine="420" w:firstLineChars="200"/>
        <w:rPr>
          <w:rFonts w:ascii="仿宋" w:hAnsi="仿宋" w:eastAsia="仿宋" w:cs="仿宋"/>
          <w:szCs w:val="21"/>
        </w:rPr>
      </w:pPr>
      <w:r>
        <w:rPr>
          <w:rFonts w:hint="eastAsia" w:ascii="仿宋" w:hAnsi="仿宋" w:eastAsia="仿宋" w:cs="仿宋"/>
          <w:szCs w:val="21"/>
        </w:rPr>
        <w:t>3.6.1 除投标人须知前附表规定允许外，投标人不得递交备选投标方案，否则其投标将被否决。</w:t>
      </w:r>
    </w:p>
    <w:p w14:paraId="693FEC61">
      <w:pPr>
        <w:spacing w:line="360" w:lineRule="auto"/>
        <w:ind w:firstLine="420" w:firstLineChars="200"/>
        <w:rPr>
          <w:rFonts w:ascii="仿宋" w:hAnsi="仿宋" w:eastAsia="仿宋" w:cs="仿宋"/>
          <w:szCs w:val="21"/>
        </w:rPr>
      </w:pPr>
      <w:r>
        <w:rPr>
          <w:rFonts w:hint="eastAsia" w:ascii="仿宋" w:hAnsi="仿宋" w:eastAsia="仿宋" w:cs="仿宋"/>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45C2512">
      <w:pPr>
        <w:spacing w:line="360" w:lineRule="auto"/>
        <w:ind w:firstLine="420" w:firstLineChars="200"/>
        <w:rPr>
          <w:rFonts w:ascii="仿宋" w:hAnsi="仿宋" w:eastAsia="仿宋" w:cs="仿宋"/>
          <w:szCs w:val="21"/>
        </w:rPr>
      </w:pPr>
      <w:r>
        <w:rPr>
          <w:rFonts w:hint="eastAsia" w:ascii="仿宋" w:hAnsi="仿宋" w:eastAsia="仿宋" w:cs="仿宋"/>
          <w:szCs w:val="21"/>
        </w:rPr>
        <w:t>3.6.3 投标人提供两个或两个以上投标报价，或者在投标文件中提供一个报价，但同时提供两个或两个以上供</w:t>
      </w:r>
      <w:bookmarkStart w:id="189" w:name="_Toc144974518"/>
      <w:bookmarkStart w:id="190" w:name="_Toc300834971"/>
      <w:bookmarkStart w:id="191" w:name="_Toc152042326"/>
      <w:bookmarkStart w:id="192" w:name="_Toc361508607"/>
      <w:bookmarkStart w:id="193" w:name="_Toc369531538"/>
      <w:bookmarkStart w:id="194" w:name="_Toc29902"/>
      <w:bookmarkStart w:id="195" w:name="_Toc352691495"/>
      <w:bookmarkStart w:id="196" w:name="_Toc152045550"/>
      <w:bookmarkStart w:id="197" w:name="_Toc384308232"/>
      <w:bookmarkStart w:id="198" w:name="_Toc247527575"/>
      <w:bookmarkStart w:id="199" w:name="_Toc247513974"/>
      <w:r>
        <w:rPr>
          <w:rFonts w:hint="eastAsia" w:ascii="仿宋" w:hAnsi="仿宋" w:eastAsia="仿宋" w:cs="仿宋"/>
          <w:szCs w:val="21"/>
        </w:rPr>
        <w:t>货方案的</w:t>
      </w:r>
      <w:bookmarkEnd w:id="189"/>
      <w:bookmarkEnd w:id="190"/>
      <w:bookmarkEnd w:id="191"/>
      <w:bookmarkEnd w:id="192"/>
      <w:bookmarkEnd w:id="193"/>
      <w:bookmarkEnd w:id="194"/>
      <w:bookmarkEnd w:id="195"/>
      <w:bookmarkEnd w:id="196"/>
      <w:bookmarkEnd w:id="197"/>
      <w:bookmarkEnd w:id="198"/>
      <w:bookmarkEnd w:id="199"/>
      <w:r>
        <w:rPr>
          <w:rFonts w:hint="eastAsia" w:ascii="仿宋" w:hAnsi="仿宋" w:eastAsia="仿宋" w:cs="仿宋"/>
          <w:szCs w:val="21"/>
        </w:rPr>
        <w:t>，视为提供备选方案。</w:t>
      </w:r>
    </w:p>
    <w:p w14:paraId="6E070997">
      <w:pPr>
        <w:pStyle w:val="4"/>
        <w:ind w:firstLine="105"/>
        <w:rPr>
          <w:rFonts w:ascii="仿宋" w:hAnsi="仿宋" w:eastAsia="仿宋" w:cs="仿宋"/>
          <w:szCs w:val="21"/>
        </w:rPr>
      </w:pPr>
      <w:bookmarkStart w:id="200" w:name="_Toc4410"/>
      <w:bookmarkStart w:id="201" w:name="_Toc29693"/>
      <w:r>
        <w:rPr>
          <w:rFonts w:hint="eastAsia" w:ascii="仿宋" w:hAnsi="仿宋" w:eastAsia="仿宋" w:cs="仿宋"/>
          <w:szCs w:val="21"/>
        </w:rPr>
        <w:t>3.7 投标文件的编制</w:t>
      </w:r>
      <w:bookmarkEnd w:id="200"/>
      <w:bookmarkEnd w:id="201"/>
    </w:p>
    <w:p w14:paraId="1F07CED5">
      <w:pPr>
        <w:spacing w:line="360" w:lineRule="auto"/>
        <w:ind w:firstLine="420" w:firstLineChars="200"/>
        <w:rPr>
          <w:rFonts w:ascii="仿宋" w:hAnsi="仿宋" w:eastAsia="仿宋" w:cs="仿宋"/>
          <w:szCs w:val="21"/>
        </w:rPr>
      </w:pPr>
      <w:r>
        <w:rPr>
          <w:rFonts w:hint="eastAsia" w:ascii="仿宋" w:hAnsi="仿宋" w:eastAsia="仿宋" w:cs="仿宋"/>
          <w:szCs w:val="21"/>
        </w:rPr>
        <w:t>3.7.1 投标文件应按第七章“投标文件格式”进行编写，如有必要，可以增加附页，作为投标文件的组成部分。</w:t>
      </w:r>
    </w:p>
    <w:p w14:paraId="0996874A">
      <w:pPr>
        <w:spacing w:line="360" w:lineRule="auto"/>
        <w:ind w:firstLine="420" w:firstLineChars="200"/>
        <w:rPr>
          <w:rFonts w:ascii="仿宋" w:hAnsi="仿宋" w:eastAsia="仿宋" w:cs="仿宋"/>
          <w:szCs w:val="21"/>
        </w:rPr>
      </w:pPr>
      <w:r>
        <w:rPr>
          <w:rFonts w:hint="eastAsia" w:ascii="仿宋" w:hAnsi="仿宋" w:eastAsia="仿宋" w:cs="仿宋"/>
          <w:szCs w:val="21"/>
        </w:rPr>
        <w:t>3.7.2 投标文件应当对招标文件有关</w:t>
      </w:r>
      <w:r>
        <w:rPr>
          <w:rFonts w:hint="eastAsia" w:ascii="仿宋" w:hAnsi="仿宋" w:eastAsia="仿宋" w:cs="仿宋"/>
          <w:szCs w:val="21"/>
          <w:lang w:eastAsia="zh-CN"/>
        </w:rPr>
        <w:t>交货安装周期</w:t>
      </w:r>
      <w:r>
        <w:rPr>
          <w:rFonts w:hint="eastAsia" w:ascii="仿宋" w:hAnsi="仿宋" w:eastAsia="仿宋" w:cs="仿宋"/>
          <w:szCs w:val="21"/>
        </w:rPr>
        <w:t>、投标有效期、质量要求、招标范围等实质性内容作出响应。投标文件在满足招标文件实质性要求的基础上，可以提出比招标文件要求更有利于招标人的承诺。</w:t>
      </w:r>
    </w:p>
    <w:p w14:paraId="6ED0E76A">
      <w:pPr>
        <w:spacing w:line="360" w:lineRule="auto"/>
        <w:ind w:firstLine="420" w:firstLineChars="200"/>
        <w:rPr>
          <w:rFonts w:ascii="仿宋" w:hAnsi="仿宋" w:eastAsia="仿宋" w:cs="仿宋"/>
          <w:szCs w:val="21"/>
        </w:rPr>
      </w:pPr>
      <w:r>
        <w:rPr>
          <w:rFonts w:hint="eastAsia" w:ascii="仿宋" w:hAnsi="仿宋" w:eastAsia="仿宋" w:cs="仿宋"/>
          <w:szCs w:val="21"/>
        </w:rPr>
        <w:t>3.7.3 投标文件全部采用电子文档，除投标人须知前附表另有规定外，投标文件所附证书证件均为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和（或）盖章的具体要求见投标人须知前附表。</w:t>
      </w:r>
    </w:p>
    <w:p w14:paraId="5F4ABCED">
      <w:pPr>
        <w:pStyle w:val="3"/>
        <w:rPr>
          <w:rFonts w:ascii="仿宋" w:hAnsi="仿宋" w:eastAsia="仿宋" w:cs="仿宋"/>
          <w:sz w:val="21"/>
          <w:szCs w:val="21"/>
        </w:rPr>
      </w:pPr>
      <w:bookmarkStart w:id="202" w:name="_Toc185327308"/>
      <w:bookmarkStart w:id="203" w:name="_Toc24283"/>
      <w:bookmarkStart w:id="204" w:name="_Toc21276"/>
      <w:bookmarkStart w:id="205" w:name="_Toc24578"/>
      <w:r>
        <w:rPr>
          <w:rFonts w:hint="eastAsia" w:ascii="仿宋" w:hAnsi="仿宋" w:eastAsia="仿宋" w:cs="仿宋"/>
          <w:sz w:val="21"/>
          <w:szCs w:val="21"/>
        </w:rPr>
        <w:t>4. 投标</w:t>
      </w:r>
      <w:bookmarkEnd w:id="202"/>
      <w:bookmarkEnd w:id="203"/>
      <w:bookmarkEnd w:id="204"/>
      <w:bookmarkEnd w:id="205"/>
    </w:p>
    <w:p w14:paraId="513EADD5">
      <w:pPr>
        <w:pStyle w:val="4"/>
        <w:ind w:firstLine="105"/>
        <w:rPr>
          <w:rFonts w:ascii="仿宋" w:hAnsi="仿宋" w:eastAsia="仿宋" w:cs="仿宋"/>
          <w:szCs w:val="21"/>
        </w:rPr>
      </w:pPr>
      <w:bookmarkStart w:id="206" w:name="_Toc13112"/>
      <w:bookmarkStart w:id="207" w:name="_Toc327875527"/>
      <w:bookmarkStart w:id="208" w:name="_Toc301170869"/>
      <w:bookmarkStart w:id="209" w:name="_Toc383795217"/>
      <w:bookmarkStart w:id="210" w:name="_Toc14350"/>
      <w:bookmarkStart w:id="211" w:name="_Toc27953"/>
      <w:bookmarkStart w:id="212" w:name="_Toc6950"/>
      <w:bookmarkStart w:id="213" w:name="_Toc301170404"/>
      <w:bookmarkStart w:id="214" w:name="_Toc45753260"/>
      <w:bookmarkStart w:id="215" w:name="_Toc15225"/>
      <w:bookmarkStart w:id="216" w:name="_Toc352312273"/>
      <w:r>
        <w:rPr>
          <w:rFonts w:hint="eastAsia" w:ascii="仿宋" w:hAnsi="仿宋" w:eastAsia="仿宋" w:cs="仿宋"/>
          <w:szCs w:val="21"/>
        </w:rPr>
        <w:t>4.1 投标文件的密封和标识</w:t>
      </w:r>
      <w:bookmarkEnd w:id="206"/>
      <w:bookmarkEnd w:id="207"/>
      <w:bookmarkEnd w:id="208"/>
      <w:bookmarkEnd w:id="209"/>
      <w:bookmarkEnd w:id="210"/>
      <w:bookmarkEnd w:id="211"/>
      <w:bookmarkEnd w:id="212"/>
      <w:bookmarkEnd w:id="213"/>
      <w:bookmarkEnd w:id="214"/>
      <w:bookmarkEnd w:id="215"/>
      <w:bookmarkEnd w:id="216"/>
    </w:p>
    <w:p w14:paraId="6C9FA722">
      <w:pPr>
        <w:spacing w:line="360" w:lineRule="auto"/>
        <w:ind w:firstLine="420" w:firstLineChars="200"/>
        <w:rPr>
          <w:rFonts w:ascii="仿宋" w:hAnsi="仿宋" w:eastAsia="仿宋" w:cs="仿宋"/>
          <w:szCs w:val="21"/>
        </w:rPr>
      </w:pPr>
      <w:bookmarkStart w:id="217" w:name="_Toc30694"/>
      <w:bookmarkStart w:id="218" w:name="_Toc301170405"/>
      <w:bookmarkStart w:id="219" w:name="_Toc327875528"/>
      <w:bookmarkStart w:id="220" w:name="_Toc301170870"/>
      <w:bookmarkStart w:id="221" w:name="_Toc4979"/>
      <w:bookmarkStart w:id="222" w:name="_Toc383795218"/>
      <w:bookmarkStart w:id="223" w:name="_Toc352312274"/>
      <w:bookmarkStart w:id="224" w:name="_Toc25829"/>
      <w:r>
        <w:rPr>
          <w:rFonts w:hint="eastAsia" w:ascii="仿宋" w:hAnsi="仿宋" w:eastAsia="仿宋" w:cs="仿宋"/>
          <w:szCs w:val="21"/>
        </w:rPr>
        <w:t>本项目为电子递交。投标人不须递交纸质版投标文件。投标人应当按照招标文件和电子招标投标交易平台的要求加密投标文件，具体要求见投标人须知前附表。</w:t>
      </w:r>
    </w:p>
    <w:p w14:paraId="43DBACA0">
      <w:pPr>
        <w:pStyle w:val="4"/>
        <w:ind w:firstLine="105"/>
        <w:rPr>
          <w:rFonts w:ascii="仿宋" w:hAnsi="仿宋" w:eastAsia="仿宋" w:cs="仿宋"/>
          <w:szCs w:val="21"/>
        </w:rPr>
      </w:pPr>
      <w:bookmarkStart w:id="225" w:name="_Toc45753261"/>
      <w:bookmarkStart w:id="226" w:name="_Toc22035"/>
      <w:bookmarkStart w:id="227" w:name="_Toc14852"/>
      <w:r>
        <w:rPr>
          <w:rFonts w:hint="eastAsia" w:ascii="仿宋" w:hAnsi="仿宋" w:eastAsia="仿宋" w:cs="仿宋"/>
          <w:szCs w:val="21"/>
        </w:rPr>
        <w:t>4.2 投标文件的递交</w:t>
      </w:r>
      <w:bookmarkEnd w:id="217"/>
      <w:bookmarkEnd w:id="218"/>
      <w:bookmarkEnd w:id="219"/>
      <w:bookmarkEnd w:id="220"/>
      <w:bookmarkEnd w:id="221"/>
      <w:bookmarkEnd w:id="222"/>
      <w:bookmarkEnd w:id="223"/>
      <w:bookmarkEnd w:id="224"/>
      <w:bookmarkEnd w:id="225"/>
      <w:bookmarkEnd w:id="226"/>
      <w:bookmarkEnd w:id="227"/>
    </w:p>
    <w:p w14:paraId="5D7A57E8">
      <w:pPr>
        <w:spacing w:line="360" w:lineRule="auto"/>
        <w:ind w:firstLine="420" w:firstLineChars="200"/>
        <w:rPr>
          <w:rFonts w:ascii="仿宋" w:hAnsi="仿宋" w:eastAsia="仿宋" w:cs="仿宋"/>
          <w:szCs w:val="21"/>
        </w:rPr>
      </w:pPr>
      <w:r>
        <w:rPr>
          <w:rFonts w:hint="eastAsia" w:ascii="仿宋" w:hAnsi="仿宋" w:eastAsia="仿宋" w:cs="仿宋"/>
          <w:szCs w:val="21"/>
        </w:rPr>
        <w:t>4.2.1 投标人应在投标人须知前附表规定的投标截止时间前递交投标文件。开标时因投标人自身原因而导致投标文件无法导入“洛阳市电子招投标交易平台”电子开标、评标系统，该投标视为无效投标，投标人自行承担由此导致的全部责任。</w:t>
      </w:r>
    </w:p>
    <w:p w14:paraId="398B3AB2">
      <w:pPr>
        <w:spacing w:line="360" w:lineRule="auto"/>
        <w:ind w:firstLine="420" w:firstLineChars="200"/>
        <w:rPr>
          <w:rFonts w:ascii="仿宋" w:hAnsi="仿宋" w:eastAsia="仿宋" w:cs="仿宋"/>
          <w:szCs w:val="21"/>
        </w:rPr>
      </w:pPr>
      <w:r>
        <w:rPr>
          <w:rFonts w:hint="eastAsia" w:ascii="仿宋" w:hAnsi="仿宋" w:eastAsia="仿宋" w:cs="仿宋"/>
          <w:szCs w:val="21"/>
        </w:rPr>
        <w:t>4.2.2 投标人递交投标文件的地点：见投标人须知前附表。</w:t>
      </w:r>
    </w:p>
    <w:p w14:paraId="2D578938">
      <w:pPr>
        <w:spacing w:line="360" w:lineRule="auto"/>
        <w:ind w:firstLine="420" w:firstLineChars="200"/>
        <w:rPr>
          <w:rFonts w:ascii="仿宋" w:hAnsi="仿宋" w:eastAsia="仿宋" w:cs="仿宋"/>
          <w:szCs w:val="21"/>
        </w:rPr>
      </w:pPr>
      <w:r>
        <w:rPr>
          <w:rFonts w:hint="eastAsia" w:ascii="仿宋" w:hAnsi="仿宋" w:eastAsia="仿宋" w:cs="仿宋"/>
          <w:szCs w:val="21"/>
        </w:rPr>
        <w:t>4.2.3 逾期送达的或者未送达指定地点的投标文件，招标人不予受理。</w:t>
      </w:r>
    </w:p>
    <w:p w14:paraId="1237F8EC">
      <w:pPr>
        <w:pStyle w:val="4"/>
        <w:ind w:firstLine="105"/>
        <w:rPr>
          <w:rFonts w:ascii="仿宋" w:hAnsi="仿宋" w:eastAsia="仿宋" w:cs="仿宋"/>
          <w:szCs w:val="21"/>
        </w:rPr>
      </w:pPr>
      <w:bookmarkStart w:id="228" w:name="_Toc327875529"/>
      <w:bookmarkStart w:id="229" w:name="_Toc16531"/>
      <w:bookmarkStart w:id="230" w:name="_Toc45753262"/>
      <w:bookmarkStart w:id="231" w:name="_Toc2396"/>
      <w:bookmarkStart w:id="232" w:name="_Toc301170406"/>
      <w:bookmarkStart w:id="233" w:name="_Toc383795219"/>
      <w:bookmarkStart w:id="234" w:name="_Toc4718"/>
      <w:bookmarkStart w:id="235" w:name="_Toc25198"/>
      <w:bookmarkStart w:id="236" w:name="_Toc352312275"/>
      <w:bookmarkStart w:id="237" w:name="_Toc8303"/>
      <w:bookmarkStart w:id="238" w:name="_Toc301170871"/>
      <w:r>
        <w:rPr>
          <w:rFonts w:hint="eastAsia" w:ascii="仿宋" w:hAnsi="仿宋" w:eastAsia="仿宋" w:cs="仿宋"/>
          <w:szCs w:val="21"/>
        </w:rPr>
        <w:t>4.3 投标文件的修改与撤回</w:t>
      </w:r>
      <w:bookmarkEnd w:id="228"/>
      <w:bookmarkEnd w:id="229"/>
      <w:bookmarkEnd w:id="230"/>
      <w:bookmarkEnd w:id="231"/>
      <w:bookmarkEnd w:id="232"/>
      <w:bookmarkEnd w:id="233"/>
      <w:bookmarkEnd w:id="234"/>
      <w:bookmarkEnd w:id="235"/>
      <w:bookmarkEnd w:id="236"/>
      <w:bookmarkEnd w:id="237"/>
      <w:bookmarkEnd w:id="238"/>
    </w:p>
    <w:p w14:paraId="08552578">
      <w:pPr>
        <w:spacing w:line="360" w:lineRule="auto"/>
        <w:ind w:firstLine="420" w:firstLineChars="200"/>
        <w:rPr>
          <w:rFonts w:ascii="仿宋" w:hAnsi="仿宋" w:eastAsia="仿宋" w:cs="仿宋"/>
          <w:szCs w:val="21"/>
        </w:rPr>
      </w:pPr>
      <w:r>
        <w:rPr>
          <w:rFonts w:hint="eastAsia" w:ascii="仿宋" w:hAnsi="仿宋" w:eastAsia="仿宋" w:cs="仿宋"/>
          <w:szCs w:val="21"/>
        </w:rPr>
        <w:t>4.3.1 在本章第 4.2.1 项规定的投标截止时间前，投标人可以修改或撤回已递交的投标文件，但应以书面形式通知招标人。</w:t>
      </w:r>
    </w:p>
    <w:p w14:paraId="458B14C1">
      <w:pPr>
        <w:spacing w:line="360" w:lineRule="auto"/>
        <w:ind w:firstLine="420" w:firstLineChars="200"/>
        <w:rPr>
          <w:rFonts w:ascii="仿宋" w:hAnsi="仿宋" w:eastAsia="仿宋" w:cs="仿宋"/>
          <w:szCs w:val="21"/>
        </w:rPr>
      </w:pPr>
      <w:r>
        <w:rPr>
          <w:rFonts w:hint="eastAsia" w:ascii="仿宋" w:hAnsi="仿宋" w:eastAsia="仿宋" w:cs="仿宋"/>
          <w:szCs w:val="21"/>
        </w:rPr>
        <w:t>4.3.2投标人修改或撤回已递交投标文件的书面通知应按照本章第 3.7.3项的要求签字或盖章。</w:t>
      </w:r>
    </w:p>
    <w:p w14:paraId="03A817BE">
      <w:pPr>
        <w:spacing w:line="360" w:lineRule="auto"/>
        <w:ind w:firstLine="420" w:firstLineChars="200"/>
        <w:rPr>
          <w:rFonts w:ascii="仿宋" w:hAnsi="仿宋" w:eastAsia="仿宋" w:cs="仿宋"/>
          <w:szCs w:val="21"/>
        </w:rPr>
      </w:pPr>
      <w:r>
        <w:rPr>
          <w:rFonts w:hint="eastAsia" w:ascii="仿宋" w:hAnsi="仿宋" w:eastAsia="仿宋" w:cs="仿宋"/>
          <w:szCs w:val="21"/>
        </w:rPr>
        <w:t>4.3.3 修改的内容为投标文件的组成部分。修改的投标文件应按照本章第 3 条、第 4条的规定进行编制、加密、标记和递交，并标明“修改”字样。</w:t>
      </w:r>
    </w:p>
    <w:p w14:paraId="62A38F84">
      <w:pPr>
        <w:pStyle w:val="3"/>
        <w:rPr>
          <w:rFonts w:ascii="仿宋" w:hAnsi="仿宋" w:eastAsia="仿宋" w:cs="仿宋"/>
          <w:sz w:val="21"/>
          <w:szCs w:val="21"/>
        </w:rPr>
      </w:pPr>
      <w:bookmarkStart w:id="239" w:name="_Toc16238"/>
      <w:bookmarkStart w:id="240" w:name="_Toc28320"/>
      <w:bookmarkStart w:id="241" w:name="_Toc185327309"/>
      <w:bookmarkStart w:id="242" w:name="_Toc23617"/>
      <w:r>
        <w:rPr>
          <w:rFonts w:hint="eastAsia" w:ascii="仿宋" w:hAnsi="仿宋" w:eastAsia="仿宋" w:cs="仿宋"/>
          <w:sz w:val="21"/>
          <w:szCs w:val="21"/>
        </w:rPr>
        <w:t>5. 开标</w:t>
      </w:r>
      <w:bookmarkEnd w:id="239"/>
      <w:bookmarkEnd w:id="240"/>
      <w:bookmarkEnd w:id="241"/>
      <w:bookmarkEnd w:id="242"/>
    </w:p>
    <w:p w14:paraId="37C59D56">
      <w:pPr>
        <w:pStyle w:val="4"/>
        <w:ind w:firstLine="105"/>
        <w:rPr>
          <w:rFonts w:ascii="仿宋" w:hAnsi="仿宋" w:eastAsia="仿宋" w:cs="仿宋"/>
          <w:szCs w:val="21"/>
        </w:rPr>
      </w:pPr>
      <w:bookmarkStart w:id="243" w:name="_Toc22532"/>
      <w:bookmarkStart w:id="244" w:name="_Toc13802"/>
      <w:r>
        <w:rPr>
          <w:rFonts w:hint="eastAsia" w:ascii="仿宋" w:hAnsi="仿宋" w:eastAsia="仿宋" w:cs="仿宋"/>
          <w:szCs w:val="21"/>
        </w:rPr>
        <w:t>5.1 开标时间和地点</w:t>
      </w:r>
      <w:bookmarkEnd w:id="243"/>
      <w:bookmarkEnd w:id="244"/>
      <w:r>
        <w:rPr>
          <w:rFonts w:hint="eastAsia" w:ascii="仿宋" w:hAnsi="仿宋" w:eastAsia="仿宋" w:cs="仿宋"/>
          <w:szCs w:val="21"/>
        </w:rPr>
        <w:t xml:space="preserve"> </w:t>
      </w:r>
    </w:p>
    <w:p w14:paraId="3331B2AD">
      <w:pPr>
        <w:spacing w:line="360" w:lineRule="auto"/>
        <w:ind w:firstLine="420" w:firstLineChars="200"/>
        <w:rPr>
          <w:rFonts w:ascii="仿宋" w:hAnsi="仿宋" w:eastAsia="仿宋" w:cs="仿宋"/>
          <w:szCs w:val="21"/>
        </w:rPr>
      </w:pPr>
      <w:bookmarkStart w:id="245" w:name="_Toc14466"/>
      <w:bookmarkStart w:id="246" w:name="_Toc301170874"/>
      <w:bookmarkStart w:id="247" w:name="_Toc1097"/>
      <w:bookmarkStart w:id="248" w:name="_Toc352312278"/>
      <w:bookmarkStart w:id="249" w:name="_Toc301170409"/>
      <w:bookmarkStart w:id="250" w:name="_Toc383795222"/>
      <w:bookmarkStart w:id="251" w:name="_Toc27106"/>
      <w:bookmarkStart w:id="252" w:name="_Toc327875532"/>
      <w:r>
        <w:rPr>
          <w:rFonts w:hint="eastAsia" w:ascii="仿宋" w:hAnsi="仿宋" w:eastAsia="仿宋" w:cs="仿宋"/>
          <w:szCs w:val="21"/>
        </w:rPr>
        <w:t>招标人在本章第4.2.1项规定的投标截止时间（开标时间）和投标人须知前附表规定的地点公开开标，详见投标人须知前附表。</w:t>
      </w:r>
    </w:p>
    <w:p w14:paraId="14A066CD">
      <w:pPr>
        <w:pStyle w:val="4"/>
        <w:ind w:firstLine="105"/>
        <w:rPr>
          <w:rFonts w:ascii="仿宋" w:hAnsi="仿宋" w:eastAsia="仿宋" w:cs="仿宋"/>
          <w:szCs w:val="21"/>
        </w:rPr>
      </w:pPr>
      <w:bookmarkStart w:id="253" w:name="_Toc29573"/>
      <w:bookmarkStart w:id="254" w:name="_Toc24483"/>
      <w:bookmarkStart w:id="255" w:name="_Toc45753266"/>
      <w:r>
        <w:rPr>
          <w:rFonts w:hint="eastAsia" w:ascii="仿宋" w:hAnsi="仿宋" w:eastAsia="仿宋" w:cs="仿宋"/>
          <w:szCs w:val="21"/>
        </w:rPr>
        <w:t>5.2 开标程序</w:t>
      </w:r>
      <w:bookmarkEnd w:id="245"/>
      <w:bookmarkEnd w:id="246"/>
      <w:bookmarkEnd w:id="247"/>
      <w:bookmarkEnd w:id="248"/>
      <w:bookmarkEnd w:id="249"/>
      <w:bookmarkEnd w:id="250"/>
      <w:bookmarkEnd w:id="251"/>
      <w:bookmarkEnd w:id="252"/>
      <w:bookmarkEnd w:id="253"/>
      <w:bookmarkEnd w:id="254"/>
      <w:bookmarkEnd w:id="255"/>
    </w:p>
    <w:p w14:paraId="30EB5296">
      <w:pPr>
        <w:spacing w:line="360" w:lineRule="auto"/>
        <w:ind w:firstLine="399" w:firstLineChars="190"/>
        <w:rPr>
          <w:rFonts w:hint="eastAsia" w:ascii="仿宋" w:hAnsi="仿宋" w:eastAsia="仿宋" w:cs="仿宋"/>
          <w:szCs w:val="21"/>
        </w:rPr>
      </w:pPr>
      <w:r>
        <w:rPr>
          <w:rFonts w:hint="eastAsia" w:ascii="仿宋" w:hAnsi="仿宋" w:eastAsia="仿宋" w:cs="仿宋"/>
          <w:szCs w:val="21"/>
        </w:rPr>
        <w:t>5.2.1本项目采用远程不见面交易的模式。开标当日，招标人在招标文件规定的时间和地点开标，投标人无需到开标现场参加开标会议，投标人应当在投标截止时间前，登录远程开标大厅选择洛阳市公共资源电子招投标系统进行登录（网址为http://61.54.85.189/tpbidder），在线准时参加开标活动并进行投标文件解密等。因投标人原因未能解密、解密失败或解密超时的将被拒绝。请参照洛阳市公共资源交易中心首页—办事指南—下载中心—操作手册—《洛阳市公共资源交易中心不见面开标大厅操作手册（投标人）》。</w:t>
      </w:r>
    </w:p>
    <w:p w14:paraId="0BB08E82">
      <w:pPr>
        <w:spacing w:line="360" w:lineRule="auto"/>
        <w:ind w:firstLine="399" w:firstLineChars="190"/>
        <w:rPr>
          <w:rFonts w:hint="eastAsia" w:ascii="仿宋" w:hAnsi="仿宋" w:eastAsia="仿宋" w:cs="仿宋"/>
          <w:szCs w:val="21"/>
        </w:rPr>
      </w:pPr>
      <w:r>
        <w:rPr>
          <w:rFonts w:hint="eastAsia" w:ascii="仿宋" w:hAnsi="仿宋" w:eastAsia="仿宋" w:cs="仿宋"/>
          <w:szCs w:val="21"/>
        </w:rPr>
        <w:t>5.2.2开标时，各投标人应在规定时间内对本单位的投标文件解密。</w:t>
      </w:r>
    </w:p>
    <w:p w14:paraId="2B2C1BC7">
      <w:pPr>
        <w:spacing w:line="360" w:lineRule="auto"/>
        <w:ind w:firstLine="399" w:firstLineChars="190"/>
        <w:rPr>
          <w:rFonts w:hint="eastAsia" w:ascii="仿宋" w:hAnsi="仿宋" w:eastAsia="仿宋" w:cs="仿宋"/>
          <w:szCs w:val="21"/>
        </w:rPr>
      </w:pPr>
      <w:r>
        <w:rPr>
          <w:rFonts w:hint="eastAsia" w:ascii="仿宋" w:hAnsi="仿宋" w:eastAsia="仿宋" w:cs="仿宋"/>
          <w:szCs w:val="21"/>
        </w:rPr>
        <w:t>5.2.3开标时，招标代理机构将通过洛阳市公共资源交易公共服务平台进行唱标。</w:t>
      </w:r>
    </w:p>
    <w:p w14:paraId="0AF8C8FD">
      <w:pPr>
        <w:spacing w:line="360" w:lineRule="auto"/>
        <w:ind w:firstLine="399" w:firstLineChars="190"/>
        <w:rPr>
          <w:rFonts w:hint="eastAsia" w:ascii="仿宋" w:hAnsi="仿宋" w:eastAsia="仿宋" w:cs="仿宋"/>
          <w:szCs w:val="21"/>
        </w:rPr>
      </w:pPr>
      <w:r>
        <w:rPr>
          <w:rFonts w:hint="eastAsia" w:ascii="仿宋" w:hAnsi="仿宋" w:eastAsia="仿宋" w:cs="仿宋"/>
          <w:szCs w:val="21"/>
        </w:rPr>
        <w:t>主持人按下列程序进行开标：</w:t>
      </w:r>
    </w:p>
    <w:p w14:paraId="3EF41CCD">
      <w:pPr>
        <w:spacing w:line="360" w:lineRule="auto"/>
        <w:ind w:firstLine="399" w:firstLineChars="190"/>
        <w:rPr>
          <w:rFonts w:hint="eastAsia" w:ascii="仿宋" w:hAnsi="仿宋" w:eastAsia="仿宋" w:cs="仿宋"/>
          <w:szCs w:val="21"/>
        </w:rPr>
      </w:pPr>
      <w:r>
        <w:rPr>
          <w:rFonts w:hint="eastAsia" w:ascii="仿宋" w:hAnsi="仿宋" w:eastAsia="仿宋" w:cs="仿宋"/>
          <w:szCs w:val="21"/>
        </w:rPr>
        <w:t>（1）宣布开标纪律；</w:t>
      </w:r>
    </w:p>
    <w:p w14:paraId="070CBD13">
      <w:pPr>
        <w:spacing w:line="360" w:lineRule="auto"/>
        <w:ind w:firstLine="399" w:firstLineChars="190"/>
        <w:rPr>
          <w:rFonts w:hint="eastAsia" w:ascii="仿宋" w:hAnsi="仿宋" w:eastAsia="仿宋" w:cs="仿宋"/>
          <w:szCs w:val="21"/>
        </w:rPr>
      </w:pPr>
      <w:r>
        <w:rPr>
          <w:rFonts w:hint="eastAsia" w:ascii="仿宋" w:hAnsi="仿宋" w:eastAsia="仿宋" w:cs="仿宋"/>
          <w:szCs w:val="21"/>
        </w:rPr>
        <w:t>（2）公布在投标截止时间前递交投标文件的投标人名称；</w:t>
      </w:r>
    </w:p>
    <w:p w14:paraId="481948F7">
      <w:pPr>
        <w:spacing w:line="360" w:lineRule="auto"/>
        <w:ind w:firstLine="399" w:firstLineChars="190"/>
        <w:rPr>
          <w:rFonts w:hint="eastAsia" w:ascii="仿宋" w:hAnsi="仿宋" w:eastAsia="仿宋" w:cs="仿宋"/>
          <w:szCs w:val="21"/>
        </w:rPr>
      </w:pPr>
      <w:r>
        <w:rPr>
          <w:rFonts w:hint="eastAsia" w:ascii="仿宋" w:hAnsi="仿宋" w:eastAsia="仿宋" w:cs="仿宋"/>
          <w:szCs w:val="21"/>
        </w:rPr>
        <w:t>（3）宣布开标人、唱标人、记录人、监标人等有关人员姓名；</w:t>
      </w:r>
    </w:p>
    <w:p w14:paraId="66670694">
      <w:pPr>
        <w:spacing w:line="360" w:lineRule="auto"/>
        <w:ind w:firstLine="399" w:firstLineChars="190"/>
        <w:rPr>
          <w:rFonts w:hint="eastAsia" w:ascii="仿宋" w:hAnsi="仿宋" w:eastAsia="仿宋" w:cs="仿宋"/>
          <w:szCs w:val="21"/>
        </w:rPr>
      </w:pPr>
      <w:r>
        <w:rPr>
          <w:rFonts w:hint="eastAsia" w:ascii="仿宋" w:hAnsi="仿宋" w:eastAsia="仿宋" w:cs="仿宋"/>
          <w:szCs w:val="21"/>
        </w:rPr>
        <w:t>（4）按照投标人须知前附表的规定确定并宣布投标文件开标顺序；</w:t>
      </w:r>
    </w:p>
    <w:p w14:paraId="1A0A82E7">
      <w:pPr>
        <w:spacing w:line="360" w:lineRule="auto"/>
        <w:ind w:firstLine="399" w:firstLineChars="190"/>
        <w:rPr>
          <w:rFonts w:hint="eastAsia" w:ascii="仿宋" w:hAnsi="仿宋" w:eastAsia="仿宋" w:cs="仿宋"/>
          <w:szCs w:val="21"/>
        </w:rPr>
      </w:pPr>
      <w:r>
        <w:rPr>
          <w:rFonts w:hint="eastAsia" w:ascii="仿宋" w:hAnsi="仿宋" w:eastAsia="仿宋" w:cs="仿宋"/>
          <w:szCs w:val="21"/>
        </w:rPr>
        <w:t>（5）开标时，各投标人应在规定时间内对本单位的投标文件解密。开标时，招标代理机构将通过洛阳市公共资源交易公共服务平台进行唱标。</w:t>
      </w:r>
    </w:p>
    <w:p w14:paraId="4E18916C">
      <w:pPr>
        <w:spacing w:line="360" w:lineRule="auto"/>
        <w:ind w:firstLine="399" w:firstLineChars="190"/>
        <w:rPr>
          <w:rFonts w:hint="eastAsia" w:ascii="仿宋" w:hAnsi="仿宋" w:eastAsia="仿宋" w:cs="仿宋"/>
          <w:szCs w:val="21"/>
        </w:rPr>
      </w:pPr>
      <w:r>
        <w:rPr>
          <w:rFonts w:hint="eastAsia" w:ascii="仿宋" w:hAnsi="仿宋" w:eastAsia="仿宋" w:cs="仿宋"/>
          <w:szCs w:val="21"/>
        </w:rPr>
        <w:t>（6）按照宣布的开标顺序当众开标，公布投标人名称、投标报价、质量要求、监理服务期及其他内容，并记录在案；</w:t>
      </w:r>
    </w:p>
    <w:p w14:paraId="6F68CE74">
      <w:pPr>
        <w:spacing w:line="360" w:lineRule="auto"/>
        <w:ind w:firstLine="399" w:firstLineChars="190"/>
        <w:rPr>
          <w:rFonts w:hint="eastAsia" w:ascii="仿宋" w:hAnsi="仿宋" w:eastAsia="仿宋" w:cs="仿宋"/>
          <w:szCs w:val="21"/>
        </w:rPr>
      </w:pPr>
      <w:r>
        <w:rPr>
          <w:rFonts w:hint="eastAsia" w:ascii="仿宋" w:hAnsi="仿宋" w:eastAsia="仿宋" w:cs="仿宋"/>
          <w:szCs w:val="21"/>
        </w:rPr>
        <w:t>（7）招标人代表、监标人等有关人员按具体现场系统情况在开标记录上签字确认；</w:t>
      </w:r>
    </w:p>
    <w:p w14:paraId="7B37620E">
      <w:pPr>
        <w:spacing w:line="360" w:lineRule="auto"/>
        <w:ind w:firstLine="399" w:firstLineChars="190"/>
        <w:rPr>
          <w:rFonts w:ascii="仿宋" w:hAnsi="仿宋" w:eastAsia="仿宋" w:cs="仿宋"/>
          <w:szCs w:val="21"/>
        </w:rPr>
      </w:pPr>
      <w:r>
        <w:rPr>
          <w:rFonts w:hint="eastAsia" w:ascii="仿宋" w:hAnsi="仿宋" w:eastAsia="仿宋" w:cs="仿宋"/>
          <w:szCs w:val="21"/>
        </w:rPr>
        <w:t>（8）开标结束。</w:t>
      </w:r>
    </w:p>
    <w:p w14:paraId="16B9BB02">
      <w:pPr>
        <w:pStyle w:val="4"/>
        <w:ind w:firstLine="105"/>
        <w:rPr>
          <w:rFonts w:ascii="仿宋" w:hAnsi="仿宋" w:eastAsia="仿宋" w:cs="仿宋"/>
          <w:szCs w:val="21"/>
        </w:rPr>
      </w:pPr>
      <w:bookmarkStart w:id="256" w:name="_Toc9908"/>
      <w:bookmarkStart w:id="257" w:name="_Toc32652"/>
      <w:r>
        <w:rPr>
          <w:rFonts w:hint="eastAsia" w:ascii="仿宋" w:hAnsi="仿宋" w:eastAsia="仿宋" w:cs="仿宋"/>
          <w:szCs w:val="21"/>
        </w:rPr>
        <w:t>5.3 开标异常处理</w:t>
      </w:r>
      <w:bookmarkEnd w:id="256"/>
      <w:bookmarkEnd w:id="257"/>
    </w:p>
    <w:p w14:paraId="6E480262">
      <w:pPr>
        <w:spacing w:line="360" w:lineRule="auto"/>
        <w:ind w:firstLine="399" w:firstLineChars="190"/>
        <w:rPr>
          <w:rFonts w:ascii="仿宋" w:hAnsi="仿宋" w:eastAsia="仿宋" w:cs="仿宋"/>
          <w:szCs w:val="21"/>
        </w:rPr>
      </w:pPr>
      <w:r>
        <w:rPr>
          <w:rFonts w:hint="eastAsia" w:ascii="仿宋" w:hAnsi="仿宋" w:eastAsia="仿宋" w:cs="仿宋"/>
          <w:szCs w:val="21"/>
        </w:rPr>
        <w:t>当出现以下情况时，应对未开标的中止电子开标，对原有资料及信息作出妥善保密处理，并在恢复正常后及时安排时间开标：</w:t>
      </w:r>
    </w:p>
    <w:p w14:paraId="5B904E74">
      <w:pPr>
        <w:spacing w:line="360" w:lineRule="auto"/>
        <w:ind w:firstLine="399" w:firstLineChars="190"/>
        <w:rPr>
          <w:rFonts w:ascii="仿宋" w:hAnsi="仿宋" w:eastAsia="仿宋" w:cs="仿宋"/>
          <w:szCs w:val="21"/>
        </w:rPr>
      </w:pPr>
      <w:r>
        <w:rPr>
          <w:rFonts w:hint="eastAsia" w:ascii="仿宋" w:hAnsi="仿宋" w:eastAsia="仿宋" w:cs="仿宋"/>
          <w:szCs w:val="21"/>
        </w:rPr>
        <w:t>（1）系统服务器发生故障，无法访问或无法使用系统；</w:t>
      </w:r>
    </w:p>
    <w:p w14:paraId="4A1EA4DC">
      <w:pPr>
        <w:spacing w:line="360" w:lineRule="auto"/>
        <w:ind w:firstLine="399" w:firstLineChars="190"/>
        <w:rPr>
          <w:rFonts w:ascii="仿宋" w:hAnsi="仿宋" w:eastAsia="仿宋" w:cs="仿宋"/>
          <w:szCs w:val="21"/>
        </w:rPr>
      </w:pPr>
      <w:r>
        <w:rPr>
          <w:rFonts w:hint="eastAsia" w:ascii="仿宋" w:hAnsi="仿宋" w:eastAsia="仿宋" w:cs="仿宋"/>
          <w:szCs w:val="21"/>
        </w:rPr>
        <w:t>（2）系统的软件或数据库出现错误，不能进行正常操作；</w:t>
      </w:r>
    </w:p>
    <w:p w14:paraId="14A77B45">
      <w:pPr>
        <w:spacing w:line="360" w:lineRule="auto"/>
        <w:ind w:firstLine="399" w:firstLineChars="190"/>
        <w:rPr>
          <w:rFonts w:ascii="仿宋" w:hAnsi="仿宋" w:eastAsia="仿宋" w:cs="仿宋"/>
          <w:szCs w:val="21"/>
        </w:rPr>
      </w:pPr>
      <w:r>
        <w:rPr>
          <w:rFonts w:hint="eastAsia" w:ascii="仿宋" w:hAnsi="仿宋" w:eastAsia="仿宋" w:cs="仿宋"/>
          <w:szCs w:val="21"/>
        </w:rPr>
        <w:t>（3）系统发现有安全漏洞，有潜在的泄密危险；</w:t>
      </w:r>
    </w:p>
    <w:p w14:paraId="7830B664">
      <w:pPr>
        <w:spacing w:line="360" w:lineRule="auto"/>
        <w:ind w:firstLine="399" w:firstLineChars="190"/>
        <w:rPr>
          <w:rFonts w:ascii="仿宋" w:hAnsi="仿宋" w:eastAsia="仿宋" w:cs="仿宋"/>
          <w:szCs w:val="21"/>
        </w:rPr>
      </w:pPr>
      <w:r>
        <w:rPr>
          <w:rFonts w:hint="eastAsia" w:ascii="仿宋" w:hAnsi="仿宋" w:eastAsia="仿宋" w:cs="仿宋"/>
          <w:szCs w:val="21"/>
        </w:rPr>
        <w:t>（4）出现断电事故且短时间内无法恢复供电；</w:t>
      </w:r>
    </w:p>
    <w:p w14:paraId="7FD22099">
      <w:pPr>
        <w:spacing w:line="360" w:lineRule="auto"/>
        <w:ind w:firstLine="399" w:firstLineChars="190"/>
        <w:rPr>
          <w:rFonts w:ascii="仿宋" w:hAnsi="仿宋" w:eastAsia="仿宋" w:cs="仿宋"/>
          <w:szCs w:val="21"/>
        </w:rPr>
      </w:pPr>
      <w:r>
        <w:rPr>
          <w:rFonts w:hint="eastAsia" w:ascii="仿宋" w:hAnsi="仿宋" w:eastAsia="仿宋" w:cs="仿宋"/>
          <w:szCs w:val="21"/>
        </w:rPr>
        <w:t>（5）其他无法保证招投标过程正常进行的情形。</w:t>
      </w:r>
    </w:p>
    <w:p w14:paraId="3B397A9A">
      <w:pPr>
        <w:pStyle w:val="4"/>
        <w:ind w:firstLine="105"/>
        <w:rPr>
          <w:rFonts w:ascii="仿宋" w:hAnsi="仿宋" w:eastAsia="仿宋" w:cs="仿宋"/>
          <w:szCs w:val="21"/>
        </w:rPr>
      </w:pPr>
      <w:bookmarkStart w:id="258" w:name="_Toc165"/>
      <w:bookmarkStart w:id="259" w:name="_Toc27827"/>
      <w:r>
        <w:rPr>
          <w:rFonts w:hint="eastAsia" w:ascii="仿宋" w:hAnsi="仿宋" w:eastAsia="仿宋" w:cs="仿宋"/>
          <w:szCs w:val="21"/>
        </w:rPr>
        <w:t>5.4 投标人出现下列情况之一者视为无效投标文件，取消参加评标资格：</w:t>
      </w:r>
      <w:bookmarkEnd w:id="258"/>
      <w:bookmarkEnd w:id="259"/>
    </w:p>
    <w:p w14:paraId="27214AE0">
      <w:pPr>
        <w:spacing w:line="360" w:lineRule="auto"/>
        <w:ind w:firstLine="399" w:firstLineChars="190"/>
        <w:rPr>
          <w:rFonts w:ascii="仿宋" w:hAnsi="仿宋" w:eastAsia="仿宋" w:cs="仿宋"/>
          <w:szCs w:val="21"/>
        </w:rPr>
      </w:pPr>
      <w:r>
        <w:rPr>
          <w:rFonts w:hint="eastAsia" w:ascii="仿宋" w:hAnsi="仿宋" w:eastAsia="仿宋" w:cs="仿宋"/>
          <w:szCs w:val="21"/>
        </w:rPr>
        <w:t>开开标时因投标人自身原因而导致投标文件无法导入“洛阳市电子招投标交易平台”和“不见面开标大厅”电子开标、评标系统的；</w:t>
      </w:r>
    </w:p>
    <w:p w14:paraId="4342408D">
      <w:pPr>
        <w:pStyle w:val="4"/>
        <w:ind w:firstLine="105"/>
        <w:rPr>
          <w:rFonts w:ascii="仿宋" w:hAnsi="仿宋" w:eastAsia="仿宋" w:cs="仿宋"/>
          <w:szCs w:val="21"/>
        </w:rPr>
      </w:pPr>
      <w:bookmarkStart w:id="260" w:name="_Toc30039"/>
      <w:bookmarkStart w:id="261" w:name="_Toc28984"/>
      <w:r>
        <w:rPr>
          <w:rFonts w:hint="eastAsia" w:ascii="仿宋" w:hAnsi="仿宋" w:eastAsia="仿宋" w:cs="仿宋"/>
          <w:szCs w:val="21"/>
        </w:rPr>
        <w:t>5.5 开标异议</w:t>
      </w:r>
      <w:bookmarkEnd w:id="260"/>
      <w:bookmarkEnd w:id="261"/>
    </w:p>
    <w:p w14:paraId="5FB33E82">
      <w:pPr>
        <w:spacing w:line="360" w:lineRule="auto"/>
        <w:ind w:firstLine="399" w:firstLineChars="190"/>
        <w:rPr>
          <w:rFonts w:ascii="仿宋" w:hAnsi="仿宋" w:eastAsia="仿宋" w:cs="仿宋"/>
          <w:szCs w:val="21"/>
        </w:rPr>
      </w:pPr>
      <w:r>
        <w:rPr>
          <w:rFonts w:hint="eastAsia" w:ascii="仿宋" w:hAnsi="仿宋" w:eastAsia="仿宋" w:cs="仿宋"/>
          <w:szCs w:val="21"/>
        </w:rPr>
        <w:t>投标人对开标有异议的，应当在开标现场提出，招标人当场作出答复，并制作记录。无异议则无需记录。</w:t>
      </w:r>
    </w:p>
    <w:p w14:paraId="7A71E088">
      <w:pPr>
        <w:pStyle w:val="3"/>
        <w:rPr>
          <w:rFonts w:ascii="仿宋" w:hAnsi="仿宋" w:eastAsia="仿宋" w:cs="仿宋"/>
          <w:sz w:val="21"/>
          <w:szCs w:val="21"/>
        </w:rPr>
      </w:pPr>
      <w:bookmarkStart w:id="262" w:name="_Toc16551"/>
      <w:bookmarkStart w:id="263" w:name="_Toc185327310"/>
      <w:bookmarkStart w:id="264" w:name="_Toc14293"/>
      <w:bookmarkStart w:id="265" w:name="_Toc8158"/>
      <w:r>
        <w:rPr>
          <w:rFonts w:hint="eastAsia" w:ascii="仿宋" w:hAnsi="仿宋" w:eastAsia="仿宋" w:cs="仿宋"/>
          <w:sz w:val="21"/>
          <w:szCs w:val="21"/>
        </w:rPr>
        <w:t>6. 评标</w:t>
      </w:r>
      <w:bookmarkEnd w:id="262"/>
      <w:bookmarkEnd w:id="263"/>
      <w:bookmarkEnd w:id="264"/>
      <w:bookmarkEnd w:id="265"/>
    </w:p>
    <w:p w14:paraId="7DBFC367">
      <w:pPr>
        <w:pStyle w:val="4"/>
        <w:ind w:firstLine="105"/>
        <w:rPr>
          <w:rFonts w:ascii="仿宋" w:hAnsi="仿宋" w:eastAsia="仿宋" w:cs="仿宋"/>
          <w:szCs w:val="21"/>
        </w:rPr>
      </w:pPr>
      <w:bookmarkStart w:id="266" w:name="_Toc14484"/>
      <w:bookmarkStart w:id="267" w:name="_Toc5601"/>
      <w:r>
        <w:rPr>
          <w:rFonts w:hint="eastAsia" w:ascii="仿宋" w:hAnsi="仿宋" w:eastAsia="仿宋" w:cs="仿宋"/>
          <w:szCs w:val="21"/>
        </w:rPr>
        <w:t>6.1 评标委员会</w:t>
      </w:r>
      <w:bookmarkEnd w:id="266"/>
      <w:bookmarkEnd w:id="267"/>
    </w:p>
    <w:p w14:paraId="40B84C51">
      <w:pPr>
        <w:spacing w:line="360" w:lineRule="auto"/>
        <w:ind w:firstLine="420" w:firstLineChars="200"/>
        <w:rPr>
          <w:rFonts w:ascii="仿宋" w:hAnsi="仿宋" w:eastAsia="仿宋" w:cs="仿宋"/>
          <w:szCs w:val="21"/>
        </w:rPr>
      </w:pPr>
      <w:r>
        <w:rPr>
          <w:rFonts w:hint="eastAsia" w:ascii="仿宋" w:hAnsi="仿宋" w:eastAsia="仿宋" w:cs="仿宋"/>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95489AD">
      <w:pPr>
        <w:spacing w:line="360" w:lineRule="auto"/>
        <w:ind w:firstLine="420" w:firstLineChars="200"/>
        <w:rPr>
          <w:rFonts w:ascii="仿宋" w:hAnsi="仿宋" w:eastAsia="仿宋" w:cs="仿宋"/>
          <w:szCs w:val="21"/>
        </w:rPr>
      </w:pPr>
      <w:r>
        <w:rPr>
          <w:rFonts w:hint="eastAsia" w:ascii="仿宋" w:hAnsi="仿宋" w:eastAsia="仿宋" w:cs="仿宋"/>
          <w:szCs w:val="21"/>
        </w:rPr>
        <w:t>6.1.2 评标委员会成员有下列情形之一的，应当回避：</w:t>
      </w:r>
    </w:p>
    <w:p w14:paraId="3B32B246">
      <w:pPr>
        <w:spacing w:line="360" w:lineRule="auto"/>
        <w:ind w:firstLine="420" w:firstLineChars="200"/>
        <w:rPr>
          <w:rFonts w:ascii="仿宋" w:hAnsi="仿宋" w:eastAsia="仿宋" w:cs="仿宋"/>
          <w:szCs w:val="21"/>
        </w:rPr>
      </w:pPr>
      <w:r>
        <w:rPr>
          <w:rFonts w:hint="eastAsia" w:ascii="仿宋" w:hAnsi="仿宋" w:eastAsia="仿宋" w:cs="仿宋"/>
          <w:szCs w:val="21"/>
        </w:rPr>
        <w:t>（1）投标人或投标人的主要负责人的近亲属；</w:t>
      </w:r>
    </w:p>
    <w:p w14:paraId="22EE0E29">
      <w:pPr>
        <w:spacing w:line="360" w:lineRule="auto"/>
        <w:ind w:firstLine="420" w:firstLineChars="200"/>
        <w:rPr>
          <w:rFonts w:ascii="仿宋" w:hAnsi="仿宋" w:eastAsia="仿宋" w:cs="仿宋"/>
          <w:szCs w:val="21"/>
        </w:rPr>
      </w:pPr>
      <w:r>
        <w:rPr>
          <w:rFonts w:hint="eastAsia" w:ascii="仿宋" w:hAnsi="仿宋" w:eastAsia="仿宋" w:cs="仿宋"/>
          <w:szCs w:val="21"/>
        </w:rPr>
        <w:t>（2）项目主管部门或者行政监督部门的人员；</w:t>
      </w:r>
    </w:p>
    <w:p w14:paraId="21A1EF7F">
      <w:pPr>
        <w:spacing w:line="360" w:lineRule="auto"/>
        <w:ind w:firstLine="420" w:firstLineChars="200"/>
        <w:rPr>
          <w:rFonts w:ascii="仿宋" w:hAnsi="仿宋" w:eastAsia="仿宋" w:cs="仿宋"/>
          <w:szCs w:val="21"/>
        </w:rPr>
      </w:pPr>
      <w:r>
        <w:rPr>
          <w:rFonts w:hint="eastAsia" w:ascii="仿宋" w:hAnsi="仿宋" w:eastAsia="仿宋" w:cs="仿宋"/>
          <w:szCs w:val="21"/>
        </w:rPr>
        <w:t>（3）与投标人有经济利益关系，可能影响对投标公正评审的；</w:t>
      </w:r>
    </w:p>
    <w:p w14:paraId="5C6DA23E">
      <w:pPr>
        <w:spacing w:line="360" w:lineRule="auto"/>
        <w:ind w:firstLine="420" w:firstLineChars="200"/>
        <w:rPr>
          <w:rFonts w:ascii="仿宋" w:hAnsi="仿宋" w:eastAsia="仿宋" w:cs="仿宋"/>
          <w:szCs w:val="21"/>
        </w:rPr>
      </w:pPr>
      <w:r>
        <w:rPr>
          <w:rFonts w:hint="eastAsia" w:ascii="仿宋" w:hAnsi="仿宋" w:eastAsia="仿宋" w:cs="仿宋"/>
          <w:szCs w:val="21"/>
        </w:rPr>
        <w:t>（4）曾因在招标、评标以及其他与招标投标有关活动中从事违法行为而受过行政处罚或刑事处罚的。</w:t>
      </w:r>
    </w:p>
    <w:p w14:paraId="74F60CD2">
      <w:pPr>
        <w:spacing w:line="360" w:lineRule="auto"/>
        <w:ind w:firstLine="420" w:firstLineChars="200"/>
        <w:rPr>
          <w:rFonts w:ascii="仿宋" w:hAnsi="仿宋" w:eastAsia="仿宋" w:cs="仿宋"/>
          <w:szCs w:val="21"/>
        </w:rPr>
      </w:pPr>
      <w:r>
        <w:rPr>
          <w:rFonts w:hint="eastAsia" w:ascii="仿宋" w:hAnsi="仿宋" w:eastAsia="仿宋" w:cs="仿宋"/>
          <w:szCs w:val="21"/>
        </w:rPr>
        <w:t>（5）与投标人有其他利害关系。</w:t>
      </w:r>
    </w:p>
    <w:p w14:paraId="1E56CE80">
      <w:pPr>
        <w:spacing w:line="360" w:lineRule="auto"/>
        <w:ind w:firstLine="420" w:firstLineChars="200"/>
        <w:rPr>
          <w:rFonts w:ascii="仿宋" w:hAnsi="仿宋" w:eastAsia="仿宋" w:cs="仿宋"/>
          <w:szCs w:val="21"/>
        </w:rPr>
      </w:pPr>
      <w:r>
        <w:rPr>
          <w:rFonts w:hint="eastAsia" w:ascii="仿宋" w:hAnsi="仿宋" w:eastAsia="仿宋" w:cs="仿宋"/>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14:paraId="033CC1DF">
      <w:pPr>
        <w:pStyle w:val="4"/>
        <w:ind w:firstLine="105"/>
        <w:rPr>
          <w:rFonts w:ascii="仿宋" w:hAnsi="仿宋" w:eastAsia="仿宋" w:cs="仿宋"/>
          <w:szCs w:val="21"/>
        </w:rPr>
      </w:pPr>
      <w:bookmarkStart w:id="268" w:name="_Toc26262"/>
      <w:bookmarkStart w:id="269" w:name="_Toc25791"/>
      <w:r>
        <w:rPr>
          <w:rFonts w:hint="eastAsia" w:ascii="仿宋" w:hAnsi="仿宋" w:eastAsia="仿宋" w:cs="仿宋"/>
          <w:szCs w:val="21"/>
        </w:rPr>
        <w:t>6.2 评标原则</w:t>
      </w:r>
      <w:bookmarkEnd w:id="268"/>
      <w:bookmarkEnd w:id="269"/>
    </w:p>
    <w:p w14:paraId="4CE6326C">
      <w:pPr>
        <w:spacing w:line="360" w:lineRule="auto"/>
        <w:ind w:firstLine="420" w:firstLineChars="200"/>
        <w:rPr>
          <w:rFonts w:ascii="仿宋" w:hAnsi="仿宋" w:eastAsia="仿宋" w:cs="仿宋"/>
          <w:szCs w:val="21"/>
        </w:rPr>
      </w:pPr>
      <w:r>
        <w:rPr>
          <w:rFonts w:hint="eastAsia" w:ascii="仿宋" w:hAnsi="仿宋" w:eastAsia="仿宋" w:cs="仿宋"/>
          <w:szCs w:val="21"/>
        </w:rPr>
        <w:t>评标活动遵循公平、公正、科学和择优的原</w:t>
      </w:r>
      <w:bookmarkStart w:id="270" w:name="_Toc369531545"/>
      <w:bookmarkStart w:id="271" w:name="_Toc361508614"/>
      <w:bookmarkStart w:id="272" w:name="_Toc247527582"/>
      <w:bookmarkStart w:id="273" w:name="_Toc352691501"/>
      <w:bookmarkStart w:id="274" w:name="_Toc18949"/>
      <w:bookmarkStart w:id="275" w:name="_Toc144974525"/>
      <w:bookmarkStart w:id="276" w:name="_Toc152042333"/>
      <w:bookmarkStart w:id="277" w:name="_Toc247513981"/>
      <w:bookmarkStart w:id="278" w:name="_Toc152045557"/>
      <w:bookmarkStart w:id="279" w:name="_Toc384308239"/>
      <w:bookmarkStart w:id="280" w:name="_Toc300834978"/>
      <w:r>
        <w:rPr>
          <w:rFonts w:hint="eastAsia" w:ascii="仿宋" w:hAnsi="仿宋" w:eastAsia="仿宋" w:cs="仿宋"/>
          <w:szCs w:val="21"/>
        </w:rPr>
        <w:t>则。</w:t>
      </w:r>
    </w:p>
    <w:p w14:paraId="36292BBC">
      <w:pPr>
        <w:pStyle w:val="4"/>
        <w:ind w:firstLine="105"/>
        <w:rPr>
          <w:rFonts w:ascii="仿宋" w:hAnsi="仿宋" w:eastAsia="仿宋" w:cs="仿宋"/>
          <w:szCs w:val="21"/>
        </w:rPr>
      </w:pPr>
      <w:bookmarkStart w:id="281" w:name="_Toc28771"/>
      <w:bookmarkStart w:id="282" w:name="_Toc481"/>
      <w:r>
        <w:rPr>
          <w:rFonts w:hint="eastAsia" w:ascii="仿宋" w:hAnsi="仿宋" w:eastAsia="仿宋" w:cs="仿宋"/>
          <w:szCs w:val="21"/>
        </w:rPr>
        <w:t>6.3 评标</w:t>
      </w:r>
      <w:bookmarkEnd w:id="281"/>
      <w:bookmarkEnd w:id="282"/>
    </w:p>
    <w:p w14:paraId="647F9540">
      <w:pPr>
        <w:spacing w:line="360" w:lineRule="auto"/>
        <w:ind w:firstLine="420" w:firstLineChars="200"/>
        <w:rPr>
          <w:rFonts w:ascii="仿宋" w:hAnsi="仿宋" w:eastAsia="仿宋" w:cs="仿宋"/>
          <w:szCs w:val="21"/>
        </w:rPr>
      </w:pPr>
      <w:r>
        <w:rPr>
          <w:rFonts w:hint="eastAsia" w:ascii="仿宋" w:hAnsi="仿宋" w:eastAsia="仿宋" w:cs="仿宋"/>
          <w:szCs w:val="21"/>
        </w:rPr>
        <w:t>6</w:t>
      </w:r>
      <w:bookmarkEnd w:id="270"/>
      <w:bookmarkEnd w:id="271"/>
      <w:bookmarkEnd w:id="272"/>
      <w:bookmarkEnd w:id="273"/>
      <w:bookmarkEnd w:id="274"/>
      <w:bookmarkEnd w:id="275"/>
      <w:bookmarkEnd w:id="276"/>
      <w:bookmarkEnd w:id="277"/>
      <w:bookmarkEnd w:id="278"/>
      <w:bookmarkEnd w:id="279"/>
      <w:bookmarkEnd w:id="280"/>
      <w:r>
        <w:rPr>
          <w:rFonts w:hint="eastAsia" w:ascii="仿宋" w:hAnsi="仿宋" w:eastAsia="仿宋" w:cs="仿宋"/>
          <w:szCs w:val="21"/>
        </w:rPr>
        <w:t>.3.1 评标委员会按照第三章“评标办法”规定的方法、评审因素、标准和程序对投标文件进行评审。第三章“评标办法”没有规定的方法、评审因素和标准，不作为评标依据。</w:t>
      </w:r>
    </w:p>
    <w:p w14:paraId="0D8D9CCF">
      <w:pPr>
        <w:spacing w:line="360" w:lineRule="auto"/>
        <w:ind w:firstLine="420" w:firstLineChars="200"/>
        <w:rPr>
          <w:rFonts w:ascii="仿宋" w:hAnsi="仿宋" w:eastAsia="仿宋" w:cs="仿宋"/>
          <w:szCs w:val="21"/>
        </w:rPr>
      </w:pPr>
      <w:r>
        <w:rPr>
          <w:rFonts w:hint="eastAsia" w:ascii="仿宋" w:hAnsi="仿宋" w:eastAsia="仿宋" w:cs="仿宋"/>
          <w:szCs w:val="21"/>
        </w:rPr>
        <w:t>6.3.2 评标完成后，评标委员会应当向招标人提交书面评标报告和中标候选人名单。评标委员会推荐中标</w:t>
      </w:r>
      <w:bookmarkStart w:id="283" w:name="_Toc12259"/>
      <w:bookmarkStart w:id="284" w:name="_Toc152045558"/>
      <w:bookmarkStart w:id="285" w:name="_Toc152042334"/>
      <w:bookmarkStart w:id="286" w:name="_Toc384308240"/>
      <w:bookmarkStart w:id="287" w:name="_Toc247527583"/>
      <w:bookmarkStart w:id="288" w:name="_Toc352691502"/>
      <w:bookmarkStart w:id="289" w:name="_Toc247513982"/>
      <w:bookmarkStart w:id="290" w:name="_Toc144974526"/>
      <w:bookmarkStart w:id="291" w:name="_Toc361508615"/>
      <w:bookmarkStart w:id="292" w:name="_Toc300834979"/>
      <w:bookmarkStart w:id="293" w:name="_Toc369531546"/>
      <w:r>
        <w:rPr>
          <w:rFonts w:hint="eastAsia" w:ascii="仿宋" w:hAnsi="仿宋" w:eastAsia="仿宋" w:cs="仿宋"/>
          <w:szCs w:val="21"/>
        </w:rPr>
        <w:t>候选人的人数见投标人须知前附</w:t>
      </w:r>
      <w:bookmarkEnd w:id="283"/>
      <w:bookmarkEnd w:id="284"/>
      <w:bookmarkEnd w:id="285"/>
      <w:bookmarkEnd w:id="286"/>
      <w:bookmarkEnd w:id="287"/>
      <w:bookmarkEnd w:id="288"/>
      <w:bookmarkEnd w:id="289"/>
      <w:bookmarkEnd w:id="290"/>
      <w:bookmarkEnd w:id="291"/>
      <w:bookmarkEnd w:id="292"/>
      <w:bookmarkEnd w:id="293"/>
      <w:r>
        <w:rPr>
          <w:rFonts w:hint="eastAsia" w:ascii="仿宋" w:hAnsi="仿宋" w:eastAsia="仿宋" w:cs="仿宋"/>
          <w:szCs w:val="21"/>
        </w:rPr>
        <w:t>表。</w:t>
      </w:r>
    </w:p>
    <w:p w14:paraId="0CC55B8A">
      <w:pPr>
        <w:pStyle w:val="3"/>
        <w:rPr>
          <w:rFonts w:ascii="仿宋" w:hAnsi="仿宋" w:eastAsia="仿宋" w:cs="仿宋"/>
          <w:sz w:val="21"/>
          <w:szCs w:val="21"/>
        </w:rPr>
      </w:pPr>
      <w:bookmarkStart w:id="294" w:name="_Toc185327311"/>
      <w:bookmarkStart w:id="295" w:name="_Toc19449"/>
      <w:bookmarkStart w:id="296" w:name="_Toc17372"/>
      <w:bookmarkStart w:id="297" w:name="_Toc1005"/>
      <w:r>
        <w:rPr>
          <w:rFonts w:hint="eastAsia" w:ascii="仿宋" w:hAnsi="仿宋" w:eastAsia="仿宋" w:cs="仿宋"/>
          <w:sz w:val="21"/>
          <w:szCs w:val="21"/>
        </w:rPr>
        <w:t>7. 合同授予</w:t>
      </w:r>
      <w:bookmarkEnd w:id="294"/>
      <w:bookmarkEnd w:id="295"/>
      <w:bookmarkEnd w:id="296"/>
      <w:bookmarkEnd w:id="297"/>
    </w:p>
    <w:p w14:paraId="0A55624D">
      <w:pPr>
        <w:pStyle w:val="4"/>
        <w:ind w:firstLine="105"/>
        <w:rPr>
          <w:rFonts w:ascii="仿宋" w:hAnsi="仿宋" w:eastAsia="仿宋" w:cs="仿宋"/>
          <w:szCs w:val="21"/>
        </w:rPr>
      </w:pPr>
      <w:bookmarkStart w:id="298" w:name="_Toc13814"/>
      <w:bookmarkStart w:id="299" w:name="_Toc2142"/>
      <w:r>
        <w:rPr>
          <w:rFonts w:hint="eastAsia" w:ascii="仿宋" w:hAnsi="仿宋" w:eastAsia="仿宋" w:cs="仿宋"/>
          <w:szCs w:val="21"/>
        </w:rPr>
        <w:t>7.1 中标候选人公示</w:t>
      </w:r>
      <w:bookmarkEnd w:id="298"/>
      <w:bookmarkEnd w:id="299"/>
    </w:p>
    <w:p w14:paraId="08A8DB0C">
      <w:pPr>
        <w:spacing w:line="360" w:lineRule="auto"/>
        <w:ind w:firstLine="420" w:firstLineChars="200"/>
        <w:rPr>
          <w:rFonts w:ascii="仿宋" w:hAnsi="仿宋" w:eastAsia="仿宋" w:cs="仿宋"/>
          <w:szCs w:val="21"/>
        </w:rPr>
      </w:pPr>
      <w:r>
        <w:rPr>
          <w:rFonts w:hint="eastAsia" w:ascii="仿宋" w:hAnsi="仿宋" w:eastAsia="仿宋" w:cs="仿宋"/>
          <w:szCs w:val="21"/>
        </w:rPr>
        <w:t>招标人在收到评标报告之日起3日内，按照投标人须知前附表规定的公示媒介和期限公示中标候选人，公示期不得少于3日。</w:t>
      </w:r>
    </w:p>
    <w:p w14:paraId="50E8223E">
      <w:pPr>
        <w:pStyle w:val="4"/>
        <w:ind w:firstLine="105"/>
        <w:rPr>
          <w:rFonts w:ascii="仿宋" w:hAnsi="仿宋" w:eastAsia="仿宋" w:cs="仿宋"/>
          <w:szCs w:val="21"/>
        </w:rPr>
      </w:pPr>
      <w:bookmarkStart w:id="300" w:name="_Toc22159"/>
      <w:bookmarkStart w:id="301" w:name="_Toc2722"/>
      <w:r>
        <w:rPr>
          <w:rFonts w:hint="eastAsia" w:ascii="仿宋" w:hAnsi="仿宋" w:eastAsia="仿宋" w:cs="仿宋"/>
          <w:szCs w:val="21"/>
        </w:rPr>
        <w:t>7.2 评标结果异议</w:t>
      </w:r>
      <w:bookmarkEnd w:id="300"/>
      <w:bookmarkEnd w:id="301"/>
    </w:p>
    <w:p w14:paraId="747677EA">
      <w:pPr>
        <w:spacing w:line="360" w:lineRule="auto"/>
        <w:ind w:firstLine="420" w:firstLineChars="200"/>
        <w:rPr>
          <w:rFonts w:ascii="仿宋" w:hAnsi="仿宋" w:eastAsia="仿宋" w:cs="仿宋"/>
          <w:szCs w:val="21"/>
        </w:rPr>
      </w:pPr>
      <w:r>
        <w:rPr>
          <w:rFonts w:hint="eastAsia" w:ascii="仿宋" w:hAnsi="仿宋" w:eastAsia="仿宋" w:cs="仿宋"/>
          <w:szCs w:val="21"/>
        </w:rPr>
        <w:t>投标人或者其他利害关系人对评标结果有异议的，应当在中标候选人公示期间提出。招标人将在收到异议之日起3日内作出答复；作出答复前，将暂停招标投标活动。</w:t>
      </w:r>
    </w:p>
    <w:p w14:paraId="7FE35293">
      <w:pPr>
        <w:pStyle w:val="4"/>
        <w:ind w:firstLine="105"/>
        <w:rPr>
          <w:rFonts w:ascii="仿宋" w:hAnsi="仿宋" w:eastAsia="仿宋" w:cs="仿宋"/>
          <w:szCs w:val="21"/>
        </w:rPr>
      </w:pPr>
      <w:bookmarkStart w:id="302" w:name="_Toc21090"/>
      <w:bookmarkStart w:id="303" w:name="_Toc20318"/>
      <w:r>
        <w:rPr>
          <w:rFonts w:hint="eastAsia" w:ascii="仿宋" w:hAnsi="仿宋" w:eastAsia="仿宋" w:cs="仿宋"/>
          <w:szCs w:val="21"/>
        </w:rPr>
        <w:t>7.3 中标候选人履约能力审查</w:t>
      </w:r>
      <w:bookmarkEnd w:id="302"/>
      <w:bookmarkEnd w:id="303"/>
    </w:p>
    <w:p w14:paraId="4EE3DA4C">
      <w:pPr>
        <w:spacing w:line="360" w:lineRule="auto"/>
        <w:ind w:firstLine="420" w:firstLineChars="200"/>
        <w:rPr>
          <w:rFonts w:ascii="仿宋" w:hAnsi="仿宋" w:eastAsia="仿宋" w:cs="仿宋"/>
          <w:szCs w:val="21"/>
        </w:rPr>
      </w:pPr>
      <w:r>
        <w:rPr>
          <w:rFonts w:hint="eastAsia" w:ascii="仿宋" w:hAnsi="仿宋" w:eastAsia="仿宋" w:cs="仿宋"/>
          <w:szCs w:val="21"/>
        </w:rPr>
        <w:t>中标候选人的经营、财务状况发生较大变化或存在违法行为，招标人认为可能影响其履约能力的，将在发出中标通知书前提请原评标委员会按照招标文件规定的标准和方法进行审查确认。</w:t>
      </w:r>
    </w:p>
    <w:p w14:paraId="163A6A0E">
      <w:pPr>
        <w:pStyle w:val="4"/>
        <w:ind w:firstLine="105"/>
        <w:rPr>
          <w:rFonts w:ascii="仿宋" w:hAnsi="仿宋" w:eastAsia="仿宋" w:cs="仿宋"/>
          <w:szCs w:val="21"/>
        </w:rPr>
      </w:pPr>
      <w:bookmarkStart w:id="304" w:name="_Toc28867"/>
      <w:bookmarkStart w:id="305" w:name="_Toc6396"/>
      <w:r>
        <w:rPr>
          <w:rFonts w:hint="eastAsia" w:ascii="仿宋" w:hAnsi="仿宋" w:eastAsia="仿宋" w:cs="仿宋"/>
          <w:szCs w:val="21"/>
        </w:rPr>
        <w:t>7.4 定标</w:t>
      </w:r>
      <w:bookmarkEnd w:id="304"/>
      <w:bookmarkEnd w:id="305"/>
    </w:p>
    <w:p w14:paraId="5A0369C2">
      <w:pPr>
        <w:spacing w:line="360" w:lineRule="auto"/>
        <w:ind w:firstLine="420" w:firstLineChars="200"/>
        <w:rPr>
          <w:rFonts w:ascii="仿宋" w:hAnsi="仿宋" w:eastAsia="仿宋" w:cs="仿宋"/>
          <w:szCs w:val="21"/>
          <w:highlight w:val="red"/>
        </w:rPr>
      </w:pPr>
      <w:r>
        <w:rPr>
          <w:rFonts w:hint="eastAsia" w:ascii="仿宋" w:hAnsi="仿宋" w:eastAsia="仿宋" w:cs="仿宋"/>
          <w:szCs w:val="21"/>
        </w:rPr>
        <w:t>除投标人须知前附表规定评标委员会直接确定中标人外，招标人依据评标委员会推荐的中标候选人确定中标人，评标委员会推荐中标候选人的人数见投标人须知前附表。</w:t>
      </w:r>
    </w:p>
    <w:p w14:paraId="4FFD2D0A">
      <w:pPr>
        <w:pStyle w:val="4"/>
        <w:ind w:firstLine="105"/>
        <w:rPr>
          <w:rFonts w:ascii="仿宋" w:hAnsi="仿宋" w:eastAsia="仿宋" w:cs="仿宋"/>
          <w:szCs w:val="21"/>
        </w:rPr>
      </w:pPr>
      <w:bookmarkStart w:id="306" w:name="_Toc17778"/>
      <w:bookmarkStart w:id="307" w:name="_Toc8173"/>
      <w:r>
        <w:rPr>
          <w:rFonts w:hint="eastAsia" w:ascii="仿宋" w:hAnsi="仿宋" w:eastAsia="仿宋" w:cs="仿宋"/>
          <w:szCs w:val="21"/>
        </w:rPr>
        <w:t>7.5 中标通知</w:t>
      </w:r>
      <w:bookmarkEnd w:id="306"/>
      <w:bookmarkEnd w:id="307"/>
    </w:p>
    <w:p w14:paraId="3EB5B23F">
      <w:pPr>
        <w:spacing w:line="360" w:lineRule="auto"/>
        <w:ind w:firstLine="420" w:firstLineChars="200"/>
        <w:rPr>
          <w:rFonts w:ascii="仿宋" w:hAnsi="仿宋" w:eastAsia="仿宋" w:cs="仿宋"/>
          <w:szCs w:val="21"/>
        </w:rPr>
      </w:pPr>
      <w:r>
        <w:rPr>
          <w:rFonts w:hint="eastAsia" w:ascii="仿宋" w:hAnsi="仿宋" w:eastAsia="仿宋" w:cs="仿宋"/>
          <w:szCs w:val="21"/>
        </w:rPr>
        <w:t>《中标通知书》由招标代理机构通过洛阳市电子招投标交易平台向中标人发出，同时将中标结果通知未中标的投标人。《中标通知书》由中标人和招标人自行下载、打印，并对中标人和招标人均具有法律效力。</w:t>
      </w:r>
    </w:p>
    <w:p w14:paraId="5B83FE04">
      <w:pPr>
        <w:pStyle w:val="4"/>
        <w:ind w:firstLine="105"/>
        <w:rPr>
          <w:rFonts w:ascii="仿宋" w:hAnsi="仿宋" w:eastAsia="仿宋" w:cs="仿宋"/>
          <w:szCs w:val="21"/>
          <w:highlight w:val="none"/>
        </w:rPr>
      </w:pPr>
      <w:bookmarkStart w:id="308" w:name="_Toc29178"/>
      <w:bookmarkStart w:id="309" w:name="_Toc29646"/>
      <w:r>
        <w:rPr>
          <w:rFonts w:hint="eastAsia" w:ascii="仿宋" w:hAnsi="仿宋" w:eastAsia="仿宋" w:cs="仿宋"/>
          <w:szCs w:val="21"/>
          <w:highlight w:val="none"/>
        </w:rPr>
        <w:t xml:space="preserve">7.6 </w:t>
      </w:r>
      <w:bookmarkEnd w:id="308"/>
      <w:bookmarkEnd w:id="309"/>
      <w:r>
        <w:rPr>
          <w:rFonts w:hint="eastAsia" w:ascii="仿宋" w:hAnsi="仿宋" w:eastAsia="仿宋" w:cs="仿宋"/>
          <w:szCs w:val="21"/>
          <w:highlight w:val="none"/>
        </w:rPr>
        <w:t>履约担保</w:t>
      </w:r>
    </w:p>
    <w:p w14:paraId="3EFE4F5B">
      <w:pPr>
        <w:spacing w:line="360" w:lineRule="auto"/>
        <w:ind w:firstLine="420" w:firstLineChars="200"/>
        <w:rPr>
          <w:rFonts w:hint="eastAsia" w:ascii="仿宋" w:hAnsi="仿宋" w:eastAsia="仿宋" w:cs="仿宋"/>
          <w:szCs w:val="21"/>
          <w:highlight w:val="none"/>
          <w:lang w:eastAsia="zh-CN"/>
        </w:rPr>
      </w:pPr>
      <w:r>
        <w:rPr>
          <w:rFonts w:hint="eastAsia" w:ascii="仿宋" w:hAnsi="仿宋" w:eastAsia="仿宋" w:cs="仿宋"/>
          <w:szCs w:val="21"/>
          <w:highlight w:val="none"/>
        </w:rPr>
        <w:t xml:space="preserve">7.6.1 </w:t>
      </w:r>
      <w:r>
        <w:rPr>
          <w:rFonts w:hint="eastAsia" w:ascii="仿宋" w:hAnsi="仿宋" w:eastAsia="仿宋" w:cs="仿宋"/>
          <w:szCs w:val="21"/>
          <w:highlight w:val="none"/>
          <w:lang w:val="en-US" w:eastAsia="zh-CN"/>
        </w:rPr>
        <w:t>本项目</w:t>
      </w:r>
      <w:r>
        <w:rPr>
          <w:rFonts w:hint="eastAsia" w:ascii="仿宋" w:hAnsi="仿宋" w:eastAsia="仿宋" w:cs="仿宋"/>
          <w:szCs w:val="21"/>
          <w:highlight w:val="none"/>
        </w:rPr>
        <w:t>不收取履约</w:t>
      </w:r>
      <w:r>
        <w:rPr>
          <w:rFonts w:hint="eastAsia" w:ascii="仿宋" w:hAnsi="仿宋" w:eastAsia="仿宋" w:cs="仿宋"/>
          <w:szCs w:val="21"/>
          <w:highlight w:val="none"/>
          <w:lang w:val="en-US" w:eastAsia="zh-CN"/>
        </w:rPr>
        <w:t>保证金</w:t>
      </w:r>
      <w:r>
        <w:rPr>
          <w:rFonts w:hint="eastAsia" w:ascii="仿宋" w:hAnsi="仿宋" w:eastAsia="仿宋" w:cs="仿宋"/>
          <w:szCs w:val="21"/>
          <w:highlight w:val="none"/>
          <w:lang w:eastAsia="zh-CN"/>
        </w:rPr>
        <w:t>。</w:t>
      </w:r>
    </w:p>
    <w:p w14:paraId="3D372C74">
      <w:pPr>
        <w:pStyle w:val="4"/>
        <w:ind w:firstLine="105"/>
        <w:rPr>
          <w:rFonts w:ascii="仿宋" w:hAnsi="仿宋" w:eastAsia="仿宋" w:cs="仿宋"/>
          <w:szCs w:val="21"/>
        </w:rPr>
      </w:pPr>
      <w:bookmarkStart w:id="310" w:name="_Toc7788"/>
      <w:bookmarkStart w:id="311" w:name="_Toc8680"/>
      <w:r>
        <w:rPr>
          <w:rFonts w:hint="eastAsia" w:ascii="仿宋" w:hAnsi="仿宋" w:eastAsia="仿宋" w:cs="仿宋"/>
          <w:szCs w:val="21"/>
        </w:rPr>
        <w:t>7.7 签订合同</w:t>
      </w:r>
      <w:bookmarkEnd w:id="310"/>
      <w:bookmarkEnd w:id="311"/>
    </w:p>
    <w:p w14:paraId="08B1222E">
      <w:pPr>
        <w:spacing w:line="360" w:lineRule="auto"/>
        <w:ind w:firstLine="420" w:firstLineChars="200"/>
        <w:rPr>
          <w:rFonts w:ascii="仿宋" w:hAnsi="仿宋" w:eastAsia="仿宋" w:cs="仿宋"/>
          <w:szCs w:val="21"/>
        </w:rPr>
      </w:pPr>
      <w:r>
        <w:rPr>
          <w:rFonts w:hint="eastAsia" w:ascii="仿宋" w:hAnsi="仿宋" w:eastAsia="仿宋" w:cs="仿宋"/>
          <w:szCs w:val="21"/>
        </w:rPr>
        <w:t>7.7.1 招标人和中标人应当自中标通知书发出之日起30天内，根据招标文件和中标人的投标文件订立书面合同。中标人无正当理由拒签合同的，招标人取消其中标资格；给招标人造成的损失的，中标人还应当赔偿。</w:t>
      </w:r>
    </w:p>
    <w:p w14:paraId="0E78EF7E">
      <w:pPr>
        <w:spacing w:line="360" w:lineRule="auto"/>
        <w:ind w:firstLine="420" w:firstLineChars="200"/>
        <w:rPr>
          <w:rFonts w:ascii="仿宋" w:hAnsi="仿宋" w:eastAsia="仿宋" w:cs="仿宋"/>
          <w:szCs w:val="21"/>
        </w:rPr>
      </w:pPr>
      <w:r>
        <w:rPr>
          <w:rFonts w:hint="eastAsia" w:ascii="仿宋" w:hAnsi="仿宋" w:eastAsia="仿宋" w:cs="仿宋"/>
          <w:szCs w:val="21"/>
        </w:rPr>
        <w:t>7.7.2 发出中标通知书后，招标人无正当理由拒签合同的，给中标人造成损失的，还应当赔偿损失。</w:t>
      </w:r>
    </w:p>
    <w:p w14:paraId="508871C4">
      <w:pPr>
        <w:pStyle w:val="3"/>
        <w:rPr>
          <w:rFonts w:ascii="仿宋" w:hAnsi="仿宋" w:eastAsia="仿宋" w:cs="仿宋"/>
          <w:sz w:val="21"/>
          <w:szCs w:val="21"/>
        </w:rPr>
      </w:pPr>
      <w:bookmarkStart w:id="312" w:name="_Toc19117"/>
      <w:bookmarkStart w:id="313" w:name="_Toc4563"/>
      <w:bookmarkStart w:id="314" w:name="_Toc185327312"/>
      <w:bookmarkStart w:id="315" w:name="_Toc13630"/>
      <w:r>
        <w:rPr>
          <w:rFonts w:hint="eastAsia" w:ascii="仿宋" w:hAnsi="仿宋" w:eastAsia="仿宋" w:cs="仿宋"/>
          <w:sz w:val="21"/>
          <w:szCs w:val="21"/>
        </w:rPr>
        <w:t>8. 纪律和监督</w:t>
      </w:r>
      <w:bookmarkEnd w:id="312"/>
      <w:bookmarkEnd w:id="313"/>
      <w:bookmarkEnd w:id="314"/>
      <w:bookmarkEnd w:id="315"/>
    </w:p>
    <w:p w14:paraId="1D814080">
      <w:pPr>
        <w:pStyle w:val="4"/>
        <w:ind w:firstLine="105"/>
        <w:rPr>
          <w:rFonts w:ascii="仿宋" w:hAnsi="仿宋" w:eastAsia="仿宋" w:cs="仿宋"/>
          <w:szCs w:val="21"/>
        </w:rPr>
      </w:pPr>
      <w:bookmarkStart w:id="316" w:name="_bookmark68"/>
      <w:bookmarkEnd w:id="316"/>
      <w:bookmarkStart w:id="317" w:name="_Toc11555"/>
      <w:bookmarkStart w:id="318" w:name="_Toc6665"/>
      <w:r>
        <w:rPr>
          <w:rFonts w:hint="eastAsia" w:ascii="仿宋" w:hAnsi="仿宋" w:eastAsia="仿宋" w:cs="仿宋"/>
          <w:szCs w:val="21"/>
        </w:rPr>
        <w:t>8.1 对招标人的纪律要求</w:t>
      </w:r>
      <w:bookmarkEnd w:id="317"/>
      <w:bookmarkEnd w:id="318"/>
    </w:p>
    <w:p w14:paraId="02942F3E">
      <w:pPr>
        <w:spacing w:line="360" w:lineRule="auto"/>
        <w:ind w:firstLine="420" w:firstLineChars="200"/>
        <w:rPr>
          <w:rFonts w:ascii="仿宋" w:hAnsi="仿宋" w:eastAsia="仿宋" w:cs="仿宋"/>
          <w:szCs w:val="21"/>
        </w:rPr>
      </w:pPr>
      <w:r>
        <w:rPr>
          <w:rFonts w:hint="eastAsia" w:ascii="仿宋" w:hAnsi="仿宋" w:eastAsia="仿宋" w:cs="仿宋"/>
          <w:szCs w:val="21"/>
        </w:rPr>
        <w:t>招标人不得泄露招标投标活动中应当保密的情况和资料，不得与投标人串通损害国家利益、社会公共利益或者他人合法权益。</w:t>
      </w:r>
    </w:p>
    <w:p w14:paraId="09E50E9B">
      <w:pPr>
        <w:pStyle w:val="4"/>
        <w:ind w:firstLine="105"/>
        <w:rPr>
          <w:rFonts w:ascii="仿宋" w:hAnsi="仿宋" w:eastAsia="仿宋" w:cs="仿宋"/>
          <w:szCs w:val="21"/>
        </w:rPr>
      </w:pPr>
      <w:bookmarkStart w:id="319" w:name="_bookmark69"/>
      <w:bookmarkEnd w:id="319"/>
      <w:bookmarkStart w:id="320" w:name="_Toc7021"/>
      <w:bookmarkStart w:id="321" w:name="_Toc26188"/>
      <w:r>
        <w:rPr>
          <w:rFonts w:hint="eastAsia" w:ascii="仿宋" w:hAnsi="仿宋" w:eastAsia="仿宋" w:cs="仿宋"/>
          <w:szCs w:val="21"/>
        </w:rPr>
        <w:t>8.2 对投标人的纪律要求</w:t>
      </w:r>
      <w:bookmarkEnd w:id="320"/>
      <w:bookmarkEnd w:id="321"/>
    </w:p>
    <w:p w14:paraId="336E02D0">
      <w:pPr>
        <w:spacing w:line="360" w:lineRule="auto"/>
        <w:ind w:firstLine="420" w:firstLineChars="200"/>
        <w:rPr>
          <w:rFonts w:ascii="仿宋" w:hAnsi="仿宋" w:eastAsia="仿宋" w:cs="仿宋"/>
          <w:szCs w:val="21"/>
        </w:rPr>
      </w:pPr>
      <w:r>
        <w:rPr>
          <w:rFonts w:hint="eastAsia" w:ascii="仿宋" w:hAnsi="仿宋" w:eastAsia="仿宋" w:cs="仿宋"/>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E6EC05E">
      <w:pPr>
        <w:pStyle w:val="4"/>
        <w:ind w:firstLine="105"/>
        <w:rPr>
          <w:rFonts w:ascii="仿宋" w:hAnsi="仿宋" w:eastAsia="仿宋" w:cs="仿宋"/>
          <w:szCs w:val="21"/>
        </w:rPr>
      </w:pPr>
      <w:bookmarkStart w:id="322" w:name="_bookmark70"/>
      <w:bookmarkEnd w:id="322"/>
      <w:bookmarkStart w:id="323" w:name="_Toc19343"/>
      <w:bookmarkStart w:id="324" w:name="_Toc28272"/>
      <w:r>
        <w:rPr>
          <w:rFonts w:hint="eastAsia" w:ascii="仿宋" w:hAnsi="仿宋" w:eastAsia="仿宋" w:cs="仿宋"/>
          <w:szCs w:val="21"/>
        </w:rPr>
        <w:t>8.3 对评标委员会成员的纪律要求</w:t>
      </w:r>
      <w:bookmarkEnd w:id="323"/>
      <w:bookmarkEnd w:id="324"/>
    </w:p>
    <w:p w14:paraId="19D6A670">
      <w:pPr>
        <w:spacing w:line="360" w:lineRule="auto"/>
        <w:ind w:firstLine="420" w:firstLineChars="200"/>
        <w:rPr>
          <w:rFonts w:ascii="仿宋" w:hAnsi="仿宋" w:eastAsia="仿宋" w:cs="仿宋"/>
          <w:szCs w:val="21"/>
        </w:rPr>
      </w:pPr>
      <w:r>
        <w:rPr>
          <w:rFonts w:hint="eastAsia" w:ascii="仿宋" w:hAnsi="仿宋" w:eastAsia="仿宋" w:cs="仿宋"/>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ABBCF12">
      <w:pPr>
        <w:pStyle w:val="4"/>
        <w:ind w:firstLine="105"/>
        <w:rPr>
          <w:rFonts w:ascii="仿宋" w:hAnsi="仿宋" w:eastAsia="仿宋" w:cs="仿宋"/>
          <w:szCs w:val="21"/>
        </w:rPr>
      </w:pPr>
      <w:bookmarkStart w:id="325" w:name="_bookmark71"/>
      <w:bookmarkEnd w:id="325"/>
      <w:bookmarkStart w:id="326" w:name="_Toc31595"/>
      <w:bookmarkStart w:id="327" w:name="_Toc22300"/>
      <w:r>
        <w:rPr>
          <w:rFonts w:hint="eastAsia" w:ascii="仿宋" w:hAnsi="仿宋" w:eastAsia="仿宋" w:cs="仿宋"/>
          <w:szCs w:val="21"/>
        </w:rPr>
        <w:t>8.4 对与评标活动有关的工作人员的纪律要求</w:t>
      </w:r>
      <w:bookmarkEnd w:id="326"/>
      <w:bookmarkEnd w:id="327"/>
    </w:p>
    <w:p w14:paraId="7203C675">
      <w:pPr>
        <w:spacing w:line="360" w:lineRule="auto"/>
        <w:ind w:firstLine="420" w:firstLineChars="200"/>
        <w:rPr>
          <w:rFonts w:ascii="仿宋" w:hAnsi="仿宋" w:eastAsia="仿宋" w:cs="仿宋"/>
          <w:szCs w:val="21"/>
        </w:rPr>
      </w:pPr>
      <w:r>
        <w:rPr>
          <w:rFonts w:hint="eastAsia" w:ascii="仿宋" w:hAnsi="仿宋" w:eastAsia="仿宋" w:cs="仿宋"/>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5E161A7">
      <w:pPr>
        <w:pStyle w:val="4"/>
        <w:ind w:firstLine="105"/>
        <w:rPr>
          <w:rFonts w:ascii="仿宋" w:hAnsi="仿宋" w:eastAsia="仿宋" w:cs="仿宋"/>
          <w:szCs w:val="21"/>
        </w:rPr>
      </w:pPr>
      <w:bookmarkStart w:id="328" w:name="_bookmark72"/>
      <w:bookmarkEnd w:id="328"/>
      <w:bookmarkStart w:id="329" w:name="_Toc31175"/>
      <w:r>
        <w:rPr>
          <w:rFonts w:hint="eastAsia" w:ascii="仿宋" w:hAnsi="仿宋" w:eastAsia="仿宋" w:cs="仿宋"/>
          <w:szCs w:val="21"/>
        </w:rPr>
        <w:t>8.5 投诉</w:t>
      </w:r>
      <w:bookmarkEnd w:id="329"/>
    </w:p>
    <w:p w14:paraId="026C13EC">
      <w:pPr>
        <w:spacing w:line="360" w:lineRule="auto"/>
        <w:ind w:firstLine="420" w:firstLineChars="200"/>
        <w:rPr>
          <w:rFonts w:ascii="仿宋" w:hAnsi="仿宋" w:eastAsia="仿宋" w:cs="仿宋"/>
          <w:szCs w:val="21"/>
        </w:rPr>
      </w:pPr>
      <w:r>
        <w:rPr>
          <w:rFonts w:hint="eastAsia" w:ascii="仿宋" w:hAnsi="仿宋" w:eastAsia="仿宋" w:cs="仿宋"/>
          <w:szCs w:val="21"/>
        </w:rPr>
        <w:t>8.5.1 投标人或者其他利害关系人认为招标投标活动不符合法律、行政法规规定的，可以自知道或者应当知道之日起10日内向有关行政监督部门投诉。投诉应当有明确的请求和必要的证明材料。</w:t>
      </w:r>
    </w:p>
    <w:p w14:paraId="0744E675">
      <w:pPr>
        <w:spacing w:line="360" w:lineRule="auto"/>
        <w:ind w:firstLine="420" w:firstLineChars="200"/>
        <w:rPr>
          <w:rFonts w:ascii="仿宋" w:hAnsi="仿宋" w:eastAsia="仿宋" w:cs="仿宋"/>
          <w:szCs w:val="21"/>
        </w:rPr>
      </w:pPr>
      <w:r>
        <w:rPr>
          <w:rFonts w:hint="eastAsia" w:ascii="仿宋" w:hAnsi="仿宋" w:eastAsia="仿宋" w:cs="仿宋"/>
          <w:szCs w:val="21"/>
        </w:rPr>
        <w:t>8.5.2 投标人或者其他利害关系人对招标文件、开标和评标结果提出投诉的，应当按照投标人须知第 2.4 款、第 5.3 款和第7.2 款的规定先向招标人提出异议。异议答复期间不计算在第8.5.1项规定的期限内。</w:t>
      </w:r>
    </w:p>
    <w:p w14:paraId="7949BFF0">
      <w:pPr>
        <w:pStyle w:val="3"/>
        <w:rPr>
          <w:rFonts w:ascii="仿宋" w:hAnsi="仿宋" w:eastAsia="仿宋" w:cs="仿宋"/>
          <w:sz w:val="21"/>
          <w:szCs w:val="21"/>
        </w:rPr>
      </w:pPr>
      <w:bookmarkStart w:id="330" w:name="_bookmark73"/>
      <w:bookmarkEnd w:id="330"/>
      <w:bookmarkStart w:id="331" w:name="_Toc185327313"/>
      <w:bookmarkStart w:id="332" w:name="_Toc31589"/>
      <w:bookmarkStart w:id="333" w:name="_Toc13887"/>
      <w:bookmarkStart w:id="334" w:name="_Toc24500"/>
      <w:r>
        <w:rPr>
          <w:rFonts w:hint="eastAsia" w:ascii="仿宋" w:hAnsi="仿宋" w:eastAsia="仿宋" w:cs="仿宋"/>
          <w:sz w:val="21"/>
          <w:szCs w:val="21"/>
        </w:rPr>
        <w:t>9. 是否采用电子招标投标</w:t>
      </w:r>
      <w:bookmarkEnd w:id="331"/>
      <w:bookmarkEnd w:id="332"/>
      <w:bookmarkEnd w:id="333"/>
      <w:bookmarkEnd w:id="334"/>
    </w:p>
    <w:p w14:paraId="1D555C2E">
      <w:pPr>
        <w:spacing w:line="360" w:lineRule="auto"/>
        <w:ind w:firstLine="420" w:firstLineChars="200"/>
        <w:rPr>
          <w:rFonts w:ascii="仿宋" w:hAnsi="仿宋" w:eastAsia="仿宋" w:cs="仿宋"/>
          <w:szCs w:val="21"/>
        </w:rPr>
      </w:pPr>
      <w:r>
        <w:rPr>
          <w:rFonts w:hint="eastAsia" w:ascii="仿宋" w:hAnsi="仿宋" w:eastAsia="仿宋" w:cs="仿宋"/>
          <w:szCs w:val="21"/>
        </w:rPr>
        <w:t>本招标项目是否采用电子招标投标方式，见投标人须知前附表。</w:t>
      </w:r>
    </w:p>
    <w:p w14:paraId="6EBE20F5">
      <w:pPr>
        <w:pStyle w:val="3"/>
        <w:numPr>
          <w:ilvl w:val="0"/>
          <w:numId w:val="2"/>
        </w:numPr>
        <w:rPr>
          <w:rFonts w:ascii="仿宋" w:hAnsi="仿宋" w:eastAsia="仿宋" w:cs="仿宋"/>
          <w:sz w:val="21"/>
          <w:szCs w:val="21"/>
        </w:rPr>
      </w:pPr>
      <w:bookmarkStart w:id="335" w:name="_bookmark74"/>
      <w:bookmarkEnd w:id="335"/>
      <w:bookmarkStart w:id="336" w:name="_Toc2557"/>
      <w:bookmarkStart w:id="337" w:name="_Toc24289"/>
      <w:bookmarkStart w:id="338" w:name="_Toc185327314"/>
      <w:bookmarkStart w:id="339" w:name="_Toc30237"/>
      <w:r>
        <w:rPr>
          <w:rFonts w:hint="eastAsia" w:ascii="仿宋" w:hAnsi="仿宋" w:eastAsia="仿宋" w:cs="仿宋"/>
          <w:sz w:val="21"/>
          <w:szCs w:val="21"/>
        </w:rPr>
        <w:t>需要补充的其他内容</w:t>
      </w:r>
      <w:bookmarkEnd w:id="336"/>
      <w:bookmarkEnd w:id="337"/>
      <w:bookmarkEnd w:id="338"/>
      <w:bookmarkEnd w:id="339"/>
    </w:p>
    <w:p w14:paraId="0F034574">
      <w:pPr>
        <w:spacing w:line="360" w:lineRule="auto"/>
        <w:ind w:firstLine="420" w:firstLineChars="200"/>
        <w:rPr>
          <w:rFonts w:ascii="仿宋" w:hAnsi="仿宋" w:eastAsia="仿宋" w:cs="仿宋"/>
          <w:szCs w:val="21"/>
        </w:rPr>
      </w:pPr>
      <w:r>
        <w:rPr>
          <w:rFonts w:hint="eastAsia" w:ascii="仿宋" w:hAnsi="仿宋" w:eastAsia="仿宋" w:cs="仿宋"/>
          <w:szCs w:val="21"/>
        </w:rPr>
        <w:t>需要补充的其他内容：见投标人须知前附表。</w:t>
      </w:r>
      <w:bookmarkStart w:id="340" w:name="_bookmark75"/>
      <w:bookmarkEnd w:id="340"/>
    </w:p>
    <w:p w14:paraId="0B8C1CBB">
      <w:pPr>
        <w:rPr>
          <w:rFonts w:ascii="仿宋" w:hAnsi="仿宋" w:eastAsia="仿宋" w:cs="仿宋"/>
        </w:rPr>
      </w:pPr>
      <w:r>
        <w:rPr>
          <w:rFonts w:hint="eastAsia" w:ascii="仿宋" w:hAnsi="仿宋" w:eastAsia="仿宋" w:cs="仿宋"/>
        </w:rPr>
        <w:br w:type="page"/>
      </w:r>
    </w:p>
    <w:p w14:paraId="1936DE25">
      <w:pPr>
        <w:pStyle w:val="4"/>
        <w:ind w:firstLine="120"/>
        <w:rPr>
          <w:rFonts w:ascii="仿宋" w:hAnsi="仿宋" w:eastAsia="仿宋" w:cs="仿宋"/>
          <w:sz w:val="24"/>
          <w:szCs w:val="24"/>
        </w:rPr>
      </w:pPr>
      <w:bookmarkStart w:id="341" w:name="_Toc28323"/>
      <w:bookmarkStart w:id="342" w:name="_Toc13357"/>
      <w:r>
        <w:rPr>
          <w:rFonts w:hint="eastAsia" w:ascii="仿宋" w:hAnsi="仿宋" w:eastAsia="仿宋" w:cs="仿宋"/>
          <w:sz w:val="24"/>
          <w:szCs w:val="24"/>
        </w:rPr>
        <w:t>附件一：问题澄清通知</w:t>
      </w:r>
      <w:bookmarkEnd w:id="341"/>
      <w:bookmarkEnd w:id="342"/>
    </w:p>
    <w:p w14:paraId="68F4EB5C">
      <w:pPr>
        <w:spacing w:line="440" w:lineRule="exact"/>
        <w:jc w:val="center"/>
        <w:rPr>
          <w:rFonts w:ascii="仿宋" w:hAnsi="仿宋" w:eastAsia="仿宋" w:cs="仿宋"/>
          <w:sz w:val="24"/>
          <w:szCs w:val="24"/>
        </w:rPr>
      </w:pPr>
    </w:p>
    <w:p w14:paraId="16F611EC">
      <w:pPr>
        <w:spacing w:line="440" w:lineRule="exact"/>
        <w:jc w:val="center"/>
        <w:rPr>
          <w:rFonts w:ascii="仿宋" w:hAnsi="仿宋" w:eastAsia="仿宋" w:cs="仿宋"/>
          <w:szCs w:val="21"/>
        </w:rPr>
      </w:pPr>
      <w:r>
        <w:rPr>
          <w:rFonts w:hint="eastAsia" w:ascii="仿宋" w:hAnsi="仿宋" w:eastAsia="仿宋" w:cs="仿宋"/>
          <w:szCs w:val="21"/>
        </w:rPr>
        <w:t>问题澄清通知</w:t>
      </w:r>
    </w:p>
    <w:p w14:paraId="791A5AFB">
      <w:pPr>
        <w:spacing w:line="440" w:lineRule="exact"/>
        <w:jc w:val="center"/>
        <w:rPr>
          <w:rFonts w:ascii="仿宋" w:hAnsi="仿宋" w:eastAsia="仿宋" w:cs="仿宋"/>
          <w:szCs w:val="21"/>
        </w:rPr>
      </w:pPr>
      <w:r>
        <w:rPr>
          <w:rFonts w:hint="eastAsia" w:ascii="仿宋" w:hAnsi="仿宋" w:eastAsia="仿宋" w:cs="仿宋"/>
          <w:szCs w:val="21"/>
        </w:rPr>
        <w:t>（编号：</w:t>
      </w:r>
      <w:r>
        <w:rPr>
          <w:rFonts w:hint="eastAsia" w:ascii="仿宋" w:hAnsi="仿宋" w:eastAsia="仿宋" w:cs="仿宋"/>
          <w:szCs w:val="21"/>
          <w:u w:val="single"/>
        </w:rPr>
        <w:t xml:space="preserve">               </w:t>
      </w:r>
      <w:r>
        <w:rPr>
          <w:rFonts w:hint="eastAsia" w:ascii="仿宋" w:hAnsi="仿宋" w:eastAsia="仿宋" w:cs="仿宋"/>
          <w:szCs w:val="21"/>
        </w:rPr>
        <w:t>）</w:t>
      </w:r>
    </w:p>
    <w:p w14:paraId="03213DA2">
      <w:pPr>
        <w:spacing w:line="440" w:lineRule="exact"/>
        <w:rPr>
          <w:rFonts w:ascii="仿宋" w:hAnsi="仿宋" w:eastAsia="仿宋" w:cs="仿宋"/>
          <w:szCs w:val="21"/>
        </w:rPr>
      </w:pPr>
    </w:p>
    <w:p w14:paraId="2D461970">
      <w:pPr>
        <w:spacing w:line="440" w:lineRule="exact"/>
        <w:rPr>
          <w:rFonts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（投标人名称）：</w:t>
      </w:r>
    </w:p>
    <w:p w14:paraId="754AB042">
      <w:pPr>
        <w:spacing w:line="440" w:lineRule="exact"/>
        <w:rPr>
          <w:rFonts w:ascii="仿宋" w:hAnsi="仿宋" w:eastAsia="仿宋" w:cs="仿宋"/>
          <w:szCs w:val="21"/>
        </w:rPr>
      </w:pPr>
    </w:p>
    <w:p w14:paraId="4D58CB43">
      <w:pPr>
        <w:spacing w:line="440" w:lineRule="exact"/>
        <w:rPr>
          <w:rFonts w:ascii="仿宋" w:hAnsi="仿宋" w:eastAsia="仿宋" w:cs="仿宋"/>
          <w:szCs w:val="21"/>
        </w:rPr>
      </w:pPr>
      <w:r>
        <w:rPr>
          <w:rFonts w:hint="eastAsia" w:ascii="仿宋" w:hAnsi="仿宋" w:eastAsia="仿宋" w:cs="仿宋"/>
          <w:szCs w:val="21"/>
        </w:rPr>
        <w:t>　　评标委员会对你方的投标文件进行了仔细的审查，现需你方对下列问题以书</w:t>
      </w:r>
      <w:bookmarkStart w:id="343" w:name="_Toc247527601"/>
      <w:bookmarkStart w:id="344" w:name="_Toc369531565"/>
      <w:bookmarkStart w:id="345" w:name="_Toc152042352"/>
      <w:bookmarkStart w:id="346" w:name="_Toc152045576"/>
      <w:bookmarkStart w:id="347" w:name="_Toc352691521"/>
      <w:bookmarkStart w:id="348" w:name="_Toc384308260"/>
      <w:bookmarkStart w:id="349" w:name="_Toc144974544"/>
      <w:bookmarkStart w:id="350" w:name="_Toc300834996"/>
      <w:bookmarkStart w:id="351" w:name="_Toc23050"/>
      <w:bookmarkStart w:id="352" w:name="_Toc247514000"/>
      <w:bookmarkStart w:id="353" w:name="_Toc361508634"/>
      <w:r>
        <w:rPr>
          <w:rFonts w:hint="eastAsia" w:ascii="仿宋" w:hAnsi="仿宋" w:eastAsia="仿宋" w:cs="仿宋"/>
          <w:szCs w:val="21"/>
        </w:rPr>
        <w:t>面形式予以澄清、说明或补正：</w:t>
      </w:r>
    </w:p>
    <w:p w14:paraId="627AA9C5">
      <w:pPr>
        <w:spacing w:line="440" w:lineRule="exact"/>
        <w:rPr>
          <w:rFonts w:ascii="仿宋" w:hAnsi="仿宋" w:eastAsia="仿宋" w:cs="仿宋"/>
          <w:szCs w:val="21"/>
        </w:rPr>
      </w:pPr>
      <w:r>
        <w:rPr>
          <w:rFonts w:hint="eastAsia" w:ascii="仿宋" w:hAnsi="仿宋" w:eastAsia="仿宋" w:cs="仿宋"/>
          <w:szCs w:val="21"/>
        </w:rPr>
        <w:t>　　</w:t>
      </w:r>
    </w:p>
    <w:bookmarkEnd w:id="343"/>
    <w:bookmarkEnd w:id="344"/>
    <w:bookmarkEnd w:id="345"/>
    <w:bookmarkEnd w:id="346"/>
    <w:bookmarkEnd w:id="347"/>
    <w:bookmarkEnd w:id="348"/>
    <w:bookmarkEnd w:id="349"/>
    <w:bookmarkEnd w:id="350"/>
    <w:bookmarkEnd w:id="351"/>
    <w:bookmarkEnd w:id="352"/>
    <w:bookmarkEnd w:id="353"/>
    <w:p w14:paraId="16CFE201">
      <w:pPr>
        <w:spacing w:line="440" w:lineRule="exact"/>
        <w:rPr>
          <w:rFonts w:ascii="仿宋" w:hAnsi="仿宋" w:eastAsia="仿宋" w:cs="仿宋"/>
          <w:szCs w:val="21"/>
        </w:rPr>
      </w:pPr>
      <w:r>
        <w:rPr>
          <w:rFonts w:hint="eastAsia" w:ascii="仿宋" w:hAnsi="仿宋" w:eastAsia="仿宋" w:cs="仿宋"/>
          <w:szCs w:val="21"/>
        </w:rPr>
        <w:t xml:space="preserve">    1.</w:t>
      </w:r>
    </w:p>
    <w:p w14:paraId="401E085F">
      <w:pPr>
        <w:spacing w:line="440" w:lineRule="exact"/>
        <w:rPr>
          <w:rFonts w:ascii="仿宋" w:hAnsi="仿宋" w:eastAsia="仿宋" w:cs="仿宋"/>
          <w:szCs w:val="21"/>
        </w:rPr>
      </w:pPr>
      <w:r>
        <w:rPr>
          <w:rFonts w:hint="eastAsia" w:ascii="仿宋" w:hAnsi="仿宋" w:eastAsia="仿宋" w:cs="仿宋"/>
          <w:szCs w:val="21"/>
        </w:rPr>
        <w:t xml:space="preserve">    2.</w:t>
      </w:r>
    </w:p>
    <w:p w14:paraId="5B33ED57">
      <w:pPr>
        <w:spacing w:line="440" w:lineRule="exact"/>
        <w:rPr>
          <w:rFonts w:ascii="仿宋" w:hAnsi="仿宋" w:eastAsia="仿宋" w:cs="仿宋"/>
          <w:szCs w:val="21"/>
        </w:rPr>
      </w:pPr>
      <w:r>
        <w:rPr>
          <w:rFonts w:hint="eastAsia" w:ascii="仿宋" w:hAnsi="仿宋" w:eastAsia="仿宋" w:cs="仿宋"/>
          <w:szCs w:val="21"/>
        </w:rPr>
        <w:t xml:space="preserve">     ......   </w:t>
      </w:r>
    </w:p>
    <w:p w14:paraId="722511B9">
      <w:pPr>
        <w:spacing w:line="440" w:lineRule="exact"/>
        <w:rPr>
          <w:rFonts w:ascii="仿宋" w:hAnsi="仿宋" w:eastAsia="仿宋" w:cs="仿宋"/>
          <w:szCs w:val="21"/>
        </w:rPr>
      </w:pPr>
      <w:r>
        <w:rPr>
          <w:rFonts w:hint="eastAsia" w:ascii="仿宋" w:hAnsi="仿宋" w:eastAsia="仿宋" w:cs="仿宋"/>
          <w:szCs w:val="21"/>
        </w:rPr>
        <w:t>　　　</w:t>
      </w:r>
    </w:p>
    <w:p w14:paraId="1325CE5C">
      <w:pPr>
        <w:spacing w:line="440" w:lineRule="exact"/>
        <w:ind w:firstLine="405"/>
        <w:rPr>
          <w:rFonts w:ascii="仿宋" w:hAnsi="仿宋" w:eastAsia="仿宋" w:cs="仿宋"/>
          <w:szCs w:val="21"/>
        </w:rPr>
      </w:pPr>
      <w:r>
        <w:rPr>
          <w:rFonts w:hint="eastAsia" w:ascii="仿宋" w:hAnsi="仿宋" w:eastAsia="仿宋" w:cs="仿宋"/>
          <w:szCs w:val="21"/>
        </w:rPr>
        <w:t>请将上述问题的澄清、说明或补正于</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r>
        <w:rPr>
          <w:rFonts w:hint="eastAsia" w:ascii="仿宋" w:hAnsi="仿宋" w:eastAsia="仿宋" w:cs="仿宋"/>
          <w:szCs w:val="21"/>
          <w:u w:val="single"/>
        </w:rPr>
        <w:t xml:space="preserve">  </w:t>
      </w:r>
      <w:r>
        <w:rPr>
          <w:rFonts w:hint="eastAsia" w:ascii="仿宋" w:hAnsi="仿宋" w:eastAsia="仿宋" w:cs="仿宋"/>
          <w:szCs w:val="21"/>
        </w:rPr>
        <w:t>时前递交至</w:t>
      </w:r>
      <w:bookmarkStart w:id="354" w:name="_Toc300834997"/>
      <w:bookmarkStart w:id="355" w:name="_Toc152045577"/>
      <w:bookmarkStart w:id="356" w:name="_Toc369531566"/>
      <w:bookmarkStart w:id="357" w:name="_Toc152042353"/>
      <w:bookmarkStart w:id="358" w:name="_Toc361508635"/>
      <w:bookmarkStart w:id="359" w:name="_Toc144974545"/>
      <w:bookmarkStart w:id="360" w:name="_Toc28385"/>
      <w:bookmarkStart w:id="361" w:name="_Toc352691522"/>
      <w:bookmarkStart w:id="362" w:name="_Toc247514001"/>
      <w:bookmarkStart w:id="363" w:name="_Toc384308261"/>
      <w:bookmarkStart w:id="364" w:name="_Toc247527602"/>
    </w:p>
    <w:p w14:paraId="2C6A657B">
      <w:pPr>
        <w:spacing w:line="440" w:lineRule="exact"/>
        <w:rPr>
          <w:rFonts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（详细地址）或传真至</w:t>
      </w:r>
      <w:bookmarkEnd w:id="354"/>
      <w:bookmarkEnd w:id="355"/>
      <w:bookmarkEnd w:id="356"/>
      <w:bookmarkEnd w:id="357"/>
      <w:bookmarkEnd w:id="358"/>
      <w:bookmarkEnd w:id="359"/>
      <w:bookmarkEnd w:id="360"/>
      <w:bookmarkEnd w:id="361"/>
      <w:bookmarkEnd w:id="362"/>
      <w:bookmarkEnd w:id="363"/>
      <w:bookmarkEnd w:id="364"/>
      <w:r>
        <w:rPr>
          <w:rFonts w:hint="eastAsia" w:ascii="仿宋" w:hAnsi="仿宋" w:eastAsia="仿宋" w:cs="仿宋"/>
          <w:szCs w:val="21"/>
          <w:u w:val="single"/>
        </w:rPr>
        <w:t xml:space="preserve">              </w:t>
      </w:r>
      <w:r>
        <w:rPr>
          <w:rFonts w:hint="eastAsia" w:ascii="仿宋" w:hAnsi="仿宋" w:eastAsia="仿宋" w:cs="仿宋"/>
          <w:szCs w:val="21"/>
        </w:rPr>
        <w:t>（传真号码）或通过下载招标文件的电子招标交易平台上传。采用传真方式的，应在</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p>
    <w:p w14:paraId="08C3F328">
      <w:pPr>
        <w:spacing w:line="440" w:lineRule="exact"/>
        <w:rPr>
          <w:rFonts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日</w:t>
      </w:r>
      <w:r>
        <w:rPr>
          <w:rFonts w:hint="eastAsia" w:ascii="仿宋" w:hAnsi="仿宋" w:eastAsia="仿宋" w:cs="仿宋"/>
          <w:szCs w:val="21"/>
          <w:u w:val="single"/>
        </w:rPr>
        <w:t xml:space="preserve">       </w:t>
      </w:r>
      <w:r>
        <w:rPr>
          <w:rFonts w:hint="eastAsia" w:ascii="仿宋" w:hAnsi="仿宋" w:eastAsia="仿宋" w:cs="仿宋"/>
          <w:szCs w:val="21"/>
        </w:rPr>
        <w:t>时前将原件递交至</w:t>
      </w:r>
      <w:r>
        <w:rPr>
          <w:rFonts w:hint="eastAsia" w:ascii="仿宋" w:hAnsi="仿宋" w:eastAsia="仿宋" w:cs="仿宋"/>
          <w:szCs w:val="21"/>
          <w:u w:val="single"/>
        </w:rPr>
        <w:t xml:space="preserve">                 </w:t>
      </w:r>
      <w:r>
        <w:rPr>
          <w:rFonts w:hint="eastAsia" w:ascii="仿宋" w:hAnsi="仿宋" w:eastAsia="仿宋" w:cs="仿宋"/>
          <w:szCs w:val="21"/>
        </w:rPr>
        <w:t>（详细地址）。</w:t>
      </w:r>
    </w:p>
    <w:p w14:paraId="60540658">
      <w:pPr>
        <w:spacing w:line="440" w:lineRule="exact"/>
        <w:rPr>
          <w:rFonts w:ascii="仿宋" w:hAnsi="仿宋" w:eastAsia="仿宋" w:cs="仿宋"/>
          <w:szCs w:val="21"/>
        </w:rPr>
      </w:pPr>
    </w:p>
    <w:p w14:paraId="12843C62">
      <w:pPr>
        <w:spacing w:line="440" w:lineRule="exact"/>
        <w:rPr>
          <w:rFonts w:ascii="仿宋" w:hAnsi="仿宋" w:eastAsia="仿宋" w:cs="仿宋"/>
          <w:szCs w:val="21"/>
        </w:rPr>
      </w:pPr>
    </w:p>
    <w:p w14:paraId="760D29FB">
      <w:pPr>
        <w:spacing w:line="440" w:lineRule="exact"/>
        <w:rPr>
          <w:rFonts w:ascii="仿宋" w:hAnsi="仿宋" w:eastAsia="仿宋" w:cs="仿宋"/>
          <w:szCs w:val="21"/>
        </w:rPr>
      </w:pPr>
      <w:r>
        <w:rPr>
          <w:rFonts w:hint="eastAsia" w:ascii="仿宋" w:hAnsi="仿宋" w:eastAsia="仿宋" w:cs="仿宋"/>
          <w:szCs w:val="21"/>
        </w:rPr>
        <w:t>评标委员会授权的招标人或招标代理机构：</w:t>
      </w:r>
      <w:r>
        <w:rPr>
          <w:rFonts w:hint="eastAsia" w:ascii="仿宋" w:hAnsi="仿宋" w:eastAsia="仿宋" w:cs="仿宋"/>
          <w:szCs w:val="21"/>
          <w:u w:val="single"/>
        </w:rPr>
        <w:t xml:space="preserve">      </w:t>
      </w:r>
      <w:r>
        <w:rPr>
          <w:rFonts w:hint="eastAsia" w:ascii="仿宋" w:hAnsi="仿宋" w:eastAsia="仿宋" w:cs="仿宋"/>
          <w:szCs w:val="21"/>
        </w:rPr>
        <w:t>（签字或盖章）</w:t>
      </w:r>
      <w:bookmarkStart w:id="365" w:name="_Toc6580"/>
      <w:bookmarkStart w:id="366" w:name="_Toc152042354"/>
      <w:bookmarkStart w:id="367" w:name="_Toc247514002"/>
      <w:bookmarkStart w:id="368" w:name="_Toc384308262"/>
      <w:bookmarkStart w:id="369" w:name="_Toc361508636"/>
      <w:bookmarkStart w:id="370" w:name="_Toc352691523"/>
      <w:bookmarkStart w:id="371" w:name="_Toc369531567"/>
      <w:bookmarkStart w:id="372" w:name="_Toc300834998"/>
      <w:bookmarkStart w:id="373" w:name="_Toc152045578"/>
      <w:bookmarkStart w:id="374" w:name="_Toc247527603"/>
      <w:bookmarkStart w:id="375" w:name="_Toc144974546"/>
    </w:p>
    <w:bookmarkEnd w:id="365"/>
    <w:bookmarkEnd w:id="366"/>
    <w:bookmarkEnd w:id="367"/>
    <w:bookmarkEnd w:id="368"/>
    <w:bookmarkEnd w:id="369"/>
    <w:bookmarkEnd w:id="370"/>
    <w:bookmarkEnd w:id="371"/>
    <w:bookmarkEnd w:id="372"/>
    <w:bookmarkEnd w:id="373"/>
    <w:bookmarkEnd w:id="374"/>
    <w:p w14:paraId="72106CBB">
      <w:pPr>
        <w:spacing w:line="440" w:lineRule="exact"/>
        <w:rPr>
          <w:rFonts w:ascii="仿宋" w:hAnsi="仿宋" w:eastAsia="仿宋" w:cs="仿宋"/>
          <w:szCs w:val="21"/>
        </w:rPr>
      </w:pPr>
      <w:bookmarkStart w:id="376" w:name="_Toc152042355"/>
    </w:p>
    <w:p w14:paraId="7B282729">
      <w:pPr>
        <w:spacing w:line="440" w:lineRule="exact"/>
        <w:ind w:right="1800"/>
        <w:rPr>
          <w:rFonts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4E733905">
      <w:pPr>
        <w:spacing w:line="400" w:lineRule="exact"/>
        <w:rPr>
          <w:rFonts w:ascii="仿宋" w:hAnsi="仿宋" w:eastAsia="仿宋" w:cs="仿宋"/>
          <w:szCs w:val="21"/>
        </w:rPr>
      </w:pPr>
    </w:p>
    <w:p w14:paraId="355F48AA">
      <w:pPr>
        <w:spacing w:line="400" w:lineRule="exact"/>
        <w:rPr>
          <w:rFonts w:ascii="仿宋" w:hAnsi="仿宋" w:eastAsia="仿宋" w:cs="仿宋"/>
          <w:szCs w:val="21"/>
        </w:rPr>
      </w:pPr>
      <w:r>
        <w:rPr>
          <w:rFonts w:hint="eastAsia" w:ascii="仿宋" w:hAnsi="仿宋" w:eastAsia="仿宋" w:cs="仿宋"/>
          <w:szCs w:val="21"/>
        </w:rPr>
        <w:br w:type="page"/>
      </w:r>
    </w:p>
    <w:p w14:paraId="23735F0D">
      <w:pPr>
        <w:pStyle w:val="4"/>
        <w:ind w:firstLine="120"/>
        <w:rPr>
          <w:rFonts w:ascii="仿宋" w:hAnsi="仿宋" w:eastAsia="仿宋" w:cs="仿宋"/>
          <w:sz w:val="24"/>
          <w:szCs w:val="24"/>
        </w:rPr>
      </w:pPr>
      <w:bookmarkStart w:id="377" w:name="_Toc30459"/>
      <w:bookmarkStart w:id="378" w:name="_Toc21728"/>
      <w:r>
        <w:rPr>
          <w:rFonts w:hint="eastAsia" w:ascii="仿宋" w:hAnsi="仿宋" w:eastAsia="仿宋" w:cs="仿宋"/>
          <w:sz w:val="24"/>
          <w:szCs w:val="24"/>
        </w:rPr>
        <w:t>附件二：问题的澄清</w:t>
      </w:r>
      <w:bookmarkEnd w:id="377"/>
      <w:bookmarkEnd w:id="378"/>
    </w:p>
    <w:p w14:paraId="1C123F88">
      <w:pPr>
        <w:spacing w:line="400" w:lineRule="exact"/>
        <w:jc w:val="center"/>
        <w:rPr>
          <w:rFonts w:ascii="仿宋" w:hAnsi="仿宋" w:eastAsia="仿宋" w:cs="仿宋"/>
          <w:sz w:val="24"/>
          <w:szCs w:val="24"/>
        </w:rPr>
      </w:pPr>
    </w:p>
    <w:p w14:paraId="031BF4AA">
      <w:pPr>
        <w:spacing w:line="400" w:lineRule="exact"/>
        <w:jc w:val="center"/>
        <w:rPr>
          <w:rFonts w:ascii="仿宋" w:hAnsi="仿宋" w:eastAsia="仿宋" w:cs="仿宋"/>
          <w:szCs w:val="21"/>
        </w:rPr>
      </w:pPr>
      <w:r>
        <w:rPr>
          <w:rFonts w:hint="eastAsia" w:ascii="仿宋" w:hAnsi="仿宋" w:eastAsia="仿宋" w:cs="仿宋"/>
          <w:szCs w:val="21"/>
        </w:rPr>
        <w:t>问</w:t>
      </w:r>
      <w:bookmarkEnd w:id="376"/>
      <w:r>
        <w:rPr>
          <w:rFonts w:hint="eastAsia" w:ascii="仿宋" w:hAnsi="仿宋" w:eastAsia="仿宋" w:cs="仿宋"/>
          <w:szCs w:val="21"/>
        </w:rPr>
        <w:t>题</w:t>
      </w:r>
      <w:bookmarkStart w:id="379" w:name="_Toc369531568"/>
      <w:bookmarkStart w:id="380" w:name="_Toc384308263"/>
      <w:bookmarkStart w:id="381" w:name="_Toc300834999"/>
      <w:bookmarkStart w:id="382" w:name="_Toc247527604"/>
      <w:bookmarkStart w:id="383" w:name="_Toc152045579"/>
      <w:bookmarkStart w:id="384" w:name="_Toc247514003"/>
      <w:bookmarkStart w:id="385" w:name="_Toc361508637"/>
      <w:bookmarkStart w:id="386" w:name="_Toc152042356"/>
      <w:bookmarkStart w:id="387" w:name="_Toc352691524"/>
      <w:bookmarkStart w:id="388" w:name="_Toc3622"/>
      <w:r>
        <w:rPr>
          <w:rFonts w:hint="eastAsia" w:ascii="仿宋" w:hAnsi="仿宋" w:eastAsia="仿宋" w:cs="仿宋"/>
          <w:szCs w:val="21"/>
        </w:rPr>
        <w:t>的澄清</w:t>
      </w:r>
    </w:p>
    <w:p w14:paraId="6285D055">
      <w:pPr>
        <w:spacing w:line="400" w:lineRule="exact"/>
        <w:jc w:val="center"/>
        <w:rPr>
          <w:rFonts w:ascii="仿宋" w:hAnsi="仿宋" w:eastAsia="仿宋" w:cs="仿宋"/>
          <w:szCs w:val="21"/>
        </w:rPr>
      </w:pPr>
      <w:r>
        <w:rPr>
          <w:rFonts w:hint="eastAsia" w:ascii="仿宋" w:hAnsi="仿宋" w:eastAsia="仿宋" w:cs="仿宋"/>
          <w:szCs w:val="21"/>
        </w:rPr>
        <w:t>（编号</w:t>
      </w:r>
      <w:bookmarkEnd w:id="375"/>
      <w:bookmarkEnd w:id="379"/>
      <w:bookmarkEnd w:id="380"/>
      <w:bookmarkEnd w:id="381"/>
      <w:bookmarkEnd w:id="382"/>
      <w:bookmarkEnd w:id="383"/>
      <w:bookmarkEnd w:id="384"/>
      <w:bookmarkEnd w:id="385"/>
      <w:bookmarkEnd w:id="386"/>
      <w:bookmarkEnd w:id="387"/>
      <w:bookmarkEnd w:id="388"/>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w:t>
      </w:r>
    </w:p>
    <w:p w14:paraId="42963E06">
      <w:pPr>
        <w:spacing w:line="400" w:lineRule="exact"/>
        <w:rPr>
          <w:rFonts w:ascii="仿宋" w:hAnsi="仿宋" w:eastAsia="仿宋" w:cs="仿宋"/>
          <w:szCs w:val="21"/>
        </w:rPr>
      </w:pPr>
    </w:p>
    <w:p w14:paraId="18D6414D">
      <w:pPr>
        <w:spacing w:line="440" w:lineRule="exact"/>
        <w:rPr>
          <w:rFonts w:ascii="仿宋" w:hAnsi="仿宋" w:eastAsia="仿宋" w:cs="仿宋"/>
          <w:szCs w:val="21"/>
        </w:rPr>
      </w:pPr>
      <w:r>
        <w:rPr>
          <w:rFonts w:hint="eastAsia" w:ascii="仿宋" w:hAnsi="仿宋" w:eastAsia="仿宋" w:cs="仿宋"/>
          <w:szCs w:val="21"/>
        </w:rPr>
        <w:t>评标委员会：</w:t>
      </w:r>
    </w:p>
    <w:p w14:paraId="6E93E7A2">
      <w:pPr>
        <w:spacing w:line="440" w:lineRule="exact"/>
        <w:rPr>
          <w:rFonts w:ascii="仿宋" w:hAnsi="仿宋" w:eastAsia="仿宋" w:cs="仿宋"/>
          <w:szCs w:val="21"/>
        </w:rPr>
      </w:pPr>
    </w:p>
    <w:p w14:paraId="3B2A28B0">
      <w:pPr>
        <w:spacing w:line="440" w:lineRule="exact"/>
        <w:rPr>
          <w:rFonts w:ascii="仿宋" w:hAnsi="仿宋" w:eastAsia="仿宋" w:cs="仿宋"/>
          <w:szCs w:val="21"/>
        </w:rPr>
      </w:pPr>
      <w:r>
        <w:rPr>
          <w:rFonts w:hint="eastAsia" w:ascii="仿宋" w:hAnsi="仿宋" w:eastAsia="仿宋" w:cs="仿宋"/>
          <w:szCs w:val="21"/>
        </w:rPr>
        <w:t>　　问题澄清通知（编号：</w:t>
      </w:r>
      <w:r>
        <w:rPr>
          <w:rFonts w:hint="eastAsia" w:ascii="仿宋" w:hAnsi="仿宋" w:eastAsia="仿宋" w:cs="仿宋"/>
          <w:szCs w:val="21"/>
          <w:u w:val="single"/>
        </w:rPr>
        <w:t xml:space="preserve">      </w:t>
      </w:r>
      <w:r>
        <w:rPr>
          <w:rFonts w:hint="eastAsia" w:ascii="仿宋" w:hAnsi="仿宋" w:eastAsia="仿宋" w:cs="仿宋"/>
          <w:szCs w:val="21"/>
        </w:rPr>
        <w:t>）已收悉，现澄清、说明或补正如下：</w:t>
      </w:r>
    </w:p>
    <w:p w14:paraId="5B67C512">
      <w:pPr>
        <w:spacing w:line="440" w:lineRule="exact"/>
        <w:rPr>
          <w:rFonts w:ascii="仿宋" w:hAnsi="仿宋" w:eastAsia="仿宋" w:cs="仿宋"/>
          <w:szCs w:val="21"/>
        </w:rPr>
      </w:pPr>
      <w:r>
        <w:rPr>
          <w:rFonts w:hint="eastAsia" w:ascii="仿宋" w:hAnsi="仿宋" w:eastAsia="仿宋" w:cs="仿宋"/>
          <w:szCs w:val="21"/>
        </w:rPr>
        <w:t>　     1.</w:t>
      </w:r>
    </w:p>
    <w:p w14:paraId="37003B46">
      <w:pPr>
        <w:spacing w:line="440" w:lineRule="exact"/>
        <w:rPr>
          <w:rFonts w:ascii="仿宋" w:hAnsi="仿宋" w:eastAsia="仿宋" w:cs="仿宋"/>
          <w:szCs w:val="21"/>
        </w:rPr>
      </w:pPr>
      <w:r>
        <w:rPr>
          <w:rFonts w:hint="eastAsia" w:ascii="仿宋" w:hAnsi="仿宋" w:eastAsia="仿宋" w:cs="仿宋"/>
          <w:szCs w:val="21"/>
        </w:rPr>
        <w:t>　     2.</w:t>
      </w:r>
    </w:p>
    <w:p w14:paraId="1EEED050">
      <w:pPr>
        <w:spacing w:line="440" w:lineRule="exact"/>
        <w:rPr>
          <w:rFonts w:ascii="仿宋" w:hAnsi="仿宋" w:eastAsia="仿宋" w:cs="仿宋"/>
          <w:szCs w:val="21"/>
        </w:rPr>
      </w:pPr>
      <w:r>
        <w:rPr>
          <w:rFonts w:hint="eastAsia" w:ascii="仿宋" w:hAnsi="仿宋" w:eastAsia="仿宋" w:cs="仿宋"/>
          <w:szCs w:val="21"/>
        </w:rPr>
        <w:t>　    .....</w:t>
      </w:r>
    </w:p>
    <w:p w14:paraId="4ABA4569">
      <w:pPr>
        <w:spacing w:line="440" w:lineRule="exact"/>
        <w:rPr>
          <w:rFonts w:ascii="仿宋" w:hAnsi="仿宋" w:eastAsia="仿宋" w:cs="仿宋"/>
          <w:szCs w:val="21"/>
        </w:rPr>
      </w:pPr>
      <w:r>
        <w:rPr>
          <w:rFonts w:hint="eastAsia" w:ascii="仿宋" w:hAnsi="仿宋" w:eastAsia="仿宋" w:cs="仿宋"/>
          <w:szCs w:val="21"/>
        </w:rPr>
        <w:t>　</w:t>
      </w:r>
    </w:p>
    <w:p w14:paraId="67059765">
      <w:pPr>
        <w:spacing w:line="440" w:lineRule="exact"/>
        <w:ind w:firstLine="420" w:firstLineChars="200"/>
        <w:rPr>
          <w:rFonts w:ascii="仿宋" w:hAnsi="仿宋" w:eastAsia="仿宋" w:cs="仿宋"/>
          <w:szCs w:val="21"/>
        </w:rPr>
      </w:pPr>
      <w:r>
        <w:rPr>
          <w:rFonts w:hint="eastAsia" w:ascii="仿宋" w:hAnsi="仿宋" w:eastAsia="仿宋" w:cs="仿宋"/>
          <w:szCs w:val="21"/>
        </w:rPr>
        <w:t>上述问题澄清、说明或补正，不改变我方投标文件的实质性内容，构成我方投标文件的组成部分。</w:t>
      </w:r>
    </w:p>
    <w:p w14:paraId="5C8DFE1E">
      <w:pPr>
        <w:spacing w:line="440" w:lineRule="exact"/>
        <w:rPr>
          <w:rFonts w:ascii="仿宋" w:hAnsi="仿宋" w:eastAsia="仿宋" w:cs="仿宋"/>
          <w:szCs w:val="21"/>
        </w:rPr>
      </w:pPr>
    </w:p>
    <w:p w14:paraId="4E5AAB7A">
      <w:pPr>
        <w:spacing w:line="440" w:lineRule="exact"/>
        <w:rPr>
          <w:rFonts w:ascii="仿宋" w:hAnsi="仿宋" w:eastAsia="仿宋" w:cs="仿宋"/>
          <w:szCs w:val="21"/>
        </w:rPr>
      </w:pPr>
    </w:p>
    <w:p w14:paraId="0771345A">
      <w:pPr>
        <w:spacing w:line="480" w:lineRule="auto"/>
        <w:rPr>
          <w:rFonts w:ascii="仿宋" w:hAnsi="仿宋" w:eastAsia="仿宋" w:cs="仿宋"/>
          <w:szCs w:val="21"/>
        </w:rPr>
      </w:pPr>
      <w:r>
        <w:rPr>
          <w:rFonts w:hint="eastAsia" w:ascii="仿宋" w:hAnsi="仿宋" w:eastAsia="仿宋" w:cs="仿宋"/>
          <w:szCs w:val="21"/>
        </w:rPr>
        <w:t>投标人：</w:t>
      </w:r>
      <w:r>
        <w:rPr>
          <w:rFonts w:hint="eastAsia" w:ascii="仿宋" w:hAnsi="仿宋" w:eastAsia="仿宋" w:cs="仿宋"/>
          <w:szCs w:val="21"/>
          <w:u w:val="single"/>
        </w:rPr>
        <w:t xml:space="preserve">              </w:t>
      </w:r>
      <w:r>
        <w:rPr>
          <w:rFonts w:hint="eastAsia" w:ascii="仿宋" w:hAnsi="仿宋" w:eastAsia="仿宋" w:cs="仿宋"/>
          <w:szCs w:val="21"/>
        </w:rPr>
        <w:t>（盖单位章）</w:t>
      </w:r>
    </w:p>
    <w:p w14:paraId="1CF209AF">
      <w:pPr>
        <w:spacing w:line="480" w:lineRule="auto"/>
        <w:rPr>
          <w:rFonts w:ascii="仿宋" w:hAnsi="仿宋" w:eastAsia="仿宋" w:cs="仿宋"/>
          <w:szCs w:val="21"/>
        </w:rPr>
      </w:pPr>
      <w:r>
        <w:rPr>
          <w:rFonts w:hint="eastAsia" w:ascii="仿宋" w:hAnsi="仿宋" w:eastAsia="仿宋" w:cs="仿宋"/>
          <w:szCs w:val="21"/>
        </w:rPr>
        <w:t>法定代表人或其委托代理人：</w:t>
      </w:r>
      <w:r>
        <w:rPr>
          <w:rFonts w:hint="eastAsia" w:ascii="仿宋" w:hAnsi="仿宋" w:eastAsia="仿宋" w:cs="仿宋"/>
          <w:szCs w:val="21"/>
          <w:u w:val="single"/>
        </w:rPr>
        <w:t xml:space="preserve">        </w:t>
      </w:r>
      <w:r>
        <w:rPr>
          <w:rFonts w:hint="eastAsia" w:ascii="仿宋" w:hAnsi="仿宋" w:eastAsia="仿宋" w:cs="仿宋"/>
          <w:szCs w:val="21"/>
        </w:rPr>
        <w:t>（签字）</w:t>
      </w:r>
    </w:p>
    <w:p w14:paraId="0C6A3FC4">
      <w:pPr>
        <w:spacing w:line="480" w:lineRule="auto"/>
        <w:rPr>
          <w:rFonts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年</w:t>
      </w:r>
      <w:bookmarkStart w:id="389" w:name="_Toc247514005"/>
      <w:bookmarkStart w:id="390" w:name="_Toc352691527"/>
      <w:bookmarkStart w:id="391" w:name="_Toc247527606"/>
      <w:bookmarkStart w:id="392" w:name="_Toc15139"/>
      <w:bookmarkStart w:id="393" w:name="_Toc300835002"/>
      <w:bookmarkStart w:id="394" w:name="_Toc152042358"/>
      <w:bookmarkStart w:id="395" w:name="_Toc361508640"/>
      <w:bookmarkStart w:id="396" w:name="_Toc384308266"/>
      <w:bookmarkStart w:id="397" w:name="_Toc152045581"/>
      <w:bookmarkStart w:id="398" w:name="_Toc369531571"/>
      <w:bookmarkStart w:id="399" w:name="_Toc144974548"/>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bookmarkEnd w:id="389"/>
    <w:bookmarkEnd w:id="390"/>
    <w:bookmarkEnd w:id="391"/>
    <w:bookmarkEnd w:id="392"/>
    <w:bookmarkEnd w:id="393"/>
    <w:bookmarkEnd w:id="394"/>
    <w:bookmarkEnd w:id="395"/>
    <w:bookmarkEnd w:id="396"/>
    <w:bookmarkEnd w:id="397"/>
    <w:bookmarkEnd w:id="398"/>
    <w:bookmarkEnd w:id="399"/>
    <w:p w14:paraId="631CF6BA">
      <w:pPr>
        <w:spacing w:line="400" w:lineRule="exact"/>
        <w:rPr>
          <w:rFonts w:ascii="仿宋" w:hAnsi="仿宋" w:eastAsia="仿宋" w:cs="仿宋"/>
          <w:sz w:val="24"/>
          <w:szCs w:val="24"/>
        </w:rPr>
      </w:pPr>
    </w:p>
    <w:p w14:paraId="69322412">
      <w:pPr>
        <w:spacing w:line="400" w:lineRule="exact"/>
        <w:rPr>
          <w:rFonts w:ascii="仿宋" w:hAnsi="仿宋" w:eastAsia="仿宋" w:cs="仿宋"/>
          <w:sz w:val="24"/>
          <w:szCs w:val="24"/>
        </w:rPr>
      </w:pPr>
      <w:r>
        <w:rPr>
          <w:rFonts w:hint="eastAsia" w:ascii="仿宋" w:hAnsi="仿宋" w:eastAsia="仿宋" w:cs="仿宋"/>
          <w:sz w:val="24"/>
          <w:szCs w:val="24"/>
        </w:rPr>
        <w:br w:type="page"/>
      </w:r>
    </w:p>
    <w:p w14:paraId="439EB2F6">
      <w:pPr>
        <w:pStyle w:val="4"/>
        <w:ind w:firstLine="120"/>
        <w:rPr>
          <w:rFonts w:ascii="仿宋" w:hAnsi="仿宋" w:eastAsia="仿宋" w:cs="仿宋"/>
          <w:sz w:val="24"/>
          <w:szCs w:val="24"/>
        </w:rPr>
      </w:pPr>
      <w:bookmarkStart w:id="400" w:name="_Toc15219"/>
      <w:bookmarkStart w:id="401" w:name="_Toc21153"/>
      <w:r>
        <w:rPr>
          <w:rFonts w:hint="eastAsia" w:ascii="仿宋" w:hAnsi="仿宋" w:eastAsia="仿宋" w:cs="仿宋"/>
          <w:sz w:val="24"/>
          <w:szCs w:val="24"/>
        </w:rPr>
        <w:t>附表三：异议函</w:t>
      </w:r>
      <w:bookmarkEnd w:id="400"/>
      <w:bookmarkEnd w:id="401"/>
    </w:p>
    <w:p w14:paraId="3A445AD7">
      <w:pPr>
        <w:spacing w:line="400" w:lineRule="exact"/>
        <w:rPr>
          <w:rFonts w:ascii="仿宋" w:hAnsi="仿宋" w:eastAsia="仿宋" w:cs="仿宋"/>
          <w:sz w:val="24"/>
          <w:szCs w:val="24"/>
        </w:rPr>
      </w:pPr>
    </w:p>
    <w:p w14:paraId="6B5DAAEB">
      <w:pPr>
        <w:spacing w:after="240" w:afterLines="100" w:line="400" w:lineRule="exact"/>
        <w:jc w:val="center"/>
        <w:rPr>
          <w:rFonts w:ascii="仿宋" w:hAnsi="仿宋" w:eastAsia="仿宋" w:cs="仿宋"/>
          <w:b/>
          <w:bCs/>
          <w:szCs w:val="21"/>
        </w:rPr>
      </w:pPr>
      <w:bookmarkStart w:id="402" w:name="_Toc21660"/>
      <w:bookmarkStart w:id="403" w:name="_Toc8876"/>
      <w:bookmarkStart w:id="404" w:name="_Toc185327315"/>
      <w:r>
        <w:rPr>
          <w:rFonts w:hint="eastAsia" w:ascii="仿宋" w:hAnsi="仿宋" w:eastAsia="仿宋" w:cs="仿宋"/>
          <w:b/>
          <w:bCs/>
          <w:szCs w:val="21"/>
        </w:rPr>
        <w:t>异议函</w:t>
      </w:r>
    </w:p>
    <w:p w14:paraId="0372D7C9">
      <w:pPr>
        <w:spacing w:line="360" w:lineRule="auto"/>
        <w:ind w:left="420" w:leftChars="200"/>
        <w:jc w:val="left"/>
        <w:rPr>
          <w:rFonts w:ascii="仿宋" w:hAnsi="仿宋" w:eastAsia="仿宋" w:cs="仿宋"/>
          <w:b/>
          <w:szCs w:val="21"/>
        </w:rPr>
      </w:pPr>
      <w:r>
        <w:rPr>
          <w:rFonts w:hint="eastAsia" w:ascii="仿宋" w:hAnsi="仿宋" w:eastAsia="仿宋" w:cs="仿宋"/>
          <w:b/>
          <w:szCs w:val="21"/>
        </w:rPr>
        <w:t>一、异议提出人基本信息</w:t>
      </w:r>
    </w:p>
    <w:p w14:paraId="67CCE866">
      <w:pPr>
        <w:spacing w:line="360" w:lineRule="auto"/>
        <w:ind w:left="420" w:leftChars="200"/>
        <w:jc w:val="left"/>
        <w:rPr>
          <w:rFonts w:ascii="仿宋" w:hAnsi="仿宋" w:eastAsia="仿宋" w:cs="仿宋"/>
          <w:szCs w:val="21"/>
          <w:u w:val="single"/>
        </w:rPr>
      </w:pPr>
      <w:r>
        <w:rPr>
          <w:rFonts w:hint="eastAsia" w:ascii="仿宋" w:hAnsi="仿宋" w:eastAsia="仿宋" w:cs="仿宋"/>
          <w:szCs w:val="21"/>
        </w:rPr>
        <w:t>异议提出人：</w:t>
      </w:r>
      <w:r>
        <w:rPr>
          <w:rFonts w:hint="eastAsia" w:ascii="仿宋" w:hAnsi="仿宋" w:eastAsia="仿宋" w:cs="仿宋"/>
          <w:szCs w:val="21"/>
          <w:u w:val="single"/>
        </w:rPr>
        <w:t xml:space="preserve">                                                       </w:t>
      </w:r>
    </w:p>
    <w:p w14:paraId="3AFC7B9A">
      <w:pPr>
        <w:spacing w:line="360" w:lineRule="auto"/>
        <w:ind w:left="420" w:leftChars="200"/>
        <w:jc w:val="left"/>
        <w:rPr>
          <w:rFonts w:ascii="仿宋" w:hAnsi="仿宋" w:eastAsia="仿宋" w:cs="仿宋"/>
          <w:szCs w:val="21"/>
          <w:u w:val="single"/>
        </w:rPr>
      </w:pPr>
      <w:r>
        <w:rPr>
          <w:rFonts w:hint="eastAsia" w:ascii="仿宋" w:hAnsi="仿宋" w:eastAsia="仿宋" w:cs="仿宋"/>
          <w:szCs w:val="21"/>
        </w:rPr>
        <w:t>地址：</w:t>
      </w:r>
      <w:r>
        <w:rPr>
          <w:rFonts w:hint="eastAsia" w:ascii="仿宋" w:hAnsi="仿宋" w:eastAsia="仿宋" w:cs="仿宋"/>
          <w:szCs w:val="21"/>
          <w:u w:val="single"/>
        </w:rPr>
        <w:t xml:space="preserve">                               </w:t>
      </w:r>
      <w:r>
        <w:rPr>
          <w:rFonts w:hint="eastAsia" w:ascii="仿宋" w:hAnsi="仿宋" w:eastAsia="仿宋" w:cs="仿宋"/>
          <w:szCs w:val="21"/>
        </w:rPr>
        <w:t>邮编：</w:t>
      </w:r>
      <w:r>
        <w:rPr>
          <w:rFonts w:hint="eastAsia" w:ascii="仿宋" w:hAnsi="仿宋" w:eastAsia="仿宋" w:cs="仿宋"/>
          <w:szCs w:val="21"/>
          <w:u w:val="single"/>
        </w:rPr>
        <w:t xml:space="preserve">                        </w:t>
      </w:r>
    </w:p>
    <w:p w14:paraId="031EA807">
      <w:pPr>
        <w:spacing w:line="360" w:lineRule="auto"/>
        <w:ind w:left="420" w:leftChars="200"/>
        <w:jc w:val="left"/>
        <w:rPr>
          <w:rFonts w:ascii="仿宋" w:hAnsi="仿宋" w:eastAsia="仿宋" w:cs="仿宋"/>
          <w:szCs w:val="21"/>
          <w:u w:val="single"/>
        </w:rPr>
      </w:pPr>
      <w:r>
        <w:rPr>
          <w:rFonts w:hint="eastAsia" w:ascii="仿宋" w:hAnsi="仿宋" w:eastAsia="仿宋" w:cs="仿宋"/>
          <w:szCs w:val="21"/>
        </w:rPr>
        <w:t>联系人：</w:t>
      </w:r>
      <w:r>
        <w:rPr>
          <w:rFonts w:hint="eastAsia" w:ascii="仿宋" w:hAnsi="仿宋" w:eastAsia="仿宋" w:cs="仿宋"/>
          <w:szCs w:val="21"/>
          <w:u w:val="single"/>
        </w:rPr>
        <w:t xml:space="preserve">                             </w:t>
      </w:r>
      <w:r>
        <w:rPr>
          <w:rFonts w:hint="eastAsia" w:ascii="仿宋" w:hAnsi="仿宋" w:eastAsia="仿宋" w:cs="仿宋"/>
          <w:szCs w:val="21"/>
        </w:rPr>
        <w:t>联系电话：</w:t>
      </w:r>
      <w:r>
        <w:rPr>
          <w:rFonts w:hint="eastAsia" w:ascii="仿宋" w:hAnsi="仿宋" w:eastAsia="仿宋" w:cs="仿宋"/>
          <w:szCs w:val="21"/>
          <w:u w:val="single"/>
        </w:rPr>
        <w:t xml:space="preserve">                    </w:t>
      </w:r>
    </w:p>
    <w:p w14:paraId="4A20C94B">
      <w:pPr>
        <w:spacing w:line="360" w:lineRule="auto"/>
        <w:ind w:left="420" w:leftChars="200"/>
        <w:jc w:val="left"/>
        <w:rPr>
          <w:rFonts w:ascii="仿宋" w:hAnsi="仿宋" w:eastAsia="仿宋" w:cs="仿宋"/>
          <w:szCs w:val="21"/>
          <w:u w:val="single"/>
        </w:rPr>
      </w:pPr>
      <w:r>
        <w:rPr>
          <w:rFonts w:hint="eastAsia" w:ascii="仿宋" w:hAnsi="仿宋" w:eastAsia="仿宋" w:cs="仿宋"/>
          <w:szCs w:val="21"/>
        </w:rPr>
        <w:t>授权代理人：</w:t>
      </w:r>
      <w:r>
        <w:rPr>
          <w:rFonts w:hint="eastAsia" w:ascii="仿宋" w:hAnsi="仿宋" w:eastAsia="仿宋" w:cs="仿宋"/>
          <w:szCs w:val="21"/>
          <w:u w:val="single"/>
        </w:rPr>
        <w:t xml:space="preserve">                         </w:t>
      </w:r>
      <w:r>
        <w:rPr>
          <w:rFonts w:hint="eastAsia" w:ascii="仿宋" w:hAnsi="仿宋" w:eastAsia="仿宋" w:cs="仿宋"/>
          <w:szCs w:val="21"/>
        </w:rPr>
        <w:t>联系电话：</w:t>
      </w:r>
      <w:r>
        <w:rPr>
          <w:rFonts w:hint="eastAsia" w:ascii="仿宋" w:hAnsi="仿宋" w:eastAsia="仿宋" w:cs="仿宋"/>
          <w:szCs w:val="21"/>
          <w:u w:val="single"/>
        </w:rPr>
        <w:t xml:space="preserve">                    </w:t>
      </w:r>
    </w:p>
    <w:p w14:paraId="66D7174A">
      <w:pPr>
        <w:spacing w:line="360" w:lineRule="auto"/>
        <w:ind w:left="420" w:leftChars="200"/>
        <w:jc w:val="left"/>
        <w:rPr>
          <w:rFonts w:ascii="仿宋" w:hAnsi="仿宋" w:eastAsia="仿宋" w:cs="仿宋"/>
          <w:szCs w:val="21"/>
        </w:rPr>
      </w:pPr>
      <w:r>
        <w:rPr>
          <w:rFonts w:hint="eastAsia" w:ascii="仿宋" w:hAnsi="仿宋" w:eastAsia="仿宋" w:cs="仿宋"/>
          <w:szCs w:val="21"/>
        </w:rPr>
        <w:t>地址：</w:t>
      </w:r>
      <w:r>
        <w:rPr>
          <w:rFonts w:hint="eastAsia" w:ascii="仿宋" w:hAnsi="仿宋" w:eastAsia="仿宋" w:cs="仿宋"/>
          <w:szCs w:val="21"/>
          <w:u w:val="single"/>
        </w:rPr>
        <w:t xml:space="preserve">                               </w:t>
      </w:r>
      <w:r>
        <w:rPr>
          <w:rFonts w:hint="eastAsia" w:ascii="仿宋" w:hAnsi="仿宋" w:eastAsia="仿宋" w:cs="仿宋"/>
          <w:szCs w:val="21"/>
        </w:rPr>
        <w:t>邮编：</w:t>
      </w:r>
      <w:r>
        <w:rPr>
          <w:rFonts w:hint="eastAsia" w:ascii="仿宋" w:hAnsi="仿宋" w:eastAsia="仿宋" w:cs="仿宋"/>
          <w:szCs w:val="21"/>
          <w:u w:val="single"/>
        </w:rPr>
        <w:t xml:space="preserve">                        </w:t>
      </w:r>
    </w:p>
    <w:p w14:paraId="64A568F1">
      <w:pPr>
        <w:spacing w:line="360" w:lineRule="auto"/>
        <w:ind w:left="420" w:leftChars="200"/>
        <w:jc w:val="left"/>
        <w:rPr>
          <w:rFonts w:ascii="仿宋" w:hAnsi="仿宋" w:eastAsia="仿宋" w:cs="仿宋"/>
          <w:b/>
          <w:szCs w:val="21"/>
        </w:rPr>
      </w:pPr>
      <w:r>
        <w:rPr>
          <w:rFonts w:hint="eastAsia" w:ascii="仿宋" w:hAnsi="仿宋" w:eastAsia="仿宋" w:cs="仿宋"/>
          <w:b/>
          <w:szCs w:val="21"/>
        </w:rPr>
        <w:t>二、异议项目基本情况</w:t>
      </w:r>
    </w:p>
    <w:p w14:paraId="38B7D771">
      <w:pPr>
        <w:spacing w:line="360" w:lineRule="auto"/>
        <w:ind w:left="420" w:leftChars="200"/>
        <w:jc w:val="left"/>
        <w:rPr>
          <w:rFonts w:ascii="仿宋" w:hAnsi="仿宋" w:eastAsia="仿宋" w:cs="仿宋"/>
          <w:szCs w:val="21"/>
          <w:u w:val="single"/>
        </w:rPr>
      </w:pPr>
      <w:r>
        <w:rPr>
          <w:rFonts w:hint="eastAsia" w:ascii="仿宋" w:hAnsi="仿宋" w:eastAsia="仿宋" w:cs="仿宋"/>
          <w:szCs w:val="21"/>
        </w:rPr>
        <w:t>异议项目的名称：</w:t>
      </w:r>
      <w:r>
        <w:rPr>
          <w:rFonts w:hint="eastAsia" w:ascii="仿宋" w:hAnsi="仿宋" w:eastAsia="仿宋" w:cs="仿宋"/>
          <w:szCs w:val="21"/>
          <w:u w:val="single"/>
        </w:rPr>
        <w:t xml:space="preserve">                                                   </w:t>
      </w:r>
    </w:p>
    <w:p w14:paraId="7FD0E77C">
      <w:pPr>
        <w:spacing w:line="360" w:lineRule="auto"/>
        <w:ind w:left="420" w:leftChars="200"/>
        <w:jc w:val="left"/>
        <w:rPr>
          <w:rFonts w:ascii="仿宋" w:hAnsi="仿宋" w:eastAsia="仿宋" w:cs="仿宋"/>
          <w:szCs w:val="21"/>
          <w:u w:val="single"/>
        </w:rPr>
      </w:pPr>
      <w:r>
        <w:rPr>
          <w:rFonts w:hint="eastAsia" w:ascii="仿宋" w:hAnsi="仿宋" w:eastAsia="仿宋" w:cs="仿宋"/>
          <w:szCs w:val="21"/>
        </w:rPr>
        <w:t>异议项目的编号：</w:t>
      </w:r>
      <w:r>
        <w:rPr>
          <w:rFonts w:hint="eastAsia" w:ascii="仿宋" w:hAnsi="仿宋" w:eastAsia="仿宋" w:cs="仿宋"/>
          <w:szCs w:val="21"/>
          <w:u w:val="single"/>
        </w:rPr>
        <w:t xml:space="preserve">                     </w:t>
      </w:r>
      <w:r>
        <w:rPr>
          <w:rFonts w:hint="eastAsia" w:ascii="仿宋" w:hAnsi="仿宋" w:eastAsia="仿宋" w:cs="仿宋"/>
          <w:szCs w:val="21"/>
        </w:rPr>
        <w:t>标段：</w:t>
      </w:r>
      <w:r>
        <w:rPr>
          <w:rFonts w:hint="eastAsia" w:ascii="仿宋" w:hAnsi="仿宋" w:eastAsia="仿宋" w:cs="仿宋"/>
          <w:szCs w:val="21"/>
          <w:u w:val="single"/>
        </w:rPr>
        <w:t xml:space="preserve">                        </w:t>
      </w:r>
    </w:p>
    <w:p w14:paraId="0C4D6D4C">
      <w:pPr>
        <w:spacing w:line="360" w:lineRule="auto"/>
        <w:ind w:left="420" w:leftChars="200"/>
        <w:jc w:val="left"/>
        <w:rPr>
          <w:rFonts w:ascii="仿宋" w:hAnsi="仿宋" w:eastAsia="仿宋" w:cs="仿宋"/>
          <w:szCs w:val="21"/>
          <w:u w:val="single"/>
        </w:rPr>
      </w:pPr>
      <w:r>
        <w:rPr>
          <w:rFonts w:hint="eastAsia" w:ascii="仿宋" w:hAnsi="仿宋" w:eastAsia="仿宋" w:cs="仿宋"/>
          <w:szCs w:val="21"/>
        </w:rPr>
        <w:t>招标人名称：</w:t>
      </w:r>
      <w:r>
        <w:rPr>
          <w:rFonts w:hint="eastAsia" w:ascii="仿宋" w:hAnsi="仿宋" w:eastAsia="仿宋" w:cs="仿宋"/>
          <w:szCs w:val="21"/>
          <w:u w:val="single"/>
        </w:rPr>
        <w:t xml:space="preserve">                                                       </w:t>
      </w:r>
    </w:p>
    <w:p w14:paraId="1166A9CB">
      <w:pPr>
        <w:spacing w:line="360" w:lineRule="auto"/>
        <w:ind w:left="420" w:leftChars="200"/>
        <w:jc w:val="left"/>
        <w:rPr>
          <w:rFonts w:ascii="仿宋" w:hAnsi="仿宋" w:eastAsia="仿宋" w:cs="仿宋"/>
          <w:szCs w:val="21"/>
          <w:u w:val="single"/>
        </w:rPr>
      </w:pPr>
      <w:r>
        <w:rPr>
          <w:rFonts w:hint="eastAsia" w:ascii="仿宋" w:hAnsi="仿宋" w:eastAsia="仿宋" w:cs="仿宋"/>
          <w:szCs w:val="21"/>
        </w:rPr>
        <w:t>招标文件获取日期：</w:t>
      </w:r>
      <w:r>
        <w:rPr>
          <w:rFonts w:hint="eastAsia" w:ascii="仿宋" w:hAnsi="仿宋" w:eastAsia="仿宋" w:cs="仿宋"/>
          <w:szCs w:val="21"/>
          <w:u w:val="single"/>
        </w:rPr>
        <w:t xml:space="preserve">                                                 </w:t>
      </w:r>
    </w:p>
    <w:p w14:paraId="2A8C9887">
      <w:pPr>
        <w:spacing w:line="360" w:lineRule="auto"/>
        <w:ind w:left="420" w:leftChars="200"/>
        <w:jc w:val="left"/>
        <w:rPr>
          <w:rFonts w:ascii="仿宋" w:hAnsi="仿宋" w:eastAsia="仿宋" w:cs="仿宋"/>
          <w:b/>
          <w:szCs w:val="21"/>
        </w:rPr>
      </w:pPr>
      <w:r>
        <w:rPr>
          <w:rFonts w:hint="eastAsia" w:ascii="仿宋" w:hAnsi="仿宋" w:eastAsia="仿宋" w:cs="仿宋"/>
          <w:b/>
          <w:szCs w:val="21"/>
        </w:rPr>
        <w:t>三、异议事项基本事实</w:t>
      </w:r>
    </w:p>
    <w:p w14:paraId="6EC44D54">
      <w:pPr>
        <w:spacing w:line="360" w:lineRule="auto"/>
        <w:ind w:left="420" w:leftChars="200"/>
        <w:jc w:val="left"/>
        <w:rPr>
          <w:rFonts w:ascii="仿宋" w:hAnsi="仿宋" w:eastAsia="仿宋" w:cs="仿宋"/>
          <w:szCs w:val="21"/>
          <w:u w:val="single"/>
        </w:rPr>
      </w:pPr>
      <w:r>
        <w:rPr>
          <w:rFonts w:hint="eastAsia" w:ascii="仿宋" w:hAnsi="仿宋" w:eastAsia="仿宋" w:cs="仿宋"/>
          <w:szCs w:val="21"/>
        </w:rPr>
        <w:t>异议事项1：</w:t>
      </w:r>
      <w:r>
        <w:rPr>
          <w:rFonts w:hint="eastAsia" w:ascii="仿宋" w:hAnsi="仿宋" w:eastAsia="仿宋" w:cs="仿宋"/>
          <w:szCs w:val="21"/>
          <w:u w:val="single"/>
        </w:rPr>
        <w:t xml:space="preserve">                                                       </w:t>
      </w:r>
    </w:p>
    <w:p w14:paraId="7BD78AFE">
      <w:pPr>
        <w:pStyle w:val="40"/>
        <w:ind w:left="420" w:leftChars="200"/>
        <w:rPr>
          <w:rFonts w:ascii="仿宋" w:hAnsi="仿宋" w:eastAsia="仿宋" w:cs="仿宋"/>
          <w:color w:val="auto"/>
          <w:kern w:val="2"/>
          <w:sz w:val="21"/>
          <w:szCs w:val="21"/>
          <w:u w:val="single"/>
        </w:rPr>
      </w:pPr>
      <w:r>
        <w:rPr>
          <w:rFonts w:hint="eastAsia" w:ascii="仿宋" w:hAnsi="仿宋" w:eastAsia="仿宋" w:cs="仿宋"/>
          <w:sz w:val="21"/>
          <w:szCs w:val="21"/>
        </w:rPr>
        <w:t xml:space="preserve"> </w:t>
      </w:r>
      <w:r>
        <w:rPr>
          <w:rFonts w:hint="eastAsia" w:ascii="仿宋" w:hAnsi="仿宋" w:eastAsia="仿宋" w:cs="仿宋"/>
          <w:color w:val="auto"/>
          <w:kern w:val="2"/>
          <w:sz w:val="21"/>
          <w:szCs w:val="21"/>
          <w:u w:val="single"/>
        </w:rPr>
        <w:t xml:space="preserve">                                                                  </w:t>
      </w:r>
    </w:p>
    <w:p w14:paraId="16FC3FAA">
      <w:pPr>
        <w:pStyle w:val="41"/>
        <w:ind w:left="420" w:leftChars="200"/>
        <w:rPr>
          <w:rFonts w:ascii="仿宋" w:hAnsi="仿宋" w:eastAsia="仿宋" w:cs="仿宋"/>
          <w:szCs w:val="21"/>
          <w:u w:val="single"/>
        </w:rPr>
      </w:pPr>
      <w:r>
        <w:rPr>
          <w:rFonts w:hint="eastAsia" w:ascii="仿宋" w:hAnsi="仿宋" w:eastAsia="仿宋" w:cs="仿宋"/>
          <w:szCs w:val="21"/>
          <w:u w:val="single"/>
        </w:rPr>
        <w:t xml:space="preserve">                                                                           </w:t>
      </w:r>
    </w:p>
    <w:p w14:paraId="66232D4E">
      <w:pPr>
        <w:spacing w:line="360" w:lineRule="auto"/>
        <w:ind w:left="420" w:leftChars="200"/>
        <w:jc w:val="left"/>
        <w:rPr>
          <w:rFonts w:ascii="仿宋" w:hAnsi="仿宋" w:eastAsia="仿宋" w:cs="仿宋"/>
          <w:szCs w:val="21"/>
          <w:u w:val="single"/>
        </w:rPr>
      </w:pPr>
      <w:r>
        <w:rPr>
          <w:rFonts w:hint="eastAsia" w:ascii="仿宋" w:hAnsi="仿宋" w:eastAsia="仿宋" w:cs="仿宋"/>
          <w:szCs w:val="21"/>
        </w:rPr>
        <w:t>相关证明材料：</w:t>
      </w:r>
      <w:r>
        <w:rPr>
          <w:rFonts w:hint="eastAsia" w:ascii="仿宋" w:hAnsi="仿宋" w:eastAsia="仿宋" w:cs="仿宋"/>
          <w:szCs w:val="21"/>
          <w:u w:val="single"/>
        </w:rPr>
        <w:t xml:space="preserve">                                                    </w:t>
      </w:r>
    </w:p>
    <w:p w14:paraId="6E8DED4A">
      <w:pPr>
        <w:spacing w:line="360" w:lineRule="auto"/>
        <w:ind w:left="420" w:leftChars="200"/>
        <w:jc w:val="left"/>
        <w:rPr>
          <w:rFonts w:ascii="仿宋" w:hAnsi="仿宋" w:eastAsia="仿宋" w:cs="仿宋"/>
          <w:szCs w:val="21"/>
          <w:u w:val="single"/>
        </w:rPr>
      </w:pPr>
      <w:r>
        <w:rPr>
          <w:rFonts w:hint="eastAsia" w:ascii="仿宋" w:hAnsi="仿宋" w:eastAsia="仿宋" w:cs="仿宋"/>
          <w:szCs w:val="21"/>
        </w:rPr>
        <w:t>异议事项1：</w:t>
      </w:r>
      <w:r>
        <w:rPr>
          <w:rFonts w:hint="eastAsia" w:ascii="仿宋" w:hAnsi="仿宋" w:eastAsia="仿宋" w:cs="仿宋"/>
          <w:szCs w:val="21"/>
          <w:u w:val="single"/>
        </w:rPr>
        <w:t xml:space="preserve">                                                      </w:t>
      </w:r>
    </w:p>
    <w:p w14:paraId="55D5158F">
      <w:pPr>
        <w:pStyle w:val="40"/>
        <w:ind w:left="420" w:leftChars="200"/>
        <w:rPr>
          <w:rFonts w:ascii="仿宋" w:hAnsi="仿宋" w:eastAsia="仿宋" w:cs="仿宋"/>
          <w:sz w:val="21"/>
          <w:szCs w:val="21"/>
          <w:u w:val="single"/>
        </w:rPr>
      </w:pPr>
      <w:r>
        <w:rPr>
          <w:rFonts w:hint="eastAsia" w:ascii="仿宋" w:hAnsi="仿宋" w:eastAsia="仿宋" w:cs="仿宋"/>
          <w:sz w:val="21"/>
          <w:szCs w:val="21"/>
          <w:u w:val="single"/>
        </w:rPr>
        <w:t xml:space="preserve">                                                                 </w:t>
      </w:r>
    </w:p>
    <w:p w14:paraId="6AA8FB85">
      <w:pPr>
        <w:pStyle w:val="41"/>
        <w:ind w:left="420" w:leftChars="200"/>
        <w:rPr>
          <w:rFonts w:ascii="仿宋" w:hAnsi="仿宋" w:eastAsia="仿宋" w:cs="仿宋"/>
          <w:szCs w:val="21"/>
        </w:rPr>
      </w:pPr>
      <w:r>
        <w:rPr>
          <w:rFonts w:hint="eastAsia" w:ascii="仿宋" w:hAnsi="仿宋" w:eastAsia="仿宋" w:cs="仿宋"/>
          <w:szCs w:val="21"/>
          <w:u w:val="single"/>
        </w:rPr>
        <w:t xml:space="preserve">                                                                           </w:t>
      </w:r>
    </w:p>
    <w:p w14:paraId="6FC5FEB8">
      <w:pPr>
        <w:spacing w:line="360" w:lineRule="auto"/>
        <w:ind w:left="420" w:leftChars="200"/>
        <w:jc w:val="left"/>
        <w:rPr>
          <w:rFonts w:ascii="仿宋" w:hAnsi="仿宋" w:eastAsia="仿宋" w:cs="仿宋"/>
          <w:szCs w:val="21"/>
          <w:u w:val="single"/>
        </w:rPr>
      </w:pPr>
      <w:r>
        <w:rPr>
          <w:rFonts w:hint="eastAsia" w:ascii="仿宋" w:hAnsi="仿宋" w:eastAsia="仿宋" w:cs="仿宋"/>
          <w:szCs w:val="21"/>
        </w:rPr>
        <w:t>相关证明材料：</w:t>
      </w:r>
      <w:r>
        <w:rPr>
          <w:rFonts w:hint="eastAsia" w:ascii="仿宋" w:hAnsi="仿宋" w:eastAsia="仿宋" w:cs="仿宋"/>
          <w:szCs w:val="21"/>
          <w:u w:val="single"/>
        </w:rPr>
        <w:t xml:space="preserve">                                                    </w:t>
      </w:r>
    </w:p>
    <w:p w14:paraId="19C9DE25">
      <w:pPr>
        <w:pStyle w:val="40"/>
        <w:spacing w:line="360" w:lineRule="auto"/>
        <w:ind w:left="420" w:leftChars="200"/>
        <w:rPr>
          <w:rFonts w:ascii="仿宋" w:hAnsi="仿宋" w:eastAsia="仿宋" w:cs="仿宋"/>
          <w:b/>
          <w:sz w:val="21"/>
          <w:szCs w:val="21"/>
        </w:rPr>
      </w:pPr>
      <w:r>
        <w:rPr>
          <w:rFonts w:hint="eastAsia" w:ascii="仿宋" w:hAnsi="仿宋" w:eastAsia="仿宋" w:cs="仿宋"/>
          <w:b/>
          <w:sz w:val="21"/>
          <w:szCs w:val="21"/>
        </w:rPr>
        <w:t>四、与异议事项相关的请求及主张</w:t>
      </w:r>
    </w:p>
    <w:p w14:paraId="705BEA4F">
      <w:pPr>
        <w:pStyle w:val="41"/>
        <w:spacing w:line="360" w:lineRule="auto"/>
        <w:ind w:left="420" w:leftChars="200"/>
        <w:rPr>
          <w:rFonts w:ascii="仿宋" w:hAnsi="仿宋" w:eastAsia="仿宋" w:cs="仿宋"/>
          <w:szCs w:val="21"/>
          <w:u w:val="single"/>
        </w:rPr>
      </w:pPr>
      <w:r>
        <w:rPr>
          <w:rFonts w:hint="eastAsia" w:ascii="仿宋" w:hAnsi="仿宋" w:eastAsia="仿宋" w:cs="仿宋"/>
          <w:szCs w:val="21"/>
        </w:rPr>
        <w:t>请求及主张：</w:t>
      </w:r>
      <w:r>
        <w:rPr>
          <w:rFonts w:hint="eastAsia" w:ascii="仿宋" w:hAnsi="仿宋" w:eastAsia="仿宋" w:cs="仿宋"/>
          <w:szCs w:val="21"/>
          <w:u w:val="single"/>
        </w:rPr>
        <w:t xml:space="preserve">                                                     </w:t>
      </w:r>
    </w:p>
    <w:p w14:paraId="1138D3BC">
      <w:pPr>
        <w:pStyle w:val="41"/>
        <w:spacing w:line="360" w:lineRule="auto"/>
        <w:ind w:left="420" w:leftChars="200"/>
        <w:rPr>
          <w:rFonts w:ascii="仿宋" w:hAnsi="仿宋" w:eastAsia="仿宋" w:cs="仿宋"/>
          <w:szCs w:val="21"/>
          <w:u w:val="single"/>
        </w:rPr>
      </w:pPr>
      <w:r>
        <w:rPr>
          <w:rFonts w:hint="eastAsia" w:ascii="仿宋" w:hAnsi="仿宋" w:eastAsia="仿宋" w:cs="仿宋"/>
          <w:szCs w:val="21"/>
          <w:u w:val="single"/>
        </w:rPr>
        <w:t xml:space="preserve">                                                                 </w:t>
      </w:r>
    </w:p>
    <w:p w14:paraId="4C1F90AA">
      <w:pPr>
        <w:pStyle w:val="40"/>
        <w:rPr>
          <w:rFonts w:ascii="仿宋" w:hAnsi="仿宋" w:eastAsia="仿宋" w:cs="仿宋"/>
          <w:sz w:val="21"/>
          <w:szCs w:val="21"/>
        </w:rPr>
      </w:pPr>
    </w:p>
    <w:p w14:paraId="4BE0070F">
      <w:pPr>
        <w:jc w:val="right"/>
        <w:rPr>
          <w:rFonts w:hint="eastAsia" w:ascii="仿宋" w:hAnsi="仿宋" w:eastAsia="仿宋" w:cs="仿宋"/>
          <w:szCs w:val="21"/>
        </w:rPr>
      </w:pPr>
      <w:r>
        <w:rPr>
          <w:rFonts w:hint="eastAsia" w:ascii="仿宋" w:hAnsi="仿宋" w:eastAsia="仿宋" w:cs="仿宋"/>
          <w:szCs w:val="21"/>
        </w:rPr>
        <w:t xml:space="preserve">                           </w:t>
      </w:r>
    </w:p>
    <w:p w14:paraId="71FD9A87">
      <w:pPr>
        <w:jc w:val="right"/>
        <w:rPr>
          <w:rFonts w:ascii="仿宋" w:hAnsi="仿宋" w:eastAsia="仿宋" w:cs="仿宋"/>
          <w:szCs w:val="21"/>
        </w:rPr>
      </w:pPr>
      <w:r>
        <w:rPr>
          <w:rFonts w:hint="eastAsia" w:ascii="仿宋" w:hAnsi="仿宋" w:eastAsia="仿宋" w:cs="仿宋"/>
          <w:szCs w:val="21"/>
        </w:rPr>
        <w:t xml:space="preserve">  签字（签章）：</w:t>
      </w:r>
    </w:p>
    <w:p w14:paraId="25C29DF6">
      <w:pPr>
        <w:jc w:val="right"/>
        <w:rPr>
          <w:rFonts w:hint="eastAsia" w:ascii="仿宋" w:hAnsi="仿宋" w:eastAsia="仿宋" w:cs="仿宋"/>
          <w:szCs w:val="21"/>
        </w:rPr>
      </w:pPr>
    </w:p>
    <w:p w14:paraId="291E25E7">
      <w:pPr>
        <w:jc w:val="right"/>
        <w:rPr>
          <w:rFonts w:ascii="仿宋" w:hAnsi="仿宋" w:eastAsia="仿宋" w:cs="仿宋"/>
          <w:szCs w:val="21"/>
        </w:rPr>
      </w:pPr>
      <w:r>
        <w:rPr>
          <w:rFonts w:hint="eastAsia" w:ascii="仿宋" w:hAnsi="仿宋" w:eastAsia="仿宋" w:cs="仿宋"/>
          <w:szCs w:val="21"/>
        </w:rPr>
        <w:t>单位名称（公章）：</w:t>
      </w:r>
      <w:r>
        <w:rPr>
          <w:rFonts w:hint="eastAsia" w:ascii="仿宋" w:hAnsi="仿宋" w:eastAsia="仿宋" w:cs="仿宋"/>
          <w:szCs w:val="21"/>
        </w:rPr>
        <w:br w:type="page"/>
      </w:r>
    </w:p>
    <w:p w14:paraId="04A0E850">
      <w:pPr>
        <w:pStyle w:val="2"/>
        <w:jc w:val="center"/>
        <w:rPr>
          <w:rFonts w:hint="eastAsia" w:ascii="仿宋" w:hAnsi="仿宋" w:eastAsia="仿宋" w:cs="仿宋"/>
          <w:sz w:val="32"/>
          <w:szCs w:val="32"/>
          <w:lang w:eastAsia="zh-CN"/>
        </w:rPr>
      </w:pPr>
      <w:bookmarkStart w:id="405" w:name="_Toc8834"/>
      <w:bookmarkStart w:id="406" w:name="_Toc31463"/>
      <w:r>
        <w:rPr>
          <w:rFonts w:hint="eastAsia" w:ascii="仿宋" w:hAnsi="仿宋" w:eastAsia="仿宋" w:cs="仿宋"/>
          <w:sz w:val="32"/>
          <w:szCs w:val="32"/>
        </w:rPr>
        <w:t xml:space="preserve">第三章 </w:t>
      </w:r>
      <w:bookmarkEnd w:id="402"/>
      <w:bookmarkEnd w:id="403"/>
      <w:bookmarkEnd w:id="404"/>
      <w:bookmarkStart w:id="407" w:name="_Toc30689"/>
      <w:bookmarkStart w:id="408" w:name="_Toc29523"/>
      <w:bookmarkStart w:id="409" w:name="_Toc20451"/>
      <w:r>
        <w:rPr>
          <w:rFonts w:hint="eastAsia" w:ascii="仿宋" w:hAnsi="仿宋" w:eastAsia="仿宋" w:cs="仿宋"/>
          <w:sz w:val="32"/>
          <w:szCs w:val="32"/>
          <w:lang w:eastAsia="zh-CN"/>
        </w:rPr>
        <w:t>评标办法</w:t>
      </w:r>
      <w:bookmarkEnd w:id="405"/>
      <w:bookmarkEnd w:id="406"/>
    </w:p>
    <w:p w14:paraId="2BFCECED">
      <w:pPr>
        <w:pStyle w:val="3"/>
        <w:jc w:val="center"/>
        <w:rPr>
          <w:rFonts w:ascii="仿宋" w:hAnsi="仿宋" w:eastAsia="仿宋" w:cs="仿宋"/>
        </w:rPr>
      </w:pPr>
      <w:r>
        <w:rPr>
          <w:rFonts w:hint="eastAsia" w:ascii="仿宋" w:hAnsi="仿宋" w:eastAsia="仿宋" w:cs="仿宋"/>
        </w:rPr>
        <w:t>评标办法前附表</w:t>
      </w:r>
      <w:bookmarkEnd w:id="407"/>
      <w:bookmarkEnd w:id="408"/>
      <w:bookmarkEnd w:id="409"/>
    </w:p>
    <w:tbl>
      <w:tblPr>
        <w:tblStyle w:val="33"/>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26"/>
        <w:gridCol w:w="1089"/>
        <w:gridCol w:w="1727"/>
        <w:gridCol w:w="6092"/>
      </w:tblGrid>
      <w:tr w14:paraId="14B8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100" w:type="dxa"/>
            <w:gridSpan w:val="3"/>
            <w:vAlign w:val="center"/>
          </w:tcPr>
          <w:p w14:paraId="211A0BDA">
            <w:pPr>
              <w:spacing w:line="440" w:lineRule="exact"/>
              <w:jc w:val="center"/>
              <w:rPr>
                <w:rFonts w:hint="eastAsia" w:ascii="仿宋" w:hAnsi="仿宋" w:eastAsia="仿宋" w:cs="仿宋"/>
                <w:b/>
                <w:szCs w:val="21"/>
              </w:rPr>
            </w:pPr>
            <w:r>
              <w:rPr>
                <w:rFonts w:hint="eastAsia" w:ascii="仿宋" w:hAnsi="仿宋" w:eastAsia="仿宋" w:cs="仿宋"/>
                <w:b/>
                <w:szCs w:val="21"/>
              </w:rPr>
              <w:t>条款号</w:t>
            </w:r>
          </w:p>
        </w:tc>
        <w:tc>
          <w:tcPr>
            <w:tcW w:w="1727" w:type="dxa"/>
            <w:vAlign w:val="center"/>
          </w:tcPr>
          <w:p w14:paraId="7F45762B">
            <w:pPr>
              <w:spacing w:line="440" w:lineRule="exact"/>
              <w:jc w:val="center"/>
              <w:rPr>
                <w:rFonts w:hint="eastAsia" w:ascii="仿宋" w:hAnsi="仿宋" w:eastAsia="仿宋" w:cs="仿宋"/>
                <w:b/>
                <w:szCs w:val="21"/>
              </w:rPr>
            </w:pPr>
            <w:r>
              <w:rPr>
                <w:rFonts w:hint="eastAsia" w:ascii="仿宋" w:hAnsi="仿宋" w:eastAsia="仿宋" w:cs="仿宋"/>
                <w:b/>
                <w:szCs w:val="21"/>
              </w:rPr>
              <w:t>评审因素</w:t>
            </w:r>
          </w:p>
        </w:tc>
        <w:tc>
          <w:tcPr>
            <w:tcW w:w="6092" w:type="dxa"/>
            <w:vAlign w:val="center"/>
          </w:tcPr>
          <w:p w14:paraId="26D356DE">
            <w:pPr>
              <w:spacing w:line="440" w:lineRule="exact"/>
              <w:jc w:val="center"/>
              <w:rPr>
                <w:rFonts w:hint="eastAsia" w:ascii="仿宋" w:hAnsi="仿宋" w:eastAsia="仿宋" w:cs="仿宋"/>
                <w:b/>
                <w:szCs w:val="21"/>
              </w:rPr>
            </w:pPr>
            <w:r>
              <w:rPr>
                <w:rFonts w:hint="eastAsia" w:ascii="仿宋" w:hAnsi="仿宋" w:eastAsia="仿宋" w:cs="仿宋"/>
                <w:b/>
                <w:szCs w:val="21"/>
              </w:rPr>
              <w:t>评审标准</w:t>
            </w:r>
          </w:p>
        </w:tc>
      </w:tr>
      <w:tr w14:paraId="2C3B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785" w:type="dxa"/>
            <w:vAlign w:val="center"/>
          </w:tcPr>
          <w:p w14:paraId="7EF7C222">
            <w:pPr>
              <w:spacing w:line="440" w:lineRule="exact"/>
              <w:jc w:val="center"/>
              <w:rPr>
                <w:rFonts w:hint="eastAsia" w:ascii="仿宋" w:hAnsi="仿宋" w:eastAsia="仿宋" w:cs="仿宋"/>
                <w:szCs w:val="21"/>
              </w:rPr>
            </w:pPr>
            <w:r>
              <w:rPr>
                <w:rFonts w:hint="eastAsia" w:ascii="仿宋" w:hAnsi="仿宋" w:eastAsia="仿宋" w:cs="仿宋"/>
                <w:szCs w:val="21"/>
              </w:rPr>
              <w:t>1</w:t>
            </w:r>
          </w:p>
        </w:tc>
        <w:tc>
          <w:tcPr>
            <w:tcW w:w="1315" w:type="dxa"/>
            <w:gridSpan w:val="2"/>
            <w:vAlign w:val="center"/>
          </w:tcPr>
          <w:p w14:paraId="01DF7FAD">
            <w:pPr>
              <w:spacing w:line="360" w:lineRule="auto"/>
              <w:jc w:val="center"/>
              <w:rPr>
                <w:rFonts w:hint="eastAsia" w:ascii="仿宋" w:hAnsi="仿宋" w:eastAsia="仿宋" w:cs="仿宋"/>
                <w:szCs w:val="21"/>
              </w:rPr>
            </w:pPr>
            <w:r>
              <w:rPr>
                <w:rFonts w:hint="eastAsia" w:ascii="仿宋" w:hAnsi="仿宋" w:eastAsia="仿宋" w:cs="仿宋"/>
                <w:szCs w:val="21"/>
              </w:rPr>
              <w:t>评标方法</w:t>
            </w:r>
          </w:p>
        </w:tc>
        <w:tc>
          <w:tcPr>
            <w:tcW w:w="1727" w:type="dxa"/>
            <w:vAlign w:val="center"/>
          </w:tcPr>
          <w:p w14:paraId="7631C3EB">
            <w:pPr>
              <w:spacing w:line="360" w:lineRule="auto"/>
              <w:jc w:val="center"/>
              <w:rPr>
                <w:rFonts w:hint="eastAsia" w:ascii="仿宋" w:hAnsi="仿宋" w:eastAsia="仿宋" w:cs="仿宋"/>
                <w:szCs w:val="21"/>
              </w:rPr>
            </w:pPr>
            <w:r>
              <w:rPr>
                <w:rFonts w:hint="eastAsia" w:ascii="仿宋" w:hAnsi="仿宋" w:eastAsia="仿宋" w:cs="仿宋"/>
                <w:szCs w:val="21"/>
              </w:rPr>
              <w:t>中标候选人排序方法</w:t>
            </w:r>
          </w:p>
        </w:tc>
        <w:tc>
          <w:tcPr>
            <w:tcW w:w="6092" w:type="dxa"/>
            <w:vAlign w:val="center"/>
          </w:tcPr>
          <w:p w14:paraId="2CC9355A">
            <w:pPr>
              <w:spacing w:line="360" w:lineRule="auto"/>
              <w:jc w:val="left"/>
              <w:rPr>
                <w:rFonts w:hint="eastAsia" w:ascii="仿宋" w:hAnsi="仿宋" w:eastAsia="仿宋" w:cs="仿宋"/>
                <w:b/>
                <w:bCs/>
                <w:szCs w:val="21"/>
                <w:highlight w:val="yellow"/>
                <w:lang w:eastAsia="zh-CN"/>
              </w:rPr>
            </w:pPr>
            <w:r>
              <w:rPr>
                <w:rFonts w:hint="eastAsia" w:ascii="仿宋" w:hAnsi="仿宋" w:eastAsia="仿宋" w:cs="仿宋"/>
                <w:b/>
                <w:bCs/>
                <w:szCs w:val="21"/>
              </w:rPr>
              <w:t>有效投标人数量为3至10家（含10家）时，全部推荐为中标候选人；有效投标人数量为10家以上时，按照择优原则</w:t>
            </w:r>
            <w:r>
              <w:rPr>
                <w:rFonts w:hint="eastAsia" w:ascii="仿宋" w:hAnsi="仿宋" w:eastAsia="仿宋" w:cs="仿宋"/>
                <w:b/>
                <w:bCs/>
                <w:szCs w:val="21"/>
                <w:lang w:eastAsia="zh-CN"/>
              </w:rPr>
              <w:t>（</w:t>
            </w:r>
            <w:r>
              <w:rPr>
                <w:rFonts w:hint="eastAsia" w:ascii="仿宋" w:hAnsi="仿宋" w:eastAsia="仿宋" w:cs="仿宋"/>
                <w:b/>
                <w:bCs/>
                <w:szCs w:val="21"/>
              </w:rPr>
              <w:t>综合得分排序</w:t>
            </w:r>
            <w:r>
              <w:rPr>
                <w:rFonts w:hint="eastAsia" w:ascii="仿宋" w:hAnsi="仿宋" w:eastAsia="仿宋" w:cs="仿宋"/>
                <w:b/>
                <w:bCs/>
                <w:szCs w:val="21"/>
                <w:lang w:eastAsia="zh-CN"/>
              </w:rPr>
              <w:t>由高到低：</w:t>
            </w:r>
            <w:r>
              <w:rPr>
                <w:rFonts w:hint="eastAsia" w:ascii="仿宋" w:hAnsi="仿宋" w:eastAsia="仿宋" w:cs="仿宋"/>
                <w:b/>
                <w:bCs/>
                <w:szCs w:val="21"/>
              </w:rPr>
              <w:t>当合计得分最高的出现相等时，按投标总报价由低到高的顺序排列；如总得分和投标总报价也相同时,按技术标得分由高到低的顺序排列；技术标得分相同时，按综合标得分由高到低的顺序排列；如都相同由评标委员会投票推荐</w:t>
            </w:r>
            <w:r>
              <w:rPr>
                <w:rFonts w:hint="eastAsia" w:ascii="仿宋" w:hAnsi="仿宋" w:eastAsia="仿宋" w:cs="仿宋"/>
                <w:b/>
                <w:bCs/>
                <w:szCs w:val="21"/>
                <w:lang w:eastAsia="zh-CN"/>
              </w:rPr>
              <w:t>。）</w:t>
            </w:r>
            <w:r>
              <w:rPr>
                <w:rFonts w:hint="eastAsia" w:ascii="仿宋" w:hAnsi="仿宋" w:eastAsia="仿宋" w:cs="仿宋"/>
                <w:b/>
                <w:bCs/>
                <w:szCs w:val="21"/>
              </w:rPr>
              <w:t>由评标委员会推荐10名不标明排序的中标候选人。</w:t>
            </w:r>
          </w:p>
        </w:tc>
      </w:tr>
      <w:tr w14:paraId="55F2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5" w:type="dxa"/>
            <w:vMerge w:val="restart"/>
            <w:vAlign w:val="center"/>
          </w:tcPr>
          <w:p w14:paraId="04FFBE17">
            <w:pPr>
              <w:spacing w:line="440" w:lineRule="exact"/>
              <w:jc w:val="center"/>
              <w:rPr>
                <w:rFonts w:hint="eastAsia" w:ascii="仿宋" w:hAnsi="仿宋" w:eastAsia="仿宋" w:cs="仿宋"/>
                <w:szCs w:val="21"/>
              </w:rPr>
            </w:pPr>
            <w:r>
              <w:rPr>
                <w:rFonts w:hint="eastAsia" w:ascii="仿宋" w:hAnsi="仿宋" w:eastAsia="仿宋" w:cs="仿宋"/>
                <w:szCs w:val="21"/>
              </w:rPr>
              <w:t>2.1.1</w:t>
            </w:r>
          </w:p>
        </w:tc>
        <w:tc>
          <w:tcPr>
            <w:tcW w:w="1315" w:type="dxa"/>
            <w:gridSpan w:val="2"/>
            <w:vMerge w:val="restart"/>
            <w:vAlign w:val="center"/>
          </w:tcPr>
          <w:p w14:paraId="38D7E000">
            <w:pPr>
              <w:spacing w:line="360" w:lineRule="auto"/>
              <w:jc w:val="center"/>
              <w:rPr>
                <w:rFonts w:hint="eastAsia" w:ascii="仿宋" w:hAnsi="仿宋" w:eastAsia="仿宋" w:cs="仿宋"/>
                <w:szCs w:val="21"/>
              </w:rPr>
            </w:pPr>
            <w:r>
              <w:rPr>
                <w:rFonts w:hint="eastAsia" w:ascii="仿宋" w:hAnsi="仿宋" w:eastAsia="仿宋" w:cs="仿宋"/>
                <w:szCs w:val="21"/>
              </w:rPr>
              <w:t>形式评审</w:t>
            </w:r>
          </w:p>
          <w:p w14:paraId="622C2B9B">
            <w:pPr>
              <w:spacing w:line="360" w:lineRule="auto"/>
              <w:jc w:val="center"/>
              <w:rPr>
                <w:rFonts w:hint="eastAsia" w:ascii="仿宋" w:hAnsi="仿宋" w:eastAsia="仿宋" w:cs="仿宋"/>
                <w:szCs w:val="21"/>
              </w:rPr>
            </w:pPr>
            <w:r>
              <w:rPr>
                <w:rFonts w:hint="eastAsia" w:ascii="仿宋" w:hAnsi="仿宋" w:eastAsia="仿宋" w:cs="仿宋"/>
                <w:szCs w:val="21"/>
              </w:rPr>
              <w:t>标准</w:t>
            </w:r>
          </w:p>
        </w:tc>
        <w:tc>
          <w:tcPr>
            <w:tcW w:w="1727" w:type="dxa"/>
            <w:vAlign w:val="center"/>
          </w:tcPr>
          <w:p w14:paraId="5391BC70">
            <w:pPr>
              <w:spacing w:line="360" w:lineRule="auto"/>
              <w:jc w:val="center"/>
              <w:rPr>
                <w:rFonts w:hint="eastAsia" w:ascii="仿宋" w:hAnsi="仿宋" w:eastAsia="仿宋" w:cs="仿宋"/>
                <w:szCs w:val="21"/>
              </w:rPr>
            </w:pPr>
            <w:r>
              <w:rPr>
                <w:rFonts w:hint="eastAsia" w:ascii="仿宋" w:hAnsi="仿宋" w:eastAsia="仿宋" w:cs="仿宋"/>
                <w:szCs w:val="21"/>
              </w:rPr>
              <w:t>投标人名称</w:t>
            </w:r>
          </w:p>
        </w:tc>
        <w:tc>
          <w:tcPr>
            <w:tcW w:w="6092" w:type="dxa"/>
            <w:vAlign w:val="center"/>
          </w:tcPr>
          <w:p w14:paraId="18F6FA71">
            <w:pPr>
              <w:spacing w:line="360" w:lineRule="auto"/>
              <w:jc w:val="left"/>
              <w:rPr>
                <w:rFonts w:hint="eastAsia" w:ascii="仿宋" w:hAnsi="仿宋" w:eastAsia="仿宋" w:cs="仿宋"/>
                <w:szCs w:val="21"/>
              </w:rPr>
            </w:pPr>
            <w:r>
              <w:rPr>
                <w:rFonts w:hint="eastAsia" w:ascii="仿宋" w:hAnsi="仿宋" w:eastAsia="仿宋" w:cs="仿宋"/>
                <w:szCs w:val="21"/>
              </w:rPr>
              <w:t>与营业执照或</w:t>
            </w:r>
            <w:r>
              <w:rPr>
                <w:rFonts w:hint="eastAsia" w:ascii="仿宋" w:hAnsi="仿宋" w:eastAsia="仿宋" w:cs="仿宋"/>
                <w:szCs w:val="21"/>
                <w:lang w:eastAsia="zh-CN"/>
              </w:rPr>
              <w:t>其他组织证材料</w:t>
            </w:r>
            <w:r>
              <w:rPr>
                <w:rFonts w:hint="eastAsia" w:ascii="仿宋" w:hAnsi="仿宋" w:eastAsia="仿宋" w:cs="仿宋"/>
                <w:szCs w:val="21"/>
              </w:rPr>
              <w:t>一致</w:t>
            </w:r>
          </w:p>
        </w:tc>
      </w:tr>
      <w:tr w14:paraId="2FC4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85" w:type="dxa"/>
            <w:vMerge w:val="continue"/>
            <w:vAlign w:val="center"/>
          </w:tcPr>
          <w:p w14:paraId="5544447C">
            <w:pPr>
              <w:rPr>
                <w:rFonts w:hint="eastAsia" w:ascii="仿宋" w:hAnsi="仿宋" w:eastAsia="仿宋" w:cs="仿宋"/>
                <w:szCs w:val="21"/>
              </w:rPr>
            </w:pPr>
          </w:p>
        </w:tc>
        <w:tc>
          <w:tcPr>
            <w:tcW w:w="1315" w:type="dxa"/>
            <w:gridSpan w:val="2"/>
            <w:vMerge w:val="continue"/>
            <w:vAlign w:val="center"/>
          </w:tcPr>
          <w:p w14:paraId="37042C7A">
            <w:pPr>
              <w:spacing w:line="360" w:lineRule="auto"/>
              <w:rPr>
                <w:rFonts w:hint="eastAsia" w:ascii="仿宋" w:hAnsi="仿宋" w:eastAsia="仿宋" w:cs="仿宋"/>
                <w:szCs w:val="21"/>
              </w:rPr>
            </w:pPr>
          </w:p>
        </w:tc>
        <w:tc>
          <w:tcPr>
            <w:tcW w:w="1727" w:type="dxa"/>
            <w:vAlign w:val="center"/>
          </w:tcPr>
          <w:p w14:paraId="362B1F95">
            <w:pPr>
              <w:spacing w:line="360" w:lineRule="auto"/>
              <w:jc w:val="center"/>
              <w:rPr>
                <w:rFonts w:hint="eastAsia" w:ascii="仿宋" w:hAnsi="仿宋" w:eastAsia="仿宋" w:cs="仿宋"/>
                <w:szCs w:val="21"/>
              </w:rPr>
            </w:pPr>
            <w:r>
              <w:rPr>
                <w:rFonts w:hint="eastAsia" w:ascii="仿宋" w:hAnsi="仿宋" w:eastAsia="仿宋" w:cs="仿宋"/>
                <w:szCs w:val="21"/>
              </w:rPr>
              <w:t>投标函签字盖章</w:t>
            </w:r>
          </w:p>
        </w:tc>
        <w:tc>
          <w:tcPr>
            <w:tcW w:w="6092" w:type="dxa"/>
            <w:vAlign w:val="center"/>
          </w:tcPr>
          <w:p w14:paraId="2F677A1C">
            <w:pPr>
              <w:spacing w:line="360" w:lineRule="auto"/>
              <w:jc w:val="left"/>
              <w:rPr>
                <w:rFonts w:hint="eastAsia" w:ascii="仿宋" w:hAnsi="仿宋" w:eastAsia="仿宋" w:cs="仿宋"/>
                <w:szCs w:val="21"/>
              </w:rPr>
            </w:pPr>
            <w:r>
              <w:rPr>
                <w:rFonts w:hint="eastAsia" w:ascii="仿宋" w:hAnsi="仿宋" w:eastAsia="仿宋" w:cs="仿宋"/>
                <w:szCs w:val="21"/>
              </w:rPr>
              <w:t>符合第</w:t>
            </w:r>
            <w:r>
              <w:rPr>
                <w:rFonts w:hint="eastAsia" w:ascii="仿宋" w:hAnsi="仿宋" w:eastAsia="仿宋" w:cs="仿宋"/>
                <w:szCs w:val="21"/>
                <w:lang w:eastAsia="zh-CN"/>
              </w:rPr>
              <w:t>六</w:t>
            </w:r>
            <w:r>
              <w:rPr>
                <w:rFonts w:hint="eastAsia" w:ascii="仿宋" w:hAnsi="仿宋" w:eastAsia="仿宋" w:cs="仿宋"/>
                <w:szCs w:val="21"/>
              </w:rPr>
              <w:t>章“投标文件格式”的规定</w:t>
            </w:r>
          </w:p>
        </w:tc>
      </w:tr>
      <w:tr w14:paraId="5172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5" w:type="dxa"/>
            <w:vMerge w:val="continue"/>
            <w:vAlign w:val="center"/>
          </w:tcPr>
          <w:p w14:paraId="1B09CE42">
            <w:pPr>
              <w:rPr>
                <w:rFonts w:hint="eastAsia" w:ascii="仿宋" w:hAnsi="仿宋" w:eastAsia="仿宋" w:cs="仿宋"/>
                <w:szCs w:val="21"/>
              </w:rPr>
            </w:pPr>
          </w:p>
        </w:tc>
        <w:tc>
          <w:tcPr>
            <w:tcW w:w="1315" w:type="dxa"/>
            <w:gridSpan w:val="2"/>
            <w:vMerge w:val="continue"/>
            <w:vAlign w:val="center"/>
          </w:tcPr>
          <w:p w14:paraId="623A692E">
            <w:pPr>
              <w:spacing w:line="360" w:lineRule="auto"/>
              <w:rPr>
                <w:rFonts w:hint="eastAsia" w:ascii="仿宋" w:hAnsi="仿宋" w:eastAsia="仿宋" w:cs="仿宋"/>
                <w:szCs w:val="21"/>
              </w:rPr>
            </w:pPr>
          </w:p>
        </w:tc>
        <w:tc>
          <w:tcPr>
            <w:tcW w:w="1727" w:type="dxa"/>
            <w:vAlign w:val="center"/>
          </w:tcPr>
          <w:p w14:paraId="75E1F42E">
            <w:pPr>
              <w:spacing w:line="360" w:lineRule="auto"/>
              <w:jc w:val="center"/>
              <w:rPr>
                <w:rFonts w:hint="eastAsia" w:ascii="仿宋" w:hAnsi="仿宋" w:eastAsia="仿宋" w:cs="仿宋"/>
                <w:szCs w:val="21"/>
              </w:rPr>
            </w:pPr>
            <w:r>
              <w:rPr>
                <w:rFonts w:hint="eastAsia" w:ascii="仿宋" w:hAnsi="仿宋" w:eastAsia="仿宋" w:cs="仿宋"/>
                <w:szCs w:val="21"/>
              </w:rPr>
              <w:t>投标文件格式</w:t>
            </w:r>
          </w:p>
        </w:tc>
        <w:tc>
          <w:tcPr>
            <w:tcW w:w="6092" w:type="dxa"/>
            <w:vAlign w:val="center"/>
          </w:tcPr>
          <w:p w14:paraId="78618D2E">
            <w:pPr>
              <w:spacing w:line="360" w:lineRule="auto"/>
              <w:jc w:val="left"/>
              <w:rPr>
                <w:rFonts w:hint="eastAsia" w:ascii="仿宋" w:hAnsi="仿宋" w:eastAsia="仿宋" w:cs="仿宋"/>
                <w:szCs w:val="21"/>
              </w:rPr>
            </w:pPr>
            <w:r>
              <w:rPr>
                <w:rFonts w:hint="eastAsia" w:ascii="仿宋" w:hAnsi="仿宋" w:eastAsia="仿宋" w:cs="仿宋"/>
                <w:szCs w:val="21"/>
              </w:rPr>
              <w:t>符合第</w:t>
            </w:r>
            <w:r>
              <w:rPr>
                <w:rFonts w:hint="eastAsia" w:ascii="仿宋" w:hAnsi="仿宋" w:eastAsia="仿宋" w:cs="仿宋"/>
                <w:szCs w:val="21"/>
                <w:lang w:eastAsia="zh-CN"/>
              </w:rPr>
              <w:t>六</w:t>
            </w:r>
            <w:r>
              <w:rPr>
                <w:rFonts w:hint="eastAsia" w:ascii="仿宋" w:hAnsi="仿宋" w:eastAsia="仿宋" w:cs="仿宋"/>
                <w:szCs w:val="21"/>
              </w:rPr>
              <w:t>章“投标文件格式”的规定</w:t>
            </w:r>
          </w:p>
        </w:tc>
      </w:tr>
      <w:tr w14:paraId="346C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85" w:type="dxa"/>
            <w:vMerge w:val="continue"/>
            <w:vAlign w:val="center"/>
          </w:tcPr>
          <w:p w14:paraId="22C16272">
            <w:pPr>
              <w:rPr>
                <w:rFonts w:hint="eastAsia" w:ascii="仿宋" w:hAnsi="仿宋" w:eastAsia="仿宋" w:cs="仿宋"/>
                <w:szCs w:val="21"/>
              </w:rPr>
            </w:pPr>
          </w:p>
        </w:tc>
        <w:tc>
          <w:tcPr>
            <w:tcW w:w="1315" w:type="dxa"/>
            <w:gridSpan w:val="2"/>
            <w:vMerge w:val="continue"/>
            <w:vAlign w:val="center"/>
          </w:tcPr>
          <w:p w14:paraId="6FEA7399">
            <w:pPr>
              <w:spacing w:line="360" w:lineRule="auto"/>
              <w:rPr>
                <w:rFonts w:hint="eastAsia" w:ascii="仿宋" w:hAnsi="仿宋" w:eastAsia="仿宋" w:cs="仿宋"/>
                <w:szCs w:val="21"/>
              </w:rPr>
            </w:pPr>
          </w:p>
        </w:tc>
        <w:tc>
          <w:tcPr>
            <w:tcW w:w="1727" w:type="dxa"/>
            <w:vAlign w:val="center"/>
          </w:tcPr>
          <w:p w14:paraId="106199AA">
            <w:pPr>
              <w:spacing w:line="360" w:lineRule="auto"/>
              <w:jc w:val="center"/>
              <w:rPr>
                <w:rFonts w:hint="eastAsia" w:ascii="仿宋" w:hAnsi="仿宋" w:eastAsia="仿宋" w:cs="仿宋"/>
                <w:szCs w:val="21"/>
              </w:rPr>
            </w:pPr>
            <w:r>
              <w:rPr>
                <w:rFonts w:hint="eastAsia" w:ascii="仿宋" w:hAnsi="仿宋" w:eastAsia="仿宋" w:cs="仿宋"/>
                <w:szCs w:val="21"/>
              </w:rPr>
              <w:t>报价唯一</w:t>
            </w:r>
          </w:p>
        </w:tc>
        <w:tc>
          <w:tcPr>
            <w:tcW w:w="6092" w:type="dxa"/>
            <w:vAlign w:val="center"/>
          </w:tcPr>
          <w:p w14:paraId="0B50C396">
            <w:pPr>
              <w:spacing w:line="360" w:lineRule="auto"/>
              <w:jc w:val="left"/>
              <w:rPr>
                <w:rFonts w:hint="eastAsia" w:ascii="仿宋" w:hAnsi="仿宋" w:eastAsia="仿宋" w:cs="仿宋"/>
                <w:szCs w:val="21"/>
              </w:rPr>
            </w:pPr>
            <w:r>
              <w:rPr>
                <w:rFonts w:hint="eastAsia" w:ascii="仿宋" w:hAnsi="仿宋" w:eastAsia="仿宋" w:cs="仿宋"/>
                <w:szCs w:val="21"/>
              </w:rPr>
              <w:t>只能有一个有效报价（招标文件要求提交备选投标的除外）</w:t>
            </w:r>
          </w:p>
        </w:tc>
      </w:tr>
      <w:tr w14:paraId="4528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5" w:type="dxa"/>
            <w:vMerge w:val="restart"/>
            <w:vAlign w:val="center"/>
          </w:tcPr>
          <w:p w14:paraId="2F5ACC04">
            <w:pPr>
              <w:spacing w:line="440" w:lineRule="exact"/>
              <w:jc w:val="center"/>
              <w:rPr>
                <w:rFonts w:hint="eastAsia" w:ascii="仿宋" w:hAnsi="仿宋" w:eastAsia="仿宋" w:cs="仿宋"/>
                <w:szCs w:val="21"/>
              </w:rPr>
            </w:pPr>
            <w:r>
              <w:rPr>
                <w:rFonts w:hint="eastAsia" w:ascii="仿宋" w:hAnsi="仿宋" w:eastAsia="仿宋" w:cs="仿宋"/>
                <w:szCs w:val="21"/>
              </w:rPr>
              <w:t>2.1.2</w:t>
            </w:r>
          </w:p>
        </w:tc>
        <w:tc>
          <w:tcPr>
            <w:tcW w:w="1315" w:type="dxa"/>
            <w:gridSpan w:val="2"/>
            <w:vMerge w:val="restart"/>
            <w:vAlign w:val="center"/>
          </w:tcPr>
          <w:p w14:paraId="57E43660">
            <w:pPr>
              <w:spacing w:line="360" w:lineRule="auto"/>
              <w:jc w:val="center"/>
              <w:rPr>
                <w:rFonts w:hint="eastAsia" w:ascii="仿宋" w:hAnsi="仿宋" w:eastAsia="仿宋" w:cs="仿宋"/>
                <w:szCs w:val="21"/>
              </w:rPr>
            </w:pPr>
            <w:r>
              <w:rPr>
                <w:rFonts w:hint="eastAsia" w:ascii="仿宋" w:hAnsi="仿宋" w:eastAsia="仿宋" w:cs="仿宋"/>
                <w:szCs w:val="21"/>
              </w:rPr>
              <w:t>资格评审</w:t>
            </w:r>
          </w:p>
          <w:p w14:paraId="49518A6C">
            <w:pPr>
              <w:spacing w:line="360" w:lineRule="auto"/>
              <w:jc w:val="center"/>
              <w:rPr>
                <w:rFonts w:hint="eastAsia" w:ascii="仿宋" w:hAnsi="仿宋" w:eastAsia="仿宋" w:cs="仿宋"/>
                <w:szCs w:val="21"/>
              </w:rPr>
            </w:pPr>
            <w:r>
              <w:rPr>
                <w:rFonts w:hint="eastAsia" w:ascii="仿宋" w:hAnsi="仿宋" w:eastAsia="仿宋" w:cs="仿宋"/>
                <w:szCs w:val="21"/>
              </w:rPr>
              <w:t>标准</w:t>
            </w:r>
          </w:p>
        </w:tc>
        <w:tc>
          <w:tcPr>
            <w:tcW w:w="1727" w:type="dxa"/>
            <w:vAlign w:val="center"/>
          </w:tcPr>
          <w:p w14:paraId="58382A53">
            <w:pPr>
              <w:spacing w:line="360" w:lineRule="auto"/>
              <w:jc w:val="center"/>
              <w:rPr>
                <w:rFonts w:hint="eastAsia" w:ascii="仿宋" w:hAnsi="仿宋" w:eastAsia="仿宋" w:cs="仿宋"/>
                <w:szCs w:val="21"/>
                <w:lang w:eastAsia="zh-CN"/>
              </w:rPr>
            </w:pPr>
            <w:r>
              <w:rPr>
                <w:rFonts w:hint="eastAsia" w:ascii="仿宋" w:hAnsi="仿宋" w:eastAsia="仿宋" w:cs="仿宋"/>
                <w:szCs w:val="21"/>
              </w:rPr>
              <w:t>营业执照或</w:t>
            </w:r>
            <w:r>
              <w:rPr>
                <w:rFonts w:hint="eastAsia" w:ascii="仿宋" w:hAnsi="仿宋" w:eastAsia="仿宋" w:cs="仿宋"/>
                <w:szCs w:val="21"/>
                <w:lang w:eastAsia="zh-CN"/>
              </w:rPr>
              <w:t>其他组织证明材料</w:t>
            </w:r>
          </w:p>
        </w:tc>
        <w:tc>
          <w:tcPr>
            <w:tcW w:w="6092" w:type="dxa"/>
            <w:vAlign w:val="center"/>
          </w:tcPr>
          <w:p w14:paraId="7DBC8ADD">
            <w:pPr>
              <w:spacing w:line="360" w:lineRule="auto"/>
              <w:jc w:val="left"/>
              <w:rPr>
                <w:rFonts w:hint="eastAsia" w:ascii="仿宋" w:hAnsi="仿宋" w:eastAsia="仿宋" w:cs="仿宋"/>
                <w:szCs w:val="21"/>
              </w:rPr>
            </w:pPr>
            <w:r>
              <w:rPr>
                <w:rFonts w:hint="eastAsia" w:ascii="仿宋" w:hAnsi="仿宋" w:eastAsia="仿宋" w:cs="仿宋"/>
                <w:szCs w:val="21"/>
              </w:rPr>
              <w:t>符合第二章“投标人须知”第1.4.1项规定</w:t>
            </w:r>
          </w:p>
        </w:tc>
      </w:tr>
      <w:tr w14:paraId="1EDB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vMerge w:val="continue"/>
            <w:vAlign w:val="center"/>
          </w:tcPr>
          <w:p w14:paraId="69162C4D">
            <w:pPr>
              <w:rPr>
                <w:rFonts w:hint="eastAsia" w:ascii="仿宋" w:hAnsi="仿宋" w:eastAsia="仿宋" w:cs="仿宋"/>
                <w:szCs w:val="21"/>
              </w:rPr>
            </w:pPr>
          </w:p>
        </w:tc>
        <w:tc>
          <w:tcPr>
            <w:tcW w:w="1315" w:type="dxa"/>
            <w:gridSpan w:val="2"/>
            <w:vMerge w:val="continue"/>
            <w:vAlign w:val="center"/>
          </w:tcPr>
          <w:p w14:paraId="12AE685B">
            <w:pPr>
              <w:spacing w:line="360" w:lineRule="auto"/>
              <w:rPr>
                <w:rFonts w:hint="eastAsia" w:ascii="仿宋" w:hAnsi="仿宋" w:eastAsia="仿宋" w:cs="仿宋"/>
                <w:szCs w:val="21"/>
              </w:rPr>
            </w:pPr>
          </w:p>
        </w:tc>
        <w:tc>
          <w:tcPr>
            <w:tcW w:w="1727" w:type="dxa"/>
            <w:vAlign w:val="center"/>
          </w:tcPr>
          <w:p w14:paraId="47E6317E">
            <w:pPr>
              <w:spacing w:line="360" w:lineRule="auto"/>
              <w:jc w:val="center"/>
              <w:rPr>
                <w:rFonts w:hint="eastAsia" w:ascii="仿宋" w:hAnsi="仿宋" w:eastAsia="仿宋" w:cs="仿宋"/>
                <w:szCs w:val="21"/>
              </w:rPr>
            </w:pPr>
            <w:r>
              <w:rPr>
                <w:rFonts w:hint="eastAsia" w:ascii="仿宋" w:hAnsi="仿宋" w:eastAsia="仿宋" w:cs="仿宋"/>
                <w:szCs w:val="21"/>
              </w:rPr>
              <w:t>信用承诺函</w:t>
            </w:r>
          </w:p>
        </w:tc>
        <w:tc>
          <w:tcPr>
            <w:tcW w:w="6092" w:type="dxa"/>
            <w:vAlign w:val="center"/>
          </w:tcPr>
          <w:p w14:paraId="65057EB8">
            <w:pPr>
              <w:spacing w:line="360" w:lineRule="auto"/>
              <w:jc w:val="left"/>
              <w:rPr>
                <w:rFonts w:hint="eastAsia" w:ascii="仿宋" w:hAnsi="仿宋" w:eastAsia="仿宋" w:cs="仿宋"/>
                <w:szCs w:val="21"/>
              </w:rPr>
            </w:pPr>
            <w:r>
              <w:rPr>
                <w:rFonts w:hint="eastAsia" w:ascii="仿宋" w:hAnsi="仿宋" w:eastAsia="仿宋" w:cs="仿宋"/>
                <w:szCs w:val="21"/>
              </w:rPr>
              <w:t>符合第二章“投标人须知”第1.4.1项规定</w:t>
            </w:r>
          </w:p>
        </w:tc>
      </w:tr>
      <w:tr w14:paraId="273A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85" w:type="dxa"/>
            <w:vMerge w:val="continue"/>
            <w:vAlign w:val="center"/>
          </w:tcPr>
          <w:p w14:paraId="5EDD1F93">
            <w:pPr>
              <w:rPr>
                <w:rFonts w:hint="eastAsia" w:ascii="仿宋" w:hAnsi="仿宋" w:eastAsia="仿宋" w:cs="仿宋"/>
                <w:szCs w:val="21"/>
              </w:rPr>
            </w:pPr>
          </w:p>
        </w:tc>
        <w:tc>
          <w:tcPr>
            <w:tcW w:w="1315" w:type="dxa"/>
            <w:gridSpan w:val="2"/>
            <w:vMerge w:val="continue"/>
            <w:vAlign w:val="center"/>
          </w:tcPr>
          <w:p w14:paraId="641133E6">
            <w:pPr>
              <w:spacing w:line="360" w:lineRule="auto"/>
              <w:rPr>
                <w:rFonts w:hint="eastAsia" w:ascii="仿宋" w:hAnsi="仿宋" w:eastAsia="仿宋" w:cs="仿宋"/>
                <w:szCs w:val="21"/>
              </w:rPr>
            </w:pPr>
          </w:p>
        </w:tc>
        <w:tc>
          <w:tcPr>
            <w:tcW w:w="1727" w:type="dxa"/>
            <w:vAlign w:val="center"/>
          </w:tcPr>
          <w:p w14:paraId="00F03591">
            <w:pPr>
              <w:spacing w:line="360" w:lineRule="auto"/>
              <w:jc w:val="center"/>
              <w:rPr>
                <w:rFonts w:hint="eastAsia" w:ascii="仿宋" w:hAnsi="仿宋" w:eastAsia="仿宋" w:cs="仿宋"/>
                <w:szCs w:val="21"/>
              </w:rPr>
            </w:pPr>
            <w:r>
              <w:rPr>
                <w:rFonts w:hint="eastAsia" w:ascii="仿宋" w:hAnsi="仿宋" w:eastAsia="仿宋" w:cs="仿宋"/>
                <w:szCs w:val="21"/>
              </w:rPr>
              <w:t>不存在禁止</w:t>
            </w:r>
          </w:p>
          <w:p w14:paraId="0300F52C">
            <w:pPr>
              <w:spacing w:line="360" w:lineRule="auto"/>
              <w:jc w:val="center"/>
              <w:rPr>
                <w:rFonts w:hint="eastAsia" w:ascii="仿宋" w:hAnsi="仿宋" w:eastAsia="仿宋" w:cs="仿宋"/>
                <w:szCs w:val="21"/>
              </w:rPr>
            </w:pPr>
            <w:r>
              <w:rPr>
                <w:rFonts w:hint="eastAsia" w:ascii="仿宋" w:hAnsi="仿宋" w:eastAsia="仿宋" w:cs="仿宋"/>
                <w:szCs w:val="21"/>
              </w:rPr>
              <w:t>投标的情形</w:t>
            </w:r>
          </w:p>
        </w:tc>
        <w:tc>
          <w:tcPr>
            <w:tcW w:w="6092" w:type="dxa"/>
            <w:vAlign w:val="center"/>
          </w:tcPr>
          <w:p w14:paraId="56CA3AB3">
            <w:pPr>
              <w:spacing w:line="360" w:lineRule="auto"/>
              <w:jc w:val="left"/>
              <w:rPr>
                <w:rFonts w:hint="eastAsia" w:ascii="仿宋" w:hAnsi="仿宋" w:eastAsia="仿宋" w:cs="仿宋"/>
                <w:szCs w:val="21"/>
              </w:rPr>
            </w:pPr>
            <w:r>
              <w:rPr>
                <w:rFonts w:hint="eastAsia" w:ascii="仿宋" w:hAnsi="仿宋" w:eastAsia="仿宋" w:cs="仿宋"/>
                <w:szCs w:val="21"/>
              </w:rPr>
              <w:t>不存在第二章“投标人须知”第1.4.3项规定的任何一种情形</w:t>
            </w:r>
          </w:p>
        </w:tc>
      </w:tr>
      <w:tr w14:paraId="5F73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85" w:type="dxa"/>
            <w:vMerge w:val="restart"/>
            <w:vAlign w:val="center"/>
          </w:tcPr>
          <w:p w14:paraId="274D5240">
            <w:pPr>
              <w:spacing w:line="4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2.1.3</w:t>
            </w:r>
          </w:p>
        </w:tc>
        <w:tc>
          <w:tcPr>
            <w:tcW w:w="1315" w:type="dxa"/>
            <w:gridSpan w:val="2"/>
            <w:vMerge w:val="restart"/>
            <w:vAlign w:val="center"/>
          </w:tcPr>
          <w:p w14:paraId="5C5936AB">
            <w:pPr>
              <w:spacing w:line="360" w:lineRule="auto"/>
              <w:jc w:val="center"/>
              <w:rPr>
                <w:rFonts w:hint="eastAsia" w:ascii="仿宋" w:hAnsi="仿宋" w:eastAsia="仿宋" w:cs="仿宋"/>
                <w:szCs w:val="21"/>
              </w:rPr>
            </w:pPr>
            <w:r>
              <w:rPr>
                <w:rFonts w:hint="eastAsia" w:ascii="仿宋" w:hAnsi="仿宋" w:eastAsia="仿宋" w:cs="仿宋"/>
                <w:szCs w:val="21"/>
              </w:rPr>
              <w:t>响应性评审标准</w:t>
            </w:r>
          </w:p>
        </w:tc>
        <w:tc>
          <w:tcPr>
            <w:tcW w:w="1727" w:type="dxa"/>
            <w:vAlign w:val="center"/>
          </w:tcPr>
          <w:p w14:paraId="65931AA8">
            <w:pPr>
              <w:spacing w:line="240" w:lineRule="auto"/>
              <w:jc w:val="center"/>
              <w:rPr>
                <w:rFonts w:hint="eastAsia" w:ascii="仿宋" w:hAnsi="仿宋" w:eastAsia="仿宋" w:cs="仿宋"/>
                <w:szCs w:val="21"/>
                <w:lang w:eastAsia="zh-CN"/>
              </w:rPr>
            </w:pPr>
            <w:r>
              <w:rPr>
                <w:rFonts w:hint="eastAsia" w:ascii="仿宋" w:hAnsi="仿宋" w:eastAsia="仿宋" w:cs="仿宋"/>
                <w:szCs w:val="21"/>
                <w:lang w:eastAsia="zh-CN"/>
              </w:rPr>
              <w:t>招标范围</w:t>
            </w:r>
          </w:p>
        </w:tc>
        <w:tc>
          <w:tcPr>
            <w:tcW w:w="6092" w:type="dxa"/>
            <w:vAlign w:val="center"/>
          </w:tcPr>
          <w:p w14:paraId="57728562">
            <w:pPr>
              <w:spacing w:line="240" w:lineRule="auto"/>
              <w:rPr>
                <w:rFonts w:hint="eastAsia" w:ascii="仿宋" w:hAnsi="仿宋" w:eastAsia="仿宋" w:cs="仿宋"/>
                <w:szCs w:val="21"/>
              </w:rPr>
            </w:pPr>
            <w:r>
              <w:rPr>
                <w:rFonts w:hint="eastAsia" w:ascii="仿宋" w:hAnsi="仿宋" w:eastAsia="仿宋" w:cs="仿宋"/>
                <w:szCs w:val="21"/>
              </w:rPr>
              <w:t>符合第二章“投标人须知”第1.3.1项规定</w:t>
            </w:r>
          </w:p>
        </w:tc>
      </w:tr>
      <w:tr w14:paraId="70E0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85" w:type="dxa"/>
            <w:vMerge w:val="continue"/>
            <w:vAlign w:val="center"/>
          </w:tcPr>
          <w:p w14:paraId="7B422AB3">
            <w:pPr>
              <w:spacing w:line="440" w:lineRule="exact"/>
              <w:jc w:val="center"/>
              <w:rPr>
                <w:rFonts w:hint="eastAsia" w:ascii="仿宋" w:hAnsi="仿宋" w:eastAsia="仿宋" w:cs="仿宋"/>
                <w:szCs w:val="21"/>
              </w:rPr>
            </w:pPr>
          </w:p>
        </w:tc>
        <w:tc>
          <w:tcPr>
            <w:tcW w:w="1315" w:type="dxa"/>
            <w:gridSpan w:val="2"/>
            <w:vMerge w:val="continue"/>
            <w:vAlign w:val="center"/>
          </w:tcPr>
          <w:p w14:paraId="346D21D2">
            <w:pPr>
              <w:spacing w:line="360" w:lineRule="auto"/>
              <w:jc w:val="center"/>
              <w:rPr>
                <w:rFonts w:hint="eastAsia" w:ascii="仿宋" w:hAnsi="仿宋" w:eastAsia="仿宋" w:cs="仿宋"/>
                <w:szCs w:val="21"/>
              </w:rPr>
            </w:pPr>
          </w:p>
        </w:tc>
        <w:tc>
          <w:tcPr>
            <w:tcW w:w="1727" w:type="dxa"/>
            <w:vAlign w:val="center"/>
          </w:tcPr>
          <w:p w14:paraId="59B73474">
            <w:pPr>
              <w:spacing w:line="240" w:lineRule="auto"/>
              <w:jc w:val="center"/>
              <w:rPr>
                <w:rFonts w:hint="eastAsia" w:ascii="仿宋" w:hAnsi="仿宋" w:eastAsia="仿宋" w:cs="仿宋"/>
                <w:szCs w:val="21"/>
                <w:lang w:eastAsia="zh-CN"/>
              </w:rPr>
            </w:pPr>
            <w:r>
              <w:rPr>
                <w:rFonts w:hint="eastAsia" w:ascii="仿宋" w:hAnsi="仿宋" w:eastAsia="仿宋" w:cs="仿宋"/>
                <w:szCs w:val="21"/>
                <w:lang w:eastAsia="zh-CN"/>
              </w:rPr>
              <w:t>交货安装周期</w:t>
            </w:r>
          </w:p>
        </w:tc>
        <w:tc>
          <w:tcPr>
            <w:tcW w:w="6092" w:type="dxa"/>
            <w:vAlign w:val="center"/>
          </w:tcPr>
          <w:p w14:paraId="646424B3">
            <w:pPr>
              <w:spacing w:line="240" w:lineRule="auto"/>
              <w:rPr>
                <w:rFonts w:hint="eastAsia" w:ascii="仿宋" w:hAnsi="仿宋" w:eastAsia="仿宋" w:cs="仿宋"/>
                <w:szCs w:val="21"/>
              </w:rPr>
            </w:pPr>
            <w:r>
              <w:rPr>
                <w:rFonts w:hint="eastAsia" w:ascii="仿宋" w:hAnsi="仿宋" w:eastAsia="仿宋" w:cs="仿宋"/>
                <w:szCs w:val="21"/>
              </w:rPr>
              <w:t>符合第二章“投标人须知”第1.3.2项规定</w:t>
            </w:r>
          </w:p>
        </w:tc>
      </w:tr>
      <w:tr w14:paraId="2D61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85" w:type="dxa"/>
            <w:vMerge w:val="continue"/>
            <w:vAlign w:val="center"/>
          </w:tcPr>
          <w:p w14:paraId="7AA7070E">
            <w:pPr>
              <w:spacing w:line="440" w:lineRule="exact"/>
              <w:jc w:val="center"/>
              <w:rPr>
                <w:rFonts w:hint="eastAsia" w:ascii="仿宋" w:hAnsi="仿宋" w:eastAsia="仿宋" w:cs="仿宋"/>
                <w:szCs w:val="21"/>
              </w:rPr>
            </w:pPr>
          </w:p>
        </w:tc>
        <w:tc>
          <w:tcPr>
            <w:tcW w:w="1315" w:type="dxa"/>
            <w:gridSpan w:val="2"/>
            <w:vMerge w:val="continue"/>
            <w:vAlign w:val="center"/>
          </w:tcPr>
          <w:p w14:paraId="74C6B046">
            <w:pPr>
              <w:spacing w:line="360" w:lineRule="auto"/>
              <w:jc w:val="center"/>
              <w:rPr>
                <w:rFonts w:hint="eastAsia" w:ascii="仿宋" w:hAnsi="仿宋" w:eastAsia="仿宋" w:cs="仿宋"/>
                <w:szCs w:val="21"/>
              </w:rPr>
            </w:pPr>
          </w:p>
        </w:tc>
        <w:tc>
          <w:tcPr>
            <w:tcW w:w="1727" w:type="dxa"/>
            <w:vAlign w:val="center"/>
          </w:tcPr>
          <w:p w14:paraId="056567F1">
            <w:pPr>
              <w:spacing w:line="240" w:lineRule="auto"/>
              <w:jc w:val="center"/>
              <w:rPr>
                <w:rFonts w:hint="eastAsia" w:ascii="仿宋" w:hAnsi="仿宋" w:eastAsia="仿宋" w:cs="仿宋"/>
                <w:szCs w:val="21"/>
              </w:rPr>
            </w:pPr>
            <w:r>
              <w:rPr>
                <w:rFonts w:hint="eastAsia" w:ascii="仿宋" w:hAnsi="仿宋" w:eastAsia="仿宋" w:cs="仿宋"/>
                <w:szCs w:val="21"/>
              </w:rPr>
              <w:t>交货地点</w:t>
            </w:r>
          </w:p>
        </w:tc>
        <w:tc>
          <w:tcPr>
            <w:tcW w:w="6092" w:type="dxa"/>
            <w:vAlign w:val="center"/>
          </w:tcPr>
          <w:p w14:paraId="1E513B6E">
            <w:pPr>
              <w:spacing w:line="240" w:lineRule="auto"/>
              <w:rPr>
                <w:rFonts w:hint="eastAsia" w:ascii="仿宋" w:hAnsi="仿宋" w:eastAsia="仿宋" w:cs="仿宋"/>
                <w:szCs w:val="21"/>
              </w:rPr>
            </w:pPr>
            <w:r>
              <w:rPr>
                <w:rFonts w:hint="eastAsia" w:ascii="仿宋" w:hAnsi="仿宋" w:eastAsia="仿宋" w:cs="仿宋"/>
                <w:szCs w:val="21"/>
              </w:rPr>
              <w:t>符合第二章“投标人须知”第1.3.3项规定</w:t>
            </w:r>
          </w:p>
        </w:tc>
      </w:tr>
      <w:tr w14:paraId="6AE9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85" w:type="dxa"/>
            <w:vMerge w:val="continue"/>
            <w:vAlign w:val="center"/>
          </w:tcPr>
          <w:p w14:paraId="16F38A3F">
            <w:pPr>
              <w:rPr>
                <w:rFonts w:hint="eastAsia" w:ascii="仿宋" w:hAnsi="仿宋" w:eastAsia="仿宋" w:cs="仿宋"/>
                <w:szCs w:val="21"/>
              </w:rPr>
            </w:pPr>
          </w:p>
        </w:tc>
        <w:tc>
          <w:tcPr>
            <w:tcW w:w="1315" w:type="dxa"/>
            <w:gridSpan w:val="2"/>
            <w:vMerge w:val="continue"/>
            <w:vAlign w:val="center"/>
          </w:tcPr>
          <w:p w14:paraId="167D88A3">
            <w:pPr>
              <w:spacing w:line="360" w:lineRule="auto"/>
              <w:rPr>
                <w:rFonts w:hint="eastAsia" w:ascii="仿宋" w:hAnsi="仿宋" w:eastAsia="仿宋" w:cs="仿宋"/>
                <w:szCs w:val="21"/>
              </w:rPr>
            </w:pPr>
          </w:p>
        </w:tc>
        <w:tc>
          <w:tcPr>
            <w:tcW w:w="1727" w:type="dxa"/>
            <w:vAlign w:val="center"/>
          </w:tcPr>
          <w:p w14:paraId="3968873F">
            <w:pPr>
              <w:spacing w:line="240" w:lineRule="auto"/>
              <w:jc w:val="center"/>
              <w:rPr>
                <w:rFonts w:hint="eastAsia" w:ascii="仿宋" w:hAnsi="仿宋" w:eastAsia="仿宋" w:cs="仿宋"/>
                <w:szCs w:val="21"/>
              </w:rPr>
            </w:pPr>
            <w:r>
              <w:rPr>
                <w:rFonts w:hint="eastAsia" w:ascii="仿宋" w:hAnsi="仿宋" w:eastAsia="仿宋" w:cs="仿宋"/>
                <w:szCs w:val="21"/>
              </w:rPr>
              <w:t>质量要求</w:t>
            </w:r>
          </w:p>
        </w:tc>
        <w:tc>
          <w:tcPr>
            <w:tcW w:w="6092" w:type="dxa"/>
            <w:vAlign w:val="center"/>
          </w:tcPr>
          <w:p w14:paraId="2B4A6C57">
            <w:pPr>
              <w:pStyle w:val="55"/>
              <w:spacing w:line="240" w:lineRule="auto"/>
              <w:rPr>
                <w:rFonts w:hint="eastAsia" w:ascii="仿宋" w:hAnsi="仿宋" w:eastAsia="仿宋" w:cs="仿宋"/>
                <w:szCs w:val="21"/>
              </w:rPr>
            </w:pPr>
            <w:r>
              <w:rPr>
                <w:rFonts w:hint="eastAsia" w:ascii="仿宋" w:hAnsi="仿宋" w:eastAsia="仿宋" w:cs="仿宋"/>
                <w:szCs w:val="21"/>
              </w:rPr>
              <w:t>符合第二章“投标人须知”第</w:t>
            </w:r>
            <w:r>
              <w:rPr>
                <w:rFonts w:hint="eastAsia" w:ascii="仿宋" w:hAnsi="仿宋" w:eastAsia="仿宋" w:cs="仿宋"/>
                <w:szCs w:val="21"/>
                <w:lang w:val="en-US" w:eastAsia="zh-CN"/>
              </w:rPr>
              <w:t>1.3.4</w:t>
            </w:r>
            <w:r>
              <w:rPr>
                <w:rFonts w:hint="eastAsia" w:ascii="仿宋" w:hAnsi="仿宋" w:eastAsia="仿宋" w:cs="仿宋"/>
                <w:szCs w:val="21"/>
              </w:rPr>
              <w:t>项规定</w:t>
            </w:r>
          </w:p>
        </w:tc>
      </w:tr>
      <w:tr w14:paraId="317B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85" w:type="dxa"/>
            <w:vMerge w:val="continue"/>
            <w:vAlign w:val="center"/>
          </w:tcPr>
          <w:p w14:paraId="2CF752A6">
            <w:pPr>
              <w:rPr>
                <w:rFonts w:hint="eastAsia" w:ascii="仿宋" w:hAnsi="仿宋" w:eastAsia="仿宋" w:cs="仿宋"/>
                <w:szCs w:val="21"/>
              </w:rPr>
            </w:pPr>
          </w:p>
        </w:tc>
        <w:tc>
          <w:tcPr>
            <w:tcW w:w="1315" w:type="dxa"/>
            <w:gridSpan w:val="2"/>
            <w:vMerge w:val="continue"/>
            <w:vAlign w:val="center"/>
          </w:tcPr>
          <w:p w14:paraId="5FF5FAB6">
            <w:pPr>
              <w:spacing w:line="360" w:lineRule="auto"/>
              <w:rPr>
                <w:rFonts w:hint="eastAsia" w:ascii="仿宋" w:hAnsi="仿宋" w:eastAsia="仿宋" w:cs="仿宋"/>
                <w:szCs w:val="21"/>
              </w:rPr>
            </w:pPr>
          </w:p>
        </w:tc>
        <w:tc>
          <w:tcPr>
            <w:tcW w:w="1727" w:type="dxa"/>
            <w:vAlign w:val="center"/>
          </w:tcPr>
          <w:p w14:paraId="43E35AC9">
            <w:pPr>
              <w:spacing w:line="240" w:lineRule="auto"/>
              <w:jc w:val="center"/>
              <w:rPr>
                <w:rFonts w:hint="eastAsia" w:ascii="仿宋" w:hAnsi="仿宋" w:eastAsia="仿宋" w:cs="仿宋"/>
                <w:szCs w:val="21"/>
              </w:rPr>
            </w:pPr>
            <w:r>
              <w:rPr>
                <w:rFonts w:hint="eastAsia" w:ascii="仿宋" w:hAnsi="仿宋" w:eastAsia="仿宋" w:cs="仿宋"/>
                <w:szCs w:val="21"/>
                <w:lang w:val="en-US" w:eastAsia="zh-CN"/>
              </w:rPr>
              <w:t>安全目标</w:t>
            </w:r>
          </w:p>
        </w:tc>
        <w:tc>
          <w:tcPr>
            <w:tcW w:w="6092" w:type="dxa"/>
            <w:vAlign w:val="center"/>
          </w:tcPr>
          <w:p w14:paraId="34546551">
            <w:pPr>
              <w:pStyle w:val="5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 w:hAnsi="仿宋" w:eastAsia="仿宋" w:cs="仿宋"/>
                <w:szCs w:val="21"/>
              </w:rPr>
            </w:pPr>
            <w:r>
              <w:rPr>
                <w:rFonts w:hint="eastAsia" w:ascii="仿宋" w:hAnsi="仿宋" w:eastAsia="仿宋" w:cs="仿宋"/>
                <w:szCs w:val="21"/>
              </w:rPr>
              <w:t>符合第二章“投标人须知”第</w:t>
            </w:r>
            <w:r>
              <w:rPr>
                <w:rFonts w:hint="eastAsia" w:ascii="仿宋" w:hAnsi="仿宋" w:eastAsia="仿宋" w:cs="仿宋"/>
                <w:szCs w:val="21"/>
                <w:lang w:val="en-US" w:eastAsia="zh-CN"/>
              </w:rPr>
              <w:t>1.3.5</w:t>
            </w:r>
            <w:r>
              <w:rPr>
                <w:rFonts w:hint="eastAsia" w:ascii="仿宋" w:hAnsi="仿宋" w:eastAsia="仿宋" w:cs="仿宋"/>
                <w:szCs w:val="21"/>
              </w:rPr>
              <w:t>项规定</w:t>
            </w:r>
          </w:p>
        </w:tc>
      </w:tr>
      <w:tr w14:paraId="2D97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85" w:type="dxa"/>
            <w:vMerge w:val="continue"/>
            <w:vAlign w:val="center"/>
          </w:tcPr>
          <w:p w14:paraId="61DEEE92">
            <w:pPr>
              <w:rPr>
                <w:rFonts w:hint="eastAsia" w:ascii="仿宋" w:hAnsi="仿宋" w:eastAsia="仿宋" w:cs="仿宋"/>
                <w:szCs w:val="21"/>
              </w:rPr>
            </w:pPr>
          </w:p>
        </w:tc>
        <w:tc>
          <w:tcPr>
            <w:tcW w:w="1315" w:type="dxa"/>
            <w:gridSpan w:val="2"/>
            <w:vMerge w:val="continue"/>
            <w:vAlign w:val="center"/>
          </w:tcPr>
          <w:p w14:paraId="04C8EE90">
            <w:pPr>
              <w:spacing w:line="360" w:lineRule="auto"/>
              <w:rPr>
                <w:rFonts w:hint="eastAsia" w:ascii="仿宋" w:hAnsi="仿宋" w:eastAsia="仿宋" w:cs="仿宋"/>
                <w:szCs w:val="21"/>
              </w:rPr>
            </w:pPr>
          </w:p>
        </w:tc>
        <w:tc>
          <w:tcPr>
            <w:tcW w:w="1727" w:type="dxa"/>
            <w:vAlign w:val="center"/>
          </w:tcPr>
          <w:p w14:paraId="75E3C7F4">
            <w:pPr>
              <w:spacing w:line="240" w:lineRule="auto"/>
              <w:jc w:val="center"/>
              <w:rPr>
                <w:rFonts w:hint="eastAsia" w:ascii="仿宋" w:hAnsi="仿宋" w:eastAsia="仿宋" w:cs="仿宋"/>
                <w:szCs w:val="21"/>
                <w:lang w:val="en-US" w:eastAsia="zh-CN"/>
              </w:rPr>
            </w:pPr>
            <w:r>
              <w:rPr>
                <w:rFonts w:hint="eastAsia" w:ascii="仿宋" w:hAnsi="仿宋" w:eastAsia="仿宋" w:cs="仿宋"/>
                <w:szCs w:val="21"/>
              </w:rPr>
              <w:t>质保期</w:t>
            </w:r>
          </w:p>
        </w:tc>
        <w:tc>
          <w:tcPr>
            <w:tcW w:w="6092" w:type="dxa"/>
            <w:vAlign w:val="center"/>
          </w:tcPr>
          <w:p w14:paraId="24196DD0">
            <w:pPr>
              <w:pStyle w:val="5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符合第二章“投标</w:t>
            </w:r>
            <w:r>
              <w:rPr>
                <w:rFonts w:hint="eastAsia" w:ascii="仿宋" w:hAnsi="仿宋" w:eastAsia="仿宋" w:cs="仿宋"/>
                <w:color w:val="auto"/>
                <w:sz w:val="21"/>
                <w:szCs w:val="21"/>
                <w:highlight w:val="none"/>
              </w:rPr>
              <w:t>人须知”第1.3.</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项规</w:t>
            </w:r>
            <w:r>
              <w:rPr>
                <w:rFonts w:hint="eastAsia" w:ascii="仿宋" w:hAnsi="仿宋" w:eastAsia="仿宋" w:cs="仿宋"/>
                <w:color w:val="auto"/>
                <w:sz w:val="21"/>
                <w:szCs w:val="21"/>
              </w:rPr>
              <w:t>定</w:t>
            </w:r>
          </w:p>
        </w:tc>
      </w:tr>
      <w:tr w14:paraId="3840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85" w:type="dxa"/>
            <w:vMerge w:val="continue"/>
            <w:vAlign w:val="center"/>
          </w:tcPr>
          <w:p w14:paraId="56251699">
            <w:pPr>
              <w:rPr>
                <w:rFonts w:hint="eastAsia" w:ascii="仿宋" w:hAnsi="仿宋" w:eastAsia="仿宋" w:cs="仿宋"/>
                <w:szCs w:val="21"/>
              </w:rPr>
            </w:pPr>
          </w:p>
        </w:tc>
        <w:tc>
          <w:tcPr>
            <w:tcW w:w="1315" w:type="dxa"/>
            <w:gridSpan w:val="2"/>
            <w:vMerge w:val="continue"/>
            <w:vAlign w:val="center"/>
          </w:tcPr>
          <w:p w14:paraId="61FC557D">
            <w:pPr>
              <w:spacing w:line="360" w:lineRule="auto"/>
              <w:rPr>
                <w:rFonts w:hint="eastAsia" w:ascii="仿宋" w:hAnsi="仿宋" w:eastAsia="仿宋" w:cs="仿宋"/>
                <w:szCs w:val="21"/>
              </w:rPr>
            </w:pPr>
          </w:p>
        </w:tc>
        <w:tc>
          <w:tcPr>
            <w:tcW w:w="1727" w:type="dxa"/>
            <w:vAlign w:val="center"/>
          </w:tcPr>
          <w:p w14:paraId="6020C66A">
            <w:pPr>
              <w:spacing w:line="240" w:lineRule="auto"/>
              <w:jc w:val="center"/>
              <w:rPr>
                <w:rFonts w:hint="eastAsia" w:ascii="仿宋" w:hAnsi="仿宋" w:eastAsia="仿宋" w:cs="仿宋"/>
                <w:szCs w:val="21"/>
              </w:rPr>
            </w:pPr>
            <w:r>
              <w:rPr>
                <w:rFonts w:hint="eastAsia" w:ascii="仿宋" w:hAnsi="仿宋" w:eastAsia="仿宋" w:cs="仿宋"/>
                <w:szCs w:val="21"/>
              </w:rPr>
              <w:t>投标报价</w:t>
            </w:r>
          </w:p>
        </w:tc>
        <w:tc>
          <w:tcPr>
            <w:tcW w:w="6092" w:type="dxa"/>
            <w:vAlign w:val="center"/>
          </w:tcPr>
          <w:p w14:paraId="178F325B">
            <w:pPr>
              <w:spacing w:line="240" w:lineRule="auto"/>
              <w:rPr>
                <w:rFonts w:hint="eastAsia" w:ascii="仿宋" w:hAnsi="仿宋" w:eastAsia="仿宋" w:cs="仿宋"/>
                <w:szCs w:val="21"/>
              </w:rPr>
            </w:pPr>
            <w:r>
              <w:rPr>
                <w:rFonts w:hint="eastAsia" w:ascii="仿宋" w:hAnsi="仿宋" w:eastAsia="仿宋" w:cs="仿宋"/>
                <w:szCs w:val="21"/>
              </w:rPr>
              <w:t>符合第二章“投标人须知”第3.2款规定</w:t>
            </w:r>
          </w:p>
        </w:tc>
      </w:tr>
      <w:tr w14:paraId="28E9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85" w:type="dxa"/>
            <w:vMerge w:val="continue"/>
            <w:vAlign w:val="center"/>
          </w:tcPr>
          <w:p w14:paraId="18F7CABA">
            <w:pPr>
              <w:rPr>
                <w:rFonts w:hint="eastAsia" w:ascii="仿宋" w:hAnsi="仿宋" w:eastAsia="仿宋" w:cs="仿宋"/>
                <w:szCs w:val="21"/>
              </w:rPr>
            </w:pPr>
          </w:p>
        </w:tc>
        <w:tc>
          <w:tcPr>
            <w:tcW w:w="1315" w:type="dxa"/>
            <w:gridSpan w:val="2"/>
            <w:vMerge w:val="continue"/>
            <w:vAlign w:val="center"/>
          </w:tcPr>
          <w:p w14:paraId="2300BFB6">
            <w:pPr>
              <w:spacing w:line="360" w:lineRule="auto"/>
              <w:rPr>
                <w:rFonts w:hint="eastAsia" w:ascii="仿宋" w:hAnsi="仿宋" w:eastAsia="仿宋" w:cs="仿宋"/>
                <w:szCs w:val="21"/>
              </w:rPr>
            </w:pPr>
          </w:p>
        </w:tc>
        <w:tc>
          <w:tcPr>
            <w:tcW w:w="1727" w:type="dxa"/>
            <w:vAlign w:val="center"/>
          </w:tcPr>
          <w:p w14:paraId="7F1C65F9">
            <w:pPr>
              <w:autoSpaceDE/>
              <w:autoSpaceDN/>
              <w:spacing w:line="240" w:lineRule="auto"/>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投标有效期</w:t>
            </w:r>
          </w:p>
        </w:tc>
        <w:tc>
          <w:tcPr>
            <w:tcW w:w="6092" w:type="dxa"/>
            <w:vAlign w:val="center"/>
          </w:tcPr>
          <w:p w14:paraId="4458E4F3">
            <w:pPr>
              <w:spacing w:line="240" w:lineRule="auto"/>
              <w:jc w:val="left"/>
              <w:rPr>
                <w:rFonts w:hint="eastAsia" w:ascii="仿宋" w:hAnsi="仿宋" w:eastAsia="仿宋" w:cs="仿宋"/>
                <w:color w:val="auto"/>
                <w:sz w:val="21"/>
                <w:szCs w:val="21"/>
              </w:rPr>
            </w:pPr>
            <w:r>
              <w:rPr>
                <w:rFonts w:hint="eastAsia" w:ascii="仿宋" w:hAnsi="仿宋" w:eastAsia="仿宋" w:cs="仿宋"/>
                <w:szCs w:val="21"/>
              </w:rPr>
              <w:t>符合第二章“投标人须知”第3.3.1项规定</w:t>
            </w:r>
          </w:p>
        </w:tc>
      </w:tr>
      <w:tr w14:paraId="44F8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85" w:type="dxa"/>
            <w:vMerge w:val="continue"/>
            <w:vAlign w:val="center"/>
          </w:tcPr>
          <w:p w14:paraId="53D0407E">
            <w:pPr>
              <w:rPr>
                <w:rFonts w:hint="eastAsia" w:ascii="仿宋" w:hAnsi="仿宋" w:eastAsia="仿宋" w:cs="仿宋"/>
                <w:szCs w:val="21"/>
              </w:rPr>
            </w:pPr>
          </w:p>
        </w:tc>
        <w:tc>
          <w:tcPr>
            <w:tcW w:w="1315" w:type="dxa"/>
            <w:gridSpan w:val="2"/>
            <w:vMerge w:val="continue"/>
            <w:vAlign w:val="center"/>
          </w:tcPr>
          <w:p w14:paraId="16308653">
            <w:pPr>
              <w:spacing w:line="360" w:lineRule="auto"/>
              <w:rPr>
                <w:rFonts w:hint="eastAsia" w:ascii="仿宋" w:hAnsi="仿宋" w:eastAsia="仿宋" w:cs="仿宋"/>
                <w:szCs w:val="21"/>
              </w:rPr>
            </w:pPr>
          </w:p>
        </w:tc>
        <w:tc>
          <w:tcPr>
            <w:tcW w:w="1727" w:type="dxa"/>
            <w:vAlign w:val="center"/>
          </w:tcPr>
          <w:p w14:paraId="2B2179EF">
            <w:pPr>
              <w:autoSpaceDE/>
              <w:autoSpaceDN/>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投标保证金企业信用承诺函</w:t>
            </w:r>
          </w:p>
        </w:tc>
        <w:tc>
          <w:tcPr>
            <w:tcW w:w="6092" w:type="dxa"/>
            <w:vAlign w:val="center"/>
          </w:tcPr>
          <w:p w14:paraId="5E4801FF">
            <w:pPr>
              <w:autoSpaceDE/>
              <w:autoSpaceDN/>
              <w:spacing w:line="240" w:lineRule="auto"/>
              <w:jc w:val="left"/>
              <w:rPr>
                <w:rFonts w:hint="eastAsia" w:ascii="仿宋" w:hAnsi="仿宋" w:eastAsia="仿宋" w:cs="仿宋"/>
                <w:color w:val="auto"/>
                <w:sz w:val="21"/>
                <w:szCs w:val="21"/>
              </w:rPr>
            </w:pPr>
            <w:r>
              <w:rPr>
                <w:rFonts w:hint="eastAsia" w:ascii="仿宋" w:hAnsi="仿宋" w:eastAsia="仿宋" w:cs="仿宋"/>
                <w:color w:val="000000" w:themeColor="text1"/>
                <w:sz w:val="21"/>
                <w:szCs w:val="21"/>
                <w14:textFill>
                  <w14:solidFill>
                    <w14:schemeClr w14:val="tx1"/>
                  </w14:solidFill>
                </w14:textFill>
              </w:rPr>
              <w:t>符合第二章“投标人须知”第</w:t>
            </w:r>
            <w:r>
              <w:rPr>
                <w:rFonts w:hint="eastAsia" w:ascii="仿宋" w:hAnsi="仿宋" w:eastAsia="仿宋" w:cs="仿宋"/>
                <w:color w:val="000000" w:themeColor="text1"/>
                <w:sz w:val="21"/>
                <w:szCs w:val="21"/>
                <w:lang w:val="en-US" w:eastAsia="zh-CN"/>
                <w14:textFill>
                  <w14:solidFill>
                    <w14:schemeClr w14:val="tx1"/>
                  </w14:solidFill>
                </w14:textFill>
              </w:rPr>
              <w:t>3.4.1</w:t>
            </w:r>
            <w:r>
              <w:rPr>
                <w:rFonts w:hint="eastAsia" w:ascii="仿宋" w:hAnsi="仿宋" w:eastAsia="仿宋" w:cs="仿宋"/>
                <w:color w:val="000000" w:themeColor="text1"/>
                <w:sz w:val="21"/>
                <w:szCs w:val="21"/>
                <w14:textFill>
                  <w14:solidFill>
                    <w14:schemeClr w14:val="tx1"/>
                  </w14:solidFill>
                </w14:textFill>
              </w:rPr>
              <w:t>项规定</w:t>
            </w:r>
          </w:p>
        </w:tc>
      </w:tr>
      <w:tr w14:paraId="7BAD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85" w:type="dxa"/>
            <w:vMerge w:val="continue"/>
            <w:vAlign w:val="center"/>
          </w:tcPr>
          <w:p w14:paraId="2F2382B3">
            <w:pPr>
              <w:rPr>
                <w:rFonts w:hint="eastAsia" w:ascii="仿宋" w:hAnsi="仿宋" w:eastAsia="仿宋" w:cs="仿宋"/>
                <w:szCs w:val="21"/>
              </w:rPr>
            </w:pPr>
          </w:p>
        </w:tc>
        <w:tc>
          <w:tcPr>
            <w:tcW w:w="1315" w:type="dxa"/>
            <w:gridSpan w:val="2"/>
            <w:vMerge w:val="continue"/>
            <w:vAlign w:val="center"/>
          </w:tcPr>
          <w:p w14:paraId="77470DBE">
            <w:pPr>
              <w:spacing w:line="360" w:lineRule="auto"/>
              <w:rPr>
                <w:rFonts w:hint="eastAsia" w:ascii="仿宋" w:hAnsi="仿宋" w:eastAsia="仿宋" w:cs="仿宋"/>
                <w:szCs w:val="21"/>
              </w:rPr>
            </w:pPr>
          </w:p>
        </w:tc>
        <w:tc>
          <w:tcPr>
            <w:tcW w:w="1727" w:type="dxa"/>
            <w:vAlign w:val="center"/>
          </w:tcPr>
          <w:p w14:paraId="7BE72868">
            <w:pPr>
              <w:autoSpaceDE/>
              <w:autoSpaceDN/>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付款方式</w:t>
            </w:r>
          </w:p>
        </w:tc>
        <w:tc>
          <w:tcPr>
            <w:tcW w:w="6092" w:type="dxa"/>
            <w:vAlign w:val="center"/>
          </w:tcPr>
          <w:p w14:paraId="6E061DAE">
            <w:pPr>
              <w:pStyle w:val="55"/>
              <w:keepNext w:val="0"/>
              <w:keepLines w:val="0"/>
              <w:pageBreakBefore w:val="0"/>
              <w:widowControl w:val="0"/>
              <w:kinsoku/>
              <w:wordWrap/>
              <w:overflowPunct/>
              <w:topLinePunct w:val="0"/>
              <w:autoSpaceDE/>
              <w:autoSpaceDN/>
              <w:bidi w:val="0"/>
              <w:adjustRightInd/>
              <w:spacing w:line="240" w:lineRule="auto"/>
              <w:jc w:val="left"/>
              <w:textAlignment w:val="auto"/>
              <w:rPr>
                <w:rFonts w:hint="eastAsia" w:ascii="仿宋" w:hAnsi="仿宋" w:eastAsia="仿宋" w:cs="仿宋"/>
                <w:szCs w:val="21"/>
              </w:rPr>
            </w:pPr>
            <w:r>
              <w:rPr>
                <w:rFonts w:hint="eastAsia" w:ascii="仿宋" w:hAnsi="仿宋" w:eastAsia="仿宋" w:cs="仿宋"/>
                <w:color w:val="auto"/>
                <w:sz w:val="21"/>
                <w:szCs w:val="21"/>
              </w:rPr>
              <w:t>符合第二章“投标人须知”第10.</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项规定</w:t>
            </w:r>
          </w:p>
        </w:tc>
      </w:tr>
      <w:tr w14:paraId="7629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85" w:type="dxa"/>
            <w:vMerge w:val="continue"/>
            <w:vAlign w:val="center"/>
          </w:tcPr>
          <w:p w14:paraId="470B3665">
            <w:pPr>
              <w:rPr>
                <w:rFonts w:hint="eastAsia" w:ascii="仿宋" w:hAnsi="仿宋" w:eastAsia="仿宋" w:cs="仿宋"/>
                <w:szCs w:val="21"/>
              </w:rPr>
            </w:pPr>
          </w:p>
        </w:tc>
        <w:tc>
          <w:tcPr>
            <w:tcW w:w="1315" w:type="dxa"/>
            <w:gridSpan w:val="2"/>
            <w:vMerge w:val="continue"/>
            <w:vAlign w:val="center"/>
          </w:tcPr>
          <w:p w14:paraId="31207873">
            <w:pPr>
              <w:spacing w:line="360" w:lineRule="auto"/>
              <w:rPr>
                <w:rFonts w:hint="eastAsia" w:ascii="仿宋" w:hAnsi="仿宋" w:eastAsia="仿宋" w:cs="仿宋"/>
                <w:szCs w:val="21"/>
              </w:rPr>
            </w:pPr>
          </w:p>
        </w:tc>
        <w:tc>
          <w:tcPr>
            <w:tcW w:w="1727" w:type="dxa"/>
            <w:vAlign w:val="center"/>
          </w:tcPr>
          <w:p w14:paraId="71B97D56">
            <w:pPr>
              <w:autoSpaceDE/>
              <w:autoSpaceDN/>
              <w:spacing w:line="240" w:lineRule="auto"/>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其他</w:t>
            </w:r>
          </w:p>
        </w:tc>
        <w:tc>
          <w:tcPr>
            <w:tcW w:w="6092" w:type="dxa"/>
            <w:vAlign w:val="center"/>
          </w:tcPr>
          <w:p w14:paraId="6533EA05">
            <w:pPr>
              <w:autoSpaceDE/>
              <w:autoSpaceDN/>
              <w:spacing w:line="240" w:lineRule="auto"/>
              <w:jc w:val="left"/>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符合招标文件其他的规定</w:t>
            </w:r>
          </w:p>
        </w:tc>
      </w:tr>
      <w:tr w14:paraId="27B6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100" w:type="dxa"/>
            <w:gridSpan w:val="3"/>
            <w:vAlign w:val="center"/>
          </w:tcPr>
          <w:p w14:paraId="3B8E8DD1">
            <w:pPr>
              <w:spacing w:line="360" w:lineRule="auto"/>
              <w:jc w:val="center"/>
              <w:rPr>
                <w:rFonts w:hint="eastAsia" w:ascii="仿宋" w:hAnsi="仿宋" w:eastAsia="仿宋" w:cs="仿宋"/>
                <w:b/>
                <w:szCs w:val="21"/>
              </w:rPr>
            </w:pPr>
            <w:r>
              <w:rPr>
                <w:rFonts w:hint="eastAsia" w:ascii="仿宋" w:hAnsi="仿宋" w:eastAsia="仿宋" w:cs="仿宋"/>
                <w:b/>
                <w:szCs w:val="21"/>
              </w:rPr>
              <w:t>条款号</w:t>
            </w:r>
          </w:p>
        </w:tc>
        <w:tc>
          <w:tcPr>
            <w:tcW w:w="1727" w:type="dxa"/>
            <w:vAlign w:val="center"/>
          </w:tcPr>
          <w:p w14:paraId="66E358B3">
            <w:pPr>
              <w:spacing w:line="360" w:lineRule="auto"/>
              <w:jc w:val="center"/>
              <w:rPr>
                <w:rFonts w:hint="eastAsia" w:ascii="仿宋" w:hAnsi="仿宋" w:eastAsia="仿宋" w:cs="仿宋"/>
                <w:b/>
                <w:szCs w:val="21"/>
              </w:rPr>
            </w:pPr>
            <w:r>
              <w:rPr>
                <w:rFonts w:hint="eastAsia" w:ascii="仿宋" w:hAnsi="仿宋" w:eastAsia="仿宋" w:cs="仿宋"/>
                <w:b/>
                <w:szCs w:val="21"/>
              </w:rPr>
              <w:t>条款内容</w:t>
            </w:r>
          </w:p>
        </w:tc>
        <w:tc>
          <w:tcPr>
            <w:tcW w:w="6092" w:type="dxa"/>
            <w:vAlign w:val="center"/>
          </w:tcPr>
          <w:p w14:paraId="3ACEB9B2">
            <w:pPr>
              <w:spacing w:line="360" w:lineRule="auto"/>
              <w:jc w:val="center"/>
              <w:rPr>
                <w:rFonts w:hint="eastAsia" w:ascii="仿宋" w:hAnsi="仿宋" w:eastAsia="仿宋" w:cs="仿宋"/>
                <w:b/>
                <w:szCs w:val="21"/>
              </w:rPr>
            </w:pPr>
            <w:r>
              <w:rPr>
                <w:rFonts w:hint="eastAsia" w:ascii="仿宋" w:hAnsi="仿宋" w:eastAsia="仿宋" w:cs="仿宋"/>
                <w:b/>
                <w:szCs w:val="21"/>
              </w:rPr>
              <w:t>编列内容</w:t>
            </w:r>
          </w:p>
        </w:tc>
      </w:tr>
      <w:tr w14:paraId="31A2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2100" w:type="dxa"/>
            <w:gridSpan w:val="3"/>
            <w:vAlign w:val="center"/>
          </w:tcPr>
          <w:p w14:paraId="29E4E2C9">
            <w:pPr>
              <w:spacing w:line="360" w:lineRule="auto"/>
              <w:jc w:val="center"/>
              <w:rPr>
                <w:rFonts w:hint="eastAsia" w:ascii="仿宋" w:hAnsi="仿宋" w:eastAsia="仿宋" w:cs="仿宋"/>
                <w:szCs w:val="21"/>
              </w:rPr>
            </w:pPr>
            <w:r>
              <w:rPr>
                <w:rFonts w:hint="eastAsia" w:ascii="仿宋" w:hAnsi="仿宋" w:eastAsia="仿宋" w:cs="仿宋"/>
                <w:szCs w:val="21"/>
              </w:rPr>
              <w:t>2.2.1</w:t>
            </w:r>
          </w:p>
        </w:tc>
        <w:tc>
          <w:tcPr>
            <w:tcW w:w="1727" w:type="dxa"/>
            <w:vAlign w:val="center"/>
          </w:tcPr>
          <w:p w14:paraId="4CDCFC4E">
            <w:pPr>
              <w:snapToGrid w:val="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分值构成</w:t>
            </w:r>
          </w:p>
          <w:p w14:paraId="54C81A85">
            <w:pPr>
              <w:snapToGrid w:val="0"/>
              <w:jc w:val="center"/>
              <w:rPr>
                <w:rFonts w:hint="eastAsia" w:ascii="仿宋" w:hAnsi="仿宋" w:eastAsia="仿宋" w:cs="仿宋"/>
                <w:szCs w:val="21"/>
                <w:highlight w:val="none"/>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103</w:t>
            </w:r>
            <w:r>
              <w:rPr>
                <w:rFonts w:hint="eastAsia" w:ascii="仿宋" w:hAnsi="仿宋" w:eastAsia="仿宋" w:cs="仿宋"/>
                <w:color w:val="000000"/>
                <w:szCs w:val="21"/>
                <w:highlight w:val="none"/>
              </w:rPr>
              <w:t>分）</w:t>
            </w:r>
          </w:p>
        </w:tc>
        <w:tc>
          <w:tcPr>
            <w:tcW w:w="6092" w:type="dxa"/>
            <w:vAlign w:val="center"/>
          </w:tcPr>
          <w:p w14:paraId="1BAE4685">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szCs w:val="21"/>
                <w:highlight w:val="none"/>
                <w:lang w:val="en-US" w:eastAsia="zh-CN"/>
              </w:rPr>
            </w:pPr>
            <w:r>
              <w:rPr>
                <w:rFonts w:hint="eastAsia" w:ascii="仿宋" w:hAnsi="仿宋" w:eastAsia="仿宋" w:cs="仿宋"/>
                <w:szCs w:val="21"/>
                <w:lang w:val="en-US" w:eastAsia="zh-CN"/>
              </w:rPr>
              <w:t>商务部分</w:t>
            </w:r>
            <w:r>
              <w:rPr>
                <w:rFonts w:hint="eastAsia" w:ascii="仿宋" w:hAnsi="仿宋" w:eastAsia="仿宋" w:cs="仿宋"/>
                <w:szCs w:val="21"/>
                <w:highlight w:val="none"/>
                <w:lang w:val="en-US" w:eastAsia="zh-CN"/>
              </w:rPr>
              <w:t>：33分</w:t>
            </w:r>
          </w:p>
          <w:p w14:paraId="7966F4C2">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技术部分：35分</w:t>
            </w:r>
          </w:p>
          <w:p w14:paraId="32EBA6EA">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Cs w:val="21"/>
                <w:highlight w:val="none"/>
              </w:rPr>
            </w:pPr>
            <w:r>
              <w:rPr>
                <w:rFonts w:hint="eastAsia" w:ascii="仿宋" w:hAnsi="仿宋" w:eastAsia="仿宋" w:cs="仿宋"/>
                <w:szCs w:val="21"/>
                <w:highlight w:val="none"/>
                <w:lang w:val="en-US" w:eastAsia="zh-CN"/>
              </w:rPr>
              <w:t>综合部分：35分</w:t>
            </w:r>
          </w:p>
        </w:tc>
      </w:tr>
      <w:tr w14:paraId="301B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2100" w:type="dxa"/>
            <w:gridSpan w:val="3"/>
            <w:vAlign w:val="center"/>
          </w:tcPr>
          <w:p w14:paraId="4A717190">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2.2.2</w:t>
            </w:r>
          </w:p>
        </w:tc>
        <w:tc>
          <w:tcPr>
            <w:tcW w:w="1727" w:type="dxa"/>
            <w:vAlign w:val="center"/>
          </w:tcPr>
          <w:p w14:paraId="7C2C4044">
            <w:pPr>
              <w:pStyle w:val="103"/>
              <w:keepNext w:val="0"/>
              <w:keepLines w:val="0"/>
              <w:pageBreakBefore w:val="0"/>
              <w:kinsoku/>
              <w:wordWrap/>
              <w:overflowPunct/>
              <w:topLinePunct w:val="0"/>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评标基准价</w:t>
            </w:r>
          </w:p>
          <w:p w14:paraId="1CDF2D96">
            <w:pPr>
              <w:pStyle w:val="103"/>
              <w:keepNext w:val="0"/>
              <w:keepLines w:val="0"/>
              <w:pageBreakBefore w:val="0"/>
              <w:kinsoku/>
              <w:wordWrap/>
              <w:overflowPunct/>
              <w:topLinePunct w:val="0"/>
              <w:bidi w:val="0"/>
              <w:spacing w:line="360" w:lineRule="auto"/>
              <w:jc w:val="center"/>
              <w:textAlignment w:val="auto"/>
              <w:rPr>
                <w:rFonts w:hint="eastAsia" w:ascii="仿宋" w:hAnsi="仿宋" w:eastAsia="仿宋" w:cs="仿宋"/>
                <w:color w:val="000000"/>
                <w:szCs w:val="21"/>
                <w:highlight w:val="none"/>
              </w:rPr>
            </w:pPr>
            <w:r>
              <w:rPr>
                <w:rFonts w:hint="eastAsia" w:ascii="仿宋" w:hAnsi="仿宋" w:eastAsia="仿宋" w:cs="仿宋"/>
                <w:sz w:val="21"/>
                <w:szCs w:val="21"/>
              </w:rPr>
              <w:t>计算方法</w:t>
            </w:r>
          </w:p>
        </w:tc>
        <w:tc>
          <w:tcPr>
            <w:tcW w:w="6092" w:type="dxa"/>
            <w:vAlign w:val="top"/>
          </w:tcPr>
          <w:p w14:paraId="6143C8B5">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评标基准值计算公式为：</w:t>
            </w:r>
          </w:p>
          <w:p w14:paraId="60753849">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评标基准值=A*50%+ B*50%</w:t>
            </w:r>
          </w:p>
          <w:p w14:paraId="65FBDB41">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Cs w:val="21"/>
                <w:highlight w:val="none"/>
              </w:rPr>
            </w:pPr>
            <w:r>
              <w:rPr>
                <w:rFonts w:hint="eastAsia" w:ascii="仿宋" w:hAnsi="仿宋" w:eastAsia="仿宋" w:cs="仿宋"/>
                <w:szCs w:val="21"/>
                <w:lang w:val="en-US" w:eastAsia="zh-CN"/>
              </w:rPr>
              <w:t>其中：A：招标人招标控制价；B：有效投标报价的算术平均值（有效投标报价1：不高于招标控制价，2：通过评委会初步评审）</w:t>
            </w:r>
          </w:p>
        </w:tc>
      </w:tr>
      <w:tr w14:paraId="2CDF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100" w:type="dxa"/>
            <w:gridSpan w:val="3"/>
            <w:vAlign w:val="center"/>
          </w:tcPr>
          <w:p w14:paraId="6778FA53">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2.2.3</w:t>
            </w:r>
          </w:p>
        </w:tc>
        <w:tc>
          <w:tcPr>
            <w:tcW w:w="1727" w:type="dxa"/>
            <w:vAlign w:val="center"/>
          </w:tcPr>
          <w:p w14:paraId="7E7CDACF">
            <w:pPr>
              <w:pStyle w:val="103"/>
              <w:keepNext w:val="0"/>
              <w:keepLines w:val="0"/>
              <w:pageBreakBefore w:val="0"/>
              <w:kinsoku/>
              <w:wordWrap/>
              <w:overflowPunct/>
              <w:topLinePunct w:val="0"/>
              <w:bidi w:val="0"/>
              <w:spacing w:line="360" w:lineRule="auto"/>
              <w:jc w:val="center"/>
              <w:textAlignment w:val="auto"/>
              <w:rPr>
                <w:rFonts w:hint="eastAsia" w:ascii="仿宋" w:hAnsi="仿宋" w:eastAsia="仿宋" w:cs="仿宋"/>
                <w:color w:val="000000"/>
                <w:szCs w:val="21"/>
                <w:highlight w:val="none"/>
              </w:rPr>
            </w:pPr>
            <w:r>
              <w:rPr>
                <w:rFonts w:hint="eastAsia" w:ascii="仿宋" w:hAnsi="仿宋" w:eastAsia="仿宋" w:cs="仿宋"/>
                <w:sz w:val="21"/>
                <w:szCs w:val="21"/>
              </w:rPr>
              <w:t>投标报价的偏差率计算公式</w:t>
            </w:r>
          </w:p>
        </w:tc>
        <w:tc>
          <w:tcPr>
            <w:tcW w:w="6092" w:type="dxa"/>
            <w:vAlign w:val="center"/>
          </w:tcPr>
          <w:p w14:paraId="618DA5AB">
            <w:pPr>
              <w:pStyle w:val="103"/>
              <w:keepNext w:val="0"/>
              <w:keepLines w:val="0"/>
              <w:pageBreakBefore w:val="0"/>
              <w:kinsoku/>
              <w:wordWrap/>
              <w:overflowPunct/>
              <w:topLinePunct w:val="0"/>
              <w:bidi w:val="0"/>
              <w:spacing w:line="360" w:lineRule="auto"/>
              <w:ind w:left="109" w:leftChars="0" w:right="102" w:rightChars="0" w:hanging="1" w:firstLineChars="0"/>
              <w:jc w:val="both"/>
              <w:textAlignment w:val="auto"/>
              <w:rPr>
                <w:rFonts w:hint="eastAsia" w:ascii="仿宋" w:hAnsi="仿宋" w:eastAsia="仿宋" w:cs="仿宋"/>
                <w:color w:val="000000"/>
                <w:szCs w:val="21"/>
                <w:highlight w:val="none"/>
              </w:rPr>
            </w:pPr>
            <w:r>
              <w:rPr>
                <w:rFonts w:hint="eastAsia" w:ascii="仿宋" w:hAnsi="仿宋" w:eastAsia="仿宋" w:cs="仿宋"/>
                <w:spacing w:val="4"/>
                <w:sz w:val="21"/>
                <w:szCs w:val="21"/>
              </w:rPr>
              <w:t>偏差率=100%×（投标人投标报价-评</w:t>
            </w:r>
            <w:r>
              <w:rPr>
                <w:rFonts w:hint="eastAsia" w:ascii="仿宋" w:hAnsi="仿宋" w:eastAsia="仿宋" w:cs="仿宋"/>
                <w:spacing w:val="3"/>
                <w:sz w:val="21"/>
                <w:szCs w:val="21"/>
              </w:rPr>
              <w:t>标基准价）/评标基</w:t>
            </w:r>
            <w:r>
              <w:rPr>
                <w:rFonts w:hint="eastAsia" w:ascii="仿宋" w:hAnsi="仿宋" w:eastAsia="仿宋" w:cs="仿宋"/>
                <w:spacing w:val="-3"/>
                <w:sz w:val="21"/>
                <w:szCs w:val="21"/>
              </w:rPr>
              <w:t>准价</w:t>
            </w:r>
          </w:p>
        </w:tc>
      </w:tr>
      <w:tr w14:paraId="6AF9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100" w:type="dxa"/>
            <w:gridSpan w:val="3"/>
            <w:vAlign w:val="center"/>
          </w:tcPr>
          <w:p w14:paraId="0D04C037">
            <w:pPr>
              <w:snapToGrid w:val="0"/>
              <w:jc w:val="center"/>
              <w:rPr>
                <w:rFonts w:hint="eastAsia" w:ascii="仿宋" w:hAnsi="仿宋" w:eastAsia="仿宋" w:cs="仿宋"/>
                <w:b/>
                <w:szCs w:val="21"/>
              </w:rPr>
            </w:pPr>
            <w:r>
              <w:rPr>
                <w:rFonts w:hint="eastAsia" w:ascii="仿宋" w:hAnsi="仿宋" w:eastAsia="仿宋" w:cs="仿宋"/>
                <w:b/>
                <w:szCs w:val="21"/>
              </w:rPr>
              <w:t>条款号</w:t>
            </w:r>
          </w:p>
        </w:tc>
        <w:tc>
          <w:tcPr>
            <w:tcW w:w="1727" w:type="dxa"/>
            <w:vAlign w:val="center"/>
          </w:tcPr>
          <w:p w14:paraId="0A4EB61B">
            <w:pPr>
              <w:snapToGrid w:val="0"/>
              <w:jc w:val="center"/>
              <w:rPr>
                <w:rFonts w:hint="eastAsia" w:ascii="仿宋" w:hAnsi="仿宋" w:eastAsia="仿宋" w:cs="仿宋"/>
                <w:b/>
                <w:szCs w:val="21"/>
              </w:rPr>
            </w:pPr>
            <w:r>
              <w:rPr>
                <w:rFonts w:hint="eastAsia" w:ascii="仿宋" w:hAnsi="仿宋" w:eastAsia="仿宋" w:cs="仿宋"/>
                <w:b/>
                <w:szCs w:val="21"/>
              </w:rPr>
              <w:t>评分因素</w:t>
            </w:r>
          </w:p>
        </w:tc>
        <w:tc>
          <w:tcPr>
            <w:tcW w:w="6092" w:type="dxa"/>
            <w:vAlign w:val="center"/>
          </w:tcPr>
          <w:p w14:paraId="08ACDF29">
            <w:pPr>
              <w:snapToGrid w:val="0"/>
              <w:jc w:val="center"/>
              <w:rPr>
                <w:rFonts w:hint="eastAsia" w:ascii="仿宋" w:hAnsi="仿宋" w:eastAsia="仿宋" w:cs="仿宋"/>
                <w:b/>
                <w:szCs w:val="21"/>
              </w:rPr>
            </w:pPr>
            <w:r>
              <w:rPr>
                <w:rFonts w:hint="eastAsia" w:ascii="仿宋" w:hAnsi="仿宋" w:eastAsia="仿宋" w:cs="仿宋"/>
                <w:b/>
                <w:szCs w:val="21"/>
              </w:rPr>
              <w:t>评分标准</w:t>
            </w:r>
          </w:p>
        </w:tc>
      </w:tr>
      <w:tr w14:paraId="74B7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gridSpan w:val="2"/>
            <w:vMerge w:val="restart"/>
            <w:vAlign w:val="center"/>
          </w:tcPr>
          <w:p w14:paraId="10448776">
            <w:pPr>
              <w:spacing w:line="440" w:lineRule="exact"/>
              <w:jc w:val="center"/>
              <w:rPr>
                <w:rFonts w:hint="eastAsia" w:ascii="仿宋" w:hAnsi="仿宋" w:eastAsia="仿宋" w:cs="仿宋"/>
                <w:szCs w:val="21"/>
              </w:rPr>
            </w:pPr>
            <w:r>
              <w:rPr>
                <w:rFonts w:hint="eastAsia" w:ascii="仿宋" w:hAnsi="仿宋" w:eastAsia="仿宋" w:cs="仿宋"/>
                <w:szCs w:val="21"/>
              </w:rPr>
              <w:t>2.2.4（1）</w:t>
            </w:r>
          </w:p>
        </w:tc>
        <w:tc>
          <w:tcPr>
            <w:tcW w:w="1089" w:type="dxa"/>
            <w:vMerge w:val="restart"/>
            <w:vAlign w:val="center"/>
          </w:tcPr>
          <w:p w14:paraId="300D6B3F">
            <w:pPr>
              <w:snapToGrid w:val="0"/>
              <w:jc w:val="center"/>
              <w:rPr>
                <w:rFonts w:hint="eastAsia" w:ascii="仿宋" w:hAnsi="仿宋" w:eastAsia="仿宋" w:cs="仿宋"/>
                <w:szCs w:val="21"/>
              </w:rPr>
            </w:pPr>
            <w:r>
              <w:rPr>
                <w:rFonts w:hint="eastAsia" w:ascii="仿宋" w:hAnsi="仿宋" w:eastAsia="仿宋" w:cs="仿宋"/>
                <w:szCs w:val="21"/>
              </w:rPr>
              <w:t>商务评分标准</w:t>
            </w:r>
          </w:p>
          <w:p w14:paraId="0DD81E44">
            <w:pPr>
              <w:snapToGrid w:val="0"/>
              <w:jc w:val="center"/>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33</w:t>
            </w:r>
            <w:r>
              <w:rPr>
                <w:rFonts w:hint="eastAsia" w:ascii="仿宋" w:hAnsi="仿宋" w:eastAsia="仿宋" w:cs="仿宋"/>
                <w:szCs w:val="21"/>
              </w:rPr>
              <w:t>分）</w:t>
            </w:r>
          </w:p>
        </w:tc>
        <w:tc>
          <w:tcPr>
            <w:tcW w:w="1727" w:type="dxa"/>
            <w:vAlign w:val="center"/>
          </w:tcPr>
          <w:p w14:paraId="370DCA08">
            <w:pPr>
              <w:snapToGrid w:val="0"/>
              <w:spacing w:line="360" w:lineRule="auto"/>
              <w:jc w:val="center"/>
              <w:rPr>
                <w:rFonts w:hint="eastAsia" w:ascii="仿宋" w:hAnsi="仿宋" w:eastAsia="仿宋" w:cs="仿宋"/>
                <w:szCs w:val="21"/>
              </w:rPr>
            </w:pPr>
            <w:bookmarkStart w:id="410" w:name="_Toc247514010"/>
            <w:bookmarkStart w:id="411" w:name="_Toc152042363"/>
            <w:bookmarkStart w:id="412" w:name="_Toc300835007"/>
            <w:bookmarkStart w:id="413" w:name="_Toc12369"/>
            <w:bookmarkStart w:id="414" w:name="_Toc247527611"/>
            <w:bookmarkStart w:id="415" w:name="_Toc352691532"/>
            <w:bookmarkStart w:id="416" w:name="_Toc369531576"/>
            <w:bookmarkStart w:id="417" w:name="_Toc361508645"/>
            <w:bookmarkStart w:id="418" w:name="_Toc384308271"/>
            <w:bookmarkStart w:id="419" w:name="_Toc144974553"/>
            <w:bookmarkStart w:id="420" w:name="_Toc152045586"/>
            <w:r>
              <w:rPr>
                <w:rFonts w:hint="eastAsia" w:ascii="仿宋" w:hAnsi="仿宋" w:eastAsia="仿宋" w:cs="仿宋"/>
                <w:szCs w:val="21"/>
              </w:rPr>
              <w:t>报价得分</w:t>
            </w:r>
          </w:p>
          <w:p w14:paraId="270C58A5">
            <w:pPr>
              <w:snapToGrid w:val="0"/>
              <w:spacing w:line="360" w:lineRule="auto"/>
              <w:jc w:val="center"/>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30</w:t>
            </w:r>
            <w:r>
              <w:rPr>
                <w:rFonts w:hint="eastAsia" w:ascii="仿宋" w:hAnsi="仿宋" w:eastAsia="仿宋" w:cs="仿宋"/>
                <w:szCs w:val="21"/>
              </w:rPr>
              <w:t>分）</w:t>
            </w:r>
          </w:p>
        </w:tc>
        <w:tc>
          <w:tcPr>
            <w:tcW w:w="6092" w:type="dxa"/>
            <w:vAlign w:val="center"/>
          </w:tcPr>
          <w:p w14:paraId="138D89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以评标基准值为基准，投标人的投标报价与评标基准值相等者得基本分30分。投标报价高于评标基准值的，按每高于评标基准值1%扣1分的比例从基本分30分的基础上进行扣分，扣完为止；按每低于评标基准值1%扣1分的比例以基本分30分为基础进行扣分扣完为止（价格分计算保留小数点后二位）。</w:t>
            </w:r>
          </w:p>
          <w:p w14:paraId="37F63A12">
            <w:pPr>
              <w:pStyle w:val="12"/>
              <w:spacing w:line="360" w:lineRule="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评标基准值计算公式为：</w:t>
            </w:r>
          </w:p>
          <w:p w14:paraId="51C19398">
            <w:pPr>
              <w:pStyle w:val="12"/>
              <w:spacing w:line="360" w:lineRule="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评标基准值=A*50%+ B*50%</w:t>
            </w:r>
          </w:p>
          <w:p w14:paraId="4024502A">
            <w:pPr>
              <w:pStyle w:val="12"/>
              <w:spacing w:line="360" w:lineRule="auto"/>
              <w:rPr>
                <w:rFonts w:hint="eastAsia"/>
                <w:lang w:val="en-US" w:eastAsia="zh-CN"/>
              </w:rPr>
            </w:pPr>
            <w:r>
              <w:rPr>
                <w:rFonts w:hint="eastAsia" w:ascii="仿宋" w:hAnsi="仿宋" w:eastAsia="仿宋" w:cs="仿宋"/>
                <w:kern w:val="2"/>
                <w:sz w:val="21"/>
                <w:szCs w:val="21"/>
                <w:lang w:val="en-US" w:eastAsia="zh-CN" w:bidi="ar-SA"/>
              </w:rPr>
              <w:t>其中：A：招标人招标控制价；B：有效投标报价的算术平均值（有效投标报价1：不高于招标控制价，2：通过评委会初步评审）</w:t>
            </w:r>
          </w:p>
        </w:tc>
      </w:tr>
      <w:tr w14:paraId="273C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gridSpan w:val="2"/>
            <w:vMerge w:val="continue"/>
            <w:vAlign w:val="center"/>
          </w:tcPr>
          <w:p w14:paraId="222C0A05">
            <w:pPr>
              <w:spacing w:line="440" w:lineRule="exact"/>
              <w:jc w:val="center"/>
              <w:rPr>
                <w:rFonts w:hint="eastAsia" w:ascii="仿宋" w:hAnsi="仿宋" w:eastAsia="仿宋" w:cs="仿宋"/>
                <w:szCs w:val="21"/>
              </w:rPr>
            </w:pPr>
          </w:p>
        </w:tc>
        <w:tc>
          <w:tcPr>
            <w:tcW w:w="1089" w:type="dxa"/>
            <w:vMerge w:val="continue"/>
            <w:vAlign w:val="center"/>
          </w:tcPr>
          <w:p w14:paraId="6FB1E110">
            <w:pPr>
              <w:snapToGrid w:val="0"/>
              <w:jc w:val="center"/>
              <w:rPr>
                <w:rFonts w:hint="eastAsia" w:ascii="仿宋" w:hAnsi="仿宋" w:eastAsia="仿宋" w:cs="仿宋"/>
                <w:szCs w:val="21"/>
              </w:rPr>
            </w:pPr>
          </w:p>
        </w:tc>
        <w:tc>
          <w:tcPr>
            <w:tcW w:w="1727" w:type="dxa"/>
            <w:vAlign w:val="center"/>
          </w:tcPr>
          <w:p w14:paraId="35C2883C">
            <w:pPr>
              <w:snapToGrid w:val="0"/>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中小企业扶持</w:t>
            </w:r>
          </w:p>
          <w:p w14:paraId="4C771A9A">
            <w:pPr>
              <w:snapToGrid w:val="0"/>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政策（3分）</w:t>
            </w:r>
          </w:p>
        </w:tc>
        <w:tc>
          <w:tcPr>
            <w:tcW w:w="6092" w:type="dxa"/>
            <w:vAlign w:val="center"/>
          </w:tcPr>
          <w:p w14:paraId="44367CA9">
            <w:pPr>
              <w:snapToGrid w:val="0"/>
              <w:spacing w:line="360" w:lineRule="auto"/>
              <w:jc w:val="left"/>
              <w:rPr>
                <w:rFonts w:hint="eastAsia" w:ascii="仿宋" w:hAnsi="仿宋" w:eastAsia="仿宋" w:cs="仿宋"/>
                <w:szCs w:val="21"/>
                <w:lang w:val="en-US" w:eastAsia="zh-CN"/>
              </w:rPr>
            </w:pPr>
            <w:r>
              <w:rPr>
                <w:rFonts w:hint="eastAsia" w:ascii="仿宋" w:hAnsi="仿宋" w:eastAsia="仿宋" w:cs="仿宋"/>
                <w:szCs w:val="21"/>
                <w:lang w:val="en-US" w:eastAsia="zh-CN"/>
              </w:rPr>
              <w:t>根据《政府采购促进中小企业发展管理办法》(财库(2020)46号及《洛阳市财政局关于进一步加大政府采购支持中小企业力度的通知》(洛财购(2022)6号)的规定：</w:t>
            </w:r>
          </w:p>
          <w:p w14:paraId="362BA732">
            <w:pPr>
              <w:snapToGrid w:val="0"/>
              <w:spacing w:line="360" w:lineRule="auto"/>
              <w:jc w:val="left"/>
              <w:rPr>
                <w:rFonts w:hint="eastAsia" w:ascii="仿宋" w:hAnsi="仿宋" w:eastAsia="仿宋" w:cs="仿宋"/>
                <w:szCs w:val="21"/>
                <w:lang w:val="en-US" w:eastAsia="zh-CN"/>
              </w:rPr>
            </w:pPr>
            <w:r>
              <w:rPr>
                <w:rFonts w:hint="eastAsia" w:ascii="仿宋" w:hAnsi="仿宋" w:eastAsia="仿宋" w:cs="仿宋"/>
                <w:szCs w:val="21"/>
                <w:lang w:val="en-US" w:eastAsia="zh-CN"/>
              </w:rPr>
              <w:t>投标人提供的货物制造商为小微企业的，在原投标报价得分的基础上增加其价格得分的10%作为其价格政策得分。</w:t>
            </w:r>
          </w:p>
          <w:p w14:paraId="7AF9020F">
            <w:pPr>
              <w:snapToGrid w:val="0"/>
              <w:spacing w:line="360" w:lineRule="auto"/>
              <w:jc w:val="left"/>
              <w:rPr>
                <w:rFonts w:hint="eastAsia" w:ascii="仿宋" w:hAnsi="仿宋" w:eastAsia="仿宋" w:cs="仿宋"/>
                <w:szCs w:val="21"/>
                <w:lang w:val="en-US" w:eastAsia="zh-CN"/>
              </w:rPr>
            </w:pPr>
            <w:r>
              <w:rPr>
                <w:rFonts w:hint="eastAsia" w:ascii="仿宋" w:hAnsi="仿宋" w:eastAsia="仿宋" w:cs="仿宋"/>
                <w:szCs w:val="21"/>
                <w:lang w:val="en-US" w:eastAsia="zh-CN"/>
              </w:rPr>
              <w:t>计算公式：小微企业投标报价政策得分=原报价评审得分×10%。</w:t>
            </w:r>
          </w:p>
          <w:p w14:paraId="29910760">
            <w:pPr>
              <w:snapToGrid w:val="0"/>
              <w:spacing w:line="360" w:lineRule="auto"/>
              <w:jc w:val="left"/>
              <w:rPr>
                <w:rFonts w:hint="eastAsia" w:ascii="仿宋" w:hAnsi="仿宋" w:eastAsia="仿宋" w:cs="仿宋"/>
                <w:szCs w:val="21"/>
                <w:lang w:val="en-US" w:eastAsia="zh-CN"/>
              </w:rPr>
            </w:pPr>
            <w:r>
              <w:rPr>
                <w:rFonts w:hint="eastAsia" w:ascii="仿宋" w:hAnsi="仿宋" w:eastAsia="仿宋" w:cs="仿宋"/>
                <w:szCs w:val="21"/>
                <w:lang w:val="en-US" w:eastAsia="zh-CN"/>
              </w:rPr>
              <w:t>小微企业参加政府采购活动，应当按照《政府采购促进中小企业发展管理办法》(财库(2020)46号)的规定提供《中小企业声明函》;根据财政部司法部《关于政府采购支持监狱企业发展有关问题的通知》(财库(2014)68号)规定监狱企业视同小型、微型企业;根据财政部民政部中国残疾人联合会《关于促进残疾人就业政府采购政策的通知》(财库(2017141号)规定，残疾人福利性单位视同小型、微型企业。</w:t>
            </w:r>
          </w:p>
          <w:p w14:paraId="12010C41">
            <w:pPr>
              <w:snapToGrid w:val="0"/>
              <w:spacing w:line="360" w:lineRule="auto"/>
              <w:jc w:val="left"/>
              <w:rPr>
                <w:rFonts w:hint="eastAsia" w:ascii="仿宋" w:hAnsi="仿宋" w:eastAsia="仿宋" w:cs="仿宋"/>
                <w:szCs w:val="21"/>
                <w:lang w:val="en-US" w:eastAsia="zh-CN"/>
              </w:rPr>
            </w:pPr>
            <w:r>
              <w:rPr>
                <w:rFonts w:hint="eastAsia" w:ascii="仿宋" w:hAnsi="仿宋" w:eastAsia="仿宋" w:cs="仿宋"/>
                <w:szCs w:val="21"/>
                <w:lang w:val="en-US" w:eastAsia="zh-CN"/>
              </w:rPr>
              <w:t>供应商所提供的货物既有中小微企业制造货物，也有大型企业制造货物，不享受价格优惠。</w:t>
            </w:r>
          </w:p>
        </w:tc>
      </w:tr>
      <w:bookmarkEnd w:id="410"/>
      <w:bookmarkEnd w:id="411"/>
      <w:bookmarkEnd w:id="412"/>
      <w:bookmarkEnd w:id="413"/>
      <w:bookmarkEnd w:id="414"/>
      <w:bookmarkEnd w:id="415"/>
      <w:bookmarkEnd w:id="416"/>
      <w:bookmarkEnd w:id="417"/>
      <w:bookmarkEnd w:id="418"/>
      <w:bookmarkEnd w:id="419"/>
      <w:bookmarkEnd w:id="420"/>
      <w:tr w14:paraId="7EAD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1011" w:type="dxa"/>
            <w:gridSpan w:val="2"/>
            <w:vMerge w:val="restart"/>
            <w:vAlign w:val="center"/>
          </w:tcPr>
          <w:p w14:paraId="583B472E">
            <w:pPr>
              <w:spacing w:line="4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2.2.4（2）</w:t>
            </w:r>
          </w:p>
        </w:tc>
        <w:tc>
          <w:tcPr>
            <w:tcW w:w="1089" w:type="dxa"/>
            <w:vMerge w:val="restart"/>
            <w:vAlign w:val="center"/>
          </w:tcPr>
          <w:p w14:paraId="7460A6DB">
            <w:pPr>
              <w:snapToGrid w:val="0"/>
              <w:jc w:val="center"/>
              <w:rPr>
                <w:rFonts w:hint="eastAsia" w:ascii="仿宋" w:hAnsi="仿宋" w:eastAsia="仿宋" w:cs="仿宋"/>
                <w:szCs w:val="21"/>
                <w:lang w:eastAsia="zh-CN"/>
              </w:rPr>
            </w:pPr>
            <w:r>
              <w:rPr>
                <w:rFonts w:hint="eastAsia" w:ascii="仿宋" w:hAnsi="仿宋" w:eastAsia="仿宋" w:cs="仿宋"/>
                <w:szCs w:val="21"/>
                <w:lang w:eastAsia="zh-CN"/>
              </w:rPr>
              <w:t>技术标</w:t>
            </w:r>
          </w:p>
          <w:p w14:paraId="00FE8688">
            <w:pPr>
              <w:snapToGrid w:val="0"/>
              <w:jc w:val="center"/>
              <w:rPr>
                <w:rFonts w:hint="eastAsia" w:ascii="仿宋" w:hAnsi="仿宋" w:eastAsia="仿宋" w:cs="仿宋"/>
                <w:szCs w:val="21"/>
                <w:lang w:eastAsia="zh-CN"/>
              </w:rPr>
            </w:pPr>
            <w:r>
              <w:rPr>
                <w:rFonts w:hint="eastAsia" w:ascii="仿宋" w:hAnsi="仿宋" w:eastAsia="仿宋" w:cs="仿宋"/>
                <w:szCs w:val="21"/>
                <w:lang w:eastAsia="zh-CN"/>
              </w:rPr>
              <w:t>评分标准（</w:t>
            </w:r>
            <w:r>
              <w:rPr>
                <w:rFonts w:hint="eastAsia" w:ascii="仿宋" w:hAnsi="仿宋" w:eastAsia="仿宋" w:cs="仿宋"/>
                <w:szCs w:val="21"/>
                <w:lang w:val="en-US" w:eastAsia="zh-CN"/>
              </w:rPr>
              <w:t>35分</w:t>
            </w:r>
            <w:r>
              <w:rPr>
                <w:rFonts w:hint="eastAsia" w:ascii="仿宋" w:hAnsi="仿宋" w:eastAsia="仿宋" w:cs="仿宋"/>
                <w:szCs w:val="21"/>
                <w:lang w:eastAsia="zh-CN"/>
              </w:rPr>
              <w:t>）</w:t>
            </w:r>
          </w:p>
        </w:tc>
        <w:tc>
          <w:tcPr>
            <w:tcW w:w="1727" w:type="dxa"/>
            <w:vAlign w:val="center"/>
          </w:tcPr>
          <w:p w14:paraId="10B824B0">
            <w:pPr>
              <w:pStyle w:val="103"/>
              <w:keepNext w:val="0"/>
              <w:keepLines w:val="0"/>
              <w:pageBreakBefore w:val="0"/>
              <w:kinsoku/>
              <w:wordWrap/>
              <w:overflowPunct/>
              <w:topLinePunct w:val="0"/>
              <w:bidi w:val="0"/>
              <w:spacing w:line="360" w:lineRule="auto"/>
              <w:ind w:right="90"/>
              <w:jc w:val="center"/>
              <w:textAlignment w:val="auto"/>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rPr>
              <w:t>设备综合性能</w:t>
            </w:r>
            <w:r>
              <w:rPr>
                <w:rFonts w:hint="eastAsia" w:ascii="仿宋" w:hAnsi="仿宋" w:eastAsia="仿宋" w:cs="仿宋"/>
                <w:spacing w:val="-2"/>
                <w:sz w:val="21"/>
                <w:szCs w:val="21"/>
                <w:highlight w:val="none"/>
                <w:lang w:eastAsia="zh-CN"/>
              </w:rPr>
              <w:t>（技术性能指标）</w:t>
            </w:r>
          </w:p>
          <w:p w14:paraId="1EF9BF9E">
            <w:pPr>
              <w:pStyle w:val="103"/>
              <w:keepNext w:val="0"/>
              <w:keepLines w:val="0"/>
              <w:pageBreakBefore w:val="0"/>
              <w:kinsoku/>
              <w:wordWrap/>
              <w:overflowPunct/>
              <w:topLinePunct w:val="0"/>
              <w:bidi w:val="0"/>
              <w:spacing w:line="360" w:lineRule="auto"/>
              <w:ind w:left="360" w:leftChars="0" w:right="90" w:rightChars="0" w:hanging="266" w:firstLineChars="0"/>
              <w:jc w:val="center"/>
              <w:textAlignment w:val="auto"/>
              <w:rPr>
                <w:rFonts w:hint="eastAsia" w:ascii="仿宋" w:hAnsi="仿宋" w:eastAsia="仿宋" w:cs="仿宋"/>
                <w:snapToGrid w:val="0"/>
                <w:szCs w:val="21"/>
                <w:highlight w:val="none"/>
              </w:rPr>
            </w:pPr>
            <w:r>
              <w:rPr>
                <w:rFonts w:hint="eastAsia" w:ascii="仿宋" w:hAnsi="仿宋" w:eastAsia="仿宋" w:cs="仿宋"/>
                <w:spacing w:val="-2"/>
                <w:sz w:val="21"/>
                <w:szCs w:val="21"/>
                <w:highlight w:val="none"/>
              </w:rPr>
              <w:t>（</w:t>
            </w:r>
            <w:r>
              <w:rPr>
                <w:rFonts w:hint="eastAsia" w:ascii="仿宋" w:hAnsi="仿宋" w:eastAsia="仿宋" w:cs="仿宋"/>
                <w:spacing w:val="-2"/>
                <w:sz w:val="21"/>
                <w:szCs w:val="21"/>
                <w:highlight w:val="none"/>
                <w:lang w:val="en-US" w:eastAsia="zh-CN"/>
              </w:rPr>
              <w:t>10</w:t>
            </w:r>
            <w:r>
              <w:rPr>
                <w:rFonts w:hint="eastAsia" w:ascii="仿宋" w:hAnsi="仿宋" w:eastAsia="仿宋" w:cs="仿宋"/>
                <w:spacing w:val="-2"/>
                <w:sz w:val="21"/>
                <w:szCs w:val="21"/>
                <w:highlight w:val="none"/>
              </w:rPr>
              <w:t>分）</w:t>
            </w:r>
          </w:p>
        </w:tc>
        <w:tc>
          <w:tcPr>
            <w:tcW w:w="6092" w:type="dxa"/>
            <w:vAlign w:val="top"/>
          </w:tcPr>
          <w:p w14:paraId="004D81CE">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根据投标文件内容对产品的可靠性、稳定性、整体质量进行评审：</w:t>
            </w:r>
          </w:p>
          <w:p w14:paraId="2FCF5945">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产品可靠性、稳定性、整体质量好，能够很好满足项目实施要求得8-10分；</w:t>
            </w:r>
          </w:p>
          <w:p w14:paraId="4F0773D8">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产品可靠性、稳定性、整体质量教好，能够较好满足项目实施要求得5-8分；</w:t>
            </w:r>
          </w:p>
          <w:p w14:paraId="10AE07AF">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产品可靠性、稳定性、整体质量教好，能够满足项目实施要求得3-5分；</w:t>
            </w:r>
          </w:p>
          <w:p w14:paraId="0848F712">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产品可靠性、稳定性、整体质量一般，能够基本满足项目实施要求得1-3分；</w:t>
            </w:r>
          </w:p>
          <w:p w14:paraId="19C31609">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spacing w:val="-4"/>
                <w:sz w:val="21"/>
                <w:szCs w:val="21"/>
                <w:highlight w:val="none"/>
                <w:lang w:val="zh-CN" w:eastAsia="zh-CN"/>
              </w:rPr>
            </w:pPr>
            <w:r>
              <w:rPr>
                <w:rFonts w:hint="eastAsia" w:ascii="仿宋" w:hAnsi="仿宋" w:eastAsia="仿宋" w:cs="仿宋"/>
                <w:kern w:val="2"/>
                <w:sz w:val="21"/>
                <w:szCs w:val="21"/>
                <w:highlight w:val="none"/>
                <w:lang w:val="en-US" w:eastAsia="zh-CN" w:bidi="ar-SA"/>
              </w:rPr>
              <w:t>缺项不得分。</w:t>
            </w:r>
          </w:p>
        </w:tc>
      </w:tr>
      <w:tr w14:paraId="7784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jc w:val="center"/>
        </w:trPr>
        <w:tc>
          <w:tcPr>
            <w:tcW w:w="1011" w:type="dxa"/>
            <w:gridSpan w:val="2"/>
            <w:vMerge w:val="continue"/>
            <w:vAlign w:val="center"/>
          </w:tcPr>
          <w:p w14:paraId="0EC00082">
            <w:pPr>
              <w:spacing w:line="440" w:lineRule="exact"/>
              <w:jc w:val="center"/>
              <w:rPr>
                <w:rFonts w:hint="eastAsia" w:ascii="仿宋" w:hAnsi="仿宋" w:eastAsia="仿宋" w:cs="仿宋"/>
                <w:szCs w:val="21"/>
                <w:lang w:val="en-US" w:eastAsia="zh-CN"/>
              </w:rPr>
            </w:pPr>
          </w:p>
        </w:tc>
        <w:tc>
          <w:tcPr>
            <w:tcW w:w="1089" w:type="dxa"/>
            <w:vMerge w:val="continue"/>
            <w:vAlign w:val="center"/>
          </w:tcPr>
          <w:p w14:paraId="057AEE98">
            <w:pPr>
              <w:snapToGrid w:val="0"/>
              <w:jc w:val="center"/>
              <w:rPr>
                <w:rFonts w:hint="eastAsia" w:ascii="仿宋" w:hAnsi="仿宋" w:eastAsia="仿宋" w:cs="仿宋"/>
                <w:szCs w:val="21"/>
                <w:lang w:eastAsia="zh-CN"/>
              </w:rPr>
            </w:pPr>
          </w:p>
        </w:tc>
        <w:tc>
          <w:tcPr>
            <w:tcW w:w="1727" w:type="dxa"/>
            <w:vAlign w:val="center"/>
          </w:tcPr>
          <w:p w14:paraId="67BAE2E9">
            <w:pPr>
              <w:pStyle w:val="103"/>
              <w:keepNext w:val="0"/>
              <w:keepLines w:val="0"/>
              <w:pageBreakBefore w:val="0"/>
              <w:kinsoku/>
              <w:wordWrap/>
              <w:overflowPunct/>
              <w:topLinePunct w:val="0"/>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项目交付方案</w:t>
            </w:r>
          </w:p>
          <w:p w14:paraId="4AED0E03">
            <w:pPr>
              <w:pStyle w:val="103"/>
              <w:keepNext w:val="0"/>
              <w:keepLines w:val="0"/>
              <w:pageBreakBefore w:val="0"/>
              <w:kinsoku/>
              <w:wordWrap/>
              <w:overflowPunct/>
              <w:topLinePunct w:val="0"/>
              <w:bidi w:val="0"/>
              <w:spacing w:line="360" w:lineRule="auto"/>
              <w:ind w:left="105" w:leftChars="50" w:right="105" w:rightChars="50"/>
              <w:jc w:val="center"/>
              <w:textAlignment w:val="auto"/>
              <w:rPr>
                <w:rFonts w:hint="eastAsia" w:ascii="仿宋" w:hAnsi="仿宋" w:eastAsia="仿宋" w:cs="仿宋"/>
                <w:spacing w:val="-2"/>
                <w:sz w:val="21"/>
                <w:szCs w:val="21"/>
                <w:highlight w:val="yellow"/>
              </w:rPr>
            </w:pPr>
            <w:r>
              <w:rPr>
                <w:rFonts w:hint="eastAsia" w:ascii="仿宋" w:hAnsi="仿宋" w:eastAsia="仿宋" w:cs="仿宋"/>
                <w:sz w:val="21"/>
                <w:szCs w:val="21"/>
              </w:rPr>
              <w:t>（</w:t>
            </w:r>
            <w:r>
              <w:rPr>
                <w:rFonts w:hint="eastAsia" w:ascii="仿宋" w:hAnsi="仿宋" w:eastAsia="仿宋" w:cs="仿宋"/>
                <w:sz w:val="21"/>
                <w:szCs w:val="21"/>
                <w:lang w:val="en-US" w:eastAsia="zh-CN"/>
              </w:rPr>
              <w:t>5</w:t>
            </w:r>
            <w:r>
              <w:rPr>
                <w:rFonts w:hint="eastAsia" w:ascii="仿宋" w:hAnsi="仿宋" w:eastAsia="仿宋" w:cs="仿宋"/>
                <w:sz w:val="21"/>
                <w:szCs w:val="21"/>
              </w:rPr>
              <w:t>分）</w:t>
            </w:r>
          </w:p>
        </w:tc>
        <w:tc>
          <w:tcPr>
            <w:tcW w:w="6092" w:type="dxa"/>
            <w:vAlign w:val="top"/>
          </w:tcPr>
          <w:p w14:paraId="016ED870">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根据投标人针对本项目的整体交付方案（包括但不限于：交付能力、供货方案、安装实施方案、调试方案）进行评分：</w:t>
            </w:r>
          </w:p>
          <w:p w14:paraId="02860BC2">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整体交付方案完善、合理、切实可行得4-5分。</w:t>
            </w:r>
          </w:p>
          <w:p w14:paraId="27E87F95">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整体交付方案较为完善、合理、切实可行得2-4分。</w:t>
            </w:r>
          </w:p>
          <w:p w14:paraId="4AF9446D">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整体交付方案基本完善、合理、基本可行得1-2分。</w:t>
            </w:r>
          </w:p>
          <w:p w14:paraId="6AA8A887">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kern w:val="2"/>
                <w:sz w:val="21"/>
                <w:szCs w:val="21"/>
                <w:highlight w:val="yellow"/>
                <w:lang w:val="en-US" w:eastAsia="zh-CN" w:bidi="ar-SA"/>
              </w:rPr>
            </w:pPr>
            <w:r>
              <w:rPr>
                <w:rFonts w:hint="eastAsia" w:ascii="仿宋" w:hAnsi="仿宋" w:eastAsia="仿宋" w:cs="仿宋"/>
                <w:kern w:val="2"/>
                <w:sz w:val="21"/>
                <w:szCs w:val="21"/>
                <w:lang w:val="en-US" w:eastAsia="zh-CN" w:bidi="ar-SA"/>
              </w:rPr>
              <w:t>缺项不得分。</w:t>
            </w:r>
          </w:p>
        </w:tc>
      </w:tr>
      <w:tr w14:paraId="2753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1011" w:type="dxa"/>
            <w:gridSpan w:val="2"/>
            <w:vMerge w:val="continue"/>
            <w:vAlign w:val="center"/>
          </w:tcPr>
          <w:p w14:paraId="4F9401EF">
            <w:pPr>
              <w:spacing w:line="440" w:lineRule="exact"/>
              <w:jc w:val="center"/>
              <w:rPr>
                <w:rFonts w:hint="eastAsia" w:ascii="仿宋" w:hAnsi="仿宋" w:eastAsia="仿宋" w:cs="仿宋"/>
                <w:szCs w:val="21"/>
              </w:rPr>
            </w:pPr>
          </w:p>
        </w:tc>
        <w:tc>
          <w:tcPr>
            <w:tcW w:w="1089" w:type="dxa"/>
            <w:vMerge w:val="continue"/>
            <w:vAlign w:val="center"/>
          </w:tcPr>
          <w:p w14:paraId="21EF7F9E">
            <w:pPr>
              <w:snapToGrid w:val="0"/>
              <w:jc w:val="center"/>
              <w:rPr>
                <w:rFonts w:hint="eastAsia" w:ascii="仿宋" w:hAnsi="仿宋" w:eastAsia="仿宋" w:cs="仿宋"/>
                <w:szCs w:val="21"/>
              </w:rPr>
            </w:pPr>
          </w:p>
        </w:tc>
        <w:tc>
          <w:tcPr>
            <w:tcW w:w="1727" w:type="dxa"/>
            <w:vAlign w:val="center"/>
          </w:tcPr>
          <w:p w14:paraId="7F55ABDD">
            <w:pPr>
              <w:pStyle w:val="103"/>
              <w:keepNext w:val="0"/>
              <w:keepLines w:val="0"/>
              <w:pageBreakBefore w:val="0"/>
              <w:kinsoku/>
              <w:wordWrap/>
              <w:overflowPunct/>
              <w:topLinePunct w:val="0"/>
              <w:bidi w:val="0"/>
              <w:spacing w:line="360" w:lineRule="auto"/>
              <w:ind w:left="360" w:right="90" w:hanging="266"/>
              <w:jc w:val="both"/>
              <w:textAlignment w:val="auto"/>
              <w:rPr>
                <w:rFonts w:hint="eastAsia" w:ascii="仿宋" w:hAnsi="仿宋" w:eastAsia="仿宋" w:cs="仿宋"/>
                <w:spacing w:val="-3"/>
                <w:sz w:val="21"/>
                <w:szCs w:val="21"/>
              </w:rPr>
            </w:pPr>
            <w:r>
              <w:rPr>
                <w:rFonts w:hint="eastAsia" w:ascii="仿宋" w:hAnsi="仿宋" w:eastAsia="仿宋" w:cs="仿宋"/>
                <w:spacing w:val="-2"/>
                <w:sz w:val="21"/>
                <w:szCs w:val="21"/>
              </w:rPr>
              <w:t>质量</w:t>
            </w:r>
            <w:r>
              <w:rPr>
                <w:rFonts w:hint="eastAsia" w:ascii="仿宋" w:hAnsi="仿宋" w:eastAsia="仿宋" w:cs="仿宋"/>
                <w:spacing w:val="-2"/>
                <w:sz w:val="21"/>
                <w:szCs w:val="21"/>
                <w:lang w:eastAsia="zh-CN"/>
              </w:rPr>
              <w:t>及进度计划</w:t>
            </w:r>
            <w:r>
              <w:rPr>
                <w:rFonts w:hint="eastAsia" w:ascii="仿宋" w:hAnsi="仿宋" w:eastAsia="仿宋" w:cs="仿宋"/>
                <w:spacing w:val="-3"/>
                <w:sz w:val="21"/>
                <w:szCs w:val="21"/>
              </w:rPr>
              <w:t>方案</w:t>
            </w:r>
          </w:p>
          <w:p w14:paraId="55F78E8D">
            <w:pPr>
              <w:pStyle w:val="103"/>
              <w:keepNext w:val="0"/>
              <w:keepLines w:val="0"/>
              <w:pageBreakBefore w:val="0"/>
              <w:kinsoku/>
              <w:wordWrap/>
              <w:overflowPunct/>
              <w:topLinePunct w:val="0"/>
              <w:bidi w:val="0"/>
              <w:spacing w:line="360" w:lineRule="auto"/>
              <w:ind w:left="371" w:leftChars="50" w:right="105" w:rightChars="50" w:hanging="266" w:firstLineChars="0"/>
              <w:jc w:val="center"/>
              <w:textAlignment w:val="auto"/>
              <w:rPr>
                <w:rFonts w:hint="eastAsia" w:ascii="仿宋" w:hAnsi="仿宋" w:eastAsia="仿宋" w:cs="仿宋"/>
                <w:snapToGrid w:val="0"/>
                <w:szCs w:val="21"/>
              </w:rPr>
            </w:pPr>
            <w:r>
              <w:rPr>
                <w:rFonts w:hint="eastAsia" w:ascii="仿宋" w:hAnsi="仿宋" w:eastAsia="仿宋" w:cs="仿宋"/>
                <w:spacing w:val="-3"/>
                <w:sz w:val="21"/>
                <w:szCs w:val="21"/>
              </w:rPr>
              <w:t>（</w:t>
            </w:r>
            <w:r>
              <w:rPr>
                <w:rFonts w:hint="eastAsia" w:ascii="仿宋" w:hAnsi="仿宋" w:eastAsia="仿宋" w:cs="仿宋"/>
                <w:spacing w:val="-3"/>
                <w:sz w:val="21"/>
                <w:szCs w:val="21"/>
                <w:lang w:val="en-US" w:eastAsia="zh-CN"/>
              </w:rPr>
              <w:t>5</w:t>
            </w:r>
            <w:r>
              <w:rPr>
                <w:rFonts w:hint="eastAsia" w:ascii="仿宋" w:hAnsi="仿宋" w:eastAsia="仿宋" w:cs="仿宋"/>
                <w:spacing w:val="-3"/>
                <w:sz w:val="21"/>
                <w:szCs w:val="21"/>
              </w:rPr>
              <w:t>分）</w:t>
            </w:r>
          </w:p>
        </w:tc>
        <w:tc>
          <w:tcPr>
            <w:tcW w:w="6092" w:type="dxa"/>
            <w:vAlign w:val="top"/>
          </w:tcPr>
          <w:p w14:paraId="7DD87752">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根据投标人针对本项目的产品质量保证方案（包括但不限于合理可行的维护计划、完善的质量保证体系、质量保证及服务承诺等），进行评分：</w:t>
            </w:r>
          </w:p>
          <w:p w14:paraId="26FA656E">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spacing w:val="-2"/>
                <w:sz w:val="21"/>
                <w:szCs w:val="21"/>
              </w:rPr>
              <w:t>质量</w:t>
            </w:r>
            <w:r>
              <w:rPr>
                <w:rFonts w:hint="eastAsia" w:ascii="仿宋" w:hAnsi="仿宋" w:eastAsia="仿宋" w:cs="仿宋"/>
                <w:spacing w:val="-2"/>
                <w:sz w:val="21"/>
                <w:szCs w:val="21"/>
                <w:lang w:eastAsia="zh-CN"/>
              </w:rPr>
              <w:t>及进度计划方案</w:t>
            </w:r>
            <w:r>
              <w:rPr>
                <w:rFonts w:hint="eastAsia" w:ascii="仿宋" w:hAnsi="仿宋" w:eastAsia="仿宋" w:cs="仿宋"/>
                <w:kern w:val="2"/>
                <w:sz w:val="21"/>
                <w:szCs w:val="21"/>
                <w:lang w:val="en-US" w:eastAsia="zh-CN" w:bidi="ar-SA"/>
              </w:rPr>
              <w:t>完善、合理、切实可行得4-5分。</w:t>
            </w:r>
          </w:p>
          <w:p w14:paraId="1A3A548E">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spacing w:val="-2"/>
                <w:sz w:val="21"/>
                <w:szCs w:val="21"/>
              </w:rPr>
              <w:t>质量</w:t>
            </w:r>
            <w:r>
              <w:rPr>
                <w:rFonts w:hint="eastAsia" w:ascii="仿宋" w:hAnsi="仿宋" w:eastAsia="仿宋" w:cs="仿宋"/>
                <w:spacing w:val="-2"/>
                <w:sz w:val="21"/>
                <w:szCs w:val="21"/>
                <w:lang w:eastAsia="zh-CN"/>
              </w:rPr>
              <w:t>及进度计划方案</w:t>
            </w:r>
            <w:r>
              <w:rPr>
                <w:rFonts w:hint="eastAsia" w:ascii="仿宋" w:hAnsi="仿宋" w:eastAsia="仿宋" w:cs="仿宋"/>
                <w:kern w:val="2"/>
                <w:sz w:val="21"/>
                <w:szCs w:val="21"/>
                <w:lang w:val="en-US" w:eastAsia="zh-CN" w:bidi="ar-SA"/>
              </w:rPr>
              <w:t>较为完善、合理、切实可行得2-4分。</w:t>
            </w:r>
          </w:p>
          <w:p w14:paraId="7FCC800F">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spacing w:val="-2"/>
                <w:sz w:val="21"/>
                <w:szCs w:val="21"/>
              </w:rPr>
              <w:t>质量</w:t>
            </w:r>
            <w:r>
              <w:rPr>
                <w:rFonts w:hint="eastAsia" w:ascii="仿宋" w:hAnsi="仿宋" w:eastAsia="仿宋" w:cs="仿宋"/>
                <w:spacing w:val="-2"/>
                <w:sz w:val="21"/>
                <w:szCs w:val="21"/>
                <w:lang w:eastAsia="zh-CN"/>
              </w:rPr>
              <w:t>及进度计划方案</w:t>
            </w:r>
            <w:r>
              <w:rPr>
                <w:rFonts w:hint="eastAsia" w:ascii="仿宋" w:hAnsi="仿宋" w:eastAsia="仿宋" w:cs="仿宋"/>
                <w:kern w:val="2"/>
                <w:sz w:val="21"/>
                <w:szCs w:val="21"/>
                <w:lang w:val="en-US" w:eastAsia="zh-CN" w:bidi="ar-SA"/>
              </w:rPr>
              <w:t>方案基本完善、合理、基本可行得1-2分。</w:t>
            </w:r>
          </w:p>
          <w:p w14:paraId="1B2A4E76">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spacing w:val="-4"/>
                <w:sz w:val="21"/>
                <w:szCs w:val="21"/>
                <w:lang w:val="zh-CN" w:eastAsia="zh-CN"/>
              </w:rPr>
            </w:pPr>
            <w:r>
              <w:rPr>
                <w:rFonts w:hint="eastAsia" w:ascii="仿宋" w:hAnsi="仿宋" w:eastAsia="仿宋" w:cs="仿宋"/>
                <w:kern w:val="2"/>
                <w:sz w:val="21"/>
                <w:szCs w:val="21"/>
                <w:lang w:val="en-US" w:eastAsia="zh-CN" w:bidi="ar-SA"/>
              </w:rPr>
              <w:t>缺项不得分。</w:t>
            </w:r>
          </w:p>
        </w:tc>
      </w:tr>
      <w:tr w14:paraId="3340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jc w:val="center"/>
        </w:trPr>
        <w:tc>
          <w:tcPr>
            <w:tcW w:w="1011" w:type="dxa"/>
            <w:gridSpan w:val="2"/>
            <w:vMerge w:val="continue"/>
            <w:vAlign w:val="center"/>
          </w:tcPr>
          <w:p w14:paraId="36CBB7A4">
            <w:pPr>
              <w:spacing w:line="440" w:lineRule="exact"/>
              <w:jc w:val="center"/>
              <w:rPr>
                <w:rFonts w:hint="eastAsia" w:ascii="仿宋" w:hAnsi="仿宋" w:eastAsia="仿宋" w:cs="仿宋"/>
                <w:szCs w:val="21"/>
              </w:rPr>
            </w:pPr>
          </w:p>
        </w:tc>
        <w:tc>
          <w:tcPr>
            <w:tcW w:w="1089" w:type="dxa"/>
            <w:vMerge w:val="continue"/>
            <w:vAlign w:val="center"/>
          </w:tcPr>
          <w:p w14:paraId="22C54BBD">
            <w:pPr>
              <w:snapToGrid w:val="0"/>
              <w:jc w:val="center"/>
              <w:rPr>
                <w:rFonts w:hint="eastAsia" w:ascii="仿宋" w:hAnsi="仿宋" w:eastAsia="仿宋" w:cs="仿宋"/>
                <w:szCs w:val="21"/>
              </w:rPr>
            </w:pPr>
          </w:p>
        </w:tc>
        <w:tc>
          <w:tcPr>
            <w:tcW w:w="1727" w:type="dxa"/>
            <w:vAlign w:val="center"/>
          </w:tcPr>
          <w:p w14:paraId="706399B5">
            <w:pPr>
              <w:pStyle w:val="103"/>
              <w:keepNext w:val="0"/>
              <w:keepLines w:val="0"/>
              <w:pageBreakBefore w:val="0"/>
              <w:kinsoku/>
              <w:wordWrap/>
              <w:overflowPunct/>
              <w:topLinePunct w:val="0"/>
              <w:bidi w:val="0"/>
              <w:spacing w:line="360" w:lineRule="auto"/>
              <w:ind w:right="105" w:rightChars="50"/>
              <w:jc w:val="center"/>
              <w:textAlignment w:val="auto"/>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安全管理体系与措施</w:t>
            </w:r>
          </w:p>
          <w:p w14:paraId="7F1653F1">
            <w:pPr>
              <w:pStyle w:val="103"/>
              <w:keepNext w:val="0"/>
              <w:keepLines w:val="0"/>
              <w:pageBreakBefore w:val="0"/>
              <w:kinsoku/>
              <w:wordWrap/>
              <w:overflowPunct/>
              <w:topLinePunct w:val="0"/>
              <w:bidi w:val="0"/>
              <w:spacing w:line="360" w:lineRule="auto"/>
              <w:ind w:left="371" w:leftChars="50" w:right="105" w:rightChars="50" w:hanging="266" w:firstLineChars="0"/>
              <w:jc w:val="center"/>
              <w:textAlignment w:val="auto"/>
              <w:rPr>
                <w:rFonts w:hint="eastAsia" w:ascii="仿宋" w:hAnsi="仿宋" w:eastAsia="仿宋" w:cs="仿宋"/>
                <w:spacing w:val="-3"/>
                <w:sz w:val="21"/>
                <w:szCs w:val="21"/>
              </w:rPr>
            </w:pPr>
            <w:r>
              <w:rPr>
                <w:rFonts w:hint="eastAsia" w:ascii="仿宋" w:hAnsi="仿宋" w:eastAsia="仿宋" w:cs="仿宋"/>
                <w:spacing w:val="-4"/>
                <w:sz w:val="21"/>
                <w:szCs w:val="21"/>
                <w:lang w:val="en-US" w:eastAsia="zh-CN"/>
              </w:rPr>
              <w:t>（5分）</w:t>
            </w:r>
          </w:p>
        </w:tc>
        <w:tc>
          <w:tcPr>
            <w:tcW w:w="6092" w:type="dxa"/>
            <w:vAlign w:val="top"/>
          </w:tcPr>
          <w:p w14:paraId="0E721614">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根据投标人针对本项目的安全管理体系与措施（安全用电措施；防高空打击、等措施），进行评分：</w:t>
            </w:r>
          </w:p>
          <w:p w14:paraId="540A0383">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安全管理体系与措施完善、合理、切实可行得4-5分。</w:t>
            </w:r>
          </w:p>
          <w:p w14:paraId="4F265A5C">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安全管理体系与措施较为完善、合理、切实可行得2-4分。</w:t>
            </w:r>
          </w:p>
          <w:p w14:paraId="2EC165A7">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安全管理体系与措施基本完善、合理、基本可行得1-2分。</w:t>
            </w:r>
          </w:p>
          <w:p w14:paraId="06061B1E">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仿宋"/>
                <w:spacing w:val="-4"/>
                <w:sz w:val="21"/>
                <w:szCs w:val="21"/>
                <w:lang w:val="en-US" w:eastAsia="zh-CN"/>
              </w:rPr>
            </w:pPr>
            <w:r>
              <w:rPr>
                <w:rFonts w:hint="eastAsia" w:ascii="仿宋" w:hAnsi="仿宋" w:eastAsia="仿宋" w:cs="仿宋"/>
                <w:kern w:val="2"/>
                <w:sz w:val="21"/>
                <w:szCs w:val="21"/>
                <w:lang w:val="en-US" w:eastAsia="zh-CN" w:bidi="ar-SA"/>
              </w:rPr>
              <w:t>缺项不得分。</w:t>
            </w:r>
          </w:p>
        </w:tc>
      </w:tr>
      <w:tr w14:paraId="20D1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1011" w:type="dxa"/>
            <w:gridSpan w:val="2"/>
            <w:vMerge w:val="continue"/>
            <w:vAlign w:val="center"/>
          </w:tcPr>
          <w:p w14:paraId="45352388">
            <w:pPr>
              <w:spacing w:line="440" w:lineRule="exact"/>
              <w:jc w:val="center"/>
              <w:rPr>
                <w:rFonts w:hint="eastAsia" w:ascii="仿宋" w:hAnsi="仿宋" w:eastAsia="仿宋" w:cs="仿宋"/>
                <w:szCs w:val="21"/>
              </w:rPr>
            </w:pPr>
          </w:p>
        </w:tc>
        <w:tc>
          <w:tcPr>
            <w:tcW w:w="1089" w:type="dxa"/>
            <w:vMerge w:val="continue"/>
            <w:vAlign w:val="center"/>
          </w:tcPr>
          <w:p w14:paraId="446B9217">
            <w:pPr>
              <w:snapToGrid w:val="0"/>
              <w:jc w:val="center"/>
              <w:rPr>
                <w:rFonts w:hint="eastAsia" w:ascii="仿宋" w:hAnsi="仿宋" w:eastAsia="仿宋" w:cs="仿宋"/>
                <w:szCs w:val="21"/>
              </w:rPr>
            </w:pPr>
          </w:p>
        </w:tc>
        <w:tc>
          <w:tcPr>
            <w:tcW w:w="1727" w:type="dxa"/>
            <w:vAlign w:val="center"/>
          </w:tcPr>
          <w:p w14:paraId="7BF7EA3D">
            <w:pPr>
              <w:pStyle w:val="103"/>
              <w:keepNext w:val="0"/>
              <w:keepLines w:val="0"/>
              <w:pageBreakBefore w:val="0"/>
              <w:kinsoku/>
              <w:wordWrap/>
              <w:overflowPunct/>
              <w:topLinePunct w:val="0"/>
              <w:bidi w:val="0"/>
              <w:spacing w:line="360" w:lineRule="auto"/>
              <w:ind w:left="371" w:leftChars="50" w:right="105" w:rightChars="50" w:hanging="266" w:firstLineChars="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培训计划</w:t>
            </w:r>
          </w:p>
          <w:p w14:paraId="6A960A16">
            <w:pPr>
              <w:pStyle w:val="103"/>
              <w:keepNext w:val="0"/>
              <w:keepLines w:val="0"/>
              <w:pageBreakBefore w:val="0"/>
              <w:kinsoku/>
              <w:wordWrap/>
              <w:overflowPunct/>
              <w:topLinePunct w:val="0"/>
              <w:bidi w:val="0"/>
              <w:spacing w:line="360" w:lineRule="auto"/>
              <w:ind w:left="371" w:leftChars="50" w:right="105" w:rightChars="50" w:hanging="266" w:firstLineChars="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（5分）</w:t>
            </w:r>
          </w:p>
        </w:tc>
        <w:tc>
          <w:tcPr>
            <w:tcW w:w="6092" w:type="dxa"/>
            <w:vAlign w:val="top"/>
          </w:tcPr>
          <w:p w14:paraId="7C805C20">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根据投标人针对本项目的培训计划，进行评分：</w:t>
            </w:r>
          </w:p>
          <w:p w14:paraId="6FA462CB">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培训计划完善、合理、切实可行得4-5分。</w:t>
            </w:r>
          </w:p>
          <w:p w14:paraId="34443FDA">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培训计划较为完善、合理、切实可行得2-4分。</w:t>
            </w:r>
          </w:p>
          <w:p w14:paraId="70405EEF">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培训计划基本完善、合理、基本可行得1-2分。</w:t>
            </w:r>
          </w:p>
          <w:p w14:paraId="73E3FBC8">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spacing w:val="-4"/>
                <w:sz w:val="21"/>
                <w:szCs w:val="21"/>
                <w:lang w:val="en-US" w:eastAsia="zh-CN"/>
              </w:rPr>
            </w:pPr>
            <w:r>
              <w:rPr>
                <w:rFonts w:hint="eastAsia" w:ascii="仿宋" w:hAnsi="仿宋" w:eastAsia="仿宋" w:cs="仿宋"/>
                <w:kern w:val="2"/>
                <w:sz w:val="21"/>
                <w:szCs w:val="21"/>
                <w:lang w:val="en-US" w:eastAsia="zh-CN" w:bidi="ar-SA"/>
              </w:rPr>
              <w:t>缺项不得分。</w:t>
            </w:r>
          </w:p>
        </w:tc>
      </w:tr>
      <w:tr w14:paraId="4450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jc w:val="center"/>
        </w:trPr>
        <w:tc>
          <w:tcPr>
            <w:tcW w:w="1011" w:type="dxa"/>
            <w:gridSpan w:val="2"/>
            <w:vMerge w:val="continue"/>
            <w:vAlign w:val="center"/>
          </w:tcPr>
          <w:p w14:paraId="6E756916">
            <w:pPr>
              <w:spacing w:line="440" w:lineRule="exact"/>
              <w:jc w:val="center"/>
              <w:rPr>
                <w:rFonts w:hint="eastAsia" w:ascii="仿宋" w:hAnsi="仿宋" w:eastAsia="仿宋" w:cs="仿宋"/>
                <w:szCs w:val="21"/>
              </w:rPr>
            </w:pPr>
          </w:p>
        </w:tc>
        <w:tc>
          <w:tcPr>
            <w:tcW w:w="1089" w:type="dxa"/>
            <w:vMerge w:val="continue"/>
            <w:vAlign w:val="center"/>
          </w:tcPr>
          <w:p w14:paraId="77434139">
            <w:pPr>
              <w:snapToGrid w:val="0"/>
              <w:jc w:val="center"/>
              <w:rPr>
                <w:rFonts w:hint="eastAsia" w:ascii="仿宋" w:hAnsi="仿宋" w:eastAsia="仿宋" w:cs="仿宋"/>
                <w:szCs w:val="21"/>
              </w:rPr>
            </w:pPr>
          </w:p>
        </w:tc>
        <w:tc>
          <w:tcPr>
            <w:tcW w:w="1727" w:type="dxa"/>
            <w:vAlign w:val="center"/>
          </w:tcPr>
          <w:p w14:paraId="2F3CE658">
            <w:pPr>
              <w:pStyle w:val="103"/>
              <w:keepNext w:val="0"/>
              <w:keepLines w:val="0"/>
              <w:pageBreakBefore w:val="0"/>
              <w:kinsoku/>
              <w:wordWrap/>
              <w:overflowPunct/>
              <w:topLinePunct w:val="0"/>
              <w:bidi w:val="0"/>
              <w:spacing w:line="360" w:lineRule="auto"/>
              <w:ind w:left="105" w:leftChars="50" w:right="105" w:rightChars="50"/>
              <w:jc w:val="center"/>
              <w:textAlignment w:val="auto"/>
              <w:rPr>
                <w:rFonts w:hint="eastAsia" w:ascii="仿宋" w:hAnsi="仿宋" w:eastAsia="仿宋" w:cs="仿宋"/>
                <w:snapToGrid w:val="0"/>
                <w:szCs w:val="21"/>
              </w:rPr>
            </w:pPr>
            <w:r>
              <w:rPr>
                <w:rFonts w:hint="eastAsia" w:ascii="仿宋" w:hAnsi="仿宋" w:eastAsia="仿宋" w:cs="仿宋"/>
                <w:spacing w:val="-1"/>
                <w:sz w:val="21"/>
                <w:szCs w:val="21"/>
              </w:rPr>
              <w:t>售后服务方案</w:t>
            </w:r>
            <w:r>
              <w:rPr>
                <w:rFonts w:hint="eastAsia" w:ascii="仿宋" w:hAnsi="仿宋" w:eastAsia="仿宋" w:cs="仿宋"/>
                <w:spacing w:val="-6"/>
                <w:sz w:val="21"/>
                <w:szCs w:val="21"/>
              </w:rPr>
              <w:t>（</w:t>
            </w:r>
            <w:r>
              <w:rPr>
                <w:rFonts w:hint="eastAsia" w:ascii="仿宋" w:hAnsi="仿宋" w:eastAsia="仿宋" w:cs="仿宋"/>
                <w:spacing w:val="-6"/>
                <w:sz w:val="21"/>
                <w:szCs w:val="21"/>
                <w:lang w:val="en-US" w:eastAsia="zh-CN"/>
              </w:rPr>
              <w:t>5</w:t>
            </w:r>
            <w:r>
              <w:rPr>
                <w:rFonts w:hint="eastAsia" w:ascii="仿宋" w:hAnsi="仿宋" w:eastAsia="仿宋" w:cs="仿宋"/>
                <w:spacing w:val="-6"/>
                <w:sz w:val="21"/>
                <w:szCs w:val="21"/>
              </w:rPr>
              <w:t>分）</w:t>
            </w:r>
          </w:p>
        </w:tc>
        <w:tc>
          <w:tcPr>
            <w:tcW w:w="6092" w:type="dxa"/>
            <w:vAlign w:val="top"/>
          </w:tcPr>
          <w:p w14:paraId="166E2845">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投标人提供的详细售后服务方案（包括但不限于售后网点和巡检方案、故障解决方案、应急响应措施）：</w:t>
            </w:r>
          </w:p>
          <w:p w14:paraId="7FBEF0EE">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售后服务方案完善、合理、切实可行得4-5分。</w:t>
            </w:r>
          </w:p>
          <w:p w14:paraId="5CDB6A36">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售后服务方案较为完善、合理、切实可行得2-4分。</w:t>
            </w:r>
          </w:p>
          <w:p w14:paraId="215AAF57">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售后服务方案基本完善、合理、基本可行得1-2分。</w:t>
            </w:r>
          </w:p>
          <w:p w14:paraId="33F08D4C">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szCs w:val="21"/>
                <w:lang w:val="zh-CN" w:eastAsia="zh-CN"/>
              </w:rPr>
            </w:pPr>
            <w:r>
              <w:rPr>
                <w:rFonts w:hint="eastAsia" w:ascii="仿宋" w:hAnsi="仿宋" w:eastAsia="仿宋" w:cs="仿宋"/>
                <w:kern w:val="2"/>
                <w:sz w:val="21"/>
                <w:szCs w:val="21"/>
                <w:lang w:val="en-US" w:eastAsia="zh-CN" w:bidi="ar-SA"/>
              </w:rPr>
              <w:t>缺项不得分。</w:t>
            </w:r>
          </w:p>
        </w:tc>
      </w:tr>
      <w:tr w14:paraId="2664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011" w:type="dxa"/>
            <w:gridSpan w:val="2"/>
            <w:vMerge w:val="restart"/>
            <w:vAlign w:val="center"/>
          </w:tcPr>
          <w:p w14:paraId="189B4776">
            <w:pPr>
              <w:spacing w:line="4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2.2.4（3）</w:t>
            </w:r>
          </w:p>
        </w:tc>
        <w:tc>
          <w:tcPr>
            <w:tcW w:w="1089" w:type="dxa"/>
            <w:vMerge w:val="restart"/>
            <w:vAlign w:val="center"/>
          </w:tcPr>
          <w:p w14:paraId="3810120C">
            <w:pPr>
              <w:snapToGrid w:val="0"/>
              <w:jc w:val="center"/>
              <w:rPr>
                <w:rFonts w:hint="eastAsia" w:ascii="仿宋" w:hAnsi="仿宋" w:eastAsia="仿宋" w:cs="仿宋"/>
                <w:szCs w:val="21"/>
                <w:lang w:val="en-US" w:eastAsia="zh-CN"/>
              </w:rPr>
            </w:pPr>
            <w:r>
              <w:rPr>
                <w:rFonts w:hint="eastAsia" w:ascii="仿宋" w:hAnsi="仿宋" w:eastAsia="仿宋" w:cs="仿宋"/>
                <w:szCs w:val="21"/>
                <w:lang w:val="en-US" w:eastAsia="zh-CN"/>
              </w:rPr>
              <w:t>综合标</w:t>
            </w:r>
          </w:p>
          <w:p w14:paraId="60AEEAC7">
            <w:pPr>
              <w:snapToGrid w:val="0"/>
              <w:jc w:val="center"/>
              <w:rPr>
                <w:rFonts w:hint="eastAsia" w:ascii="仿宋" w:hAnsi="仿宋" w:eastAsia="仿宋" w:cs="仿宋"/>
                <w:szCs w:val="21"/>
                <w:lang w:val="en-US" w:eastAsia="zh-CN"/>
              </w:rPr>
            </w:pPr>
            <w:r>
              <w:rPr>
                <w:rFonts w:hint="eastAsia" w:ascii="仿宋" w:hAnsi="仿宋" w:eastAsia="仿宋" w:cs="仿宋"/>
                <w:szCs w:val="21"/>
                <w:lang w:val="en-US" w:eastAsia="zh-CN"/>
              </w:rPr>
              <w:t>评分标准（35分）</w:t>
            </w:r>
          </w:p>
        </w:tc>
        <w:tc>
          <w:tcPr>
            <w:tcW w:w="1727" w:type="dxa"/>
            <w:vAlign w:val="center"/>
          </w:tcPr>
          <w:p w14:paraId="68082567">
            <w:pPr>
              <w:snapToGrid w:val="0"/>
              <w:jc w:val="center"/>
              <w:rPr>
                <w:rFonts w:hint="eastAsia" w:ascii="仿宋" w:hAnsi="仿宋" w:eastAsia="仿宋" w:cs="仿宋"/>
                <w:szCs w:val="21"/>
                <w:lang w:val="zh-CN" w:eastAsia="zh-CN"/>
              </w:rPr>
            </w:pPr>
            <w:r>
              <w:rPr>
                <w:rFonts w:hint="eastAsia" w:ascii="仿宋" w:hAnsi="仿宋" w:eastAsia="仿宋" w:cs="仿宋"/>
                <w:szCs w:val="21"/>
                <w:lang w:val="zh-CN" w:eastAsia="zh-CN"/>
              </w:rPr>
              <w:t>技术参数</w:t>
            </w:r>
          </w:p>
          <w:p w14:paraId="0A067D6F">
            <w:pPr>
              <w:snapToGrid w:val="0"/>
              <w:jc w:val="center"/>
              <w:rPr>
                <w:rFonts w:hint="eastAsia" w:ascii="仿宋" w:hAnsi="仿宋" w:eastAsia="仿宋" w:cs="仿宋"/>
                <w:szCs w:val="21"/>
                <w:lang w:val="en-US" w:eastAsia="zh-CN"/>
              </w:rPr>
            </w:pPr>
            <w:r>
              <w:rPr>
                <w:rFonts w:hint="eastAsia" w:ascii="仿宋" w:hAnsi="仿宋" w:eastAsia="仿宋" w:cs="仿宋"/>
                <w:szCs w:val="21"/>
                <w:lang w:val="zh-CN" w:eastAsia="zh-CN"/>
              </w:rPr>
              <w:t>（</w:t>
            </w:r>
            <w:r>
              <w:rPr>
                <w:rFonts w:hint="eastAsia" w:ascii="仿宋" w:hAnsi="仿宋" w:eastAsia="仿宋" w:cs="仿宋"/>
                <w:szCs w:val="21"/>
                <w:lang w:val="en-US" w:eastAsia="zh-CN"/>
              </w:rPr>
              <w:t>28</w:t>
            </w:r>
            <w:r>
              <w:rPr>
                <w:rFonts w:hint="eastAsia" w:ascii="仿宋" w:hAnsi="仿宋" w:eastAsia="仿宋" w:cs="仿宋"/>
                <w:szCs w:val="21"/>
                <w:lang w:val="zh-CN" w:eastAsia="zh-CN"/>
              </w:rPr>
              <w:t>分）</w:t>
            </w:r>
          </w:p>
        </w:tc>
        <w:tc>
          <w:tcPr>
            <w:tcW w:w="6092" w:type="dxa"/>
            <w:vAlign w:val="top"/>
          </w:tcPr>
          <w:p w14:paraId="1BC4C6AB">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szCs w:val="21"/>
                <w:lang w:val="en-US" w:eastAsia="zh-CN"/>
              </w:rPr>
            </w:pPr>
            <w:r>
              <w:rPr>
                <w:rFonts w:hint="eastAsia" w:ascii="仿宋" w:hAnsi="仿宋" w:eastAsia="仿宋" w:cs="仿宋"/>
                <w:kern w:val="2"/>
                <w:sz w:val="21"/>
                <w:szCs w:val="21"/>
                <w:lang w:val="zh-CN" w:eastAsia="zh-CN" w:bidi="ar-SA"/>
              </w:rPr>
              <w:t>投标产品的技术参数满足招标文件要求的得基础分</w:t>
            </w:r>
            <w:r>
              <w:rPr>
                <w:rFonts w:hint="eastAsia" w:ascii="仿宋" w:hAnsi="仿宋" w:eastAsia="仿宋" w:cs="仿宋"/>
                <w:kern w:val="2"/>
                <w:sz w:val="21"/>
                <w:szCs w:val="21"/>
                <w:lang w:val="en-US" w:eastAsia="zh-CN" w:bidi="ar-SA"/>
              </w:rPr>
              <w:t>28</w:t>
            </w:r>
            <w:r>
              <w:rPr>
                <w:rFonts w:hint="eastAsia" w:ascii="仿宋" w:hAnsi="仿宋" w:eastAsia="仿宋" w:cs="仿宋"/>
                <w:kern w:val="2"/>
                <w:sz w:val="21"/>
                <w:szCs w:val="21"/>
                <w:lang w:val="zh-CN" w:eastAsia="zh-CN" w:bidi="ar-SA"/>
              </w:rPr>
              <w:t>分，技术参数有1项不满足扣1分，扣完为止。</w:t>
            </w:r>
          </w:p>
        </w:tc>
      </w:tr>
      <w:tr w14:paraId="12F6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011" w:type="dxa"/>
            <w:gridSpan w:val="2"/>
            <w:vMerge w:val="continue"/>
            <w:vAlign w:val="center"/>
          </w:tcPr>
          <w:p w14:paraId="6C973853">
            <w:pPr>
              <w:spacing w:line="440" w:lineRule="exact"/>
              <w:jc w:val="center"/>
              <w:rPr>
                <w:rFonts w:hint="eastAsia" w:ascii="仿宋" w:hAnsi="仿宋" w:eastAsia="仿宋" w:cs="仿宋"/>
                <w:szCs w:val="21"/>
                <w:lang w:val="en-US" w:eastAsia="zh-CN"/>
              </w:rPr>
            </w:pPr>
          </w:p>
        </w:tc>
        <w:tc>
          <w:tcPr>
            <w:tcW w:w="1089" w:type="dxa"/>
            <w:vMerge w:val="continue"/>
            <w:vAlign w:val="center"/>
          </w:tcPr>
          <w:p w14:paraId="54679254">
            <w:pPr>
              <w:snapToGrid w:val="0"/>
              <w:jc w:val="center"/>
              <w:rPr>
                <w:rFonts w:hint="eastAsia" w:ascii="仿宋" w:hAnsi="仿宋" w:eastAsia="仿宋" w:cs="仿宋"/>
                <w:szCs w:val="21"/>
                <w:lang w:val="en-US" w:eastAsia="zh-CN"/>
              </w:rPr>
            </w:pPr>
          </w:p>
        </w:tc>
        <w:tc>
          <w:tcPr>
            <w:tcW w:w="1727" w:type="dxa"/>
            <w:vAlign w:val="center"/>
          </w:tcPr>
          <w:p w14:paraId="179D0EA9">
            <w:pPr>
              <w:pStyle w:val="103"/>
              <w:keepNext w:val="0"/>
              <w:keepLines w:val="0"/>
              <w:pageBreakBefore w:val="0"/>
              <w:kinsoku/>
              <w:wordWrap/>
              <w:overflowPunct/>
              <w:topLinePunct w:val="0"/>
              <w:bidi w:val="0"/>
              <w:spacing w:line="360" w:lineRule="auto"/>
              <w:ind w:left="371" w:leftChars="50" w:right="105" w:rightChars="50" w:hanging="266" w:firstLineChars="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备品备件方案</w:t>
            </w:r>
          </w:p>
          <w:p w14:paraId="51877738">
            <w:pPr>
              <w:pStyle w:val="103"/>
              <w:keepNext w:val="0"/>
              <w:keepLines w:val="0"/>
              <w:pageBreakBefore w:val="0"/>
              <w:kinsoku/>
              <w:wordWrap/>
              <w:overflowPunct/>
              <w:topLinePunct w:val="0"/>
              <w:bidi w:val="0"/>
              <w:spacing w:line="360" w:lineRule="auto"/>
              <w:ind w:left="371" w:leftChars="50" w:right="105" w:rightChars="50" w:hanging="266" w:firstLineChars="0"/>
              <w:jc w:val="center"/>
              <w:textAlignment w:val="auto"/>
              <w:rPr>
                <w:rFonts w:hint="eastAsia" w:ascii="仿宋" w:hAnsi="仿宋" w:eastAsia="仿宋" w:cs="仿宋"/>
                <w:szCs w:val="21"/>
                <w:lang w:val="zh-CN" w:eastAsia="zh-CN"/>
              </w:rPr>
            </w:pPr>
            <w:r>
              <w:rPr>
                <w:rFonts w:hint="eastAsia" w:ascii="仿宋" w:hAnsi="仿宋" w:eastAsia="仿宋" w:cs="仿宋"/>
                <w:spacing w:val="-3"/>
                <w:sz w:val="21"/>
                <w:szCs w:val="21"/>
                <w:lang w:val="en-US" w:eastAsia="zh-CN"/>
              </w:rPr>
              <w:t>（5分）</w:t>
            </w:r>
          </w:p>
        </w:tc>
        <w:tc>
          <w:tcPr>
            <w:tcW w:w="6092" w:type="dxa"/>
            <w:vAlign w:val="top"/>
          </w:tcPr>
          <w:p w14:paraId="6BA9851D">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根据投标人针对本项目的备品备件方案，进行评分：</w:t>
            </w:r>
          </w:p>
          <w:p w14:paraId="2668363E">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备品备件方案完善、合理、切实可行得5分。</w:t>
            </w:r>
          </w:p>
          <w:p w14:paraId="1B577945">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备品备件方案较为完善、合理、切实可行得3分。</w:t>
            </w:r>
          </w:p>
          <w:p w14:paraId="3B1E3738">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备品备件方案基本完善、合理、基本可行得1分。</w:t>
            </w:r>
          </w:p>
          <w:p w14:paraId="15CA58BA">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kern w:val="2"/>
                <w:sz w:val="21"/>
                <w:szCs w:val="21"/>
                <w:lang w:val="zh-CN" w:eastAsia="zh-CN" w:bidi="ar-SA"/>
              </w:rPr>
            </w:pPr>
            <w:r>
              <w:rPr>
                <w:rFonts w:hint="eastAsia" w:ascii="仿宋" w:hAnsi="仿宋" w:eastAsia="仿宋" w:cs="仿宋"/>
                <w:kern w:val="2"/>
                <w:sz w:val="21"/>
                <w:szCs w:val="21"/>
                <w:lang w:val="en-US" w:eastAsia="zh-CN" w:bidi="ar-SA"/>
              </w:rPr>
              <w:t>缺项不得分。</w:t>
            </w:r>
          </w:p>
        </w:tc>
      </w:tr>
      <w:tr w14:paraId="5797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gridSpan w:val="2"/>
            <w:vMerge w:val="continue"/>
            <w:vAlign w:val="center"/>
          </w:tcPr>
          <w:p w14:paraId="7C8BAD4D">
            <w:pPr>
              <w:spacing w:line="440" w:lineRule="exact"/>
              <w:jc w:val="center"/>
              <w:rPr>
                <w:rFonts w:hint="eastAsia" w:ascii="仿宋" w:hAnsi="仿宋" w:eastAsia="仿宋" w:cs="仿宋"/>
                <w:szCs w:val="21"/>
              </w:rPr>
            </w:pPr>
          </w:p>
        </w:tc>
        <w:tc>
          <w:tcPr>
            <w:tcW w:w="1089" w:type="dxa"/>
            <w:vMerge w:val="continue"/>
            <w:vAlign w:val="center"/>
          </w:tcPr>
          <w:p w14:paraId="3B3741E1">
            <w:pPr>
              <w:snapToGrid w:val="0"/>
              <w:jc w:val="left"/>
              <w:rPr>
                <w:rFonts w:hint="eastAsia" w:ascii="仿宋" w:hAnsi="仿宋" w:eastAsia="仿宋" w:cs="仿宋"/>
                <w:szCs w:val="21"/>
                <w:lang w:val="en-US" w:eastAsia="zh-CN"/>
              </w:rPr>
            </w:pPr>
          </w:p>
        </w:tc>
        <w:tc>
          <w:tcPr>
            <w:tcW w:w="1727" w:type="dxa"/>
            <w:vAlign w:val="center"/>
          </w:tcPr>
          <w:p w14:paraId="60ECA452">
            <w:pPr>
              <w:snapToGrid w:val="0"/>
              <w:jc w:val="center"/>
              <w:rPr>
                <w:rFonts w:hint="eastAsia" w:ascii="仿宋" w:hAnsi="仿宋" w:eastAsia="仿宋" w:cs="仿宋"/>
                <w:szCs w:val="21"/>
                <w:lang w:val="en-US" w:eastAsia="zh-CN"/>
              </w:rPr>
            </w:pPr>
            <w:r>
              <w:rPr>
                <w:rFonts w:hint="eastAsia" w:ascii="仿宋" w:hAnsi="仿宋" w:eastAsia="仿宋" w:cs="仿宋"/>
                <w:szCs w:val="21"/>
                <w:lang w:val="en-US" w:eastAsia="zh-CN"/>
              </w:rPr>
              <w:t>企业业绩</w:t>
            </w:r>
          </w:p>
          <w:p w14:paraId="514B38D3">
            <w:pPr>
              <w:snapToGrid w:val="0"/>
              <w:jc w:val="center"/>
              <w:rPr>
                <w:rFonts w:hint="eastAsia" w:ascii="仿宋" w:hAnsi="仿宋" w:eastAsia="仿宋" w:cs="仿宋"/>
                <w:szCs w:val="21"/>
                <w:lang w:val="en-US" w:eastAsia="zh-CN"/>
              </w:rPr>
            </w:pPr>
            <w:r>
              <w:rPr>
                <w:rFonts w:hint="eastAsia" w:ascii="仿宋" w:hAnsi="仿宋" w:eastAsia="仿宋" w:cs="仿宋"/>
                <w:szCs w:val="21"/>
                <w:lang w:val="en-US" w:eastAsia="zh-CN"/>
              </w:rPr>
              <w:t>（2分）</w:t>
            </w:r>
          </w:p>
        </w:tc>
        <w:tc>
          <w:tcPr>
            <w:tcW w:w="6092" w:type="dxa"/>
            <w:vAlign w:val="top"/>
          </w:tcPr>
          <w:p w14:paraId="0D878135">
            <w:pPr>
              <w:pStyle w:val="10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szCs w:val="21"/>
                <w:lang w:val="en-US" w:eastAsia="zh-CN"/>
              </w:rPr>
            </w:pPr>
            <w:r>
              <w:rPr>
                <w:rFonts w:hint="eastAsia" w:ascii="仿宋" w:hAnsi="仿宋" w:eastAsia="仿宋" w:cs="仿宋"/>
                <w:kern w:val="2"/>
                <w:sz w:val="21"/>
                <w:szCs w:val="21"/>
                <w:lang w:val="en-US" w:eastAsia="zh-CN" w:bidi="ar-SA"/>
              </w:rPr>
              <w:t>投标人提供2022年1月1日以来有类似业绩的，每有一个得2分，最多得2分。（附合同原件扫描件，时间以合同签订时间为准，否则不得分）</w:t>
            </w:r>
          </w:p>
        </w:tc>
      </w:tr>
      <w:tr w14:paraId="048E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919" w:type="dxa"/>
            <w:gridSpan w:val="5"/>
            <w:vAlign w:val="center"/>
          </w:tcPr>
          <w:p w14:paraId="2390C97C">
            <w:pPr>
              <w:keepNext w:val="0"/>
              <w:keepLines w:val="0"/>
              <w:pageBreakBefore w:val="0"/>
              <w:widowControl w:val="0"/>
              <w:kinsoku/>
              <w:wordWrap/>
              <w:overflowPunct/>
              <w:topLinePunct w:val="0"/>
              <w:autoSpaceDE/>
              <w:autoSpaceDN/>
              <w:bidi w:val="0"/>
              <w:adjustRightInd/>
              <w:spacing w:line="336" w:lineRule="auto"/>
              <w:jc w:val="left"/>
              <w:textAlignment w:val="auto"/>
              <w:rPr>
                <w:rFonts w:hint="eastAsia" w:ascii="仿宋" w:hAnsi="仿宋" w:eastAsia="仿宋" w:cs="仿宋"/>
                <w:szCs w:val="21"/>
                <w:lang w:val="zh-CN"/>
              </w:rPr>
            </w:pPr>
            <w:r>
              <w:rPr>
                <w:rFonts w:hint="eastAsia" w:ascii="仿宋" w:hAnsi="仿宋" w:eastAsia="仿宋" w:cs="仿宋"/>
                <w:szCs w:val="21"/>
                <w:lang w:val="zh-CN"/>
              </w:rPr>
              <w:t>计分办法：计分过程和打分结果保留小数点后两位，小数点后第三位按“四舍五入”计算。</w:t>
            </w:r>
          </w:p>
        </w:tc>
      </w:tr>
    </w:tbl>
    <w:p w14:paraId="66AA8C86">
      <w:pPr>
        <w:spacing w:line="400" w:lineRule="exact"/>
        <w:rPr>
          <w:rFonts w:ascii="仿宋" w:hAnsi="仿宋" w:eastAsia="仿宋" w:cs="仿宋"/>
        </w:rPr>
      </w:pPr>
      <w:r>
        <w:rPr>
          <w:rFonts w:hint="eastAsia" w:ascii="仿宋" w:hAnsi="仿宋" w:eastAsia="仿宋" w:cs="仿宋"/>
        </w:rPr>
        <w:br w:type="page"/>
      </w:r>
    </w:p>
    <w:p w14:paraId="37DDE81E">
      <w:pPr>
        <w:pStyle w:val="3"/>
        <w:rPr>
          <w:rFonts w:ascii="仿宋" w:hAnsi="仿宋" w:eastAsia="仿宋" w:cs="仿宋"/>
          <w:sz w:val="21"/>
          <w:szCs w:val="21"/>
        </w:rPr>
      </w:pPr>
      <w:bookmarkStart w:id="421" w:name="_Toc14968"/>
      <w:bookmarkStart w:id="422" w:name="_Toc185327316"/>
      <w:bookmarkStart w:id="423" w:name="_Toc8362"/>
      <w:bookmarkStart w:id="424" w:name="_Toc1245"/>
      <w:r>
        <w:rPr>
          <w:rFonts w:hint="eastAsia" w:ascii="仿宋" w:hAnsi="仿宋" w:eastAsia="仿宋" w:cs="仿宋"/>
          <w:sz w:val="21"/>
          <w:szCs w:val="21"/>
        </w:rPr>
        <w:t>1. 评标方法</w:t>
      </w:r>
      <w:bookmarkEnd w:id="421"/>
      <w:bookmarkEnd w:id="422"/>
      <w:bookmarkEnd w:id="423"/>
      <w:bookmarkEnd w:id="424"/>
    </w:p>
    <w:p w14:paraId="571E8EE7">
      <w:pPr>
        <w:spacing w:line="360" w:lineRule="auto"/>
        <w:ind w:firstLine="420" w:firstLineChars="200"/>
        <w:rPr>
          <w:rFonts w:ascii="仿宋" w:hAnsi="仿宋" w:eastAsia="仿宋" w:cs="仿宋"/>
          <w:b/>
          <w:bCs/>
          <w:szCs w:val="21"/>
        </w:rPr>
      </w:pPr>
      <w:r>
        <w:rPr>
          <w:rFonts w:hint="eastAsia" w:ascii="仿宋" w:hAnsi="仿宋" w:eastAsia="仿宋" w:cs="仿宋"/>
          <w:szCs w:val="21"/>
        </w:rPr>
        <w:t>评标委员会对满足招标文件实质性要求的投标文件，按照本章第2.2款规定的评分标准进行打分，并按得分由高到低顺序推荐中标候选人，或根据招标人授权直接确定中标人，但投标报价低于其成本的除外。</w:t>
      </w:r>
      <w:r>
        <w:rPr>
          <w:rFonts w:hint="eastAsia" w:ascii="仿宋" w:hAnsi="仿宋" w:eastAsia="仿宋" w:cs="仿宋"/>
          <w:bCs/>
          <w:szCs w:val="21"/>
        </w:rPr>
        <w:t>综合评分相等时，以投标报价低的优先；投标报价也相等的，以技术得分高的优先；如果技术得分也相等，按照评标办法前附表的规定确定中标候选人顺序。</w:t>
      </w:r>
    </w:p>
    <w:p w14:paraId="4A5D231C">
      <w:pPr>
        <w:pStyle w:val="3"/>
        <w:rPr>
          <w:rFonts w:ascii="仿宋" w:hAnsi="仿宋" w:eastAsia="仿宋" w:cs="仿宋"/>
          <w:sz w:val="21"/>
          <w:szCs w:val="21"/>
        </w:rPr>
      </w:pPr>
      <w:bookmarkStart w:id="425" w:name="_Toc23552"/>
      <w:bookmarkStart w:id="426" w:name="_Toc5040"/>
      <w:bookmarkStart w:id="427" w:name="_Toc185327317"/>
      <w:bookmarkStart w:id="428" w:name="_Toc12085"/>
      <w:r>
        <w:rPr>
          <w:rFonts w:hint="eastAsia" w:ascii="仿宋" w:hAnsi="仿宋" w:eastAsia="仿宋" w:cs="仿宋"/>
          <w:sz w:val="21"/>
          <w:szCs w:val="21"/>
        </w:rPr>
        <w:t>2. 评审标准</w:t>
      </w:r>
      <w:bookmarkEnd w:id="425"/>
      <w:bookmarkEnd w:id="426"/>
      <w:bookmarkEnd w:id="427"/>
      <w:bookmarkEnd w:id="428"/>
    </w:p>
    <w:p w14:paraId="7218D84A">
      <w:pPr>
        <w:pStyle w:val="4"/>
        <w:ind w:firstLine="105"/>
        <w:rPr>
          <w:rFonts w:ascii="仿宋" w:hAnsi="仿宋" w:eastAsia="仿宋" w:cs="仿宋"/>
          <w:szCs w:val="21"/>
        </w:rPr>
      </w:pPr>
      <w:bookmarkStart w:id="429" w:name="_Toc27396"/>
      <w:bookmarkStart w:id="430" w:name="_Toc26319"/>
      <w:r>
        <w:rPr>
          <w:rFonts w:hint="eastAsia" w:ascii="仿宋" w:hAnsi="仿宋" w:eastAsia="仿宋" w:cs="仿宋"/>
          <w:szCs w:val="21"/>
        </w:rPr>
        <w:t>2.1 初步评审标准</w:t>
      </w:r>
      <w:bookmarkEnd w:id="429"/>
      <w:bookmarkEnd w:id="430"/>
    </w:p>
    <w:p w14:paraId="3E2E7709">
      <w:pPr>
        <w:spacing w:line="360" w:lineRule="auto"/>
        <w:ind w:firstLine="420" w:firstLineChars="200"/>
        <w:rPr>
          <w:rFonts w:ascii="仿宋" w:hAnsi="仿宋" w:eastAsia="仿宋" w:cs="仿宋"/>
          <w:szCs w:val="21"/>
        </w:rPr>
      </w:pPr>
      <w:r>
        <w:rPr>
          <w:rFonts w:hint="eastAsia" w:ascii="仿宋" w:hAnsi="仿宋" w:eastAsia="仿宋" w:cs="仿宋"/>
          <w:szCs w:val="21"/>
        </w:rPr>
        <w:t>2.1.1 形式评审标准：见评标办法前附表。</w:t>
      </w:r>
    </w:p>
    <w:p w14:paraId="17995A55">
      <w:pPr>
        <w:spacing w:line="360" w:lineRule="auto"/>
        <w:ind w:firstLine="420" w:firstLineChars="200"/>
        <w:rPr>
          <w:rFonts w:ascii="仿宋" w:hAnsi="仿宋" w:eastAsia="仿宋" w:cs="仿宋"/>
          <w:szCs w:val="21"/>
        </w:rPr>
      </w:pPr>
      <w:r>
        <w:rPr>
          <w:rFonts w:hint="eastAsia" w:ascii="仿宋" w:hAnsi="仿宋" w:eastAsia="仿宋" w:cs="仿宋"/>
          <w:szCs w:val="21"/>
        </w:rPr>
        <w:t>2.1.2 资格评审标准：见评标办法前附表。</w:t>
      </w:r>
    </w:p>
    <w:p w14:paraId="712B1BFC">
      <w:pPr>
        <w:spacing w:line="360" w:lineRule="auto"/>
        <w:ind w:firstLine="420" w:firstLineChars="200"/>
        <w:rPr>
          <w:rFonts w:ascii="仿宋" w:hAnsi="仿宋" w:eastAsia="仿宋" w:cs="仿宋"/>
          <w:szCs w:val="21"/>
        </w:rPr>
      </w:pPr>
      <w:r>
        <w:rPr>
          <w:rFonts w:hint="eastAsia" w:ascii="仿宋" w:hAnsi="仿宋" w:eastAsia="仿宋" w:cs="仿宋"/>
          <w:szCs w:val="21"/>
        </w:rPr>
        <w:t>2.1.3 响应性评审标准：见评标办法前附表。</w:t>
      </w:r>
    </w:p>
    <w:p w14:paraId="1DDD79BA">
      <w:pPr>
        <w:pStyle w:val="4"/>
        <w:ind w:firstLine="105"/>
        <w:rPr>
          <w:rFonts w:ascii="仿宋" w:hAnsi="仿宋" w:eastAsia="仿宋" w:cs="仿宋"/>
          <w:szCs w:val="21"/>
        </w:rPr>
      </w:pPr>
      <w:bookmarkStart w:id="431" w:name="_Toc23677"/>
      <w:bookmarkStart w:id="432" w:name="_Toc3152"/>
      <w:r>
        <w:rPr>
          <w:rFonts w:hint="eastAsia" w:ascii="仿宋" w:hAnsi="仿宋" w:eastAsia="仿宋" w:cs="仿宋"/>
          <w:szCs w:val="21"/>
        </w:rPr>
        <w:t>2.2 分值构成与评分标准</w:t>
      </w:r>
      <w:bookmarkEnd w:id="431"/>
      <w:bookmarkEnd w:id="432"/>
    </w:p>
    <w:p w14:paraId="54938CB1">
      <w:pPr>
        <w:spacing w:line="360" w:lineRule="auto"/>
        <w:ind w:firstLine="420" w:firstLineChars="200"/>
        <w:rPr>
          <w:rFonts w:ascii="仿宋" w:hAnsi="仿宋" w:eastAsia="仿宋" w:cs="仿宋"/>
          <w:szCs w:val="21"/>
        </w:rPr>
      </w:pPr>
      <w:bookmarkStart w:id="433" w:name="_Toc23168"/>
      <w:bookmarkStart w:id="434" w:name="_Toc4975"/>
      <w:r>
        <w:rPr>
          <w:rFonts w:hint="eastAsia" w:ascii="仿宋" w:hAnsi="仿宋" w:eastAsia="仿宋" w:cs="仿宋"/>
          <w:szCs w:val="21"/>
        </w:rPr>
        <w:t>2.2.1 分值构成</w:t>
      </w:r>
      <w:bookmarkEnd w:id="433"/>
      <w:bookmarkEnd w:id="434"/>
    </w:p>
    <w:p w14:paraId="3B893E03">
      <w:pPr>
        <w:spacing w:line="360" w:lineRule="auto"/>
        <w:ind w:firstLine="420" w:firstLineChars="200"/>
        <w:rPr>
          <w:rFonts w:ascii="仿宋" w:hAnsi="仿宋" w:eastAsia="仿宋" w:cs="仿宋"/>
          <w:szCs w:val="21"/>
        </w:rPr>
      </w:pPr>
      <w:r>
        <w:rPr>
          <w:rFonts w:hint="eastAsia" w:ascii="仿宋" w:hAnsi="仿宋" w:eastAsia="仿宋" w:cs="仿宋"/>
          <w:szCs w:val="21"/>
        </w:rPr>
        <w:t>（1）商务部分：见评标办法前附表；</w:t>
      </w:r>
    </w:p>
    <w:p w14:paraId="1B1CDF85">
      <w:pPr>
        <w:spacing w:line="360" w:lineRule="auto"/>
        <w:ind w:firstLine="420" w:firstLineChars="200"/>
        <w:rPr>
          <w:rFonts w:ascii="仿宋" w:hAnsi="仿宋" w:eastAsia="仿宋" w:cs="仿宋"/>
          <w:szCs w:val="21"/>
        </w:rPr>
      </w:pPr>
      <w:r>
        <w:rPr>
          <w:rFonts w:hint="eastAsia" w:ascii="仿宋" w:hAnsi="仿宋" w:eastAsia="仿宋" w:cs="仿宋"/>
          <w:szCs w:val="21"/>
        </w:rPr>
        <w:t>（2）技术部分：见评标办法前附表；</w:t>
      </w:r>
    </w:p>
    <w:p w14:paraId="3DB7B068">
      <w:pPr>
        <w:spacing w:line="360" w:lineRule="auto"/>
        <w:ind w:firstLine="420" w:firstLineChars="200"/>
        <w:rPr>
          <w:rFonts w:ascii="仿宋" w:hAnsi="仿宋" w:eastAsia="仿宋" w:cs="仿宋"/>
          <w:szCs w:val="21"/>
        </w:rPr>
      </w:pPr>
      <w:r>
        <w:rPr>
          <w:rFonts w:hint="eastAsia" w:ascii="仿宋" w:hAnsi="仿宋" w:eastAsia="仿宋" w:cs="仿宋"/>
          <w:szCs w:val="21"/>
        </w:rPr>
        <w:t>（3）综合部分：见评标办法前附表；</w:t>
      </w:r>
    </w:p>
    <w:p w14:paraId="0EC5EC51">
      <w:pPr>
        <w:spacing w:line="360" w:lineRule="auto"/>
        <w:ind w:firstLine="420" w:firstLineChars="200"/>
        <w:rPr>
          <w:rFonts w:ascii="仿宋" w:hAnsi="仿宋" w:eastAsia="仿宋" w:cs="仿宋"/>
          <w:szCs w:val="21"/>
        </w:rPr>
      </w:pPr>
      <w:r>
        <w:rPr>
          <w:rFonts w:hint="eastAsia" w:ascii="仿宋" w:hAnsi="仿宋" w:eastAsia="仿宋" w:cs="仿宋"/>
          <w:szCs w:val="21"/>
        </w:rPr>
        <w:t>2.2.2 评标基准价计算</w:t>
      </w:r>
    </w:p>
    <w:p w14:paraId="5A079AFE">
      <w:pPr>
        <w:spacing w:line="360" w:lineRule="auto"/>
        <w:ind w:firstLine="420" w:firstLineChars="200"/>
        <w:rPr>
          <w:rFonts w:ascii="仿宋" w:hAnsi="仿宋" w:eastAsia="仿宋" w:cs="仿宋"/>
          <w:szCs w:val="21"/>
        </w:rPr>
      </w:pPr>
      <w:r>
        <w:rPr>
          <w:rFonts w:hint="eastAsia" w:ascii="仿宋" w:hAnsi="仿宋" w:eastAsia="仿宋" w:cs="仿宋"/>
          <w:szCs w:val="21"/>
        </w:rPr>
        <w:t>评标基准价计算方法：见评标办法前附表。</w:t>
      </w:r>
    </w:p>
    <w:p w14:paraId="70D1EB9F">
      <w:pPr>
        <w:spacing w:line="360" w:lineRule="auto"/>
        <w:ind w:firstLine="420" w:firstLineChars="200"/>
        <w:rPr>
          <w:rFonts w:ascii="仿宋" w:hAnsi="仿宋" w:eastAsia="仿宋" w:cs="仿宋"/>
          <w:szCs w:val="21"/>
        </w:rPr>
      </w:pPr>
      <w:r>
        <w:rPr>
          <w:rFonts w:hint="eastAsia" w:ascii="仿宋" w:hAnsi="仿宋" w:eastAsia="仿宋" w:cs="仿宋"/>
          <w:szCs w:val="21"/>
        </w:rPr>
        <w:t>2.2.3 投标报价的偏差率计算</w:t>
      </w:r>
    </w:p>
    <w:p w14:paraId="40491B70">
      <w:pPr>
        <w:spacing w:line="360" w:lineRule="auto"/>
        <w:ind w:firstLine="420" w:firstLineChars="200"/>
        <w:rPr>
          <w:rFonts w:ascii="仿宋" w:hAnsi="仿宋" w:eastAsia="仿宋" w:cs="仿宋"/>
          <w:szCs w:val="21"/>
        </w:rPr>
      </w:pPr>
      <w:r>
        <w:rPr>
          <w:rFonts w:hint="eastAsia" w:ascii="仿宋" w:hAnsi="仿宋" w:eastAsia="仿宋" w:cs="仿宋"/>
          <w:szCs w:val="21"/>
        </w:rPr>
        <w:t>投标报价的偏差率计算公式：见评标办法前附表。</w:t>
      </w:r>
    </w:p>
    <w:p w14:paraId="4FAE6816">
      <w:pPr>
        <w:spacing w:line="360" w:lineRule="auto"/>
        <w:ind w:firstLine="420" w:firstLineChars="200"/>
        <w:rPr>
          <w:rFonts w:ascii="仿宋" w:hAnsi="仿宋" w:eastAsia="仿宋" w:cs="仿宋"/>
          <w:szCs w:val="21"/>
        </w:rPr>
      </w:pPr>
      <w:r>
        <w:rPr>
          <w:rFonts w:hint="eastAsia" w:ascii="仿宋" w:hAnsi="仿宋" w:eastAsia="仿宋" w:cs="仿宋"/>
          <w:szCs w:val="21"/>
        </w:rPr>
        <w:t>2.2.4 评分标准</w:t>
      </w:r>
    </w:p>
    <w:p w14:paraId="70DBEA02">
      <w:pPr>
        <w:spacing w:line="360" w:lineRule="auto"/>
        <w:ind w:firstLine="420" w:firstLineChars="200"/>
        <w:rPr>
          <w:rFonts w:ascii="仿宋" w:hAnsi="仿宋" w:eastAsia="仿宋" w:cs="仿宋"/>
          <w:szCs w:val="21"/>
        </w:rPr>
      </w:pPr>
      <w:r>
        <w:rPr>
          <w:rFonts w:hint="eastAsia" w:ascii="仿宋" w:hAnsi="仿宋" w:eastAsia="仿宋" w:cs="仿宋"/>
          <w:szCs w:val="21"/>
        </w:rPr>
        <w:t>（1）商务评分标准：见评标办法前附表；</w:t>
      </w:r>
    </w:p>
    <w:p w14:paraId="3FAD3CA6">
      <w:pPr>
        <w:spacing w:line="360" w:lineRule="auto"/>
        <w:ind w:firstLine="420" w:firstLineChars="200"/>
        <w:rPr>
          <w:rFonts w:ascii="仿宋" w:hAnsi="仿宋" w:eastAsia="仿宋" w:cs="仿宋"/>
          <w:szCs w:val="21"/>
        </w:rPr>
      </w:pPr>
      <w:r>
        <w:rPr>
          <w:rFonts w:hint="eastAsia" w:ascii="仿宋" w:hAnsi="仿宋" w:eastAsia="仿宋" w:cs="仿宋"/>
          <w:szCs w:val="21"/>
        </w:rPr>
        <w:t>（2）技术评分标准：见评标办法前附表；</w:t>
      </w:r>
    </w:p>
    <w:p w14:paraId="36A52E4A">
      <w:pPr>
        <w:spacing w:line="360" w:lineRule="auto"/>
        <w:ind w:firstLine="420" w:firstLineChars="200"/>
        <w:rPr>
          <w:rFonts w:ascii="仿宋" w:hAnsi="仿宋" w:eastAsia="仿宋" w:cs="仿宋"/>
          <w:szCs w:val="21"/>
        </w:rPr>
      </w:pPr>
      <w:r>
        <w:rPr>
          <w:rFonts w:hint="eastAsia" w:ascii="仿宋" w:hAnsi="仿宋" w:eastAsia="仿宋" w:cs="仿宋"/>
          <w:szCs w:val="21"/>
        </w:rPr>
        <w:t>（3）综合评分标准：见评标办法前附表。</w:t>
      </w:r>
    </w:p>
    <w:p w14:paraId="79EDAED0">
      <w:pPr>
        <w:pStyle w:val="3"/>
        <w:rPr>
          <w:rFonts w:ascii="仿宋" w:hAnsi="仿宋" w:eastAsia="仿宋" w:cs="仿宋"/>
          <w:sz w:val="21"/>
          <w:szCs w:val="21"/>
        </w:rPr>
      </w:pPr>
      <w:bookmarkStart w:id="435" w:name="_Toc8675"/>
      <w:bookmarkStart w:id="436" w:name="_Toc185327318"/>
      <w:bookmarkStart w:id="437" w:name="_Toc7771"/>
      <w:bookmarkStart w:id="438" w:name="_Toc4805"/>
      <w:r>
        <w:rPr>
          <w:rFonts w:hint="eastAsia" w:ascii="仿宋" w:hAnsi="仿宋" w:eastAsia="仿宋" w:cs="仿宋"/>
          <w:sz w:val="21"/>
          <w:szCs w:val="21"/>
        </w:rPr>
        <w:t>3. 评标程序</w:t>
      </w:r>
      <w:bookmarkEnd w:id="435"/>
      <w:bookmarkEnd w:id="436"/>
      <w:bookmarkEnd w:id="437"/>
      <w:bookmarkEnd w:id="438"/>
    </w:p>
    <w:p w14:paraId="2E584AEA">
      <w:pPr>
        <w:pStyle w:val="4"/>
        <w:ind w:firstLine="105"/>
        <w:rPr>
          <w:rFonts w:ascii="仿宋" w:hAnsi="仿宋" w:eastAsia="仿宋" w:cs="仿宋"/>
          <w:szCs w:val="21"/>
        </w:rPr>
      </w:pPr>
      <w:bookmarkStart w:id="439" w:name="_Toc7507"/>
      <w:bookmarkStart w:id="440" w:name="_Toc18241"/>
      <w:r>
        <w:rPr>
          <w:rFonts w:hint="eastAsia" w:ascii="仿宋" w:hAnsi="仿宋" w:eastAsia="仿宋" w:cs="仿宋"/>
          <w:szCs w:val="21"/>
        </w:rPr>
        <w:t>3.1 初步评审</w:t>
      </w:r>
      <w:bookmarkEnd w:id="439"/>
      <w:bookmarkEnd w:id="440"/>
    </w:p>
    <w:p w14:paraId="0C3EB579">
      <w:pPr>
        <w:spacing w:line="360" w:lineRule="auto"/>
        <w:ind w:firstLine="420" w:firstLineChars="200"/>
        <w:rPr>
          <w:rFonts w:ascii="仿宋" w:hAnsi="仿宋" w:eastAsia="仿宋" w:cs="仿宋"/>
          <w:szCs w:val="21"/>
        </w:rPr>
      </w:pPr>
      <w:r>
        <w:rPr>
          <w:rFonts w:hint="eastAsia" w:ascii="仿宋" w:hAnsi="仿宋" w:eastAsia="仿宋" w:cs="仿宋"/>
          <w:szCs w:val="21"/>
        </w:rPr>
        <w:t>3.1.1评标委员会依据本章第2.1.1 项、第2.1.3 项规定的评审标准对投标文件进行初步评审。有一项不符合评审标准的，否决其投标。</w:t>
      </w:r>
    </w:p>
    <w:p w14:paraId="5CC49ADA">
      <w:pPr>
        <w:spacing w:line="360" w:lineRule="auto"/>
        <w:ind w:firstLine="420" w:firstLineChars="200"/>
        <w:rPr>
          <w:rFonts w:ascii="仿宋" w:hAnsi="仿宋" w:eastAsia="仿宋" w:cs="仿宋"/>
          <w:szCs w:val="21"/>
        </w:rPr>
      </w:pPr>
      <w:r>
        <w:rPr>
          <w:rFonts w:hint="eastAsia" w:ascii="仿宋" w:hAnsi="仿宋" w:eastAsia="仿宋" w:cs="仿宋"/>
          <w:szCs w:val="21"/>
        </w:rPr>
        <w:t xml:space="preserve">3.1.2 </w:t>
      </w:r>
      <w:r>
        <w:rPr>
          <w:rFonts w:hint="eastAsia" w:ascii="仿宋" w:hAnsi="仿宋" w:eastAsia="仿宋" w:cs="仿宋"/>
          <w:b/>
          <w:szCs w:val="21"/>
        </w:rPr>
        <w:t>投标人有以下情形之一的，评标委员会应当否决其投标：</w:t>
      </w:r>
    </w:p>
    <w:p w14:paraId="7D758A5D">
      <w:pPr>
        <w:spacing w:line="360" w:lineRule="auto"/>
        <w:ind w:firstLine="420" w:firstLineChars="200"/>
        <w:rPr>
          <w:rFonts w:ascii="仿宋" w:hAnsi="仿宋" w:eastAsia="仿宋" w:cs="仿宋"/>
          <w:szCs w:val="21"/>
        </w:rPr>
      </w:pPr>
      <w:r>
        <w:rPr>
          <w:rFonts w:hint="eastAsia" w:ascii="仿宋" w:hAnsi="仿宋" w:eastAsia="仿宋" w:cs="仿宋"/>
          <w:szCs w:val="21"/>
        </w:rPr>
        <w:t>（1）投标文件没有对招标文件的实质性要求和条件作出响应，或者对招标文件的偏差超出招标文件规定的偏差范围或最高项数；</w:t>
      </w:r>
    </w:p>
    <w:p w14:paraId="214A0494">
      <w:pPr>
        <w:spacing w:line="360" w:lineRule="auto"/>
        <w:ind w:firstLine="420" w:firstLineChars="200"/>
        <w:rPr>
          <w:rFonts w:hint="eastAsia" w:ascii="仿宋" w:hAnsi="仿宋" w:eastAsia="仿宋" w:cs="仿宋"/>
          <w:szCs w:val="21"/>
          <w:lang w:eastAsia="zh-CN"/>
        </w:rPr>
      </w:pPr>
      <w:r>
        <w:rPr>
          <w:rFonts w:hint="eastAsia" w:ascii="仿宋" w:hAnsi="仿宋" w:eastAsia="仿宋" w:cs="仿宋"/>
          <w:szCs w:val="21"/>
        </w:rPr>
        <w:t>（2）第二章“投标人须知”第1.4.3项规定的任何一种情形的</w:t>
      </w:r>
      <w:r>
        <w:rPr>
          <w:rFonts w:hint="eastAsia" w:ascii="仿宋" w:hAnsi="仿宋" w:eastAsia="仿宋" w:cs="仿宋"/>
          <w:szCs w:val="21"/>
          <w:lang w:eastAsia="zh-CN"/>
        </w:rPr>
        <w:t>；</w:t>
      </w:r>
    </w:p>
    <w:p w14:paraId="2F9E5FBC">
      <w:pPr>
        <w:spacing w:line="360" w:lineRule="auto"/>
        <w:ind w:firstLine="420" w:firstLineChars="200"/>
        <w:rPr>
          <w:rFonts w:ascii="仿宋" w:hAnsi="仿宋" w:eastAsia="仿宋" w:cs="仿宋"/>
          <w:szCs w:val="21"/>
        </w:rPr>
      </w:pPr>
      <w:r>
        <w:rPr>
          <w:rFonts w:hint="eastAsia" w:ascii="仿宋" w:hAnsi="仿宋" w:eastAsia="仿宋" w:cs="仿宋"/>
          <w:szCs w:val="21"/>
        </w:rPr>
        <w:t>（3）投标文件的关键内容字迹模糊，无法辨认的;</w:t>
      </w:r>
    </w:p>
    <w:p w14:paraId="69CB6B16">
      <w:pPr>
        <w:spacing w:line="360" w:lineRule="auto"/>
        <w:ind w:firstLine="420" w:firstLineChars="200"/>
        <w:rPr>
          <w:rFonts w:ascii="仿宋" w:hAnsi="仿宋" w:eastAsia="仿宋" w:cs="仿宋"/>
          <w:szCs w:val="21"/>
        </w:rPr>
      </w:pPr>
      <w:r>
        <w:rPr>
          <w:rFonts w:hint="eastAsia" w:ascii="仿宋" w:hAnsi="仿宋" w:eastAsia="仿宋" w:cs="仿宋"/>
          <w:szCs w:val="21"/>
        </w:rPr>
        <w:t>（4）在有两个同类数字，又同一个项目中未注明其中哪一个有效的;</w:t>
      </w:r>
    </w:p>
    <w:p w14:paraId="3BD8293F">
      <w:pPr>
        <w:spacing w:line="360" w:lineRule="auto"/>
        <w:ind w:firstLine="420" w:firstLineChars="200"/>
        <w:rPr>
          <w:rFonts w:ascii="仿宋" w:hAnsi="仿宋" w:eastAsia="仿宋" w:cs="仿宋"/>
          <w:szCs w:val="21"/>
        </w:rPr>
      </w:pPr>
      <w:r>
        <w:rPr>
          <w:rFonts w:hint="eastAsia" w:ascii="仿宋" w:hAnsi="仿宋" w:eastAsia="仿宋" w:cs="仿宋"/>
          <w:szCs w:val="21"/>
        </w:rPr>
        <w:t>（5）投标人的投标报价高于招标控制价或低于成本价的;</w:t>
      </w:r>
    </w:p>
    <w:p w14:paraId="6EB33232">
      <w:pPr>
        <w:spacing w:line="360" w:lineRule="auto"/>
        <w:ind w:firstLine="420" w:firstLineChars="200"/>
        <w:rPr>
          <w:rFonts w:ascii="仿宋" w:hAnsi="仿宋" w:eastAsia="仿宋" w:cs="仿宋"/>
          <w:szCs w:val="21"/>
        </w:rPr>
      </w:pPr>
      <w:r>
        <w:rPr>
          <w:rFonts w:hint="eastAsia" w:ascii="仿宋" w:hAnsi="仿宋" w:eastAsia="仿宋" w:cs="仿宋"/>
          <w:szCs w:val="21"/>
        </w:rPr>
        <w:t>（6）未按招标文件规定编制各项报价的;</w:t>
      </w:r>
    </w:p>
    <w:p w14:paraId="6B999FF9">
      <w:pPr>
        <w:spacing w:line="360" w:lineRule="auto"/>
        <w:ind w:firstLine="420" w:firstLineChars="200"/>
        <w:rPr>
          <w:rFonts w:ascii="仿宋" w:hAnsi="仿宋" w:eastAsia="仿宋" w:cs="仿宋"/>
          <w:szCs w:val="21"/>
        </w:rPr>
      </w:pPr>
      <w:r>
        <w:rPr>
          <w:rFonts w:hint="eastAsia" w:ascii="仿宋" w:hAnsi="仿宋" w:eastAsia="仿宋" w:cs="仿宋"/>
          <w:szCs w:val="21"/>
        </w:rPr>
        <w:t>（7）系统中显示文件制作机器码或文件创建标识码一致的;</w:t>
      </w:r>
    </w:p>
    <w:p w14:paraId="7F9AFE60">
      <w:pPr>
        <w:spacing w:line="360" w:lineRule="auto"/>
        <w:ind w:firstLine="420" w:firstLineChars="200"/>
        <w:rPr>
          <w:rFonts w:ascii="仿宋" w:hAnsi="仿宋" w:eastAsia="仿宋" w:cs="仿宋"/>
          <w:szCs w:val="21"/>
        </w:rPr>
      </w:pPr>
      <w:r>
        <w:rPr>
          <w:rFonts w:hint="eastAsia" w:ascii="仿宋" w:hAnsi="仿宋" w:eastAsia="仿宋" w:cs="仿宋"/>
          <w:szCs w:val="21"/>
        </w:rPr>
        <w:t>（8）有串通投标或弄虚作假或有其他违法行为的;</w:t>
      </w:r>
    </w:p>
    <w:p w14:paraId="781DB0DE">
      <w:pPr>
        <w:spacing w:line="360" w:lineRule="auto"/>
        <w:ind w:firstLine="420" w:firstLineChars="200"/>
        <w:rPr>
          <w:rFonts w:ascii="仿宋" w:hAnsi="仿宋" w:eastAsia="仿宋" w:cs="仿宋"/>
          <w:szCs w:val="21"/>
        </w:rPr>
      </w:pPr>
      <w:r>
        <w:rPr>
          <w:rFonts w:hint="eastAsia" w:ascii="仿宋" w:hAnsi="仿宋" w:eastAsia="仿宋" w:cs="仿宋"/>
          <w:szCs w:val="21"/>
        </w:rPr>
        <w:t>（9）不按评标委员会要求澄清、说明或补正的;</w:t>
      </w:r>
    </w:p>
    <w:p w14:paraId="617BF626">
      <w:pPr>
        <w:spacing w:line="360" w:lineRule="auto"/>
        <w:ind w:firstLine="420" w:firstLineChars="200"/>
        <w:rPr>
          <w:rFonts w:ascii="仿宋" w:hAnsi="仿宋" w:eastAsia="仿宋" w:cs="仿宋"/>
          <w:szCs w:val="21"/>
        </w:rPr>
      </w:pPr>
      <w:r>
        <w:rPr>
          <w:rFonts w:hint="eastAsia" w:ascii="仿宋" w:hAnsi="仿宋" w:eastAsia="仿宋" w:cs="仿宋"/>
          <w:szCs w:val="21"/>
        </w:rPr>
        <w:t>（10）不同投标人的报名或投标 IP 地址一致;</w:t>
      </w:r>
    </w:p>
    <w:p w14:paraId="6B9F07D6">
      <w:pPr>
        <w:spacing w:line="360" w:lineRule="auto"/>
        <w:ind w:firstLine="420" w:firstLineChars="200"/>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1</w:t>
      </w:r>
      <w:r>
        <w:rPr>
          <w:rFonts w:hint="eastAsia" w:ascii="仿宋" w:hAnsi="仿宋" w:eastAsia="仿宋" w:cs="仿宋"/>
          <w:szCs w:val="21"/>
        </w:rPr>
        <w:t>）不同投标人委托同一单位或者个人办理投标事宜;</w:t>
      </w:r>
    </w:p>
    <w:p w14:paraId="4EFC9C7F">
      <w:pPr>
        <w:spacing w:line="360" w:lineRule="auto"/>
        <w:ind w:firstLine="420" w:firstLineChars="200"/>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2</w:t>
      </w:r>
      <w:r>
        <w:rPr>
          <w:rFonts w:hint="eastAsia" w:ascii="仿宋" w:hAnsi="仿宋" w:eastAsia="仿宋" w:cs="仿宋"/>
          <w:szCs w:val="21"/>
        </w:rPr>
        <w:t>）不同投标人的投标文件由同一单位或者个人编制;</w:t>
      </w:r>
    </w:p>
    <w:p w14:paraId="4C0C8270">
      <w:pPr>
        <w:spacing w:line="360" w:lineRule="auto"/>
        <w:ind w:firstLine="420" w:firstLineChars="200"/>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3</w:t>
      </w:r>
      <w:r>
        <w:rPr>
          <w:rFonts w:hint="eastAsia" w:ascii="仿宋" w:hAnsi="仿宋" w:eastAsia="仿宋" w:cs="仿宋"/>
          <w:szCs w:val="21"/>
        </w:rPr>
        <w:t>）不同投标人的投标文件相互混装;</w:t>
      </w:r>
    </w:p>
    <w:p w14:paraId="16F4D569">
      <w:pPr>
        <w:spacing w:line="360" w:lineRule="auto"/>
        <w:ind w:firstLine="420" w:firstLineChars="200"/>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4</w:t>
      </w:r>
      <w:r>
        <w:rPr>
          <w:rFonts w:hint="eastAsia" w:ascii="仿宋" w:hAnsi="仿宋" w:eastAsia="仿宋" w:cs="仿宋"/>
          <w:szCs w:val="21"/>
        </w:rPr>
        <w:t>）不同投标人的投标文件异常一致，或者投标报价呈规律性差异;</w:t>
      </w:r>
    </w:p>
    <w:p w14:paraId="49ABE500">
      <w:pPr>
        <w:spacing w:line="360" w:lineRule="auto"/>
        <w:ind w:firstLine="420" w:firstLineChars="200"/>
        <w:rPr>
          <w:rFonts w:ascii="仿宋" w:hAnsi="仿宋" w:eastAsia="仿宋" w:cs="仿宋"/>
          <w:szCs w:val="21"/>
        </w:rPr>
      </w:pPr>
      <w:r>
        <w:rPr>
          <w:rFonts w:hint="eastAsia" w:ascii="仿宋" w:hAnsi="仿宋" w:eastAsia="仿宋" w:cs="仿宋"/>
          <w:szCs w:val="21"/>
        </w:rPr>
        <w:t>3.1.3 投标报价有算术错误及其他错误的，评标委员会按以下原则要求投标人对投标报价进</w:t>
      </w:r>
      <w:bookmarkStart w:id="441" w:name="_Toc352691538"/>
      <w:bookmarkStart w:id="442" w:name="_Toc152042380"/>
      <w:bookmarkStart w:id="443" w:name="_Toc152045603"/>
      <w:bookmarkStart w:id="444" w:name="_Toc384308277"/>
      <w:bookmarkStart w:id="445" w:name="_Toc144974570"/>
      <w:bookmarkStart w:id="446" w:name="_Toc361508651"/>
      <w:bookmarkStart w:id="447" w:name="_Toc2907"/>
      <w:bookmarkStart w:id="448" w:name="_Toc369531582"/>
      <w:bookmarkStart w:id="449" w:name="_Toc247514027"/>
      <w:bookmarkStart w:id="450" w:name="_Toc247527628"/>
      <w:bookmarkStart w:id="451" w:name="_Toc300835013"/>
      <w:r>
        <w:rPr>
          <w:rFonts w:hint="eastAsia" w:ascii="仿宋" w:hAnsi="仿宋" w:eastAsia="仿宋" w:cs="仿宋"/>
          <w:szCs w:val="21"/>
        </w:rPr>
        <w:t>行修正，并要求投标人书面澄清确认。</w:t>
      </w:r>
      <w:bookmarkEnd w:id="441"/>
      <w:bookmarkEnd w:id="442"/>
      <w:bookmarkEnd w:id="443"/>
      <w:bookmarkEnd w:id="444"/>
      <w:bookmarkEnd w:id="445"/>
      <w:bookmarkEnd w:id="446"/>
      <w:bookmarkEnd w:id="447"/>
      <w:bookmarkEnd w:id="448"/>
      <w:bookmarkEnd w:id="449"/>
      <w:bookmarkEnd w:id="450"/>
      <w:bookmarkEnd w:id="451"/>
      <w:r>
        <w:rPr>
          <w:rFonts w:hint="eastAsia" w:ascii="仿宋" w:hAnsi="仿宋" w:eastAsia="仿宋" w:cs="仿宋"/>
          <w:szCs w:val="21"/>
        </w:rPr>
        <w:t>投标人拒不澄清确认的，评标委员会应当否决其投标：</w:t>
      </w:r>
    </w:p>
    <w:p w14:paraId="627D1241">
      <w:pPr>
        <w:spacing w:line="360" w:lineRule="auto"/>
        <w:ind w:firstLine="420" w:firstLineChars="200"/>
        <w:rPr>
          <w:rFonts w:ascii="仿宋" w:hAnsi="仿宋" w:eastAsia="仿宋" w:cs="仿宋"/>
          <w:szCs w:val="21"/>
        </w:rPr>
      </w:pPr>
      <w:r>
        <w:rPr>
          <w:rFonts w:hint="eastAsia" w:ascii="仿宋" w:hAnsi="仿宋" w:eastAsia="仿宋" w:cs="仿宋"/>
          <w:szCs w:val="21"/>
        </w:rPr>
        <w:t>（1）投标文件中的大写金额与小写金额不一致的，以大写金额为准；</w:t>
      </w:r>
    </w:p>
    <w:p w14:paraId="73323EF9">
      <w:pPr>
        <w:spacing w:line="360" w:lineRule="auto"/>
        <w:ind w:firstLine="420" w:firstLineChars="200"/>
        <w:rPr>
          <w:rFonts w:ascii="仿宋" w:hAnsi="仿宋" w:eastAsia="仿宋" w:cs="仿宋"/>
          <w:szCs w:val="21"/>
        </w:rPr>
      </w:pPr>
      <w:r>
        <w:rPr>
          <w:rFonts w:hint="eastAsia" w:ascii="仿宋" w:hAnsi="仿宋" w:eastAsia="仿宋" w:cs="仿宋"/>
          <w:szCs w:val="21"/>
        </w:rPr>
        <w:t>（2）总价金额与单价金额不一致的，以单价金额为准，但单价金额小数点有明显错误的除外；</w:t>
      </w:r>
    </w:p>
    <w:p w14:paraId="69A6BDDB">
      <w:pPr>
        <w:spacing w:line="360" w:lineRule="auto"/>
        <w:ind w:firstLine="420" w:firstLineChars="200"/>
        <w:rPr>
          <w:rFonts w:ascii="仿宋" w:hAnsi="仿宋" w:eastAsia="仿宋" w:cs="仿宋"/>
          <w:szCs w:val="21"/>
        </w:rPr>
      </w:pPr>
      <w:r>
        <w:rPr>
          <w:rFonts w:hint="eastAsia" w:ascii="仿宋" w:hAnsi="仿宋" w:eastAsia="仿宋" w:cs="仿宋"/>
          <w:szCs w:val="21"/>
        </w:rPr>
        <w:t>（3）投标报价为各分项报价金额之和，投标报价与分项报价的合价不一致的，应以各分项合价累计数为准，修正投标报价；</w:t>
      </w:r>
    </w:p>
    <w:p w14:paraId="3CCE6DE0">
      <w:pPr>
        <w:spacing w:line="360" w:lineRule="auto"/>
        <w:ind w:firstLine="420" w:firstLineChars="200"/>
        <w:rPr>
          <w:rFonts w:ascii="仿宋" w:hAnsi="仿宋" w:eastAsia="仿宋" w:cs="仿宋"/>
          <w:szCs w:val="21"/>
        </w:rPr>
      </w:pPr>
      <w:r>
        <w:rPr>
          <w:rFonts w:hint="eastAsia" w:ascii="仿宋" w:hAnsi="仿宋" w:eastAsia="仿宋" w:cs="仿宋"/>
          <w:szCs w:val="21"/>
        </w:rPr>
        <w:t>（4）如果分项报价中存在缺漏项，则视为缺漏项价格已包含在其他分项报价之中。</w:t>
      </w:r>
    </w:p>
    <w:p w14:paraId="5659F2C1">
      <w:pPr>
        <w:pStyle w:val="4"/>
        <w:ind w:firstLine="105"/>
        <w:rPr>
          <w:rFonts w:ascii="仿宋" w:hAnsi="仿宋" w:eastAsia="仿宋" w:cs="仿宋"/>
          <w:szCs w:val="21"/>
        </w:rPr>
      </w:pPr>
      <w:bookmarkStart w:id="452" w:name="_Toc9404"/>
      <w:bookmarkStart w:id="453" w:name="_Toc16367"/>
      <w:r>
        <w:rPr>
          <w:rFonts w:hint="eastAsia" w:ascii="仿宋" w:hAnsi="仿宋" w:eastAsia="仿宋" w:cs="仿宋"/>
          <w:szCs w:val="21"/>
        </w:rPr>
        <w:t>3.2 详细评审</w:t>
      </w:r>
      <w:bookmarkEnd w:id="452"/>
      <w:bookmarkEnd w:id="453"/>
    </w:p>
    <w:p w14:paraId="53C2C1C9">
      <w:pPr>
        <w:spacing w:line="360" w:lineRule="auto"/>
        <w:ind w:firstLine="420" w:firstLineChars="200"/>
        <w:rPr>
          <w:rFonts w:ascii="仿宋" w:hAnsi="仿宋" w:eastAsia="仿宋" w:cs="仿宋"/>
          <w:szCs w:val="21"/>
        </w:rPr>
      </w:pPr>
      <w:r>
        <w:rPr>
          <w:rFonts w:hint="eastAsia" w:ascii="仿宋" w:hAnsi="仿宋" w:eastAsia="仿宋" w:cs="仿宋"/>
          <w:szCs w:val="21"/>
        </w:rPr>
        <w:t>3.2.1 评标委员会按本章第2.2款规定的量化因素和分值进行打分，并计算出综合评估得分。</w:t>
      </w:r>
    </w:p>
    <w:p w14:paraId="71911688">
      <w:pPr>
        <w:spacing w:line="360" w:lineRule="auto"/>
        <w:ind w:firstLine="420" w:firstLineChars="200"/>
        <w:rPr>
          <w:rFonts w:ascii="仿宋" w:hAnsi="仿宋" w:eastAsia="仿宋" w:cs="仿宋"/>
          <w:szCs w:val="21"/>
        </w:rPr>
      </w:pPr>
      <w:r>
        <w:rPr>
          <w:rFonts w:hint="eastAsia" w:ascii="仿宋" w:hAnsi="仿宋" w:eastAsia="仿宋" w:cs="仿宋"/>
          <w:szCs w:val="21"/>
        </w:rPr>
        <w:t>（1）按本章第2.2.4（1）目规定的评审因素和分值对商务部分计算出得分A；</w:t>
      </w:r>
    </w:p>
    <w:p w14:paraId="661A496E">
      <w:pPr>
        <w:spacing w:line="360" w:lineRule="auto"/>
        <w:ind w:firstLine="420" w:firstLineChars="200"/>
        <w:rPr>
          <w:rFonts w:ascii="仿宋" w:hAnsi="仿宋" w:eastAsia="仿宋" w:cs="仿宋"/>
          <w:szCs w:val="21"/>
        </w:rPr>
      </w:pPr>
      <w:r>
        <w:rPr>
          <w:rFonts w:hint="eastAsia" w:ascii="仿宋" w:hAnsi="仿宋" w:eastAsia="仿宋" w:cs="仿宋"/>
          <w:szCs w:val="21"/>
        </w:rPr>
        <w:t>（2）按本章第2.2.4（2）目规定的评审因素和分值对技术部分计算出得分B；</w:t>
      </w:r>
    </w:p>
    <w:p w14:paraId="197FDBB4">
      <w:pPr>
        <w:spacing w:line="360" w:lineRule="auto"/>
        <w:ind w:firstLine="420" w:firstLineChars="200"/>
        <w:rPr>
          <w:rFonts w:ascii="仿宋" w:hAnsi="仿宋" w:eastAsia="仿宋" w:cs="仿宋"/>
          <w:szCs w:val="21"/>
        </w:rPr>
      </w:pPr>
      <w:bookmarkStart w:id="454" w:name="_Toc361508653"/>
      <w:bookmarkStart w:id="455" w:name="_Toc352691540"/>
      <w:bookmarkStart w:id="456" w:name="_Toc384308279"/>
      <w:bookmarkStart w:id="457" w:name="_Toc152042382"/>
      <w:bookmarkStart w:id="458" w:name="_Toc152045605"/>
      <w:bookmarkStart w:id="459" w:name="_Toc247527630"/>
      <w:bookmarkStart w:id="460" w:name="_Toc247514029"/>
      <w:bookmarkStart w:id="461" w:name="_Toc18141"/>
      <w:bookmarkStart w:id="462" w:name="_Toc144974572"/>
      <w:bookmarkStart w:id="463" w:name="_Toc300835015"/>
      <w:bookmarkStart w:id="464" w:name="_Toc369531584"/>
      <w:r>
        <w:rPr>
          <w:rFonts w:hint="eastAsia" w:ascii="仿宋" w:hAnsi="仿宋" w:eastAsia="仿宋" w:cs="仿宋"/>
          <w:szCs w:val="21"/>
        </w:rPr>
        <w:t>（</w:t>
      </w:r>
      <w:bookmarkEnd w:id="454"/>
      <w:bookmarkEnd w:id="455"/>
      <w:bookmarkEnd w:id="456"/>
      <w:bookmarkEnd w:id="457"/>
      <w:bookmarkEnd w:id="458"/>
      <w:bookmarkEnd w:id="459"/>
      <w:bookmarkEnd w:id="460"/>
      <w:bookmarkEnd w:id="461"/>
      <w:bookmarkEnd w:id="462"/>
      <w:bookmarkEnd w:id="463"/>
      <w:bookmarkEnd w:id="464"/>
      <w:r>
        <w:rPr>
          <w:rFonts w:hint="eastAsia" w:ascii="仿宋" w:hAnsi="仿宋" w:eastAsia="仿宋" w:cs="仿宋"/>
          <w:szCs w:val="21"/>
        </w:rPr>
        <w:t>3）按本章第2.2.4（3）目规定的评审因素和分值对综合部分计算出得分C。</w:t>
      </w:r>
    </w:p>
    <w:p w14:paraId="2B00A785">
      <w:pPr>
        <w:spacing w:line="360" w:lineRule="auto"/>
        <w:ind w:firstLine="420" w:firstLineChars="200"/>
        <w:rPr>
          <w:rFonts w:ascii="仿宋" w:hAnsi="仿宋" w:eastAsia="仿宋" w:cs="仿宋"/>
          <w:szCs w:val="21"/>
        </w:rPr>
      </w:pPr>
      <w:r>
        <w:rPr>
          <w:rFonts w:hint="eastAsia" w:ascii="仿宋" w:hAnsi="仿宋" w:eastAsia="仿宋" w:cs="仿宋"/>
          <w:szCs w:val="21"/>
        </w:rPr>
        <w:t>3.2.2 评分分值计算保留小数点后两位，小数点后第三位“四舍五入”。</w:t>
      </w:r>
    </w:p>
    <w:p w14:paraId="53276C09">
      <w:pPr>
        <w:spacing w:line="360" w:lineRule="auto"/>
        <w:ind w:firstLine="420" w:firstLineChars="200"/>
        <w:rPr>
          <w:rFonts w:ascii="仿宋" w:hAnsi="仿宋" w:eastAsia="仿宋" w:cs="仿宋"/>
          <w:szCs w:val="21"/>
        </w:rPr>
      </w:pPr>
      <w:r>
        <w:rPr>
          <w:rFonts w:hint="eastAsia" w:ascii="仿宋" w:hAnsi="仿宋" w:eastAsia="仿宋" w:cs="仿宋"/>
          <w:szCs w:val="21"/>
        </w:rPr>
        <w:t>3.2.3 投标人得分=A+B+C。</w:t>
      </w:r>
    </w:p>
    <w:p w14:paraId="2A68837E">
      <w:pPr>
        <w:spacing w:line="360" w:lineRule="auto"/>
        <w:ind w:firstLine="420" w:firstLineChars="200"/>
        <w:rPr>
          <w:rFonts w:ascii="仿宋" w:hAnsi="仿宋" w:eastAsia="仿宋" w:cs="仿宋"/>
          <w:szCs w:val="21"/>
        </w:rPr>
      </w:pPr>
      <w:r>
        <w:rPr>
          <w:rFonts w:hint="eastAsia" w:ascii="仿宋" w:hAnsi="仿宋" w:eastAsia="仿宋" w:cs="仿宋"/>
          <w:szCs w:val="21"/>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68933AC">
      <w:pPr>
        <w:pStyle w:val="4"/>
        <w:ind w:firstLine="105"/>
        <w:rPr>
          <w:rFonts w:ascii="仿宋" w:hAnsi="仿宋" w:eastAsia="仿宋" w:cs="仿宋"/>
          <w:szCs w:val="21"/>
        </w:rPr>
      </w:pPr>
      <w:bookmarkStart w:id="465" w:name="_Toc9267"/>
      <w:bookmarkStart w:id="466" w:name="_Toc15430"/>
      <w:r>
        <w:rPr>
          <w:rFonts w:hint="eastAsia" w:ascii="仿宋" w:hAnsi="仿宋" w:eastAsia="仿宋" w:cs="仿宋"/>
          <w:szCs w:val="21"/>
        </w:rPr>
        <w:t>3.3 投标文件的澄清</w:t>
      </w:r>
      <w:bookmarkEnd w:id="465"/>
      <w:bookmarkEnd w:id="466"/>
    </w:p>
    <w:p w14:paraId="588FF81E">
      <w:pPr>
        <w:spacing w:line="360" w:lineRule="auto"/>
        <w:ind w:firstLine="420" w:firstLineChars="200"/>
        <w:rPr>
          <w:rFonts w:ascii="仿宋" w:hAnsi="仿宋" w:eastAsia="仿宋" w:cs="仿宋"/>
          <w:szCs w:val="21"/>
        </w:rPr>
      </w:pPr>
      <w:r>
        <w:rPr>
          <w:rFonts w:hint="eastAsia" w:ascii="仿宋" w:hAnsi="仿宋" w:eastAsia="仿宋" w:cs="仿宋"/>
          <w:szCs w:val="21"/>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62E7E4D">
      <w:pPr>
        <w:spacing w:line="360" w:lineRule="auto"/>
        <w:ind w:firstLine="420" w:firstLineChars="200"/>
        <w:rPr>
          <w:rFonts w:ascii="仿宋" w:hAnsi="仿宋" w:eastAsia="仿宋" w:cs="仿宋"/>
          <w:szCs w:val="21"/>
        </w:rPr>
      </w:pPr>
      <w:r>
        <w:rPr>
          <w:rFonts w:hint="eastAsia" w:ascii="仿宋" w:hAnsi="仿宋" w:eastAsia="仿宋" w:cs="仿宋"/>
          <w:szCs w:val="21"/>
        </w:rPr>
        <w:t>3.3.2 澄清、说明或补正不得超出投标文件的范围且不得改变投标文件的实质性内容，并构成投标文件的组成部分。</w:t>
      </w:r>
    </w:p>
    <w:p w14:paraId="60B01CEC">
      <w:pPr>
        <w:spacing w:line="360" w:lineRule="auto"/>
        <w:ind w:firstLine="420" w:firstLineChars="200"/>
        <w:rPr>
          <w:rFonts w:ascii="仿宋" w:hAnsi="仿宋" w:eastAsia="仿宋" w:cs="仿宋"/>
          <w:szCs w:val="21"/>
        </w:rPr>
      </w:pPr>
      <w:r>
        <w:rPr>
          <w:rFonts w:hint="eastAsia" w:ascii="仿宋" w:hAnsi="仿宋" w:eastAsia="仿宋" w:cs="仿宋"/>
          <w:szCs w:val="21"/>
        </w:rPr>
        <w:t>3.3.3 评标委员会对投标人提交的澄清、说明或补正有疑问的，可以要求投标人进一步澄清、说明或补正，直至满足评标委员会的要求。</w:t>
      </w:r>
    </w:p>
    <w:p w14:paraId="5F52787A">
      <w:pPr>
        <w:pStyle w:val="4"/>
        <w:ind w:firstLine="105"/>
        <w:rPr>
          <w:rFonts w:ascii="仿宋" w:hAnsi="仿宋" w:eastAsia="仿宋" w:cs="仿宋"/>
          <w:szCs w:val="21"/>
        </w:rPr>
      </w:pPr>
      <w:bookmarkStart w:id="467" w:name="_Toc29163"/>
      <w:bookmarkStart w:id="468" w:name="_Toc15559"/>
      <w:r>
        <w:rPr>
          <w:rFonts w:hint="eastAsia" w:ascii="仿宋" w:hAnsi="仿宋" w:eastAsia="仿宋" w:cs="仿宋"/>
          <w:szCs w:val="21"/>
        </w:rPr>
        <w:t>3.4 评标结果</w:t>
      </w:r>
      <w:bookmarkEnd w:id="467"/>
      <w:bookmarkEnd w:id="468"/>
    </w:p>
    <w:p w14:paraId="5972A9C9">
      <w:pPr>
        <w:spacing w:line="360" w:lineRule="auto"/>
        <w:ind w:firstLine="420" w:firstLineChars="200"/>
        <w:rPr>
          <w:rFonts w:ascii="仿宋" w:hAnsi="仿宋" w:eastAsia="仿宋" w:cs="仿宋"/>
          <w:szCs w:val="21"/>
        </w:rPr>
      </w:pPr>
      <w:r>
        <w:rPr>
          <w:rFonts w:hint="eastAsia" w:ascii="仿宋" w:hAnsi="仿宋" w:eastAsia="仿宋" w:cs="仿宋"/>
          <w:szCs w:val="21"/>
        </w:rPr>
        <w:t>3.4.1 评标委员会完成评标后，应当向招标人提交书面评标报告和中标候选人名单。</w:t>
      </w:r>
    </w:p>
    <w:p w14:paraId="1EE86E0C">
      <w:pPr>
        <w:spacing w:line="400" w:lineRule="exact"/>
        <w:rPr>
          <w:rFonts w:ascii="仿宋" w:hAnsi="仿宋" w:eastAsia="仿宋" w:cs="仿宋"/>
        </w:rPr>
      </w:pPr>
      <w:r>
        <w:rPr>
          <w:rFonts w:hint="eastAsia" w:ascii="仿宋" w:hAnsi="仿宋" w:eastAsia="仿宋" w:cs="仿宋"/>
        </w:rPr>
        <w:br w:type="page"/>
      </w:r>
    </w:p>
    <w:p w14:paraId="55D276A9">
      <w:pPr>
        <w:pStyle w:val="2"/>
        <w:jc w:val="center"/>
        <w:rPr>
          <w:rFonts w:ascii="仿宋" w:hAnsi="仿宋" w:eastAsia="仿宋" w:cs="仿宋"/>
          <w:sz w:val="32"/>
          <w:szCs w:val="32"/>
        </w:rPr>
      </w:pPr>
      <w:bookmarkStart w:id="469" w:name="_Toc2921"/>
      <w:bookmarkStart w:id="470" w:name="_Toc21009"/>
      <w:bookmarkStart w:id="471" w:name="_Toc10805"/>
      <w:bookmarkStart w:id="472" w:name="_Toc185327319"/>
      <w:bookmarkStart w:id="473" w:name="_Toc30696"/>
      <w:r>
        <w:rPr>
          <w:rFonts w:hint="eastAsia" w:ascii="仿宋" w:hAnsi="仿宋" w:eastAsia="仿宋" w:cs="仿宋"/>
          <w:sz w:val="32"/>
          <w:szCs w:val="32"/>
        </w:rPr>
        <w:t>第四章 合同条款及格式</w:t>
      </w:r>
      <w:bookmarkEnd w:id="469"/>
      <w:bookmarkEnd w:id="470"/>
      <w:bookmarkEnd w:id="471"/>
      <w:bookmarkEnd w:id="472"/>
      <w:bookmarkEnd w:id="473"/>
    </w:p>
    <w:p w14:paraId="692FF503">
      <w:pPr>
        <w:spacing w:line="360" w:lineRule="auto"/>
        <w:ind w:firstLine="420" w:firstLineChars="200"/>
        <w:jc w:val="left"/>
        <w:rPr>
          <w:rFonts w:hint="eastAsia" w:ascii="仿宋" w:hAnsi="仿宋" w:eastAsia="仿宋" w:cs="仿宋"/>
          <w:szCs w:val="18"/>
        </w:rPr>
      </w:pPr>
      <w:bookmarkStart w:id="474" w:name="_Toc16222"/>
      <w:bookmarkStart w:id="475" w:name="_Toc17369"/>
      <w:bookmarkStart w:id="476" w:name="_Toc179632787"/>
      <w:bookmarkStart w:id="477" w:name="_Toc247085853"/>
      <w:bookmarkStart w:id="478" w:name="_Toc246997081"/>
      <w:bookmarkStart w:id="479" w:name="_Toc246996338"/>
      <w:bookmarkStart w:id="480" w:name="_Toc144974829"/>
      <w:bookmarkStart w:id="481" w:name="_Toc300835199"/>
      <w:bookmarkStart w:id="482" w:name="_Toc247514197"/>
      <w:bookmarkStart w:id="483" w:name="_Toc184635122"/>
      <w:bookmarkStart w:id="484" w:name="_Toc152042549"/>
      <w:bookmarkStart w:id="485" w:name="_Toc247527798"/>
      <w:bookmarkStart w:id="486" w:name="_Toc144974578"/>
      <w:bookmarkStart w:id="487" w:name="_Toc152042388"/>
      <w:bookmarkStart w:id="488" w:name="_Toc152045610"/>
      <w:r>
        <w:rPr>
          <w:rFonts w:hint="eastAsia" w:ascii="仿宋" w:hAnsi="仿宋" w:eastAsia="仿宋" w:cs="仿宋"/>
          <w:szCs w:val="18"/>
        </w:rPr>
        <w:t>双方应根据招标文件、中标通知书、投标文件，以及与本项目相关的资料签订合同。</w:t>
      </w:r>
    </w:p>
    <w:p w14:paraId="061F02FF">
      <w:pPr>
        <w:spacing w:line="360" w:lineRule="auto"/>
        <w:ind w:firstLine="420" w:firstLineChars="200"/>
        <w:jc w:val="left"/>
        <w:rPr>
          <w:rFonts w:ascii="仿宋" w:hAnsi="仿宋" w:eastAsia="仿宋" w:cs="仿宋"/>
          <w:szCs w:val="18"/>
        </w:rPr>
      </w:pPr>
      <w:r>
        <w:rPr>
          <w:rFonts w:hint="eastAsia" w:ascii="仿宋" w:hAnsi="仿宋" w:eastAsia="仿宋" w:cs="仿宋"/>
          <w:szCs w:val="18"/>
        </w:rPr>
        <w:t>所签订的合同不得背离招标文件的实质性内容要求和投标文件的承诺。</w:t>
      </w:r>
    </w:p>
    <w:p w14:paraId="6EC29CB1">
      <w:pPr>
        <w:spacing w:line="360" w:lineRule="auto"/>
        <w:ind w:firstLine="420" w:firstLineChars="200"/>
        <w:jc w:val="left"/>
        <w:rPr>
          <w:rFonts w:ascii="仿宋" w:hAnsi="仿宋" w:eastAsia="仿宋" w:cs="仿宋"/>
          <w:szCs w:val="18"/>
        </w:rPr>
      </w:pPr>
      <w:r>
        <w:rPr>
          <w:rFonts w:hint="eastAsia" w:ascii="仿宋" w:hAnsi="仿宋" w:eastAsia="仿宋" w:cs="仿宋"/>
          <w:szCs w:val="18"/>
        </w:rPr>
        <w:t>通用合同条款参照国家现行标准执行；专用合同条款由甲乙双方协商确定。</w:t>
      </w:r>
    </w:p>
    <w:p w14:paraId="3B022B03">
      <w:pPr>
        <w:spacing w:line="360" w:lineRule="auto"/>
        <w:ind w:firstLine="420" w:firstLineChars="200"/>
        <w:jc w:val="left"/>
        <w:rPr>
          <w:rFonts w:ascii="仿宋" w:hAnsi="仿宋" w:eastAsia="仿宋" w:cs="仿宋"/>
          <w:szCs w:val="18"/>
        </w:rPr>
      </w:pPr>
      <w:r>
        <w:rPr>
          <w:rFonts w:hint="eastAsia" w:ascii="仿宋" w:hAnsi="仿宋" w:eastAsia="仿宋" w:cs="仿宋"/>
          <w:szCs w:val="18"/>
        </w:rPr>
        <w:t>具体由招标人与中标人协商签订合同，以最终签订的合同为准。</w:t>
      </w:r>
    </w:p>
    <w:p w14:paraId="5D38DD8B">
      <w:pPr>
        <w:spacing w:line="360" w:lineRule="auto"/>
        <w:ind w:firstLine="420" w:firstLineChars="200"/>
        <w:jc w:val="left"/>
        <w:rPr>
          <w:rFonts w:hint="eastAsia" w:ascii="仿宋" w:hAnsi="仿宋" w:eastAsia="仿宋" w:cs="仿宋"/>
          <w:szCs w:val="18"/>
          <w:lang w:val="en-US" w:eastAsia="zh-CN"/>
        </w:rPr>
      </w:pPr>
      <w:r>
        <w:rPr>
          <w:rFonts w:hint="eastAsia" w:ascii="仿宋" w:hAnsi="仿宋" w:eastAsia="仿宋" w:cs="仿宋"/>
          <w:szCs w:val="18"/>
          <w:lang w:val="en-US" w:eastAsia="zh-CN"/>
        </w:rPr>
        <w:t>（合同模板仅供参考）</w:t>
      </w:r>
    </w:p>
    <w:p w14:paraId="6997F3F6">
      <w:pPr>
        <w:spacing w:line="360" w:lineRule="auto"/>
        <w:ind w:firstLine="420" w:firstLineChars="200"/>
        <w:jc w:val="center"/>
        <w:rPr>
          <w:rFonts w:ascii="仿宋" w:hAnsi="仿宋" w:eastAsia="仿宋" w:cs="仿宋"/>
        </w:rPr>
      </w:pPr>
    </w:p>
    <w:p w14:paraId="057715BD">
      <w:pPr>
        <w:spacing w:line="360" w:lineRule="auto"/>
        <w:ind w:firstLine="420" w:firstLineChars="200"/>
        <w:rPr>
          <w:rFonts w:ascii="仿宋" w:hAnsi="仿宋" w:eastAsia="仿宋" w:cs="仿宋"/>
        </w:rPr>
      </w:pPr>
    </w:p>
    <w:p w14:paraId="4489A051">
      <w:pPr>
        <w:spacing w:line="360" w:lineRule="auto"/>
        <w:ind w:firstLine="420" w:firstLineChars="200"/>
        <w:rPr>
          <w:rFonts w:ascii="仿宋" w:hAnsi="仿宋" w:eastAsia="仿宋" w:cs="仿宋"/>
        </w:rPr>
      </w:pPr>
    </w:p>
    <w:p w14:paraId="6ED82727">
      <w:pPr>
        <w:rPr>
          <w:rFonts w:ascii="仿宋" w:hAnsi="仿宋" w:eastAsia="仿宋" w:cs="仿宋"/>
        </w:rPr>
      </w:pPr>
      <w:r>
        <w:rPr>
          <w:rFonts w:ascii="仿宋" w:hAnsi="仿宋" w:eastAsia="仿宋" w:cs="仿宋"/>
        </w:rPr>
        <w:br w:type="page"/>
      </w:r>
    </w:p>
    <w:p w14:paraId="778AD0B4">
      <w:pPr>
        <w:pStyle w:val="3"/>
        <w:spacing w:line="443" w:lineRule="exact"/>
        <w:ind w:left="2973" w:right="21"/>
        <w:rPr>
          <w:rFonts w:hint="eastAsia" w:ascii="仿宋" w:hAnsi="仿宋" w:eastAsia="仿宋" w:cs="仿宋"/>
          <w:b/>
          <w:sz w:val="21"/>
          <w:szCs w:val="21"/>
        </w:rPr>
      </w:pPr>
      <w:r>
        <w:rPr>
          <w:rFonts w:hint="eastAsia" w:ascii="仿宋" w:hAnsi="仿宋" w:eastAsia="仿宋" w:cs="仿宋"/>
          <w:sz w:val="21"/>
          <w:szCs w:val="21"/>
        </w:rPr>
        <w:t>第一节通用合同条款</w:t>
      </w:r>
    </w:p>
    <w:p w14:paraId="4D221955">
      <w:pPr>
        <w:pStyle w:val="3"/>
        <w:pageBreakBefore w:val="0"/>
        <w:widowControl w:val="0"/>
        <w:kinsoku/>
        <w:wordWrap/>
        <w:overflowPunct/>
        <w:topLinePunct w:val="0"/>
        <w:autoSpaceDE/>
        <w:autoSpaceDN/>
        <w:bidi w:val="0"/>
        <w:adjustRightInd/>
        <w:snapToGrid/>
        <w:spacing w:line="400" w:lineRule="exact"/>
        <w:ind w:right="21" w:firstLine="211" w:firstLineChars="100"/>
        <w:textAlignment w:val="auto"/>
        <w:rPr>
          <w:rFonts w:hint="eastAsia" w:ascii="仿宋" w:hAnsi="仿宋" w:eastAsia="仿宋" w:cs="仿宋"/>
          <w:b/>
          <w:sz w:val="21"/>
          <w:szCs w:val="21"/>
        </w:rPr>
      </w:pPr>
      <w:bookmarkStart w:id="489" w:name="_bookmark105"/>
      <w:bookmarkEnd w:id="489"/>
      <w:r>
        <w:rPr>
          <w:rFonts w:hint="eastAsia" w:ascii="仿宋" w:hAnsi="仿宋" w:eastAsia="仿宋" w:cs="仿宋"/>
          <w:sz w:val="21"/>
          <w:szCs w:val="21"/>
        </w:rPr>
        <w:t>1.  一般约定</w:t>
      </w:r>
    </w:p>
    <w:p w14:paraId="40D9A34F">
      <w:pPr>
        <w:pStyle w:val="4"/>
        <w:pageBreakBefore w:val="0"/>
        <w:widowControl w:val="0"/>
        <w:kinsoku/>
        <w:wordWrap/>
        <w:overflowPunct/>
        <w:topLinePunct w:val="0"/>
        <w:autoSpaceDE/>
        <w:autoSpaceDN/>
        <w:bidi w:val="0"/>
        <w:adjustRightInd/>
        <w:snapToGrid/>
        <w:spacing w:line="400" w:lineRule="exact"/>
        <w:ind w:right="21"/>
        <w:textAlignment w:val="auto"/>
        <w:rPr>
          <w:rFonts w:hint="eastAsia" w:ascii="仿宋" w:hAnsi="仿宋" w:eastAsia="仿宋" w:cs="仿宋"/>
          <w:sz w:val="21"/>
          <w:szCs w:val="21"/>
        </w:rPr>
      </w:pPr>
      <w:bookmarkStart w:id="490" w:name="_bookmark106"/>
      <w:bookmarkEnd w:id="490"/>
      <w:r>
        <w:rPr>
          <w:rFonts w:hint="eastAsia" w:ascii="仿宋" w:hAnsi="仿宋" w:eastAsia="仿宋" w:cs="仿宋"/>
          <w:sz w:val="21"/>
          <w:szCs w:val="21"/>
        </w:rPr>
        <w:t>1.1  词语定义</w:t>
      </w:r>
    </w:p>
    <w:p w14:paraId="7F5D93FC">
      <w:pPr>
        <w:pStyle w:val="12"/>
        <w:pageBreakBefore w:val="0"/>
        <w:widowControl w:val="0"/>
        <w:kinsoku/>
        <w:wordWrap/>
        <w:overflowPunct/>
        <w:topLinePunct w:val="0"/>
        <w:autoSpaceDE/>
        <w:autoSpaceDN/>
        <w:bidi w:val="0"/>
        <w:adjustRightInd/>
        <w:snapToGrid/>
        <w:spacing w:before="248"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除专用合同条款另有约定外，合同中的下列词语应具有本款所赋予的含义。</w:t>
      </w:r>
    </w:p>
    <w:p w14:paraId="04503C27">
      <w:pPr>
        <w:pStyle w:val="5"/>
        <w:pageBreakBefore w:val="0"/>
        <w:widowControl w:val="0"/>
        <w:kinsoku/>
        <w:wordWrap/>
        <w:overflowPunct/>
        <w:topLinePunct w:val="0"/>
        <w:autoSpaceDE/>
        <w:autoSpaceDN/>
        <w:bidi w:val="0"/>
        <w:adjustRightInd/>
        <w:snapToGrid/>
        <w:spacing w:before="67" w:line="400" w:lineRule="exact"/>
        <w:textAlignment w:val="auto"/>
        <w:rPr>
          <w:rFonts w:hint="eastAsia" w:ascii="仿宋" w:hAnsi="仿宋" w:eastAsia="仿宋" w:cs="仿宋"/>
          <w:sz w:val="21"/>
          <w:szCs w:val="21"/>
        </w:rPr>
      </w:pPr>
      <w:r>
        <w:rPr>
          <w:rFonts w:hint="eastAsia" w:ascii="仿宋" w:hAnsi="仿宋" w:eastAsia="仿宋" w:cs="仿宋"/>
          <w:sz w:val="21"/>
          <w:szCs w:val="21"/>
        </w:rPr>
        <w:t>1.1.1  合同</w:t>
      </w:r>
    </w:p>
    <w:p w14:paraId="14F688EE">
      <w:pPr>
        <w:pStyle w:val="12"/>
        <w:pageBreakBefore w:val="0"/>
        <w:widowControl w:val="0"/>
        <w:kinsoku/>
        <w:wordWrap/>
        <w:overflowPunct/>
        <w:topLinePunct w:val="0"/>
        <w:autoSpaceDE/>
        <w:autoSpaceDN/>
        <w:bidi w:val="0"/>
        <w:adjustRightInd/>
        <w:snapToGrid/>
        <w:spacing w:before="109" w:line="400" w:lineRule="exact"/>
        <w:ind w:left="100" w:right="213" w:firstLine="419"/>
        <w:jc w:val="both"/>
        <w:textAlignment w:val="auto"/>
        <w:rPr>
          <w:rFonts w:hint="eastAsia" w:ascii="仿宋" w:hAnsi="仿宋" w:eastAsia="仿宋" w:cs="仿宋"/>
          <w:sz w:val="21"/>
          <w:szCs w:val="21"/>
        </w:rPr>
      </w:pPr>
      <w:r>
        <w:rPr>
          <w:rFonts w:hint="eastAsia" w:ascii="仿宋" w:hAnsi="仿宋" w:eastAsia="仿宋" w:cs="仿宋"/>
          <w:w w:val="100"/>
          <w:sz w:val="21"/>
          <w:szCs w:val="21"/>
        </w:rPr>
        <w:t>1.1.1.1</w:t>
      </w:r>
      <w:r>
        <w:rPr>
          <w:rFonts w:hint="eastAsia" w:ascii="仿宋" w:hAnsi="仿宋" w:eastAsia="仿宋" w:cs="仿宋"/>
          <w:sz w:val="21"/>
          <w:szCs w:val="21"/>
        </w:rPr>
        <w:t xml:space="preserve">  </w:t>
      </w:r>
      <w:r>
        <w:rPr>
          <w:rFonts w:hint="eastAsia" w:ascii="仿宋" w:hAnsi="仿宋" w:eastAsia="仿宋" w:cs="仿宋"/>
          <w:spacing w:val="-3"/>
          <w:w w:val="100"/>
          <w:sz w:val="21"/>
          <w:szCs w:val="21"/>
        </w:rPr>
        <w:t>合</w:t>
      </w:r>
      <w:r>
        <w:rPr>
          <w:rFonts w:hint="eastAsia" w:ascii="仿宋" w:hAnsi="仿宋" w:eastAsia="仿宋" w:cs="仿宋"/>
          <w:w w:val="100"/>
          <w:sz w:val="21"/>
          <w:szCs w:val="21"/>
        </w:rPr>
        <w:t>同</w:t>
      </w:r>
      <w:r>
        <w:rPr>
          <w:rFonts w:hint="eastAsia" w:ascii="仿宋" w:hAnsi="仿宋" w:eastAsia="仿宋" w:cs="仿宋"/>
          <w:spacing w:val="-3"/>
          <w:w w:val="100"/>
          <w:sz w:val="21"/>
          <w:szCs w:val="21"/>
        </w:rPr>
        <w:t>文</w:t>
      </w:r>
      <w:r>
        <w:rPr>
          <w:rFonts w:hint="eastAsia" w:ascii="仿宋" w:hAnsi="仿宋" w:eastAsia="仿宋" w:cs="仿宋"/>
          <w:spacing w:val="-27"/>
          <w:w w:val="100"/>
          <w:sz w:val="21"/>
          <w:szCs w:val="21"/>
        </w:rPr>
        <w:t>件</w:t>
      </w:r>
      <w:r>
        <w:rPr>
          <w:rFonts w:hint="eastAsia" w:ascii="仿宋" w:hAnsi="仿宋" w:eastAsia="仿宋" w:cs="仿宋"/>
          <w:w w:val="100"/>
          <w:sz w:val="21"/>
          <w:szCs w:val="21"/>
        </w:rPr>
        <w:t>（</w:t>
      </w:r>
      <w:r>
        <w:rPr>
          <w:rFonts w:hint="eastAsia" w:ascii="仿宋" w:hAnsi="仿宋" w:eastAsia="仿宋" w:cs="仿宋"/>
          <w:spacing w:val="-3"/>
          <w:w w:val="100"/>
          <w:sz w:val="21"/>
          <w:szCs w:val="21"/>
        </w:rPr>
        <w:t>或</w:t>
      </w:r>
      <w:r>
        <w:rPr>
          <w:rFonts w:hint="eastAsia" w:ascii="仿宋" w:hAnsi="仿宋" w:eastAsia="仿宋" w:cs="仿宋"/>
          <w:w w:val="100"/>
          <w:sz w:val="21"/>
          <w:szCs w:val="21"/>
        </w:rPr>
        <w:t>称</w:t>
      </w:r>
      <w:r>
        <w:rPr>
          <w:rFonts w:hint="eastAsia" w:ascii="仿宋" w:hAnsi="仿宋" w:eastAsia="仿宋" w:cs="仿宋"/>
          <w:spacing w:val="-3"/>
          <w:w w:val="100"/>
          <w:sz w:val="21"/>
          <w:szCs w:val="21"/>
        </w:rPr>
        <w:t>合</w:t>
      </w:r>
      <w:r>
        <w:rPr>
          <w:rFonts w:hint="eastAsia" w:ascii="仿宋" w:hAnsi="仿宋" w:eastAsia="仿宋" w:cs="仿宋"/>
          <w:w w:val="100"/>
          <w:sz w:val="21"/>
          <w:szCs w:val="21"/>
        </w:rPr>
        <w:t>同</w:t>
      </w:r>
      <w:r>
        <w:rPr>
          <w:rFonts w:hint="eastAsia" w:ascii="仿宋" w:hAnsi="仿宋" w:eastAsia="仿宋" w:cs="仿宋"/>
          <w:spacing w:val="-106"/>
          <w:w w:val="100"/>
          <w:sz w:val="21"/>
          <w:szCs w:val="21"/>
        </w:rPr>
        <w:t>）</w:t>
      </w:r>
      <w:r>
        <w:rPr>
          <w:rFonts w:hint="eastAsia" w:ascii="仿宋" w:hAnsi="仿宋" w:eastAsia="仿宋" w:cs="仿宋"/>
          <w:spacing w:val="-27"/>
          <w:w w:val="100"/>
          <w:sz w:val="21"/>
          <w:szCs w:val="21"/>
        </w:rPr>
        <w:t>：</w:t>
      </w:r>
      <w:r>
        <w:rPr>
          <w:rFonts w:hint="eastAsia" w:ascii="仿宋" w:hAnsi="仿宋" w:eastAsia="仿宋" w:cs="仿宋"/>
          <w:spacing w:val="-3"/>
          <w:w w:val="100"/>
          <w:sz w:val="21"/>
          <w:szCs w:val="21"/>
        </w:rPr>
        <w:t>指</w:t>
      </w:r>
      <w:r>
        <w:rPr>
          <w:rFonts w:hint="eastAsia" w:ascii="仿宋" w:hAnsi="仿宋" w:eastAsia="仿宋" w:cs="仿宋"/>
          <w:w w:val="100"/>
          <w:sz w:val="21"/>
          <w:szCs w:val="21"/>
        </w:rPr>
        <w:t>合</w:t>
      </w:r>
      <w:r>
        <w:rPr>
          <w:rFonts w:hint="eastAsia" w:ascii="仿宋" w:hAnsi="仿宋" w:eastAsia="仿宋" w:cs="仿宋"/>
          <w:spacing w:val="-3"/>
          <w:w w:val="100"/>
          <w:sz w:val="21"/>
          <w:szCs w:val="21"/>
        </w:rPr>
        <w:t>同</w:t>
      </w:r>
      <w:r>
        <w:rPr>
          <w:rFonts w:hint="eastAsia" w:ascii="仿宋" w:hAnsi="仿宋" w:eastAsia="仿宋" w:cs="仿宋"/>
          <w:w w:val="100"/>
          <w:sz w:val="21"/>
          <w:szCs w:val="21"/>
        </w:rPr>
        <w:t>协</w:t>
      </w:r>
      <w:r>
        <w:rPr>
          <w:rFonts w:hint="eastAsia" w:ascii="仿宋" w:hAnsi="仿宋" w:eastAsia="仿宋" w:cs="仿宋"/>
          <w:spacing w:val="-3"/>
          <w:w w:val="100"/>
          <w:sz w:val="21"/>
          <w:szCs w:val="21"/>
        </w:rPr>
        <w:t>议</w:t>
      </w:r>
      <w:r>
        <w:rPr>
          <w:rFonts w:hint="eastAsia" w:ascii="仿宋" w:hAnsi="仿宋" w:eastAsia="仿宋" w:cs="仿宋"/>
          <w:w w:val="100"/>
          <w:sz w:val="21"/>
          <w:szCs w:val="21"/>
        </w:rPr>
        <w:t>书</w:t>
      </w:r>
      <w:r>
        <w:rPr>
          <w:rFonts w:hint="eastAsia" w:ascii="仿宋" w:hAnsi="仿宋" w:eastAsia="仿宋" w:cs="仿宋"/>
          <w:spacing w:val="-27"/>
          <w:w w:val="100"/>
          <w:sz w:val="21"/>
          <w:szCs w:val="21"/>
        </w:rPr>
        <w:t>、</w:t>
      </w:r>
      <w:r>
        <w:rPr>
          <w:rFonts w:hint="eastAsia" w:ascii="仿宋" w:hAnsi="仿宋" w:eastAsia="仿宋" w:cs="仿宋"/>
          <w:spacing w:val="-3"/>
          <w:w w:val="100"/>
          <w:sz w:val="21"/>
          <w:szCs w:val="21"/>
        </w:rPr>
        <w:t>中标</w:t>
      </w:r>
      <w:r>
        <w:rPr>
          <w:rFonts w:hint="eastAsia" w:ascii="仿宋" w:hAnsi="仿宋" w:eastAsia="仿宋" w:cs="仿宋"/>
          <w:w w:val="100"/>
          <w:sz w:val="21"/>
          <w:szCs w:val="21"/>
        </w:rPr>
        <w:t>通知</w:t>
      </w:r>
      <w:r>
        <w:rPr>
          <w:rFonts w:hint="eastAsia" w:ascii="仿宋" w:hAnsi="仿宋" w:eastAsia="仿宋" w:cs="仿宋"/>
          <w:spacing w:val="-3"/>
          <w:w w:val="100"/>
          <w:sz w:val="21"/>
          <w:szCs w:val="21"/>
        </w:rPr>
        <w:t>书</w:t>
      </w:r>
      <w:r>
        <w:rPr>
          <w:rFonts w:hint="eastAsia" w:ascii="仿宋" w:hAnsi="仿宋" w:eastAsia="仿宋" w:cs="仿宋"/>
          <w:spacing w:val="-27"/>
          <w:w w:val="100"/>
          <w:sz w:val="21"/>
          <w:szCs w:val="21"/>
        </w:rPr>
        <w:t>、</w:t>
      </w:r>
      <w:r>
        <w:rPr>
          <w:rFonts w:hint="eastAsia" w:ascii="仿宋" w:hAnsi="仿宋" w:eastAsia="仿宋" w:cs="仿宋"/>
          <w:spacing w:val="-3"/>
          <w:w w:val="100"/>
          <w:sz w:val="21"/>
          <w:szCs w:val="21"/>
        </w:rPr>
        <w:t>投</w:t>
      </w:r>
      <w:r>
        <w:rPr>
          <w:rFonts w:hint="eastAsia" w:ascii="仿宋" w:hAnsi="仿宋" w:eastAsia="仿宋" w:cs="仿宋"/>
          <w:w w:val="100"/>
          <w:sz w:val="21"/>
          <w:szCs w:val="21"/>
        </w:rPr>
        <w:t>标函</w:t>
      </w:r>
      <w:r>
        <w:rPr>
          <w:rFonts w:hint="eastAsia" w:ascii="仿宋" w:hAnsi="仿宋" w:eastAsia="仿宋" w:cs="仿宋"/>
          <w:spacing w:val="-29"/>
          <w:w w:val="100"/>
          <w:sz w:val="21"/>
          <w:szCs w:val="21"/>
        </w:rPr>
        <w:t>、</w:t>
      </w:r>
      <w:r>
        <w:rPr>
          <w:rFonts w:hint="eastAsia" w:ascii="仿宋" w:hAnsi="仿宋" w:eastAsia="仿宋" w:cs="仿宋"/>
          <w:w w:val="100"/>
          <w:sz w:val="21"/>
          <w:szCs w:val="21"/>
        </w:rPr>
        <w:t>商</w:t>
      </w:r>
      <w:r>
        <w:rPr>
          <w:rFonts w:hint="eastAsia" w:ascii="仿宋" w:hAnsi="仿宋" w:eastAsia="仿宋" w:cs="仿宋"/>
          <w:spacing w:val="-3"/>
          <w:w w:val="100"/>
          <w:sz w:val="21"/>
          <w:szCs w:val="21"/>
        </w:rPr>
        <w:t>务和</w:t>
      </w:r>
      <w:r>
        <w:rPr>
          <w:rFonts w:hint="eastAsia" w:ascii="仿宋" w:hAnsi="仿宋" w:eastAsia="仿宋" w:cs="仿宋"/>
          <w:w w:val="100"/>
          <w:sz w:val="21"/>
          <w:szCs w:val="21"/>
        </w:rPr>
        <w:t>技术</w:t>
      </w:r>
      <w:r>
        <w:rPr>
          <w:rFonts w:hint="eastAsia" w:ascii="仿宋" w:hAnsi="仿宋" w:eastAsia="仿宋" w:cs="仿宋"/>
          <w:spacing w:val="-3"/>
          <w:w w:val="100"/>
          <w:sz w:val="21"/>
          <w:szCs w:val="21"/>
        </w:rPr>
        <w:t>偏</w:t>
      </w:r>
      <w:r>
        <w:rPr>
          <w:rFonts w:hint="eastAsia" w:ascii="仿宋" w:hAnsi="仿宋" w:eastAsia="仿宋" w:cs="仿宋"/>
          <w:w w:val="100"/>
          <w:sz w:val="21"/>
          <w:szCs w:val="21"/>
        </w:rPr>
        <w:t>差</w:t>
      </w:r>
      <w:r>
        <w:rPr>
          <w:rFonts w:hint="eastAsia" w:ascii="仿宋" w:hAnsi="仿宋" w:eastAsia="仿宋" w:cs="仿宋"/>
          <w:spacing w:val="-3"/>
          <w:w w:val="100"/>
          <w:sz w:val="21"/>
          <w:szCs w:val="21"/>
        </w:rPr>
        <w:t>表</w:t>
      </w:r>
      <w:r>
        <w:rPr>
          <w:rFonts w:hint="eastAsia" w:ascii="仿宋" w:hAnsi="仿宋" w:eastAsia="仿宋" w:cs="仿宋"/>
          <w:w w:val="100"/>
          <w:sz w:val="21"/>
          <w:szCs w:val="21"/>
        </w:rPr>
        <w:t>、</w:t>
      </w:r>
      <w:r>
        <w:rPr>
          <w:rFonts w:hint="eastAsia" w:ascii="仿宋" w:hAnsi="仿宋" w:eastAsia="仿宋" w:cs="仿宋"/>
          <w:spacing w:val="-1"/>
          <w:sz w:val="21"/>
          <w:szCs w:val="21"/>
        </w:rPr>
        <w:t>专用合同条款、通用合同条款、供货要求、分项报价表、</w:t>
      </w:r>
      <w:r>
        <w:rPr>
          <w:rFonts w:hint="eastAsia" w:ascii="仿宋" w:hAnsi="仿宋" w:eastAsia="仿宋" w:cs="仿宋"/>
          <w:sz w:val="21"/>
          <w:szCs w:val="21"/>
        </w:rPr>
        <w:t>技术和质保期服务计划</w:t>
      </w:r>
      <w:r>
        <w:rPr>
          <w:rFonts w:hint="eastAsia" w:ascii="仿宋" w:hAnsi="仿宋" w:eastAsia="仿宋" w:cs="仿宋"/>
          <w:sz w:val="21"/>
          <w:szCs w:val="21"/>
          <w:lang w:eastAsia="zh-CN"/>
        </w:rPr>
        <w:t>等</w:t>
      </w:r>
      <w:r>
        <w:rPr>
          <w:rFonts w:hint="eastAsia" w:ascii="仿宋" w:hAnsi="仿宋" w:eastAsia="仿宋" w:cs="仿宋"/>
          <w:sz w:val="21"/>
          <w:szCs w:val="21"/>
        </w:rPr>
        <w:t>，以及其他构成合同组成部分的文件。</w:t>
      </w:r>
    </w:p>
    <w:p w14:paraId="1ACD6259">
      <w:pPr>
        <w:pStyle w:val="12"/>
        <w:pageBreakBefore w:val="0"/>
        <w:widowControl w:val="0"/>
        <w:kinsoku/>
        <w:wordWrap/>
        <w:overflowPunct/>
        <w:topLinePunct w:val="0"/>
        <w:autoSpaceDE/>
        <w:autoSpaceDN/>
        <w:bidi w:val="0"/>
        <w:adjustRightInd/>
        <w:snapToGrid/>
        <w:spacing w:before="38"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1.1.1.2 合同协议书：指买方和卖方共同签署的合同协议书。</w:t>
      </w:r>
    </w:p>
    <w:p w14:paraId="0D4858EC">
      <w:pPr>
        <w:pStyle w:val="12"/>
        <w:pageBreakBefore w:val="0"/>
        <w:widowControl w:val="0"/>
        <w:kinsoku/>
        <w:wordWrap/>
        <w:overflowPunct/>
        <w:topLinePunct w:val="0"/>
        <w:autoSpaceDE/>
        <w:autoSpaceDN/>
        <w:bidi w:val="0"/>
        <w:adjustRightInd/>
        <w:snapToGrid/>
        <w:spacing w:before="117"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1.1.1.3 中标通知书：指买方通知卖方中标的函件。</w:t>
      </w:r>
    </w:p>
    <w:p w14:paraId="1751BFF2">
      <w:pPr>
        <w:pStyle w:val="12"/>
        <w:pageBreakBefore w:val="0"/>
        <w:widowControl w:val="0"/>
        <w:kinsoku/>
        <w:wordWrap/>
        <w:overflowPunct/>
        <w:topLinePunct w:val="0"/>
        <w:autoSpaceDE/>
        <w:autoSpaceDN/>
        <w:bidi w:val="0"/>
        <w:adjustRightInd/>
        <w:snapToGrid/>
        <w:spacing w:before="117"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1.1.1.4 投标函：指由卖方填写并签署的，名为“投标函”的函件。</w:t>
      </w:r>
    </w:p>
    <w:p w14:paraId="2590ABE9">
      <w:pPr>
        <w:pStyle w:val="12"/>
        <w:pageBreakBefore w:val="0"/>
        <w:widowControl w:val="0"/>
        <w:kinsoku/>
        <w:wordWrap/>
        <w:overflowPunct/>
        <w:topLinePunct w:val="0"/>
        <w:autoSpaceDE/>
        <w:autoSpaceDN/>
        <w:bidi w:val="0"/>
        <w:adjustRightInd/>
        <w:snapToGrid/>
        <w:spacing w:before="119"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1.1.1.5 商务和技术偏差表：指卖方投标文件中的商务和技术偏差表。</w:t>
      </w:r>
    </w:p>
    <w:p w14:paraId="68D997E2">
      <w:pPr>
        <w:pStyle w:val="12"/>
        <w:pageBreakBefore w:val="0"/>
        <w:widowControl w:val="0"/>
        <w:kinsoku/>
        <w:wordWrap/>
        <w:overflowPunct/>
        <w:topLinePunct w:val="0"/>
        <w:autoSpaceDE/>
        <w:autoSpaceDN/>
        <w:bidi w:val="0"/>
        <w:adjustRightInd/>
        <w:snapToGrid/>
        <w:spacing w:before="117"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1.1.1.6 供货要求：指合同文件中名为“供货要求”的文件。</w:t>
      </w:r>
    </w:p>
    <w:p w14:paraId="0EE5F091">
      <w:pPr>
        <w:pStyle w:val="12"/>
        <w:pageBreakBefore w:val="0"/>
        <w:widowControl w:val="0"/>
        <w:kinsoku/>
        <w:wordWrap/>
        <w:overflowPunct/>
        <w:topLinePunct w:val="0"/>
        <w:autoSpaceDE/>
        <w:autoSpaceDN/>
        <w:bidi w:val="0"/>
        <w:adjustRightInd/>
        <w:snapToGrid/>
        <w:spacing w:before="117" w:line="400" w:lineRule="exact"/>
        <w:ind w:left="100" w:right="21" w:firstLine="419"/>
        <w:textAlignment w:val="auto"/>
        <w:rPr>
          <w:rFonts w:hint="eastAsia" w:ascii="仿宋" w:hAnsi="仿宋" w:eastAsia="仿宋" w:cs="仿宋"/>
          <w:sz w:val="21"/>
          <w:szCs w:val="21"/>
        </w:rPr>
      </w:pPr>
      <w:r>
        <w:rPr>
          <w:rFonts w:hint="eastAsia" w:ascii="仿宋" w:hAnsi="仿宋" w:eastAsia="仿宋" w:cs="仿宋"/>
          <w:sz w:val="21"/>
          <w:szCs w:val="21"/>
        </w:rPr>
        <w:t>1.1.1.7 中标设备技术性能指标的详细描述：指卖方投标文件中的投标设备技术性能指标的详细描述。</w:t>
      </w:r>
    </w:p>
    <w:p w14:paraId="76D7ABF4">
      <w:pPr>
        <w:pStyle w:val="12"/>
        <w:pageBreakBefore w:val="0"/>
        <w:widowControl w:val="0"/>
        <w:kinsoku/>
        <w:wordWrap/>
        <w:overflowPunct/>
        <w:topLinePunct w:val="0"/>
        <w:autoSpaceDE/>
        <w:autoSpaceDN/>
        <w:bidi w:val="0"/>
        <w:adjustRightInd/>
        <w:snapToGrid/>
        <w:spacing w:before="51"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1.1.1.8 技术服务和质保期服务计划：指卖方投标文件中的技术服务和质保期服务计划。</w:t>
      </w:r>
    </w:p>
    <w:p w14:paraId="3CC0389F">
      <w:pPr>
        <w:pStyle w:val="12"/>
        <w:pageBreakBefore w:val="0"/>
        <w:widowControl w:val="0"/>
        <w:kinsoku/>
        <w:wordWrap/>
        <w:overflowPunct/>
        <w:topLinePunct w:val="0"/>
        <w:autoSpaceDE/>
        <w:autoSpaceDN/>
        <w:bidi w:val="0"/>
        <w:adjustRightInd/>
        <w:snapToGrid/>
        <w:spacing w:before="117"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1.1.1.9 分项报价表：指卖方投标文件中的分项报价表。</w:t>
      </w:r>
    </w:p>
    <w:p w14:paraId="61B02C4F">
      <w:pPr>
        <w:pStyle w:val="12"/>
        <w:pageBreakBefore w:val="0"/>
        <w:widowControl w:val="0"/>
        <w:kinsoku/>
        <w:wordWrap/>
        <w:overflowPunct/>
        <w:topLinePunct w:val="0"/>
        <w:autoSpaceDE/>
        <w:autoSpaceDN/>
        <w:bidi w:val="0"/>
        <w:adjustRightInd/>
        <w:snapToGrid/>
        <w:spacing w:before="117"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1.1.1.10 其他合同文件：指经合同双方当事人确认构成合同文件的其他文件。</w:t>
      </w:r>
    </w:p>
    <w:p w14:paraId="0C82C786">
      <w:pPr>
        <w:pStyle w:val="5"/>
        <w:pageBreakBefore w:val="0"/>
        <w:widowControl w:val="0"/>
        <w:kinsoku/>
        <w:wordWrap/>
        <w:overflowPunct/>
        <w:topLinePunct w:val="0"/>
        <w:autoSpaceDE/>
        <w:autoSpaceDN/>
        <w:bidi w:val="0"/>
        <w:adjustRightInd/>
        <w:snapToGrid/>
        <w:spacing w:before="50" w:line="400" w:lineRule="exact"/>
        <w:textAlignment w:val="auto"/>
        <w:rPr>
          <w:rFonts w:hint="eastAsia" w:ascii="仿宋" w:hAnsi="仿宋" w:eastAsia="仿宋" w:cs="仿宋"/>
          <w:sz w:val="21"/>
          <w:szCs w:val="21"/>
        </w:rPr>
      </w:pPr>
      <w:r>
        <w:rPr>
          <w:rFonts w:hint="eastAsia" w:ascii="仿宋" w:hAnsi="仿宋" w:eastAsia="仿宋" w:cs="仿宋"/>
          <w:sz w:val="21"/>
          <w:szCs w:val="21"/>
        </w:rPr>
        <w:t>1.1.2  合同当事人</w:t>
      </w:r>
    </w:p>
    <w:p w14:paraId="76D6D626">
      <w:pPr>
        <w:pStyle w:val="12"/>
        <w:pageBreakBefore w:val="0"/>
        <w:widowControl w:val="0"/>
        <w:kinsoku/>
        <w:wordWrap/>
        <w:overflowPunct/>
        <w:topLinePunct w:val="0"/>
        <w:autoSpaceDE/>
        <w:autoSpaceDN/>
        <w:bidi w:val="0"/>
        <w:adjustRightInd/>
        <w:snapToGrid/>
        <w:spacing w:before="110"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1.1.2.1 合同当事人：指买方和（或）卖方。</w:t>
      </w:r>
    </w:p>
    <w:p w14:paraId="3DB4ECF5">
      <w:pPr>
        <w:pStyle w:val="12"/>
        <w:pageBreakBefore w:val="0"/>
        <w:widowControl w:val="0"/>
        <w:kinsoku/>
        <w:wordWrap/>
        <w:overflowPunct/>
        <w:topLinePunct w:val="0"/>
        <w:autoSpaceDE/>
        <w:autoSpaceDN/>
        <w:bidi w:val="0"/>
        <w:adjustRightInd/>
        <w:snapToGrid/>
        <w:spacing w:before="119" w:line="400" w:lineRule="exact"/>
        <w:ind w:left="100" w:right="21" w:firstLine="419"/>
        <w:textAlignment w:val="auto"/>
        <w:rPr>
          <w:rFonts w:hint="eastAsia" w:ascii="仿宋" w:hAnsi="仿宋" w:eastAsia="仿宋" w:cs="仿宋"/>
          <w:sz w:val="21"/>
          <w:szCs w:val="21"/>
        </w:rPr>
      </w:pPr>
      <w:r>
        <w:rPr>
          <w:rFonts w:hint="eastAsia" w:ascii="仿宋" w:hAnsi="仿宋" w:eastAsia="仿宋" w:cs="仿宋"/>
          <w:sz w:val="21"/>
          <w:szCs w:val="21"/>
        </w:rPr>
        <w:t>1.1.2.2 买方：指与卖方签订合同协议书，购买合同设备和技术服务和质保期服务的当事人，及其合法继承人。</w:t>
      </w:r>
    </w:p>
    <w:p w14:paraId="57406042">
      <w:pPr>
        <w:pStyle w:val="12"/>
        <w:pageBreakBefore w:val="0"/>
        <w:widowControl w:val="0"/>
        <w:kinsoku/>
        <w:wordWrap/>
        <w:overflowPunct/>
        <w:topLinePunct w:val="0"/>
        <w:autoSpaceDE/>
        <w:autoSpaceDN/>
        <w:bidi w:val="0"/>
        <w:adjustRightInd/>
        <w:snapToGrid/>
        <w:spacing w:before="49" w:line="400" w:lineRule="exact"/>
        <w:ind w:left="100" w:right="21" w:firstLine="419"/>
        <w:textAlignment w:val="auto"/>
        <w:rPr>
          <w:rFonts w:hint="eastAsia" w:ascii="仿宋" w:hAnsi="仿宋" w:eastAsia="仿宋" w:cs="仿宋"/>
          <w:sz w:val="21"/>
          <w:szCs w:val="21"/>
        </w:rPr>
      </w:pPr>
      <w:r>
        <w:rPr>
          <w:rFonts w:hint="eastAsia" w:ascii="仿宋" w:hAnsi="仿宋" w:eastAsia="仿宋" w:cs="仿宋"/>
          <w:sz w:val="21"/>
          <w:szCs w:val="21"/>
        </w:rPr>
        <w:t>1.1.2.3 卖方：指与买方签订合同协议书，提供合同设备和技术服务和质保期服务的当事人，及其合法继承人。</w:t>
      </w:r>
    </w:p>
    <w:p w14:paraId="69B102FA">
      <w:pPr>
        <w:pStyle w:val="5"/>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1.1.3  合同价格</w:t>
      </w:r>
    </w:p>
    <w:p w14:paraId="1527ECE7">
      <w:pPr>
        <w:pStyle w:val="12"/>
        <w:pageBreakBefore w:val="0"/>
        <w:widowControl w:val="0"/>
        <w:kinsoku/>
        <w:wordWrap/>
        <w:overflowPunct/>
        <w:topLinePunct w:val="0"/>
        <w:autoSpaceDE/>
        <w:autoSpaceDN/>
        <w:bidi w:val="0"/>
        <w:adjustRightInd/>
        <w:snapToGrid/>
        <w:spacing w:before="111"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1.1.3.1 签约合同价：是签订合同时合同协议书中写明的合同总金额。</w:t>
      </w:r>
    </w:p>
    <w:p w14:paraId="6EE222DB">
      <w:pPr>
        <w:pStyle w:val="12"/>
        <w:pageBreakBefore w:val="0"/>
        <w:widowControl w:val="0"/>
        <w:kinsoku/>
        <w:wordWrap/>
        <w:overflowPunct/>
        <w:topLinePunct w:val="0"/>
        <w:autoSpaceDE/>
        <w:autoSpaceDN/>
        <w:bidi w:val="0"/>
        <w:adjustRightInd/>
        <w:snapToGrid/>
        <w:spacing w:before="117"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1.1.3.2 合同价格：指卖方按合同约定履行了全部合同义务后，买方应付给卖方的金额。</w:t>
      </w:r>
    </w:p>
    <w:p w14:paraId="72A9EAEA">
      <w:pPr>
        <w:pStyle w:val="12"/>
        <w:pageBreakBefore w:val="0"/>
        <w:widowControl w:val="0"/>
        <w:kinsoku/>
        <w:wordWrap/>
        <w:overflowPunct/>
        <w:topLinePunct w:val="0"/>
        <w:autoSpaceDE/>
        <w:autoSpaceDN/>
        <w:bidi w:val="0"/>
        <w:adjustRightInd/>
        <w:snapToGrid/>
        <w:spacing w:before="117"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 xml:space="preserve">1.1.4   </w:t>
      </w:r>
      <w:r>
        <w:rPr>
          <w:rFonts w:hint="eastAsia" w:ascii="仿宋" w:hAnsi="仿宋" w:eastAsia="仿宋" w:cs="仿宋"/>
          <w:spacing w:val="-9"/>
          <w:sz w:val="21"/>
          <w:szCs w:val="21"/>
        </w:rPr>
        <w:t>合同设备：指卖方按合同约定应向买方提供的设备、装置、备品、备件、易损易耗件、</w:t>
      </w:r>
      <w:r>
        <w:rPr>
          <w:rFonts w:hint="eastAsia" w:ascii="仿宋" w:hAnsi="仿宋" w:eastAsia="仿宋" w:cs="仿宋"/>
          <w:sz w:val="21"/>
          <w:szCs w:val="21"/>
        </w:rPr>
        <w:t>配套使用的软件或其他辅助电子应用程序及技术资料，或其中任何一部分。</w:t>
      </w:r>
    </w:p>
    <w:p w14:paraId="4F90099A">
      <w:pPr>
        <w:pStyle w:val="12"/>
        <w:pageBreakBefore w:val="0"/>
        <w:widowControl w:val="0"/>
        <w:kinsoku/>
        <w:wordWrap/>
        <w:overflowPunct/>
        <w:topLinePunct w:val="0"/>
        <w:autoSpaceDE/>
        <w:autoSpaceDN/>
        <w:bidi w:val="0"/>
        <w:adjustRightInd/>
        <w:snapToGrid/>
        <w:spacing w:before="133" w:line="400" w:lineRule="exact"/>
        <w:ind w:left="100" w:right="21" w:firstLine="419"/>
        <w:textAlignment w:val="auto"/>
        <w:rPr>
          <w:rFonts w:hint="eastAsia" w:ascii="仿宋" w:hAnsi="仿宋" w:eastAsia="仿宋" w:cs="仿宋"/>
          <w:sz w:val="21"/>
          <w:szCs w:val="21"/>
        </w:rPr>
      </w:pPr>
      <w:r>
        <w:rPr>
          <w:rFonts w:hint="eastAsia" w:ascii="仿宋" w:hAnsi="仿宋" w:eastAsia="仿宋" w:cs="仿宋"/>
          <w:sz w:val="21"/>
          <w:szCs w:val="21"/>
        </w:rPr>
        <w:t>1.1.5 技术资料：指各种纸质及电子载体的与合同设备的设计、检验、安装、调试、考核、操作、维修以及保养等有关的技术指标、规格、图纸和说明文件。</w:t>
      </w:r>
    </w:p>
    <w:p w14:paraId="7A69E242">
      <w:pPr>
        <w:pStyle w:val="12"/>
        <w:pageBreakBefore w:val="0"/>
        <w:widowControl w:val="0"/>
        <w:kinsoku/>
        <w:wordWrap/>
        <w:overflowPunct/>
        <w:topLinePunct w:val="0"/>
        <w:autoSpaceDE/>
        <w:autoSpaceDN/>
        <w:bidi w:val="0"/>
        <w:adjustRightInd/>
        <w:snapToGrid/>
        <w:spacing w:before="51" w:line="400" w:lineRule="exact"/>
        <w:ind w:left="100" w:right="2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1.1.6 </w:t>
      </w:r>
      <w:r>
        <w:rPr>
          <w:rFonts w:hint="eastAsia" w:ascii="仿宋" w:hAnsi="仿宋" w:eastAsia="仿宋" w:cs="仿宋"/>
          <w:spacing w:val="-4"/>
          <w:sz w:val="21"/>
          <w:szCs w:val="21"/>
        </w:rPr>
        <w:t>安装：指对合同设备进行的组装、连接以及根据需要将合同设备固定在施工场地内一</w:t>
      </w:r>
      <w:r>
        <w:rPr>
          <w:rFonts w:hint="eastAsia" w:ascii="仿宋" w:hAnsi="仿宋" w:eastAsia="仿宋" w:cs="仿宋"/>
          <w:sz w:val="21"/>
          <w:szCs w:val="21"/>
        </w:rPr>
        <w:t>定的位置上，使其就位并与相关设备、工程实现连接。</w:t>
      </w:r>
    </w:p>
    <w:p w14:paraId="23795702">
      <w:pPr>
        <w:pStyle w:val="12"/>
        <w:pageBreakBefore w:val="0"/>
        <w:widowControl w:val="0"/>
        <w:kinsoku/>
        <w:wordWrap/>
        <w:overflowPunct/>
        <w:topLinePunct w:val="0"/>
        <w:autoSpaceDE/>
        <w:autoSpaceDN/>
        <w:bidi w:val="0"/>
        <w:adjustRightInd/>
        <w:snapToGrid/>
        <w:spacing w:before="49"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1.1.7 调试：指在合同设备安装完成后，对合同设备所进行的调校和测试。</w:t>
      </w:r>
    </w:p>
    <w:p w14:paraId="3ECFA267">
      <w:pPr>
        <w:pStyle w:val="12"/>
        <w:pageBreakBefore w:val="0"/>
        <w:widowControl w:val="0"/>
        <w:kinsoku/>
        <w:wordWrap/>
        <w:overflowPunct/>
        <w:topLinePunct w:val="0"/>
        <w:autoSpaceDE/>
        <w:autoSpaceDN/>
        <w:bidi w:val="0"/>
        <w:adjustRightInd/>
        <w:snapToGrid/>
        <w:spacing w:before="117" w:line="400" w:lineRule="exact"/>
        <w:ind w:left="100" w:right="2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1.1.8 </w:t>
      </w:r>
      <w:r>
        <w:rPr>
          <w:rFonts w:hint="eastAsia" w:ascii="仿宋" w:hAnsi="仿宋" w:eastAsia="仿宋" w:cs="仿宋"/>
          <w:spacing w:val="-4"/>
          <w:sz w:val="21"/>
          <w:szCs w:val="21"/>
        </w:rPr>
        <w:t xml:space="preserve">考核：指在合同设备调试完成后，对合同设备进行的用于确定其是否达到合同约定的 </w:t>
      </w:r>
      <w:r>
        <w:rPr>
          <w:rFonts w:hint="eastAsia" w:ascii="仿宋" w:hAnsi="仿宋" w:eastAsia="仿宋" w:cs="仿宋"/>
          <w:sz w:val="21"/>
          <w:szCs w:val="21"/>
        </w:rPr>
        <w:t>技术性能考核指标的考核。</w:t>
      </w:r>
    </w:p>
    <w:p w14:paraId="69A37BD3">
      <w:pPr>
        <w:pStyle w:val="12"/>
        <w:pageBreakBefore w:val="0"/>
        <w:widowControl w:val="0"/>
        <w:kinsoku/>
        <w:wordWrap/>
        <w:overflowPunct/>
        <w:topLinePunct w:val="0"/>
        <w:autoSpaceDE/>
        <w:autoSpaceDN/>
        <w:bidi w:val="0"/>
        <w:adjustRightInd/>
        <w:snapToGrid/>
        <w:spacing w:before="47" w:line="400" w:lineRule="exact"/>
        <w:ind w:left="100" w:right="2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1.1.9 </w:t>
      </w:r>
      <w:r>
        <w:rPr>
          <w:rFonts w:hint="eastAsia" w:ascii="仿宋" w:hAnsi="仿宋" w:eastAsia="仿宋" w:cs="仿宋"/>
          <w:spacing w:val="-4"/>
          <w:sz w:val="21"/>
          <w:szCs w:val="21"/>
        </w:rPr>
        <w:t>验收：指合同设备通过考核达到合同约定的技术性能考核指标后，买方作出接受合同</w:t>
      </w:r>
      <w:r>
        <w:rPr>
          <w:rFonts w:hint="eastAsia" w:ascii="仿宋" w:hAnsi="仿宋" w:eastAsia="仿宋" w:cs="仿宋"/>
          <w:sz w:val="21"/>
          <w:szCs w:val="21"/>
        </w:rPr>
        <w:t>设备的确认。</w:t>
      </w:r>
    </w:p>
    <w:p w14:paraId="4A1621CE">
      <w:pPr>
        <w:pStyle w:val="12"/>
        <w:pageBreakBefore w:val="0"/>
        <w:widowControl w:val="0"/>
        <w:kinsoku/>
        <w:wordWrap/>
        <w:overflowPunct/>
        <w:topLinePunct w:val="0"/>
        <w:autoSpaceDE/>
        <w:autoSpaceDN/>
        <w:bidi w:val="0"/>
        <w:adjustRightInd/>
        <w:snapToGrid/>
        <w:spacing w:before="49" w:line="400" w:lineRule="exact"/>
        <w:ind w:left="100" w:right="2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1.1.10 </w:t>
      </w:r>
      <w:r>
        <w:rPr>
          <w:rFonts w:hint="eastAsia" w:ascii="仿宋" w:hAnsi="仿宋" w:eastAsia="仿宋" w:cs="仿宋"/>
          <w:spacing w:val="-7"/>
          <w:sz w:val="21"/>
          <w:szCs w:val="21"/>
        </w:rPr>
        <w:t>技术服务：指卖方按合同约定，在合同设备验收前，向买方提供的安装、调试服务，</w:t>
      </w:r>
      <w:r>
        <w:rPr>
          <w:rFonts w:hint="eastAsia" w:ascii="仿宋" w:hAnsi="仿宋" w:eastAsia="仿宋" w:cs="仿宋"/>
          <w:sz w:val="21"/>
          <w:szCs w:val="21"/>
        </w:rPr>
        <w:t>或者在由买方负责的安装、调试、考核中对买方进行的技术指导、协助、监督和培训等。</w:t>
      </w:r>
    </w:p>
    <w:p w14:paraId="7D23602C">
      <w:pPr>
        <w:pStyle w:val="12"/>
        <w:pageBreakBefore w:val="0"/>
        <w:widowControl w:val="0"/>
        <w:kinsoku/>
        <w:wordWrap/>
        <w:overflowPunct/>
        <w:topLinePunct w:val="0"/>
        <w:autoSpaceDE/>
        <w:autoSpaceDN/>
        <w:bidi w:val="0"/>
        <w:adjustRightInd/>
        <w:snapToGrid/>
        <w:spacing w:before="51" w:line="400" w:lineRule="exact"/>
        <w:ind w:left="100" w:right="217" w:firstLine="419"/>
        <w:jc w:val="both"/>
        <w:textAlignment w:val="auto"/>
        <w:rPr>
          <w:rFonts w:hint="eastAsia" w:ascii="仿宋" w:hAnsi="仿宋" w:eastAsia="仿宋" w:cs="仿宋"/>
          <w:sz w:val="21"/>
          <w:szCs w:val="21"/>
        </w:rPr>
      </w:pPr>
      <w:r>
        <w:rPr>
          <w:rFonts w:hint="eastAsia" w:ascii="仿宋" w:hAnsi="仿宋" w:eastAsia="仿宋" w:cs="仿宋"/>
          <w:sz w:val="21"/>
          <w:szCs w:val="21"/>
        </w:rPr>
        <w:t>1.1.11 质量保证期：指合同设备验收后，卖方按合同约定保证合同设备适当、稳定运行， 并负责消除合同设备故障的期限。</w:t>
      </w:r>
    </w:p>
    <w:p w14:paraId="580E109A">
      <w:pPr>
        <w:pStyle w:val="12"/>
        <w:pageBreakBefore w:val="0"/>
        <w:widowControl w:val="0"/>
        <w:kinsoku/>
        <w:wordWrap/>
        <w:overflowPunct/>
        <w:topLinePunct w:val="0"/>
        <w:autoSpaceDE/>
        <w:autoSpaceDN/>
        <w:bidi w:val="0"/>
        <w:adjustRightInd/>
        <w:snapToGrid/>
        <w:spacing w:before="49" w:line="400" w:lineRule="exact"/>
        <w:ind w:left="100" w:right="2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1.1.12 </w:t>
      </w:r>
      <w:r>
        <w:rPr>
          <w:rFonts w:hint="eastAsia" w:ascii="仿宋" w:hAnsi="仿宋" w:eastAsia="仿宋" w:cs="仿宋"/>
          <w:spacing w:val="-7"/>
          <w:sz w:val="21"/>
          <w:szCs w:val="21"/>
        </w:rPr>
        <w:t xml:space="preserve">质保期服务：指在质量保证期内，卖方向买方提供的合同设备维护服务、咨询服务、 </w:t>
      </w:r>
      <w:r>
        <w:rPr>
          <w:rFonts w:hint="eastAsia" w:ascii="仿宋" w:hAnsi="仿宋" w:eastAsia="仿宋" w:cs="仿宋"/>
          <w:sz w:val="21"/>
          <w:szCs w:val="21"/>
        </w:rPr>
        <w:t>技术指导、协助以及对出现故障的合同设备进行修理或更换的服务。</w:t>
      </w:r>
    </w:p>
    <w:p w14:paraId="67AA65E3">
      <w:pPr>
        <w:pStyle w:val="5"/>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1.1.13  工程</w:t>
      </w:r>
    </w:p>
    <w:p w14:paraId="69341266">
      <w:pPr>
        <w:pStyle w:val="12"/>
        <w:pageBreakBefore w:val="0"/>
        <w:widowControl w:val="0"/>
        <w:kinsoku/>
        <w:wordWrap/>
        <w:overflowPunct/>
        <w:topLinePunct w:val="0"/>
        <w:autoSpaceDE/>
        <w:autoSpaceDN/>
        <w:bidi w:val="0"/>
        <w:adjustRightInd/>
        <w:snapToGrid/>
        <w:spacing w:before="111"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1.1.13.1 工程：指在专用合同条款中指明的，安装运行合同设备的工程。</w:t>
      </w:r>
    </w:p>
    <w:p w14:paraId="1037FC08">
      <w:pPr>
        <w:pStyle w:val="12"/>
        <w:pageBreakBefore w:val="0"/>
        <w:widowControl w:val="0"/>
        <w:kinsoku/>
        <w:wordWrap/>
        <w:overflowPunct/>
        <w:topLinePunct w:val="0"/>
        <w:autoSpaceDE/>
        <w:autoSpaceDN/>
        <w:bidi w:val="0"/>
        <w:adjustRightInd/>
        <w:snapToGrid/>
        <w:spacing w:before="117" w:line="400" w:lineRule="exact"/>
        <w:ind w:left="520" w:right="21"/>
        <w:textAlignment w:val="auto"/>
        <w:rPr>
          <w:rFonts w:hint="eastAsia" w:ascii="仿宋" w:hAnsi="仿宋" w:eastAsia="仿宋" w:cs="仿宋"/>
          <w:sz w:val="21"/>
          <w:szCs w:val="21"/>
        </w:rPr>
      </w:pPr>
      <w:r>
        <w:rPr>
          <w:rFonts w:hint="eastAsia" w:ascii="仿宋" w:hAnsi="仿宋" w:eastAsia="仿宋" w:cs="仿宋"/>
          <w:w w:val="100"/>
          <w:sz w:val="21"/>
          <w:szCs w:val="21"/>
        </w:rPr>
        <w:t>1.1.13</w:t>
      </w:r>
      <w:r>
        <w:rPr>
          <w:rFonts w:hint="eastAsia" w:ascii="仿宋" w:hAnsi="仿宋" w:eastAsia="仿宋" w:cs="仿宋"/>
          <w:spacing w:val="-3"/>
          <w:w w:val="100"/>
          <w:sz w:val="21"/>
          <w:szCs w:val="21"/>
        </w:rPr>
        <w:t>.</w:t>
      </w:r>
      <w:r>
        <w:rPr>
          <w:rFonts w:hint="eastAsia" w:ascii="仿宋" w:hAnsi="仿宋" w:eastAsia="仿宋" w:cs="仿宋"/>
          <w:w w:val="100"/>
          <w:sz w:val="21"/>
          <w:szCs w:val="21"/>
        </w:rPr>
        <w:t>2</w:t>
      </w:r>
      <w:r>
        <w:rPr>
          <w:rFonts w:hint="eastAsia" w:ascii="仿宋" w:hAnsi="仿宋" w:eastAsia="仿宋" w:cs="仿宋"/>
          <w:sz w:val="21"/>
          <w:szCs w:val="21"/>
        </w:rPr>
        <w:t xml:space="preserve"> </w:t>
      </w:r>
      <w:r>
        <w:rPr>
          <w:rFonts w:hint="eastAsia" w:ascii="仿宋" w:hAnsi="仿宋" w:eastAsia="仿宋" w:cs="仿宋"/>
          <w:spacing w:val="-3"/>
          <w:w w:val="100"/>
          <w:sz w:val="21"/>
          <w:szCs w:val="21"/>
        </w:rPr>
        <w:t>施</w:t>
      </w:r>
      <w:r>
        <w:rPr>
          <w:rFonts w:hint="eastAsia" w:ascii="仿宋" w:hAnsi="仿宋" w:eastAsia="仿宋" w:cs="仿宋"/>
          <w:w w:val="100"/>
          <w:sz w:val="21"/>
          <w:szCs w:val="21"/>
        </w:rPr>
        <w:t>工</w:t>
      </w:r>
      <w:r>
        <w:rPr>
          <w:rFonts w:hint="eastAsia" w:ascii="仿宋" w:hAnsi="仿宋" w:eastAsia="仿宋" w:cs="仿宋"/>
          <w:spacing w:val="-3"/>
          <w:w w:val="100"/>
          <w:sz w:val="21"/>
          <w:szCs w:val="21"/>
        </w:rPr>
        <w:t>场</w:t>
      </w:r>
      <w:r>
        <w:rPr>
          <w:rFonts w:hint="eastAsia" w:ascii="仿宋" w:hAnsi="仿宋" w:eastAsia="仿宋" w:cs="仿宋"/>
          <w:w w:val="100"/>
          <w:sz w:val="21"/>
          <w:szCs w:val="21"/>
        </w:rPr>
        <w:t>地</w:t>
      </w:r>
      <w:r>
        <w:rPr>
          <w:rFonts w:hint="eastAsia" w:ascii="仿宋" w:hAnsi="仿宋" w:eastAsia="仿宋" w:cs="仿宋"/>
          <w:spacing w:val="-3"/>
          <w:w w:val="100"/>
          <w:sz w:val="21"/>
          <w:szCs w:val="21"/>
        </w:rPr>
        <w:t>（</w:t>
      </w:r>
      <w:r>
        <w:rPr>
          <w:rFonts w:hint="eastAsia" w:ascii="仿宋" w:hAnsi="仿宋" w:eastAsia="仿宋" w:cs="仿宋"/>
          <w:w w:val="100"/>
          <w:sz w:val="21"/>
          <w:szCs w:val="21"/>
        </w:rPr>
        <w:t>或</w:t>
      </w:r>
      <w:r>
        <w:rPr>
          <w:rFonts w:hint="eastAsia" w:ascii="仿宋" w:hAnsi="仿宋" w:eastAsia="仿宋" w:cs="仿宋"/>
          <w:spacing w:val="-3"/>
          <w:w w:val="100"/>
          <w:sz w:val="21"/>
          <w:szCs w:val="21"/>
        </w:rPr>
        <w:t>称</w:t>
      </w:r>
      <w:r>
        <w:rPr>
          <w:rFonts w:hint="eastAsia" w:ascii="仿宋" w:hAnsi="仿宋" w:eastAsia="仿宋" w:cs="仿宋"/>
          <w:w w:val="100"/>
          <w:sz w:val="21"/>
          <w:szCs w:val="21"/>
        </w:rPr>
        <w:t>工地</w:t>
      </w:r>
      <w:r>
        <w:rPr>
          <w:rFonts w:hint="eastAsia" w:ascii="仿宋" w:hAnsi="仿宋" w:eastAsia="仿宋" w:cs="仿宋"/>
          <w:spacing w:val="-3"/>
          <w:w w:val="100"/>
          <w:sz w:val="21"/>
          <w:szCs w:val="21"/>
        </w:rPr>
        <w:t>、</w:t>
      </w:r>
      <w:r>
        <w:rPr>
          <w:rFonts w:hint="eastAsia" w:ascii="仿宋" w:hAnsi="仿宋" w:eastAsia="仿宋" w:cs="仿宋"/>
          <w:w w:val="100"/>
          <w:sz w:val="21"/>
          <w:szCs w:val="21"/>
        </w:rPr>
        <w:t>施</w:t>
      </w:r>
      <w:r>
        <w:rPr>
          <w:rFonts w:hint="eastAsia" w:ascii="仿宋" w:hAnsi="仿宋" w:eastAsia="仿宋" w:cs="仿宋"/>
          <w:spacing w:val="-3"/>
          <w:w w:val="100"/>
          <w:sz w:val="21"/>
          <w:szCs w:val="21"/>
        </w:rPr>
        <w:t>工</w:t>
      </w:r>
      <w:r>
        <w:rPr>
          <w:rFonts w:hint="eastAsia" w:ascii="仿宋" w:hAnsi="仿宋" w:eastAsia="仿宋" w:cs="仿宋"/>
          <w:w w:val="100"/>
          <w:sz w:val="21"/>
          <w:szCs w:val="21"/>
        </w:rPr>
        <w:t>现</w:t>
      </w:r>
      <w:r>
        <w:rPr>
          <w:rFonts w:hint="eastAsia" w:ascii="仿宋" w:hAnsi="仿宋" w:eastAsia="仿宋" w:cs="仿宋"/>
          <w:spacing w:val="-3"/>
          <w:w w:val="100"/>
          <w:sz w:val="21"/>
          <w:szCs w:val="21"/>
        </w:rPr>
        <w:t>场</w:t>
      </w:r>
      <w:r>
        <w:rPr>
          <w:rFonts w:hint="eastAsia" w:ascii="仿宋" w:hAnsi="仿宋" w:eastAsia="仿宋" w:cs="仿宋"/>
          <w:spacing w:val="-106"/>
          <w:w w:val="100"/>
          <w:sz w:val="21"/>
          <w:szCs w:val="21"/>
        </w:rPr>
        <w:t>）</w:t>
      </w:r>
      <w:r>
        <w:rPr>
          <w:rFonts w:hint="eastAsia" w:ascii="仿宋" w:hAnsi="仿宋" w:eastAsia="仿宋" w:cs="仿宋"/>
          <w:spacing w:val="-3"/>
          <w:w w:val="100"/>
          <w:sz w:val="21"/>
          <w:szCs w:val="21"/>
        </w:rPr>
        <w:t>：</w:t>
      </w:r>
      <w:r>
        <w:rPr>
          <w:rFonts w:hint="eastAsia" w:ascii="仿宋" w:hAnsi="仿宋" w:eastAsia="仿宋" w:cs="仿宋"/>
          <w:w w:val="100"/>
          <w:sz w:val="21"/>
          <w:szCs w:val="21"/>
        </w:rPr>
        <w:t>指</w:t>
      </w:r>
      <w:r>
        <w:rPr>
          <w:rFonts w:hint="eastAsia" w:ascii="仿宋" w:hAnsi="仿宋" w:eastAsia="仿宋" w:cs="仿宋"/>
          <w:spacing w:val="-3"/>
          <w:w w:val="100"/>
          <w:sz w:val="21"/>
          <w:szCs w:val="21"/>
        </w:rPr>
        <w:t>专用</w:t>
      </w:r>
      <w:r>
        <w:rPr>
          <w:rFonts w:hint="eastAsia" w:ascii="仿宋" w:hAnsi="仿宋" w:eastAsia="仿宋" w:cs="仿宋"/>
          <w:w w:val="100"/>
          <w:sz w:val="21"/>
          <w:szCs w:val="21"/>
        </w:rPr>
        <w:t>合同</w:t>
      </w:r>
      <w:r>
        <w:rPr>
          <w:rFonts w:hint="eastAsia" w:ascii="仿宋" w:hAnsi="仿宋" w:eastAsia="仿宋" w:cs="仿宋"/>
          <w:spacing w:val="-3"/>
          <w:w w:val="100"/>
          <w:sz w:val="21"/>
          <w:szCs w:val="21"/>
        </w:rPr>
        <w:t>条</w:t>
      </w:r>
      <w:r>
        <w:rPr>
          <w:rFonts w:hint="eastAsia" w:ascii="仿宋" w:hAnsi="仿宋" w:eastAsia="仿宋" w:cs="仿宋"/>
          <w:w w:val="100"/>
          <w:sz w:val="21"/>
          <w:szCs w:val="21"/>
        </w:rPr>
        <w:t>款</w:t>
      </w:r>
      <w:r>
        <w:rPr>
          <w:rFonts w:hint="eastAsia" w:ascii="仿宋" w:hAnsi="仿宋" w:eastAsia="仿宋" w:cs="仿宋"/>
          <w:spacing w:val="-3"/>
          <w:w w:val="100"/>
          <w:sz w:val="21"/>
          <w:szCs w:val="21"/>
        </w:rPr>
        <w:t>中</w:t>
      </w:r>
      <w:r>
        <w:rPr>
          <w:rFonts w:hint="eastAsia" w:ascii="仿宋" w:hAnsi="仿宋" w:eastAsia="仿宋" w:cs="仿宋"/>
          <w:w w:val="100"/>
          <w:sz w:val="21"/>
          <w:szCs w:val="21"/>
        </w:rPr>
        <w:t>指</w:t>
      </w:r>
      <w:r>
        <w:rPr>
          <w:rFonts w:hint="eastAsia" w:ascii="仿宋" w:hAnsi="仿宋" w:eastAsia="仿宋" w:cs="仿宋"/>
          <w:spacing w:val="-3"/>
          <w:w w:val="100"/>
          <w:sz w:val="21"/>
          <w:szCs w:val="21"/>
        </w:rPr>
        <w:t>明</w:t>
      </w:r>
      <w:r>
        <w:rPr>
          <w:rFonts w:hint="eastAsia" w:ascii="仿宋" w:hAnsi="仿宋" w:eastAsia="仿宋" w:cs="仿宋"/>
          <w:w w:val="100"/>
          <w:sz w:val="21"/>
          <w:szCs w:val="21"/>
        </w:rPr>
        <w:t>的</w:t>
      </w:r>
      <w:r>
        <w:rPr>
          <w:rFonts w:hint="eastAsia" w:ascii="仿宋" w:hAnsi="仿宋" w:eastAsia="仿宋" w:cs="仿宋"/>
          <w:spacing w:val="-3"/>
          <w:w w:val="100"/>
          <w:sz w:val="21"/>
          <w:szCs w:val="21"/>
        </w:rPr>
        <w:t>工</w:t>
      </w:r>
      <w:r>
        <w:rPr>
          <w:rFonts w:hint="eastAsia" w:ascii="仿宋" w:hAnsi="仿宋" w:eastAsia="仿宋" w:cs="仿宋"/>
          <w:w w:val="100"/>
          <w:sz w:val="21"/>
          <w:szCs w:val="21"/>
        </w:rPr>
        <w:t>程</w:t>
      </w:r>
      <w:r>
        <w:rPr>
          <w:rFonts w:hint="eastAsia" w:ascii="仿宋" w:hAnsi="仿宋" w:eastAsia="仿宋" w:cs="仿宋"/>
          <w:spacing w:val="-3"/>
          <w:w w:val="100"/>
          <w:sz w:val="21"/>
          <w:szCs w:val="21"/>
        </w:rPr>
        <w:t>所</w:t>
      </w:r>
      <w:r>
        <w:rPr>
          <w:rFonts w:hint="eastAsia" w:ascii="仿宋" w:hAnsi="仿宋" w:eastAsia="仿宋" w:cs="仿宋"/>
          <w:w w:val="100"/>
          <w:sz w:val="21"/>
          <w:szCs w:val="21"/>
        </w:rPr>
        <w:t>在场</w:t>
      </w:r>
      <w:r>
        <w:rPr>
          <w:rFonts w:hint="eastAsia" w:ascii="仿宋" w:hAnsi="仿宋" w:eastAsia="仿宋" w:cs="仿宋"/>
          <w:spacing w:val="-3"/>
          <w:w w:val="100"/>
          <w:sz w:val="21"/>
          <w:szCs w:val="21"/>
        </w:rPr>
        <w:t>所</w:t>
      </w:r>
      <w:r>
        <w:rPr>
          <w:rFonts w:hint="eastAsia" w:ascii="仿宋" w:hAnsi="仿宋" w:eastAsia="仿宋" w:cs="仿宋"/>
          <w:w w:val="100"/>
          <w:sz w:val="21"/>
          <w:szCs w:val="21"/>
        </w:rPr>
        <w:t>。</w:t>
      </w:r>
    </w:p>
    <w:p w14:paraId="7E7EBA79">
      <w:pPr>
        <w:pStyle w:val="12"/>
        <w:pageBreakBefore w:val="0"/>
        <w:widowControl w:val="0"/>
        <w:kinsoku/>
        <w:wordWrap/>
        <w:overflowPunct/>
        <w:topLinePunct w:val="0"/>
        <w:autoSpaceDE/>
        <w:autoSpaceDN/>
        <w:bidi w:val="0"/>
        <w:adjustRightInd/>
        <w:snapToGrid/>
        <w:spacing w:before="117" w:line="400" w:lineRule="exact"/>
        <w:ind w:left="100" w:right="211" w:firstLine="419"/>
        <w:jc w:val="both"/>
        <w:textAlignment w:val="auto"/>
        <w:rPr>
          <w:rFonts w:hint="eastAsia" w:ascii="仿宋" w:hAnsi="仿宋" w:eastAsia="仿宋" w:cs="仿宋"/>
          <w:sz w:val="21"/>
          <w:szCs w:val="21"/>
        </w:rPr>
      </w:pPr>
      <w:r>
        <w:rPr>
          <w:rFonts w:hint="eastAsia" w:ascii="仿宋" w:hAnsi="仿宋" w:eastAsia="仿宋" w:cs="仿宋"/>
          <w:w w:val="100"/>
          <w:sz w:val="21"/>
          <w:szCs w:val="21"/>
        </w:rPr>
        <w:t>1.1.14</w:t>
      </w:r>
      <w:r>
        <w:rPr>
          <w:rFonts w:hint="eastAsia" w:ascii="仿宋" w:hAnsi="仿宋" w:eastAsia="仿宋" w:cs="仿宋"/>
          <w:sz w:val="21"/>
          <w:szCs w:val="21"/>
        </w:rPr>
        <w:t xml:space="preserve">  </w:t>
      </w:r>
      <w:r>
        <w:rPr>
          <w:rFonts w:hint="eastAsia" w:ascii="仿宋" w:hAnsi="仿宋" w:eastAsia="仿宋" w:cs="仿宋"/>
          <w:spacing w:val="-58"/>
          <w:w w:val="100"/>
          <w:sz w:val="21"/>
          <w:szCs w:val="21"/>
        </w:rPr>
        <w:t>天</w:t>
      </w:r>
      <w:r>
        <w:rPr>
          <w:rFonts w:hint="eastAsia" w:ascii="仿宋" w:hAnsi="仿宋" w:eastAsia="仿宋" w:cs="仿宋"/>
          <w:spacing w:val="-3"/>
          <w:w w:val="100"/>
          <w:sz w:val="21"/>
          <w:szCs w:val="21"/>
        </w:rPr>
        <w:t>（</w:t>
      </w:r>
      <w:r>
        <w:rPr>
          <w:rFonts w:hint="eastAsia" w:ascii="仿宋" w:hAnsi="仿宋" w:eastAsia="仿宋" w:cs="仿宋"/>
          <w:w w:val="100"/>
          <w:sz w:val="21"/>
          <w:szCs w:val="21"/>
        </w:rPr>
        <w:t>或</w:t>
      </w:r>
      <w:r>
        <w:rPr>
          <w:rFonts w:hint="eastAsia" w:ascii="仿宋" w:hAnsi="仿宋" w:eastAsia="仿宋" w:cs="仿宋"/>
          <w:spacing w:val="-3"/>
          <w:w w:val="100"/>
          <w:sz w:val="21"/>
          <w:szCs w:val="21"/>
        </w:rPr>
        <w:t>称</w:t>
      </w:r>
      <w:r>
        <w:rPr>
          <w:rFonts w:hint="eastAsia" w:ascii="仿宋" w:hAnsi="仿宋" w:eastAsia="仿宋" w:cs="仿宋"/>
          <w:w w:val="100"/>
          <w:sz w:val="21"/>
          <w:szCs w:val="21"/>
        </w:rPr>
        <w:t>日</w:t>
      </w:r>
      <w:r>
        <w:rPr>
          <w:rFonts w:hint="eastAsia" w:ascii="仿宋" w:hAnsi="仿宋" w:eastAsia="仿宋" w:cs="仿宋"/>
          <w:spacing w:val="-106"/>
          <w:w w:val="100"/>
          <w:sz w:val="21"/>
          <w:szCs w:val="21"/>
        </w:rPr>
        <w:t>）</w:t>
      </w:r>
      <w:r>
        <w:rPr>
          <w:rFonts w:hint="eastAsia" w:ascii="仿宋" w:hAnsi="仿宋" w:eastAsia="仿宋" w:cs="仿宋"/>
          <w:spacing w:val="-60"/>
          <w:w w:val="100"/>
          <w:sz w:val="21"/>
          <w:szCs w:val="21"/>
        </w:rPr>
        <w:t>：</w:t>
      </w:r>
      <w:r>
        <w:rPr>
          <w:rFonts w:hint="eastAsia" w:ascii="仿宋" w:hAnsi="仿宋" w:eastAsia="仿宋" w:cs="仿宋"/>
          <w:w w:val="100"/>
          <w:sz w:val="21"/>
          <w:szCs w:val="21"/>
        </w:rPr>
        <w:t>除</w:t>
      </w:r>
      <w:r>
        <w:rPr>
          <w:rFonts w:hint="eastAsia" w:ascii="仿宋" w:hAnsi="仿宋" w:eastAsia="仿宋" w:cs="仿宋"/>
          <w:spacing w:val="-3"/>
          <w:w w:val="100"/>
          <w:sz w:val="21"/>
          <w:szCs w:val="21"/>
        </w:rPr>
        <w:t>特</w:t>
      </w:r>
      <w:r>
        <w:rPr>
          <w:rFonts w:hint="eastAsia" w:ascii="仿宋" w:hAnsi="仿宋" w:eastAsia="仿宋" w:cs="仿宋"/>
          <w:w w:val="100"/>
          <w:sz w:val="21"/>
          <w:szCs w:val="21"/>
        </w:rPr>
        <w:t>别指</w:t>
      </w:r>
      <w:r>
        <w:rPr>
          <w:rFonts w:hint="eastAsia" w:ascii="仿宋" w:hAnsi="仿宋" w:eastAsia="仿宋" w:cs="仿宋"/>
          <w:spacing w:val="-3"/>
          <w:w w:val="100"/>
          <w:sz w:val="21"/>
          <w:szCs w:val="21"/>
        </w:rPr>
        <w:t>明</w:t>
      </w:r>
      <w:r>
        <w:rPr>
          <w:rFonts w:hint="eastAsia" w:ascii="仿宋" w:hAnsi="仿宋" w:eastAsia="仿宋" w:cs="仿宋"/>
          <w:w w:val="100"/>
          <w:sz w:val="21"/>
          <w:szCs w:val="21"/>
        </w:rPr>
        <w:t>外</w:t>
      </w:r>
      <w:r>
        <w:rPr>
          <w:rFonts w:hint="eastAsia" w:ascii="仿宋" w:hAnsi="仿宋" w:eastAsia="仿宋" w:cs="仿宋"/>
          <w:spacing w:val="-60"/>
          <w:w w:val="100"/>
          <w:sz w:val="21"/>
          <w:szCs w:val="21"/>
        </w:rPr>
        <w:t>，</w:t>
      </w:r>
      <w:r>
        <w:rPr>
          <w:rFonts w:hint="eastAsia" w:ascii="仿宋" w:hAnsi="仿宋" w:eastAsia="仿宋" w:cs="仿宋"/>
          <w:w w:val="100"/>
          <w:sz w:val="21"/>
          <w:szCs w:val="21"/>
        </w:rPr>
        <w:t>指</w:t>
      </w:r>
      <w:r>
        <w:rPr>
          <w:rFonts w:hint="eastAsia" w:ascii="仿宋" w:hAnsi="仿宋" w:eastAsia="仿宋" w:cs="仿宋"/>
          <w:spacing w:val="-3"/>
          <w:w w:val="100"/>
          <w:sz w:val="21"/>
          <w:szCs w:val="21"/>
        </w:rPr>
        <w:t>日</w:t>
      </w:r>
      <w:r>
        <w:rPr>
          <w:rFonts w:hint="eastAsia" w:ascii="仿宋" w:hAnsi="仿宋" w:eastAsia="仿宋" w:cs="仿宋"/>
          <w:w w:val="100"/>
          <w:sz w:val="21"/>
          <w:szCs w:val="21"/>
        </w:rPr>
        <w:t>历天</w:t>
      </w:r>
      <w:r>
        <w:rPr>
          <w:rFonts w:hint="eastAsia" w:ascii="仿宋" w:hAnsi="仿宋" w:eastAsia="仿宋" w:cs="仿宋"/>
          <w:spacing w:val="-60"/>
          <w:w w:val="100"/>
          <w:sz w:val="21"/>
          <w:szCs w:val="21"/>
        </w:rPr>
        <w:t>。</w:t>
      </w:r>
      <w:r>
        <w:rPr>
          <w:rFonts w:hint="eastAsia" w:ascii="仿宋" w:hAnsi="仿宋" w:eastAsia="仿宋" w:cs="仿宋"/>
          <w:w w:val="100"/>
          <w:sz w:val="21"/>
          <w:szCs w:val="21"/>
        </w:rPr>
        <w:t>合</w:t>
      </w:r>
      <w:r>
        <w:rPr>
          <w:rFonts w:hint="eastAsia" w:ascii="仿宋" w:hAnsi="仿宋" w:eastAsia="仿宋" w:cs="仿宋"/>
          <w:spacing w:val="-3"/>
          <w:w w:val="100"/>
          <w:sz w:val="21"/>
          <w:szCs w:val="21"/>
        </w:rPr>
        <w:t>同</w:t>
      </w:r>
      <w:r>
        <w:rPr>
          <w:rFonts w:hint="eastAsia" w:ascii="仿宋" w:hAnsi="仿宋" w:eastAsia="仿宋" w:cs="仿宋"/>
          <w:w w:val="100"/>
          <w:sz w:val="21"/>
          <w:szCs w:val="21"/>
        </w:rPr>
        <w:t>中按</w:t>
      </w:r>
      <w:r>
        <w:rPr>
          <w:rFonts w:hint="eastAsia" w:ascii="仿宋" w:hAnsi="仿宋" w:eastAsia="仿宋" w:cs="仿宋"/>
          <w:spacing w:val="-3"/>
          <w:w w:val="100"/>
          <w:sz w:val="21"/>
          <w:szCs w:val="21"/>
        </w:rPr>
        <w:t>天</w:t>
      </w:r>
      <w:r>
        <w:rPr>
          <w:rFonts w:hint="eastAsia" w:ascii="仿宋" w:hAnsi="仿宋" w:eastAsia="仿宋" w:cs="仿宋"/>
          <w:w w:val="100"/>
          <w:sz w:val="21"/>
          <w:szCs w:val="21"/>
        </w:rPr>
        <w:t>计</w:t>
      </w:r>
      <w:r>
        <w:rPr>
          <w:rFonts w:hint="eastAsia" w:ascii="仿宋" w:hAnsi="仿宋" w:eastAsia="仿宋" w:cs="仿宋"/>
          <w:spacing w:val="-3"/>
          <w:w w:val="100"/>
          <w:sz w:val="21"/>
          <w:szCs w:val="21"/>
        </w:rPr>
        <w:t>算</w:t>
      </w:r>
      <w:r>
        <w:rPr>
          <w:rFonts w:hint="eastAsia" w:ascii="仿宋" w:hAnsi="仿宋" w:eastAsia="仿宋" w:cs="仿宋"/>
          <w:w w:val="100"/>
          <w:sz w:val="21"/>
          <w:szCs w:val="21"/>
        </w:rPr>
        <w:t>时</w:t>
      </w:r>
      <w:r>
        <w:rPr>
          <w:rFonts w:hint="eastAsia" w:ascii="仿宋" w:hAnsi="仿宋" w:eastAsia="仿宋" w:cs="仿宋"/>
          <w:spacing w:val="-3"/>
          <w:w w:val="100"/>
          <w:sz w:val="21"/>
          <w:szCs w:val="21"/>
        </w:rPr>
        <w:t>间</w:t>
      </w:r>
      <w:r>
        <w:rPr>
          <w:rFonts w:hint="eastAsia" w:ascii="仿宋" w:hAnsi="仿宋" w:eastAsia="仿宋" w:cs="仿宋"/>
          <w:w w:val="100"/>
          <w:sz w:val="21"/>
          <w:szCs w:val="21"/>
        </w:rPr>
        <w:t>的</w:t>
      </w:r>
      <w:r>
        <w:rPr>
          <w:rFonts w:hint="eastAsia" w:ascii="仿宋" w:hAnsi="仿宋" w:eastAsia="仿宋" w:cs="仿宋"/>
          <w:spacing w:val="-60"/>
          <w:w w:val="100"/>
          <w:sz w:val="21"/>
          <w:szCs w:val="21"/>
        </w:rPr>
        <w:t>，</w:t>
      </w:r>
      <w:r>
        <w:rPr>
          <w:rFonts w:hint="eastAsia" w:ascii="仿宋" w:hAnsi="仿宋" w:eastAsia="仿宋" w:cs="仿宋"/>
          <w:w w:val="100"/>
          <w:sz w:val="21"/>
          <w:szCs w:val="21"/>
        </w:rPr>
        <w:t>开</w:t>
      </w:r>
      <w:r>
        <w:rPr>
          <w:rFonts w:hint="eastAsia" w:ascii="仿宋" w:hAnsi="仿宋" w:eastAsia="仿宋" w:cs="仿宋"/>
          <w:spacing w:val="-3"/>
          <w:w w:val="100"/>
          <w:sz w:val="21"/>
          <w:szCs w:val="21"/>
        </w:rPr>
        <w:t>始</w:t>
      </w:r>
      <w:r>
        <w:rPr>
          <w:rFonts w:hint="eastAsia" w:ascii="仿宋" w:hAnsi="仿宋" w:eastAsia="仿宋" w:cs="仿宋"/>
          <w:w w:val="100"/>
          <w:sz w:val="21"/>
          <w:szCs w:val="21"/>
        </w:rPr>
        <w:t>当天</w:t>
      </w:r>
      <w:r>
        <w:rPr>
          <w:rFonts w:hint="eastAsia" w:ascii="仿宋" w:hAnsi="仿宋" w:eastAsia="仿宋" w:cs="仿宋"/>
          <w:spacing w:val="-3"/>
          <w:w w:val="100"/>
          <w:sz w:val="21"/>
          <w:szCs w:val="21"/>
        </w:rPr>
        <w:t>不</w:t>
      </w:r>
      <w:r>
        <w:rPr>
          <w:rFonts w:hint="eastAsia" w:ascii="仿宋" w:hAnsi="仿宋" w:eastAsia="仿宋" w:cs="仿宋"/>
          <w:w w:val="100"/>
          <w:sz w:val="21"/>
          <w:szCs w:val="21"/>
        </w:rPr>
        <w:t>计</w:t>
      </w:r>
      <w:r>
        <w:rPr>
          <w:rFonts w:hint="eastAsia" w:ascii="仿宋" w:hAnsi="仿宋" w:eastAsia="仿宋" w:cs="仿宋"/>
          <w:spacing w:val="-3"/>
          <w:w w:val="100"/>
          <w:sz w:val="21"/>
          <w:szCs w:val="21"/>
        </w:rPr>
        <w:t>入</w:t>
      </w:r>
      <w:r>
        <w:rPr>
          <w:rFonts w:hint="eastAsia" w:ascii="仿宋" w:hAnsi="仿宋" w:eastAsia="仿宋" w:cs="仿宋"/>
          <w:w w:val="100"/>
          <w:sz w:val="21"/>
          <w:szCs w:val="21"/>
        </w:rPr>
        <w:t>，</w:t>
      </w:r>
      <w:r>
        <w:rPr>
          <w:rFonts w:hint="eastAsia" w:ascii="仿宋" w:hAnsi="仿宋" w:eastAsia="仿宋" w:cs="仿宋"/>
          <w:spacing w:val="-1"/>
          <w:sz w:val="21"/>
          <w:szCs w:val="21"/>
        </w:rPr>
        <w:t xml:space="preserve">从次日开始计算。合同约定的期间的最后一天是星期日或者其他法定休假日的，以休假日的次 </w:t>
      </w:r>
      <w:r>
        <w:rPr>
          <w:rFonts w:hint="eastAsia" w:ascii="仿宋" w:hAnsi="仿宋" w:eastAsia="仿宋" w:cs="仿宋"/>
          <w:sz w:val="21"/>
          <w:szCs w:val="21"/>
        </w:rPr>
        <w:t>日为期间的最后一天。</w:t>
      </w:r>
    </w:p>
    <w:p w14:paraId="190AC1F7">
      <w:pPr>
        <w:pStyle w:val="12"/>
        <w:pageBreakBefore w:val="0"/>
        <w:widowControl w:val="0"/>
        <w:kinsoku/>
        <w:wordWrap/>
        <w:overflowPunct/>
        <w:topLinePunct w:val="0"/>
        <w:autoSpaceDE/>
        <w:autoSpaceDN/>
        <w:bidi w:val="0"/>
        <w:adjustRightInd/>
        <w:snapToGrid/>
        <w:spacing w:before="39" w:line="400" w:lineRule="exact"/>
        <w:ind w:left="100" w:right="2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1.1.15 </w:t>
      </w:r>
      <w:r>
        <w:rPr>
          <w:rFonts w:hint="eastAsia" w:ascii="仿宋" w:hAnsi="仿宋" w:eastAsia="仿宋" w:cs="仿宋"/>
          <w:spacing w:val="-7"/>
          <w:sz w:val="21"/>
          <w:szCs w:val="21"/>
        </w:rPr>
        <w:t>月：按照公历月计算。合同中按月计算时间的，开始当天不计入，从次日开始计算。</w:t>
      </w:r>
      <w:r>
        <w:rPr>
          <w:rFonts w:hint="eastAsia" w:ascii="仿宋" w:hAnsi="仿宋" w:eastAsia="仿宋" w:cs="仿宋"/>
          <w:spacing w:val="-1"/>
          <w:sz w:val="21"/>
          <w:szCs w:val="21"/>
        </w:rPr>
        <w:t xml:space="preserve">合同约定的期间的最后一天是星期日或者其他法定休假日的，以休假日的次日为期间的最后一 </w:t>
      </w:r>
      <w:r>
        <w:rPr>
          <w:rFonts w:hint="eastAsia" w:ascii="仿宋" w:hAnsi="仿宋" w:eastAsia="仿宋" w:cs="仿宋"/>
          <w:sz w:val="21"/>
          <w:szCs w:val="21"/>
        </w:rPr>
        <w:t>天。</w:t>
      </w:r>
    </w:p>
    <w:p w14:paraId="24719450">
      <w:pPr>
        <w:pStyle w:val="12"/>
        <w:pageBreakBefore w:val="0"/>
        <w:widowControl w:val="0"/>
        <w:kinsoku/>
        <w:wordWrap/>
        <w:overflowPunct/>
        <w:topLinePunct w:val="0"/>
        <w:autoSpaceDE/>
        <w:autoSpaceDN/>
        <w:bidi w:val="0"/>
        <w:adjustRightInd/>
        <w:snapToGrid/>
        <w:spacing w:before="40" w:line="400" w:lineRule="exact"/>
        <w:ind w:left="100" w:right="214" w:firstLine="419"/>
        <w:jc w:val="both"/>
        <w:textAlignment w:val="auto"/>
        <w:rPr>
          <w:rFonts w:hint="eastAsia" w:ascii="仿宋" w:hAnsi="仿宋" w:eastAsia="仿宋" w:cs="仿宋"/>
          <w:sz w:val="21"/>
          <w:szCs w:val="21"/>
        </w:rPr>
      </w:pPr>
      <w:r>
        <w:rPr>
          <w:rFonts w:hint="eastAsia" w:ascii="仿宋" w:hAnsi="仿宋" w:eastAsia="仿宋" w:cs="仿宋"/>
          <w:sz w:val="21"/>
          <w:szCs w:val="21"/>
        </w:rPr>
        <w:t>1.1.16 书面形式：指合同文件、信件和数据电文（包括电报、电传、传真、电子数据交换 和电子邮件）等可以有形地表现所载内容的形式。</w:t>
      </w:r>
    </w:p>
    <w:p w14:paraId="6E97860C">
      <w:pPr>
        <w:pStyle w:val="4"/>
        <w:pageBreakBefore w:val="0"/>
        <w:widowControl w:val="0"/>
        <w:kinsoku/>
        <w:wordWrap/>
        <w:overflowPunct/>
        <w:topLinePunct w:val="0"/>
        <w:autoSpaceDE/>
        <w:autoSpaceDN/>
        <w:bidi w:val="0"/>
        <w:adjustRightInd/>
        <w:snapToGrid/>
        <w:spacing w:line="400" w:lineRule="exact"/>
        <w:ind w:right="21"/>
        <w:textAlignment w:val="auto"/>
        <w:rPr>
          <w:rFonts w:hint="eastAsia" w:ascii="仿宋" w:hAnsi="仿宋" w:eastAsia="仿宋" w:cs="仿宋"/>
          <w:sz w:val="21"/>
          <w:szCs w:val="21"/>
        </w:rPr>
      </w:pPr>
      <w:bookmarkStart w:id="491" w:name="_bookmark107"/>
      <w:bookmarkEnd w:id="491"/>
      <w:r>
        <w:rPr>
          <w:rFonts w:hint="eastAsia" w:ascii="仿宋" w:hAnsi="仿宋" w:eastAsia="仿宋" w:cs="仿宋"/>
          <w:sz w:val="21"/>
          <w:szCs w:val="21"/>
        </w:rPr>
        <w:t>1.2  语言文字</w:t>
      </w:r>
    </w:p>
    <w:p w14:paraId="2633739D">
      <w:pPr>
        <w:pStyle w:val="12"/>
        <w:pageBreakBefore w:val="0"/>
        <w:widowControl w:val="0"/>
        <w:kinsoku/>
        <w:wordWrap/>
        <w:overflowPunct/>
        <w:topLinePunct w:val="0"/>
        <w:autoSpaceDE/>
        <w:autoSpaceDN/>
        <w:bidi w:val="0"/>
        <w:adjustRightInd/>
        <w:snapToGrid/>
        <w:spacing w:before="248"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合同使用的语言文字为中文。专用术语使用外文的，应附有中文注释。</w:t>
      </w:r>
    </w:p>
    <w:p w14:paraId="3E2ABB7C">
      <w:pPr>
        <w:pStyle w:val="4"/>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bookmarkStart w:id="492" w:name="_bookmark108"/>
      <w:bookmarkEnd w:id="492"/>
      <w:r>
        <w:rPr>
          <w:rFonts w:hint="eastAsia" w:ascii="仿宋" w:hAnsi="仿宋" w:eastAsia="仿宋" w:cs="仿宋"/>
          <w:sz w:val="21"/>
          <w:szCs w:val="21"/>
        </w:rPr>
        <w:t>1.3 合同文件的优先顺序</w:t>
      </w:r>
    </w:p>
    <w:p w14:paraId="33354441">
      <w:pPr>
        <w:pStyle w:val="12"/>
        <w:pageBreakBefore w:val="0"/>
        <w:widowControl w:val="0"/>
        <w:kinsoku/>
        <w:wordWrap/>
        <w:overflowPunct/>
        <w:topLinePunct w:val="0"/>
        <w:autoSpaceDE/>
        <w:autoSpaceDN/>
        <w:bidi w:val="0"/>
        <w:adjustRightInd/>
        <w:snapToGrid/>
        <w:spacing w:before="248" w:line="400" w:lineRule="exact"/>
        <w:ind w:left="100" w:right="102" w:firstLine="419"/>
        <w:textAlignment w:val="auto"/>
        <w:rPr>
          <w:rFonts w:hint="eastAsia" w:ascii="仿宋" w:hAnsi="仿宋" w:eastAsia="仿宋" w:cs="仿宋"/>
          <w:sz w:val="21"/>
          <w:szCs w:val="21"/>
        </w:rPr>
      </w:pPr>
      <w:r>
        <w:rPr>
          <w:rFonts w:hint="eastAsia" w:ascii="仿宋" w:hAnsi="仿宋" w:eastAsia="仿宋" w:cs="仿宋"/>
          <w:sz w:val="21"/>
          <w:szCs w:val="21"/>
        </w:rPr>
        <w:t>组成合同的各项文件应互相解释，互为说明。除专用合同条款另有约定外，解释合同文件 的优先顺序如下：</w:t>
      </w:r>
    </w:p>
    <w:p w14:paraId="787B077F">
      <w:pPr>
        <w:pStyle w:val="12"/>
        <w:pageBreakBefore w:val="0"/>
        <w:widowControl w:val="0"/>
        <w:kinsoku/>
        <w:wordWrap/>
        <w:overflowPunct/>
        <w:topLinePunct w:val="0"/>
        <w:autoSpaceDE/>
        <w:autoSpaceDN/>
        <w:bidi w:val="0"/>
        <w:adjustRightInd/>
        <w:snapToGrid/>
        <w:spacing w:before="32" w:line="400" w:lineRule="exact"/>
        <w:ind w:left="520" w:right="102"/>
        <w:textAlignment w:val="auto"/>
        <w:rPr>
          <w:rFonts w:hint="eastAsia" w:ascii="仿宋" w:hAnsi="仿宋" w:eastAsia="仿宋" w:cs="仿宋"/>
          <w:sz w:val="21"/>
          <w:szCs w:val="21"/>
        </w:rPr>
      </w:pPr>
      <w:r>
        <w:rPr>
          <w:rFonts w:hint="eastAsia" w:ascii="仿宋" w:hAnsi="仿宋" w:eastAsia="仿宋" w:cs="仿宋"/>
          <w:sz w:val="21"/>
          <w:szCs w:val="21"/>
        </w:rPr>
        <w:t>（1）合同协议书；</w:t>
      </w:r>
    </w:p>
    <w:p w14:paraId="68ABFF77">
      <w:pPr>
        <w:pStyle w:val="12"/>
        <w:pageBreakBefore w:val="0"/>
        <w:widowControl w:val="0"/>
        <w:kinsoku/>
        <w:wordWrap/>
        <w:overflowPunct/>
        <w:topLinePunct w:val="0"/>
        <w:autoSpaceDE/>
        <w:autoSpaceDN/>
        <w:bidi w:val="0"/>
        <w:adjustRightInd/>
        <w:snapToGrid/>
        <w:spacing w:before="117" w:line="400" w:lineRule="exact"/>
        <w:ind w:left="520" w:right="102"/>
        <w:textAlignment w:val="auto"/>
        <w:rPr>
          <w:rFonts w:hint="eastAsia" w:ascii="仿宋" w:hAnsi="仿宋" w:eastAsia="仿宋" w:cs="仿宋"/>
          <w:sz w:val="21"/>
          <w:szCs w:val="21"/>
        </w:rPr>
      </w:pPr>
      <w:r>
        <w:rPr>
          <w:rFonts w:hint="eastAsia" w:ascii="仿宋" w:hAnsi="仿宋" w:eastAsia="仿宋" w:cs="仿宋"/>
          <w:sz w:val="21"/>
          <w:szCs w:val="21"/>
        </w:rPr>
        <w:t>（2）中标通知书；</w:t>
      </w:r>
    </w:p>
    <w:p w14:paraId="2C8CEFCE">
      <w:pPr>
        <w:pStyle w:val="12"/>
        <w:pageBreakBefore w:val="0"/>
        <w:widowControl w:val="0"/>
        <w:kinsoku/>
        <w:wordWrap/>
        <w:overflowPunct/>
        <w:topLinePunct w:val="0"/>
        <w:autoSpaceDE/>
        <w:autoSpaceDN/>
        <w:bidi w:val="0"/>
        <w:adjustRightInd/>
        <w:snapToGrid/>
        <w:spacing w:before="117" w:line="400" w:lineRule="exact"/>
        <w:ind w:left="520" w:right="102"/>
        <w:textAlignment w:val="auto"/>
        <w:rPr>
          <w:rFonts w:hint="eastAsia" w:ascii="仿宋" w:hAnsi="仿宋" w:eastAsia="仿宋" w:cs="仿宋"/>
          <w:sz w:val="21"/>
          <w:szCs w:val="21"/>
        </w:rPr>
      </w:pPr>
      <w:r>
        <w:rPr>
          <w:rFonts w:hint="eastAsia" w:ascii="仿宋" w:hAnsi="仿宋" w:eastAsia="仿宋" w:cs="仿宋"/>
          <w:sz w:val="21"/>
          <w:szCs w:val="21"/>
        </w:rPr>
        <w:t>（3）投标函；</w:t>
      </w:r>
    </w:p>
    <w:p w14:paraId="5610D074">
      <w:pPr>
        <w:pStyle w:val="12"/>
        <w:pageBreakBefore w:val="0"/>
        <w:widowControl w:val="0"/>
        <w:kinsoku/>
        <w:wordWrap/>
        <w:overflowPunct/>
        <w:topLinePunct w:val="0"/>
        <w:autoSpaceDE/>
        <w:autoSpaceDN/>
        <w:bidi w:val="0"/>
        <w:adjustRightInd/>
        <w:snapToGrid/>
        <w:spacing w:before="119" w:line="400" w:lineRule="exact"/>
        <w:ind w:left="520" w:right="102"/>
        <w:textAlignment w:val="auto"/>
        <w:rPr>
          <w:rFonts w:hint="eastAsia" w:ascii="仿宋" w:hAnsi="仿宋" w:eastAsia="仿宋" w:cs="仿宋"/>
          <w:sz w:val="21"/>
          <w:szCs w:val="21"/>
        </w:rPr>
      </w:pPr>
      <w:r>
        <w:rPr>
          <w:rFonts w:hint="eastAsia" w:ascii="仿宋" w:hAnsi="仿宋" w:eastAsia="仿宋" w:cs="仿宋"/>
          <w:sz w:val="21"/>
          <w:szCs w:val="21"/>
        </w:rPr>
        <w:t>（4）商务和技术偏差表；</w:t>
      </w:r>
    </w:p>
    <w:p w14:paraId="488B6845">
      <w:pPr>
        <w:pStyle w:val="12"/>
        <w:pageBreakBefore w:val="0"/>
        <w:widowControl w:val="0"/>
        <w:kinsoku/>
        <w:wordWrap/>
        <w:overflowPunct/>
        <w:topLinePunct w:val="0"/>
        <w:autoSpaceDE/>
        <w:autoSpaceDN/>
        <w:bidi w:val="0"/>
        <w:adjustRightInd/>
        <w:snapToGrid/>
        <w:spacing w:before="118" w:line="400" w:lineRule="exact"/>
        <w:ind w:left="520" w:right="102"/>
        <w:textAlignment w:val="auto"/>
        <w:rPr>
          <w:rFonts w:hint="eastAsia" w:ascii="仿宋" w:hAnsi="仿宋" w:eastAsia="仿宋" w:cs="仿宋"/>
          <w:sz w:val="21"/>
          <w:szCs w:val="21"/>
        </w:rPr>
      </w:pPr>
      <w:r>
        <w:rPr>
          <w:rFonts w:hint="eastAsia" w:ascii="仿宋" w:hAnsi="仿宋" w:eastAsia="仿宋" w:cs="仿宋"/>
          <w:sz w:val="21"/>
          <w:szCs w:val="21"/>
        </w:rPr>
        <w:t>（5）专用合同条款；</w:t>
      </w:r>
    </w:p>
    <w:p w14:paraId="1158583D">
      <w:pPr>
        <w:pStyle w:val="12"/>
        <w:pageBreakBefore w:val="0"/>
        <w:widowControl w:val="0"/>
        <w:kinsoku/>
        <w:wordWrap/>
        <w:overflowPunct/>
        <w:topLinePunct w:val="0"/>
        <w:autoSpaceDE/>
        <w:autoSpaceDN/>
        <w:bidi w:val="0"/>
        <w:adjustRightInd/>
        <w:snapToGrid/>
        <w:spacing w:before="117" w:line="400" w:lineRule="exact"/>
        <w:ind w:left="520" w:right="102"/>
        <w:textAlignment w:val="auto"/>
        <w:rPr>
          <w:rFonts w:hint="eastAsia" w:ascii="仿宋" w:hAnsi="仿宋" w:eastAsia="仿宋" w:cs="仿宋"/>
          <w:sz w:val="21"/>
          <w:szCs w:val="21"/>
        </w:rPr>
      </w:pPr>
      <w:r>
        <w:rPr>
          <w:rFonts w:hint="eastAsia" w:ascii="仿宋" w:hAnsi="仿宋" w:eastAsia="仿宋" w:cs="仿宋"/>
          <w:sz w:val="21"/>
          <w:szCs w:val="21"/>
        </w:rPr>
        <w:t>（6）通用合同条款；</w:t>
      </w:r>
    </w:p>
    <w:p w14:paraId="7B052103">
      <w:pPr>
        <w:pStyle w:val="12"/>
        <w:pageBreakBefore w:val="0"/>
        <w:widowControl w:val="0"/>
        <w:kinsoku/>
        <w:wordWrap/>
        <w:overflowPunct/>
        <w:topLinePunct w:val="0"/>
        <w:autoSpaceDE/>
        <w:autoSpaceDN/>
        <w:bidi w:val="0"/>
        <w:adjustRightInd/>
        <w:snapToGrid/>
        <w:spacing w:before="117" w:line="400" w:lineRule="exact"/>
        <w:ind w:left="520" w:right="102"/>
        <w:textAlignment w:val="auto"/>
        <w:rPr>
          <w:rFonts w:hint="eastAsia" w:ascii="仿宋" w:hAnsi="仿宋" w:eastAsia="仿宋" w:cs="仿宋"/>
          <w:sz w:val="21"/>
          <w:szCs w:val="21"/>
        </w:rPr>
      </w:pPr>
      <w:r>
        <w:rPr>
          <w:rFonts w:hint="eastAsia" w:ascii="仿宋" w:hAnsi="仿宋" w:eastAsia="仿宋" w:cs="仿宋"/>
          <w:sz w:val="21"/>
          <w:szCs w:val="21"/>
        </w:rPr>
        <w:t>（7）供货要求；</w:t>
      </w:r>
    </w:p>
    <w:p w14:paraId="29D2383C">
      <w:pPr>
        <w:pStyle w:val="12"/>
        <w:pageBreakBefore w:val="0"/>
        <w:widowControl w:val="0"/>
        <w:kinsoku/>
        <w:wordWrap/>
        <w:overflowPunct/>
        <w:topLinePunct w:val="0"/>
        <w:autoSpaceDE/>
        <w:autoSpaceDN/>
        <w:bidi w:val="0"/>
        <w:adjustRightInd/>
        <w:snapToGrid/>
        <w:spacing w:before="119" w:line="400" w:lineRule="exact"/>
        <w:ind w:left="520" w:right="102"/>
        <w:textAlignment w:val="auto"/>
        <w:rPr>
          <w:rFonts w:hint="eastAsia" w:ascii="仿宋" w:hAnsi="仿宋" w:eastAsia="仿宋" w:cs="仿宋"/>
          <w:sz w:val="21"/>
          <w:szCs w:val="21"/>
        </w:rPr>
      </w:pPr>
      <w:r>
        <w:rPr>
          <w:rFonts w:hint="eastAsia" w:ascii="仿宋" w:hAnsi="仿宋" w:eastAsia="仿宋" w:cs="仿宋"/>
          <w:sz w:val="21"/>
          <w:szCs w:val="21"/>
        </w:rPr>
        <w:t>（8）分项报价表；</w:t>
      </w:r>
    </w:p>
    <w:p w14:paraId="20C48A09">
      <w:pPr>
        <w:pStyle w:val="12"/>
        <w:pageBreakBefore w:val="0"/>
        <w:widowControl w:val="0"/>
        <w:kinsoku/>
        <w:wordWrap/>
        <w:overflowPunct/>
        <w:topLinePunct w:val="0"/>
        <w:autoSpaceDE/>
        <w:autoSpaceDN/>
        <w:bidi w:val="0"/>
        <w:adjustRightInd/>
        <w:snapToGrid/>
        <w:spacing w:before="117" w:line="400" w:lineRule="exact"/>
        <w:ind w:left="520" w:right="102"/>
        <w:textAlignment w:val="auto"/>
        <w:rPr>
          <w:rFonts w:hint="eastAsia" w:ascii="仿宋" w:hAnsi="仿宋" w:eastAsia="仿宋" w:cs="仿宋"/>
          <w:sz w:val="21"/>
          <w:szCs w:val="21"/>
        </w:rPr>
      </w:pPr>
      <w:r>
        <w:rPr>
          <w:rFonts w:hint="eastAsia" w:ascii="仿宋" w:hAnsi="仿宋" w:eastAsia="仿宋" w:cs="仿宋"/>
          <w:sz w:val="21"/>
          <w:szCs w:val="21"/>
        </w:rPr>
        <w:t>（9）中标设备技术性能指标的详细描述；</w:t>
      </w:r>
    </w:p>
    <w:p w14:paraId="355E1F6F">
      <w:pPr>
        <w:pStyle w:val="12"/>
        <w:pageBreakBefore w:val="0"/>
        <w:widowControl w:val="0"/>
        <w:kinsoku/>
        <w:wordWrap/>
        <w:overflowPunct/>
        <w:topLinePunct w:val="0"/>
        <w:autoSpaceDE/>
        <w:autoSpaceDN/>
        <w:bidi w:val="0"/>
        <w:adjustRightInd/>
        <w:snapToGrid/>
        <w:spacing w:before="117" w:line="400" w:lineRule="exact"/>
        <w:ind w:left="520" w:right="102"/>
        <w:textAlignment w:val="auto"/>
        <w:rPr>
          <w:rFonts w:hint="eastAsia" w:ascii="仿宋" w:hAnsi="仿宋" w:eastAsia="仿宋" w:cs="仿宋"/>
          <w:sz w:val="21"/>
          <w:szCs w:val="21"/>
        </w:rPr>
      </w:pPr>
      <w:r>
        <w:rPr>
          <w:rFonts w:hint="eastAsia" w:ascii="仿宋" w:hAnsi="仿宋" w:eastAsia="仿宋" w:cs="仿宋"/>
          <w:sz w:val="21"/>
          <w:szCs w:val="21"/>
        </w:rPr>
        <w:t>（10）技术服务和质保期服务计划；</w:t>
      </w:r>
    </w:p>
    <w:p w14:paraId="3476C043">
      <w:pPr>
        <w:pStyle w:val="12"/>
        <w:pageBreakBefore w:val="0"/>
        <w:widowControl w:val="0"/>
        <w:kinsoku/>
        <w:wordWrap/>
        <w:overflowPunct/>
        <w:topLinePunct w:val="0"/>
        <w:autoSpaceDE/>
        <w:autoSpaceDN/>
        <w:bidi w:val="0"/>
        <w:adjustRightInd/>
        <w:snapToGrid/>
        <w:spacing w:before="117" w:line="400" w:lineRule="exact"/>
        <w:ind w:left="520" w:right="102"/>
        <w:textAlignment w:val="auto"/>
        <w:rPr>
          <w:rFonts w:hint="eastAsia" w:ascii="仿宋" w:hAnsi="仿宋" w:eastAsia="仿宋" w:cs="仿宋"/>
          <w:sz w:val="21"/>
          <w:szCs w:val="21"/>
        </w:rPr>
      </w:pPr>
      <w:r>
        <w:rPr>
          <w:rFonts w:hint="eastAsia" w:ascii="仿宋" w:hAnsi="仿宋" w:eastAsia="仿宋" w:cs="仿宋"/>
          <w:sz w:val="21"/>
          <w:szCs w:val="21"/>
        </w:rPr>
        <w:t>（11）其他合同文件。</w:t>
      </w:r>
    </w:p>
    <w:p w14:paraId="3DF81609">
      <w:pPr>
        <w:pageBreakBefore w:val="0"/>
        <w:widowControl w:val="0"/>
        <w:kinsoku/>
        <w:wordWrap/>
        <w:overflowPunct/>
        <w:topLinePunct w:val="0"/>
        <w:autoSpaceDE/>
        <w:autoSpaceDN/>
        <w:bidi w:val="0"/>
        <w:adjustRightInd/>
        <w:snapToGrid/>
        <w:spacing w:before="0" w:line="400" w:lineRule="exact"/>
        <w:ind w:left="0" w:right="5652" w:firstLine="0"/>
        <w:jc w:val="both"/>
        <w:textAlignment w:val="auto"/>
        <w:rPr>
          <w:rFonts w:hint="eastAsia" w:ascii="仿宋" w:hAnsi="仿宋" w:eastAsia="仿宋" w:cs="仿宋"/>
          <w:sz w:val="21"/>
          <w:szCs w:val="21"/>
        </w:rPr>
      </w:pPr>
      <w:bookmarkStart w:id="493" w:name="_bookmark109"/>
      <w:bookmarkEnd w:id="493"/>
      <w:r>
        <w:rPr>
          <w:rFonts w:hint="eastAsia" w:ascii="仿宋" w:hAnsi="仿宋" w:eastAsia="仿宋" w:cs="仿宋"/>
          <w:sz w:val="21"/>
          <w:szCs w:val="21"/>
        </w:rPr>
        <w:t>1.4</w:t>
      </w:r>
      <w:r>
        <w:rPr>
          <w:rFonts w:hint="eastAsia" w:ascii="仿宋" w:hAnsi="仿宋" w:eastAsia="仿宋" w:cs="仿宋"/>
          <w:spacing w:val="68"/>
          <w:sz w:val="21"/>
          <w:szCs w:val="21"/>
        </w:rPr>
        <w:t xml:space="preserve"> </w:t>
      </w:r>
      <w:r>
        <w:rPr>
          <w:rFonts w:hint="eastAsia" w:ascii="仿宋" w:hAnsi="仿宋" w:eastAsia="仿宋" w:cs="仿宋"/>
          <w:sz w:val="21"/>
          <w:szCs w:val="21"/>
        </w:rPr>
        <w:t>合同的Th效及变更</w:t>
      </w:r>
    </w:p>
    <w:p w14:paraId="790B2332">
      <w:pPr>
        <w:pStyle w:val="12"/>
        <w:pageBreakBefore w:val="0"/>
        <w:widowControl w:val="0"/>
        <w:kinsoku/>
        <w:wordWrap/>
        <w:overflowPunct/>
        <w:topLinePunct w:val="0"/>
        <w:autoSpaceDE/>
        <w:autoSpaceDN/>
        <w:bidi w:val="0"/>
        <w:adjustRightInd/>
        <w:snapToGrid/>
        <w:spacing w:before="248" w:line="400" w:lineRule="exact"/>
        <w:ind w:left="100" w:right="26" w:firstLine="419"/>
        <w:textAlignment w:val="auto"/>
        <w:rPr>
          <w:rFonts w:hint="eastAsia" w:ascii="仿宋" w:hAnsi="仿宋" w:eastAsia="仿宋" w:cs="仿宋"/>
          <w:sz w:val="21"/>
          <w:szCs w:val="21"/>
        </w:rPr>
      </w:pPr>
      <w:r>
        <w:rPr>
          <w:rFonts w:hint="eastAsia" w:ascii="仿宋" w:hAnsi="仿宋" w:eastAsia="仿宋" w:cs="仿宋"/>
          <w:sz w:val="21"/>
          <w:szCs w:val="21"/>
        </w:rPr>
        <w:t>1.4.1 除专用合同条款另有约定外，买方和卖方的法定代表人（单位负责人）或其授权代表 在合同协议书上签字并加盖单位章后，合同生效。</w:t>
      </w:r>
    </w:p>
    <w:p w14:paraId="4AE8C721">
      <w:pPr>
        <w:pStyle w:val="12"/>
        <w:pageBreakBefore w:val="0"/>
        <w:widowControl w:val="0"/>
        <w:kinsoku/>
        <w:wordWrap/>
        <w:overflowPunct/>
        <w:topLinePunct w:val="0"/>
        <w:autoSpaceDE/>
        <w:autoSpaceDN/>
        <w:bidi w:val="0"/>
        <w:adjustRightInd/>
        <w:snapToGrid/>
        <w:spacing w:before="47" w:line="400" w:lineRule="exact"/>
        <w:ind w:left="100" w:right="26" w:firstLine="419"/>
        <w:textAlignment w:val="auto"/>
        <w:rPr>
          <w:rFonts w:hint="eastAsia" w:ascii="仿宋" w:hAnsi="仿宋" w:eastAsia="仿宋" w:cs="仿宋"/>
          <w:sz w:val="21"/>
          <w:szCs w:val="21"/>
        </w:rPr>
      </w:pPr>
      <w:r>
        <w:rPr>
          <w:rFonts w:hint="eastAsia" w:ascii="仿宋" w:hAnsi="仿宋" w:eastAsia="仿宋" w:cs="仿宋"/>
          <w:sz w:val="21"/>
          <w:szCs w:val="21"/>
        </w:rPr>
        <w:t>1.4.2 除专用合同条款另有约定外，在合同履行过程中，如需对合同进行变更，双方应签订 书面协议，并经双方法定代表人（单位负责人）或其授权代表签字并加盖单位章后生效。</w:t>
      </w:r>
    </w:p>
    <w:p w14:paraId="6709D332">
      <w:pPr>
        <w:pStyle w:val="4"/>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bookmarkStart w:id="494" w:name="_bookmark110"/>
      <w:bookmarkEnd w:id="494"/>
      <w:r>
        <w:rPr>
          <w:rFonts w:hint="eastAsia" w:ascii="仿宋" w:hAnsi="仿宋" w:eastAsia="仿宋" w:cs="仿宋"/>
          <w:sz w:val="21"/>
          <w:szCs w:val="21"/>
        </w:rPr>
        <w:t>1.5 联络</w:t>
      </w:r>
    </w:p>
    <w:p w14:paraId="48D64BCB">
      <w:pPr>
        <w:pStyle w:val="12"/>
        <w:pageBreakBefore w:val="0"/>
        <w:widowControl w:val="0"/>
        <w:kinsoku/>
        <w:wordWrap/>
        <w:overflowPunct/>
        <w:topLinePunct w:val="0"/>
        <w:autoSpaceDE/>
        <w:autoSpaceDN/>
        <w:bidi w:val="0"/>
        <w:adjustRightInd/>
        <w:snapToGrid/>
        <w:spacing w:before="249" w:line="400" w:lineRule="exact"/>
        <w:ind w:left="100" w:right="1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1.5.1 </w:t>
      </w:r>
      <w:r>
        <w:rPr>
          <w:rFonts w:hint="eastAsia" w:ascii="仿宋" w:hAnsi="仿宋" w:eastAsia="仿宋" w:cs="仿宋"/>
          <w:spacing w:val="-4"/>
          <w:sz w:val="21"/>
          <w:szCs w:val="21"/>
        </w:rPr>
        <w:t>买卖双方应就合同履行中有关的事项及时进行联络，重要事项应通过书面形式进行联</w:t>
      </w:r>
      <w:r>
        <w:rPr>
          <w:rFonts w:hint="eastAsia" w:ascii="仿宋" w:hAnsi="仿宋" w:eastAsia="仿宋" w:cs="仿宋"/>
          <w:spacing w:val="-1"/>
          <w:sz w:val="21"/>
          <w:szCs w:val="21"/>
        </w:rPr>
        <w:t xml:space="preserve">络或确认。合同履行过程中的任何联络及相关文件的签署，均应通过专用合同条款指定的联系 </w:t>
      </w:r>
      <w:r>
        <w:rPr>
          <w:rFonts w:hint="eastAsia" w:ascii="仿宋" w:hAnsi="仿宋" w:eastAsia="仿宋" w:cs="仿宋"/>
          <w:sz w:val="21"/>
          <w:szCs w:val="21"/>
        </w:rPr>
        <w:t>人和联系方式进行。合同履行过程中，双方可以书面形式增加或变更指定联系人。</w:t>
      </w:r>
    </w:p>
    <w:p w14:paraId="140FC607">
      <w:pPr>
        <w:pStyle w:val="12"/>
        <w:pageBreakBefore w:val="0"/>
        <w:widowControl w:val="0"/>
        <w:kinsoku/>
        <w:wordWrap/>
        <w:overflowPunct/>
        <w:topLinePunct w:val="0"/>
        <w:autoSpaceDE/>
        <w:autoSpaceDN/>
        <w:bidi w:val="0"/>
        <w:adjustRightInd/>
        <w:snapToGrid/>
        <w:spacing w:before="38" w:line="400" w:lineRule="exact"/>
        <w:ind w:left="520" w:right="102"/>
        <w:textAlignment w:val="auto"/>
        <w:rPr>
          <w:rFonts w:hint="eastAsia" w:ascii="仿宋" w:hAnsi="仿宋" w:eastAsia="仿宋" w:cs="仿宋"/>
          <w:sz w:val="21"/>
          <w:szCs w:val="21"/>
        </w:rPr>
      </w:pPr>
      <w:r>
        <w:rPr>
          <w:rFonts w:hint="eastAsia" w:ascii="仿宋" w:hAnsi="仿宋" w:eastAsia="仿宋" w:cs="仿宋"/>
          <w:sz w:val="21"/>
          <w:szCs w:val="21"/>
        </w:rPr>
        <w:t>1.5.2 合同履行中或与合同有关的任何联络，送达到第 1.5.1 项指定的联系人即视为送达。</w:t>
      </w:r>
    </w:p>
    <w:p w14:paraId="4747C679">
      <w:pPr>
        <w:pStyle w:val="12"/>
        <w:pageBreakBefore w:val="0"/>
        <w:widowControl w:val="0"/>
        <w:kinsoku/>
        <w:wordWrap/>
        <w:overflowPunct/>
        <w:topLinePunct w:val="0"/>
        <w:autoSpaceDE/>
        <w:autoSpaceDN/>
        <w:bidi w:val="0"/>
        <w:adjustRightInd/>
        <w:snapToGrid/>
        <w:spacing w:before="117" w:line="400" w:lineRule="exact"/>
        <w:ind w:left="520" w:right="26"/>
        <w:textAlignment w:val="auto"/>
        <w:rPr>
          <w:rFonts w:hint="eastAsia" w:ascii="仿宋" w:hAnsi="仿宋" w:eastAsia="仿宋" w:cs="仿宋"/>
          <w:sz w:val="21"/>
          <w:szCs w:val="21"/>
        </w:rPr>
      </w:pPr>
      <w:r>
        <w:rPr>
          <w:rFonts w:hint="eastAsia" w:ascii="仿宋" w:hAnsi="仿宋" w:eastAsia="仿宋" w:cs="仿宋"/>
          <w:sz w:val="21"/>
          <w:szCs w:val="21"/>
        </w:rPr>
        <w:t xml:space="preserve">1.5.3 </w:t>
      </w:r>
      <w:r>
        <w:rPr>
          <w:rFonts w:hint="eastAsia" w:ascii="仿宋" w:hAnsi="仿宋" w:eastAsia="仿宋" w:cs="仿宋"/>
          <w:spacing w:val="-4"/>
          <w:sz w:val="21"/>
          <w:szCs w:val="21"/>
        </w:rPr>
        <w:t>买方可以安排监理等相关人员作为买方人员，与卖方进行联络或参加合同设备的监造</w:t>
      </w:r>
    </w:p>
    <w:p w14:paraId="1BE24C0E">
      <w:pPr>
        <w:pStyle w:val="12"/>
        <w:pageBreakBefore w:val="0"/>
        <w:widowControl w:val="0"/>
        <w:kinsoku/>
        <w:wordWrap/>
        <w:overflowPunct/>
        <w:topLinePunct w:val="0"/>
        <w:autoSpaceDE/>
        <w:autoSpaceDN/>
        <w:bidi w:val="0"/>
        <w:adjustRightInd/>
        <w:snapToGrid/>
        <w:spacing w:before="117" w:line="400" w:lineRule="exact"/>
        <w:ind w:left="100" w:right="102"/>
        <w:textAlignment w:val="auto"/>
        <w:rPr>
          <w:rFonts w:hint="eastAsia" w:ascii="仿宋" w:hAnsi="仿宋" w:eastAsia="仿宋" w:cs="仿宋"/>
          <w:sz w:val="21"/>
          <w:szCs w:val="21"/>
        </w:rPr>
      </w:pPr>
      <w:r>
        <w:rPr>
          <w:rFonts w:hint="eastAsia" w:ascii="仿宋" w:hAnsi="仿宋" w:eastAsia="仿宋" w:cs="仿宋"/>
          <w:w w:val="100"/>
          <w:sz w:val="21"/>
          <w:szCs w:val="21"/>
        </w:rPr>
        <w:t>（如</w:t>
      </w:r>
      <w:r>
        <w:rPr>
          <w:rFonts w:hint="eastAsia" w:ascii="仿宋" w:hAnsi="仿宋" w:eastAsia="仿宋" w:cs="仿宋"/>
          <w:spacing w:val="-3"/>
          <w:w w:val="100"/>
          <w:sz w:val="21"/>
          <w:szCs w:val="21"/>
        </w:rPr>
        <w:t>有</w:t>
      </w:r>
      <w:r>
        <w:rPr>
          <w:rFonts w:hint="eastAsia" w:ascii="仿宋" w:hAnsi="仿宋" w:eastAsia="仿宋" w:cs="仿宋"/>
          <w:spacing w:val="-106"/>
          <w:w w:val="100"/>
          <w:sz w:val="21"/>
          <w:szCs w:val="21"/>
        </w:rPr>
        <w:t>）</w:t>
      </w:r>
      <w:r>
        <w:rPr>
          <w:rFonts w:hint="eastAsia" w:ascii="仿宋" w:hAnsi="仿宋" w:eastAsia="仿宋" w:cs="仿宋"/>
          <w:spacing w:val="-13"/>
          <w:w w:val="100"/>
          <w:sz w:val="21"/>
          <w:szCs w:val="21"/>
        </w:rPr>
        <w:t>、</w:t>
      </w:r>
      <w:r>
        <w:rPr>
          <w:rFonts w:hint="eastAsia" w:ascii="仿宋" w:hAnsi="仿宋" w:eastAsia="仿宋" w:cs="仿宋"/>
          <w:w w:val="100"/>
          <w:sz w:val="21"/>
          <w:szCs w:val="21"/>
        </w:rPr>
        <w:t>交</w:t>
      </w:r>
      <w:r>
        <w:rPr>
          <w:rFonts w:hint="eastAsia" w:ascii="仿宋" w:hAnsi="仿宋" w:eastAsia="仿宋" w:cs="仿宋"/>
          <w:spacing w:val="-3"/>
          <w:w w:val="100"/>
          <w:sz w:val="21"/>
          <w:szCs w:val="21"/>
        </w:rPr>
        <w:t>货</w:t>
      </w:r>
      <w:r>
        <w:rPr>
          <w:rFonts w:hint="eastAsia" w:ascii="仿宋" w:hAnsi="仿宋" w:eastAsia="仿宋" w:cs="仿宋"/>
          <w:w w:val="100"/>
          <w:sz w:val="21"/>
          <w:szCs w:val="21"/>
        </w:rPr>
        <w:t>前</w:t>
      </w:r>
      <w:r>
        <w:rPr>
          <w:rFonts w:hint="eastAsia" w:ascii="仿宋" w:hAnsi="仿宋" w:eastAsia="仿宋" w:cs="仿宋"/>
          <w:spacing w:val="-3"/>
          <w:w w:val="100"/>
          <w:sz w:val="21"/>
          <w:szCs w:val="21"/>
        </w:rPr>
        <w:t>检</w:t>
      </w:r>
      <w:r>
        <w:rPr>
          <w:rFonts w:hint="eastAsia" w:ascii="仿宋" w:hAnsi="仿宋" w:eastAsia="仿宋" w:cs="仿宋"/>
          <w:spacing w:val="-10"/>
          <w:w w:val="100"/>
          <w:sz w:val="21"/>
          <w:szCs w:val="21"/>
        </w:rPr>
        <w:t>验</w:t>
      </w:r>
      <w:r>
        <w:rPr>
          <w:rFonts w:hint="eastAsia" w:ascii="仿宋" w:hAnsi="仿宋" w:eastAsia="仿宋" w:cs="仿宋"/>
          <w:w w:val="100"/>
          <w:sz w:val="21"/>
          <w:szCs w:val="21"/>
        </w:rPr>
        <w:t>（</w:t>
      </w:r>
      <w:r>
        <w:rPr>
          <w:rFonts w:hint="eastAsia" w:ascii="仿宋" w:hAnsi="仿宋" w:eastAsia="仿宋" w:cs="仿宋"/>
          <w:spacing w:val="-3"/>
          <w:w w:val="100"/>
          <w:sz w:val="21"/>
          <w:szCs w:val="21"/>
        </w:rPr>
        <w:t>如</w:t>
      </w:r>
      <w:r>
        <w:rPr>
          <w:rFonts w:hint="eastAsia" w:ascii="仿宋" w:hAnsi="仿宋" w:eastAsia="仿宋" w:cs="仿宋"/>
          <w:w w:val="100"/>
          <w:sz w:val="21"/>
          <w:szCs w:val="21"/>
        </w:rPr>
        <w:t>有</w:t>
      </w:r>
      <w:r>
        <w:rPr>
          <w:rFonts w:hint="eastAsia" w:ascii="仿宋" w:hAnsi="仿宋" w:eastAsia="仿宋" w:cs="仿宋"/>
          <w:spacing w:val="-106"/>
          <w:w w:val="100"/>
          <w:sz w:val="21"/>
          <w:szCs w:val="21"/>
        </w:rPr>
        <w:t>）</w:t>
      </w:r>
      <w:r>
        <w:rPr>
          <w:rFonts w:hint="eastAsia" w:ascii="仿宋" w:hAnsi="仿宋" w:eastAsia="仿宋" w:cs="仿宋"/>
          <w:spacing w:val="-13"/>
          <w:w w:val="100"/>
          <w:sz w:val="21"/>
          <w:szCs w:val="21"/>
        </w:rPr>
        <w:t>、</w:t>
      </w:r>
      <w:r>
        <w:rPr>
          <w:rFonts w:hint="eastAsia" w:ascii="仿宋" w:hAnsi="仿宋" w:eastAsia="仿宋" w:cs="仿宋"/>
          <w:w w:val="100"/>
          <w:sz w:val="21"/>
          <w:szCs w:val="21"/>
        </w:rPr>
        <w:t>开</w:t>
      </w:r>
      <w:r>
        <w:rPr>
          <w:rFonts w:hint="eastAsia" w:ascii="仿宋" w:hAnsi="仿宋" w:eastAsia="仿宋" w:cs="仿宋"/>
          <w:spacing w:val="-3"/>
          <w:w w:val="100"/>
          <w:sz w:val="21"/>
          <w:szCs w:val="21"/>
        </w:rPr>
        <w:t>箱</w:t>
      </w:r>
      <w:r>
        <w:rPr>
          <w:rFonts w:hint="eastAsia" w:ascii="仿宋" w:hAnsi="仿宋" w:eastAsia="仿宋" w:cs="仿宋"/>
          <w:w w:val="100"/>
          <w:sz w:val="21"/>
          <w:szCs w:val="21"/>
        </w:rPr>
        <w:t>检</w:t>
      </w:r>
      <w:r>
        <w:rPr>
          <w:rFonts w:hint="eastAsia" w:ascii="仿宋" w:hAnsi="仿宋" w:eastAsia="仿宋" w:cs="仿宋"/>
          <w:spacing w:val="-3"/>
          <w:w w:val="100"/>
          <w:sz w:val="21"/>
          <w:szCs w:val="21"/>
        </w:rPr>
        <w:t>验</w:t>
      </w:r>
      <w:r>
        <w:rPr>
          <w:rFonts w:hint="eastAsia" w:ascii="仿宋" w:hAnsi="仿宋" w:eastAsia="仿宋" w:cs="仿宋"/>
          <w:spacing w:val="-10"/>
          <w:w w:val="100"/>
          <w:sz w:val="21"/>
          <w:szCs w:val="21"/>
        </w:rPr>
        <w:t>、</w:t>
      </w:r>
      <w:r>
        <w:rPr>
          <w:rFonts w:hint="eastAsia" w:ascii="仿宋" w:hAnsi="仿宋" w:eastAsia="仿宋" w:cs="仿宋"/>
          <w:w w:val="100"/>
          <w:sz w:val="21"/>
          <w:szCs w:val="21"/>
        </w:rPr>
        <w:t>安</w:t>
      </w:r>
      <w:r>
        <w:rPr>
          <w:rFonts w:hint="eastAsia" w:ascii="仿宋" w:hAnsi="仿宋" w:eastAsia="仿宋" w:cs="仿宋"/>
          <w:spacing w:val="-3"/>
          <w:w w:val="100"/>
          <w:sz w:val="21"/>
          <w:szCs w:val="21"/>
        </w:rPr>
        <w:t>装</w:t>
      </w:r>
      <w:r>
        <w:rPr>
          <w:rFonts w:hint="eastAsia" w:ascii="仿宋" w:hAnsi="仿宋" w:eastAsia="仿宋" w:cs="仿宋"/>
          <w:spacing w:val="-10"/>
          <w:w w:val="100"/>
          <w:sz w:val="21"/>
          <w:szCs w:val="21"/>
        </w:rPr>
        <w:t>、</w:t>
      </w:r>
      <w:r>
        <w:rPr>
          <w:rFonts w:hint="eastAsia" w:ascii="仿宋" w:hAnsi="仿宋" w:eastAsia="仿宋" w:cs="仿宋"/>
          <w:spacing w:val="-3"/>
          <w:w w:val="100"/>
          <w:sz w:val="21"/>
          <w:szCs w:val="21"/>
        </w:rPr>
        <w:t>调</w:t>
      </w:r>
      <w:r>
        <w:rPr>
          <w:rFonts w:hint="eastAsia" w:ascii="仿宋" w:hAnsi="仿宋" w:eastAsia="仿宋" w:cs="仿宋"/>
          <w:w w:val="100"/>
          <w:sz w:val="21"/>
          <w:szCs w:val="21"/>
        </w:rPr>
        <w:t>试</w:t>
      </w:r>
      <w:r>
        <w:rPr>
          <w:rFonts w:hint="eastAsia" w:ascii="仿宋" w:hAnsi="仿宋" w:eastAsia="仿宋" w:cs="仿宋"/>
          <w:spacing w:val="-10"/>
          <w:w w:val="100"/>
          <w:sz w:val="21"/>
          <w:szCs w:val="21"/>
        </w:rPr>
        <w:t>、</w:t>
      </w:r>
      <w:r>
        <w:rPr>
          <w:rFonts w:hint="eastAsia" w:ascii="仿宋" w:hAnsi="仿宋" w:eastAsia="仿宋" w:cs="仿宋"/>
          <w:spacing w:val="-3"/>
          <w:w w:val="100"/>
          <w:sz w:val="21"/>
          <w:szCs w:val="21"/>
        </w:rPr>
        <w:t>考</w:t>
      </w:r>
      <w:r>
        <w:rPr>
          <w:rFonts w:hint="eastAsia" w:ascii="仿宋" w:hAnsi="仿宋" w:eastAsia="仿宋" w:cs="仿宋"/>
          <w:w w:val="100"/>
          <w:sz w:val="21"/>
          <w:szCs w:val="21"/>
        </w:rPr>
        <w:t>核</w:t>
      </w:r>
      <w:r>
        <w:rPr>
          <w:rFonts w:hint="eastAsia" w:ascii="仿宋" w:hAnsi="仿宋" w:eastAsia="仿宋" w:cs="仿宋"/>
          <w:spacing w:val="-13"/>
          <w:w w:val="100"/>
          <w:sz w:val="21"/>
          <w:szCs w:val="21"/>
        </w:rPr>
        <w:t>、</w:t>
      </w:r>
      <w:r>
        <w:rPr>
          <w:rFonts w:hint="eastAsia" w:ascii="仿宋" w:hAnsi="仿宋" w:eastAsia="仿宋" w:cs="仿宋"/>
          <w:w w:val="100"/>
          <w:sz w:val="21"/>
          <w:szCs w:val="21"/>
        </w:rPr>
        <w:t>验</w:t>
      </w:r>
      <w:r>
        <w:rPr>
          <w:rFonts w:hint="eastAsia" w:ascii="仿宋" w:hAnsi="仿宋" w:eastAsia="仿宋" w:cs="仿宋"/>
          <w:spacing w:val="-3"/>
          <w:w w:val="100"/>
          <w:sz w:val="21"/>
          <w:szCs w:val="21"/>
        </w:rPr>
        <w:t>收</w:t>
      </w:r>
      <w:r>
        <w:rPr>
          <w:rFonts w:hint="eastAsia" w:ascii="仿宋" w:hAnsi="仿宋" w:eastAsia="仿宋" w:cs="仿宋"/>
          <w:w w:val="100"/>
          <w:sz w:val="21"/>
          <w:szCs w:val="21"/>
        </w:rPr>
        <w:t>等</w:t>
      </w:r>
      <w:r>
        <w:rPr>
          <w:rFonts w:hint="eastAsia" w:ascii="仿宋" w:hAnsi="仿宋" w:eastAsia="仿宋" w:cs="仿宋"/>
          <w:spacing w:val="-13"/>
          <w:w w:val="100"/>
          <w:sz w:val="21"/>
          <w:szCs w:val="21"/>
        </w:rPr>
        <w:t>，</w:t>
      </w:r>
      <w:r>
        <w:rPr>
          <w:rFonts w:hint="eastAsia" w:ascii="仿宋" w:hAnsi="仿宋" w:eastAsia="仿宋" w:cs="仿宋"/>
          <w:w w:val="100"/>
          <w:sz w:val="21"/>
          <w:szCs w:val="21"/>
        </w:rPr>
        <w:t>但</w:t>
      </w:r>
      <w:r>
        <w:rPr>
          <w:rFonts w:hint="eastAsia" w:ascii="仿宋" w:hAnsi="仿宋" w:eastAsia="仿宋" w:cs="仿宋"/>
          <w:spacing w:val="-3"/>
          <w:w w:val="100"/>
          <w:sz w:val="21"/>
          <w:szCs w:val="21"/>
        </w:rPr>
        <w:t>应</w:t>
      </w:r>
      <w:r>
        <w:rPr>
          <w:rFonts w:hint="eastAsia" w:ascii="仿宋" w:hAnsi="仿宋" w:eastAsia="仿宋" w:cs="仿宋"/>
          <w:w w:val="100"/>
          <w:sz w:val="21"/>
          <w:szCs w:val="21"/>
        </w:rPr>
        <w:t>按</w:t>
      </w:r>
      <w:r>
        <w:rPr>
          <w:rFonts w:hint="eastAsia" w:ascii="仿宋" w:hAnsi="仿宋" w:eastAsia="仿宋" w:cs="仿宋"/>
          <w:spacing w:val="-3"/>
          <w:w w:val="100"/>
          <w:sz w:val="21"/>
          <w:szCs w:val="21"/>
        </w:rPr>
        <w:t>照</w:t>
      </w:r>
      <w:r>
        <w:rPr>
          <w:rFonts w:hint="eastAsia" w:ascii="仿宋" w:hAnsi="仿宋" w:eastAsia="仿宋" w:cs="仿宋"/>
          <w:w w:val="100"/>
          <w:sz w:val="21"/>
          <w:szCs w:val="21"/>
        </w:rPr>
        <w:t>第</w:t>
      </w:r>
      <w:r>
        <w:rPr>
          <w:rFonts w:hint="eastAsia" w:ascii="仿宋" w:hAnsi="仿宋" w:eastAsia="仿宋" w:cs="仿宋"/>
          <w:spacing w:val="-53"/>
          <w:sz w:val="21"/>
          <w:szCs w:val="21"/>
        </w:rPr>
        <w:t xml:space="preserve"> </w:t>
      </w:r>
      <w:r>
        <w:rPr>
          <w:rFonts w:hint="eastAsia" w:ascii="仿宋" w:hAnsi="仿宋" w:eastAsia="仿宋" w:cs="仿宋"/>
          <w:w w:val="100"/>
          <w:sz w:val="21"/>
          <w:szCs w:val="21"/>
        </w:rPr>
        <w:t>1.5</w:t>
      </w:r>
      <w:r>
        <w:rPr>
          <w:rFonts w:hint="eastAsia" w:ascii="仿宋" w:hAnsi="仿宋" w:eastAsia="仿宋" w:cs="仿宋"/>
          <w:spacing w:val="-3"/>
          <w:w w:val="100"/>
          <w:sz w:val="21"/>
          <w:szCs w:val="21"/>
        </w:rPr>
        <w:t>.</w:t>
      </w:r>
      <w:r>
        <w:rPr>
          <w:rFonts w:hint="eastAsia" w:ascii="仿宋" w:hAnsi="仿宋" w:eastAsia="仿宋" w:cs="仿宋"/>
          <w:w w:val="100"/>
          <w:sz w:val="21"/>
          <w:szCs w:val="21"/>
        </w:rPr>
        <w:t>1</w:t>
      </w:r>
      <w:r>
        <w:rPr>
          <w:rFonts w:hint="eastAsia" w:ascii="仿宋" w:hAnsi="仿宋" w:eastAsia="仿宋" w:cs="仿宋"/>
          <w:sz w:val="21"/>
          <w:szCs w:val="21"/>
        </w:rPr>
        <w:t xml:space="preserve"> </w:t>
      </w:r>
      <w:r>
        <w:rPr>
          <w:rFonts w:hint="eastAsia" w:ascii="仿宋" w:hAnsi="仿宋" w:eastAsia="仿宋" w:cs="仿宋"/>
          <w:spacing w:val="-3"/>
          <w:w w:val="100"/>
          <w:sz w:val="21"/>
          <w:szCs w:val="21"/>
        </w:rPr>
        <w:t xml:space="preserve">项的 </w:t>
      </w:r>
      <w:r>
        <w:rPr>
          <w:rFonts w:hint="eastAsia" w:ascii="仿宋" w:hAnsi="仿宋" w:eastAsia="仿宋" w:cs="仿宋"/>
          <w:sz w:val="21"/>
          <w:szCs w:val="21"/>
        </w:rPr>
        <w:t>约定事先书面通知卖方。</w:t>
      </w:r>
    </w:p>
    <w:p w14:paraId="3D2E1B98">
      <w:pPr>
        <w:pStyle w:val="4"/>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bookmarkStart w:id="495" w:name="_bookmark111"/>
      <w:bookmarkEnd w:id="495"/>
      <w:r>
        <w:rPr>
          <w:rFonts w:hint="eastAsia" w:ascii="仿宋" w:hAnsi="仿宋" w:eastAsia="仿宋" w:cs="仿宋"/>
          <w:sz w:val="21"/>
          <w:szCs w:val="21"/>
        </w:rPr>
        <w:t>1.6  联合体</w:t>
      </w:r>
    </w:p>
    <w:p w14:paraId="69519948">
      <w:pPr>
        <w:pStyle w:val="12"/>
        <w:pageBreakBefore w:val="0"/>
        <w:widowControl w:val="0"/>
        <w:kinsoku/>
        <w:wordWrap/>
        <w:overflowPunct/>
        <w:topLinePunct w:val="0"/>
        <w:autoSpaceDE/>
        <w:autoSpaceDN/>
        <w:bidi w:val="0"/>
        <w:adjustRightInd/>
        <w:snapToGrid/>
        <w:spacing w:before="248" w:line="400" w:lineRule="exact"/>
        <w:ind w:left="100" w:right="1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1.6.1 </w:t>
      </w:r>
      <w:r>
        <w:rPr>
          <w:rFonts w:hint="eastAsia" w:ascii="仿宋" w:hAnsi="仿宋" w:eastAsia="仿宋" w:cs="仿宋"/>
          <w:spacing w:val="-4"/>
          <w:sz w:val="21"/>
          <w:szCs w:val="21"/>
        </w:rPr>
        <w:t xml:space="preserve">卖方为联合体的，联合体各方应当共同与买方签订合同，并向买方为履行合同承担连 </w:t>
      </w:r>
      <w:r>
        <w:rPr>
          <w:rFonts w:hint="eastAsia" w:ascii="仿宋" w:hAnsi="仿宋" w:eastAsia="仿宋" w:cs="仿宋"/>
          <w:sz w:val="21"/>
          <w:szCs w:val="21"/>
        </w:rPr>
        <w:t>带责任。</w:t>
      </w:r>
    </w:p>
    <w:p w14:paraId="01F70390">
      <w:pPr>
        <w:pStyle w:val="12"/>
        <w:pageBreakBefore w:val="0"/>
        <w:widowControl w:val="0"/>
        <w:kinsoku/>
        <w:wordWrap/>
        <w:overflowPunct/>
        <w:topLinePunct w:val="0"/>
        <w:autoSpaceDE/>
        <w:autoSpaceDN/>
        <w:bidi w:val="0"/>
        <w:adjustRightInd/>
        <w:snapToGrid/>
        <w:spacing w:before="49" w:line="400" w:lineRule="exact"/>
        <w:ind w:left="100" w:right="113"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1.6.2 </w:t>
      </w:r>
      <w:r>
        <w:rPr>
          <w:rFonts w:hint="eastAsia" w:ascii="仿宋" w:hAnsi="仿宋" w:eastAsia="仿宋" w:cs="仿宋"/>
          <w:spacing w:val="-4"/>
          <w:sz w:val="21"/>
          <w:szCs w:val="21"/>
        </w:rPr>
        <w:t xml:space="preserve">在合同履行过程中，未经买方同意，不得修改联合体协议。联合体协议中关于联合体 </w:t>
      </w:r>
      <w:r>
        <w:rPr>
          <w:rFonts w:hint="eastAsia" w:ascii="仿宋" w:hAnsi="仿宋" w:eastAsia="仿宋" w:cs="仿宋"/>
          <w:sz w:val="21"/>
          <w:szCs w:val="21"/>
        </w:rPr>
        <w:t>成员间权利义务的划分，并不影响或减损联合体各方应就履行合同向买方承担的连带责任。</w:t>
      </w:r>
    </w:p>
    <w:p w14:paraId="53134BB0">
      <w:pPr>
        <w:pStyle w:val="12"/>
        <w:pageBreakBefore w:val="0"/>
        <w:widowControl w:val="0"/>
        <w:kinsoku/>
        <w:wordWrap/>
        <w:overflowPunct/>
        <w:topLinePunct w:val="0"/>
        <w:autoSpaceDE/>
        <w:autoSpaceDN/>
        <w:bidi w:val="0"/>
        <w:adjustRightInd/>
        <w:snapToGrid/>
        <w:spacing w:before="49" w:line="400" w:lineRule="exact"/>
        <w:ind w:left="100" w:right="113"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1.6.3 </w:t>
      </w:r>
      <w:r>
        <w:rPr>
          <w:rFonts w:hint="eastAsia" w:ascii="仿宋" w:hAnsi="仿宋" w:eastAsia="仿宋" w:cs="仿宋"/>
          <w:spacing w:val="-4"/>
          <w:sz w:val="21"/>
          <w:szCs w:val="21"/>
        </w:rPr>
        <w:t xml:space="preserve">联合体牵头人代表联合体与买方联系，并接受指示，负责组织联合体各成员全面履行 </w:t>
      </w:r>
      <w:r>
        <w:rPr>
          <w:rFonts w:hint="eastAsia" w:ascii="仿宋" w:hAnsi="仿宋" w:eastAsia="仿宋" w:cs="仿宋"/>
          <w:spacing w:val="-1"/>
          <w:sz w:val="21"/>
          <w:szCs w:val="21"/>
        </w:rPr>
        <w:t xml:space="preserve">合同。除非专用合同条款另有约定，牵头人在履行合同中的所有行为均视为已获得联合体各方 的授权。买方可将合同价款全部支付给牵头人并视为其已适当履行了付款义务。如牵头人的行 </w:t>
      </w:r>
      <w:r>
        <w:rPr>
          <w:rFonts w:hint="eastAsia" w:ascii="仿宋" w:hAnsi="仿宋" w:eastAsia="仿宋" w:cs="仿宋"/>
          <w:sz w:val="21"/>
          <w:szCs w:val="21"/>
        </w:rPr>
        <w:t>为将构成对合同内容的变更，则牵头人须事先获得联合体各方的特别授权。</w:t>
      </w:r>
    </w:p>
    <w:p w14:paraId="1FADEE0A">
      <w:pPr>
        <w:pStyle w:val="4"/>
        <w:pageBreakBefore w:val="0"/>
        <w:widowControl w:val="0"/>
        <w:kinsoku/>
        <w:wordWrap/>
        <w:overflowPunct/>
        <w:topLinePunct w:val="0"/>
        <w:autoSpaceDE/>
        <w:autoSpaceDN/>
        <w:bidi w:val="0"/>
        <w:adjustRightInd/>
        <w:snapToGrid/>
        <w:spacing w:before="1" w:line="400" w:lineRule="exact"/>
        <w:textAlignment w:val="auto"/>
        <w:rPr>
          <w:rFonts w:hint="eastAsia" w:ascii="仿宋" w:hAnsi="仿宋" w:eastAsia="仿宋" w:cs="仿宋"/>
          <w:sz w:val="21"/>
          <w:szCs w:val="21"/>
        </w:rPr>
      </w:pPr>
      <w:bookmarkStart w:id="496" w:name="_bookmark112"/>
      <w:bookmarkEnd w:id="496"/>
      <w:r>
        <w:rPr>
          <w:rFonts w:hint="eastAsia" w:ascii="仿宋" w:hAnsi="仿宋" w:eastAsia="仿宋" w:cs="仿宋"/>
          <w:sz w:val="21"/>
          <w:szCs w:val="21"/>
        </w:rPr>
        <w:t>1.7</w:t>
      </w:r>
      <w:r>
        <w:rPr>
          <w:rFonts w:hint="eastAsia" w:ascii="仿宋" w:hAnsi="仿宋" w:eastAsia="仿宋" w:cs="仿宋"/>
          <w:spacing w:val="69"/>
          <w:sz w:val="21"/>
          <w:szCs w:val="21"/>
        </w:rPr>
        <w:t xml:space="preserve"> </w:t>
      </w:r>
      <w:r>
        <w:rPr>
          <w:rFonts w:hint="eastAsia" w:ascii="仿宋" w:hAnsi="仿宋" w:eastAsia="仿宋" w:cs="仿宋"/>
          <w:sz w:val="21"/>
          <w:szCs w:val="21"/>
        </w:rPr>
        <w:t>转让</w:t>
      </w:r>
    </w:p>
    <w:p w14:paraId="7D45E2C3">
      <w:pPr>
        <w:pStyle w:val="12"/>
        <w:pageBreakBefore w:val="0"/>
        <w:widowControl w:val="0"/>
        <w:kinsoku/>
        <w:wordWrap/>
        <w:overflowPunct/>
        <w:topLinePunct w:val="0"/>
        <w:autoSpaceDE/>
        <w:autoSpaceDN/>
        <w:bidi w:val="0"/>
        <w:adjustRightInd/>
        <w:snapToGrid/>
        <w:spacing w:before="248" w:line="400" w:lineRule="exact"/>
        <w:ind w:left="520" w:right="102"/>
        <w:textAlignment w:val="auto"/>
        <w:rPr>
          <w:rFonts w:hint="eastAsia" w:ascii="仿宋" w:hAnsi="仿宋" w:eastAsia="仿宋" w:cs="仿宋"/>
          <w:sz w:val="21"/>
          <w:szCs w:val="21"/>
        </w:rPr>
      </w:pPr>
      <w:r>
        <w:rPr>
          <w:rFonts w:hint="eastAsia" w:ascii="仿宋" w:hAnsi="仿宋" w:eastAsia="仿宋" w:cs="仿宋"/>
          <w:sz w:val="21"/>
          <w:szCs w:val="21"/>
        </w:rPr>
        <w:t>未经对方当事人书面同意，合同任何一方均不得转让其在合同项下的权利和（或）义务。</w:t>
      </w:r>
    </w:p>
    <w:p w14:paraId="0B937E7F">
      <w:pPr>
        <w:pStyle w:val="3"/>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bookmarkStart w:id="497" w:name="_bookmark113"/>
      <w:bookmarkEnd w:id="497"/>
      <w:r>
        <w:rPr>
          <w:rFonts w:hint="eastAsia" w:ascii="仿宋" w:hAnsi="仿宋" w:eastAsia="仿宋" w:cs="仿宋"/>
          <w:sz w:val="21"/>
          <w:szCs w:val="21"/>
        </w:rPr>
        <w:t>2.  合同范围</w:t>
      </w:r>
    </w:p>
    <w:p w14:paraId="6B53910C">
      <w:pPr>
        <w:pStyle w:val="12"/>
        <w:pageBreakBefore w:val="0"/>
        <w:widowControl w:val="0"/>
        <w:kinsoku/>
        <w:wordWrap/>
        <w:overflowPunct/>
        <w:topLinePunct w:val="0"/>
        <w:autoSpaceDE/>
        <w:autoSpaceDN/>
        <w:bidi w:val="0"/>
        <w:adjustRightInd/>
        <w:snapToGrid/>
        <w:spacing w:line="400" w:lineRule="exact"/>
        <w:ind w:left="100" w:right="113" w:firstLine="419"/>
        <w:jc w:val="both"/>
        <w:textAlignment w:val="auto"/>
        <w:rPr>
          <w:rFonts w:hint="eastAsia" w:ascii="仿宋" w:hAnsi="仿宋" w:eastAsia="仿宋" w:cs="仿宋"/>
          <w:sz w:val="21"/>
          <w:szCs w:val="21"/>
        </w:rPr>
      </w:pPr>
      <w:r>
        <w:rPr>
          <w:rFonts w:hint="eastAsia" w:ascii="仿宋" w:hAnsi="仿宋" w:eastAsia="仿宋" w:cs="仿宋"/>
          <w:sz w:val="21"/>
          <w:szCs w:val="21"/>
        </w:rPr>
        <w:t>卖方应根据供货要求、中标设备技术性能指标的详细描述、技术服务和质保期服务计划等 合同文件的约定向买方提供合同设备、技术服务和质保期服务。</w:t>
      </w:r>
    </w:p>
    <w:p w14:paraId="09519A0F">
      <w:pPr>
        <w:pStyle w:val="3"/>
        <w:pageBreakBefore w:val="0"/>
        <w:widowControl w:val="0"/>
        <w:kinsoku/>
        <w:wordWrap/>
        <w:overflowPunct/>
        <w:topLinePunct w:val="0"/>
        <w:autoSpaceDE/>
        <w:autoSpaceDN/>
        <w:bidi w:val="0"/>
        <w:adjustRightInd/>
        <w:snapToGrid/>
        <w:spacing w:before="171" w:line="400" w:lineRule="exact"/>
        <w:textAlignment w:val="auto"/>
        <w:rPr>
          <w:rFonts w:hint="eastAsia" w:ascii="仿宋" w:hAnsi="仿宋" w:eastAsia="仿宋" w:cs="仿宋"/>
          <w:b/>
          <w:sz w:val="21"/>
          <w:szCs w:val="21"/>
        </w:rPr>
      </w:pPr>
      <w:bookmarkStart w:id="498" w:name="_bookmark114"/>
      <w:bookmarkEnd w:id="498"/>
      <w:r>
        <w:rPr>
          <w:rFonts w:hint="eastAsia" w:ascii="仿宋" w:hAnsi="仿宋" w:eastAsia="仿宋" w:cs="仿宋"/>
          <w:sz w:val="21"/>
          <w:szCs w:val="21"/>
        </w:rPr>
        <w:t>3.  合同价格与支付</w:t>
      </w:r>
    </w:p>
    <w:p w14:paraId="04AF2C30">
      <w:pPr>
        <w:pStyle w:val="4"/>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bookmarkStart w:id="499" w:name="_bookmark115"/>
      <w:bookmarkEnd w:id="499"/>
      <w:r>
        <w:rPr>
          <w:rFonts w:hint="eastAsia" w:ascii="仿宋" w:hAnsi="仿宋" w:eastAsia="仿宋" w:cs="仿宋"/>
          <w:sz w:val="21"/>
          <w:szCs w:val="21"/>
        </w:rPr>
        <w:t>3.1  合同价格</w:t>
      </w:r>
    </w:p>
    <w:p w14:paraId="15E6AC5D">
      <w:pPr>
        <w:pStyle w:val="12"/>
        <w:pageBreakBefore w:val="0"/>
        <w:widowControl w:val="0"/>
        <w:kinsoku/>
        <w:wordWrap/>
        <w:overflowPunct/>
        <w:topLinePunct w:val="0"/>
        <w:autoSpaceDE/>
        <w:autoSpaceDN/>
        <w:bidi w:val="0"/>
        <w:adjustRightInd/>
        <w:snapToGrid/>
        <w:spacing w:before="249" w:line="400" w:lineRule="exact"/>
        <w:ind w:left="100" w:right="1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3.1.1 </w:t>
      </w:r>
      <w:r>
        <w:rPr>
          <w:rFonts w:hint="eastAsia" w:ascii="仿宋" w:hAnsi="仿宋" w:eastAsia="仿宋" w:cs="仿宋"/>
          <w:spacing w:val="-4"/>
          <w:sz w:val="21"/>
          <w:szCs w:val="21"/>
        </w:rPr>
        <w:t xml:space="preserve">合同协议书中载明的签约合同价包括卖方为完成合同全部义务应承担的一切成本、费 </w:t>
      </w:r>
      <w:r>
        <w:rPr>
          <w:rFonts w:hint="eastAsia" w:ascii="仿宋" w:hAnsi="仿宋" w:eastAsia="仿宋" w:cs="仿宋"/>
          <w:sz w:val="21"/>
          <w:szCs w:val="21"/>
        </w:rPr>
        <w:t>用和支出以及卖方的合理利润。</w:t>
      </w:r>
    </w:p>
    <w:p w14:paraId="5EB20145">
      <w:pPr>
        <w:pStyle w:val="12"/>
        <w:pageBreakBefore w:val="0"/>
        <w:widowControl w:val="0"/>
        <w:kinsoku/>
        <w:wordWrap/>
        <w:overflowPunct/>
        <w:topLinePunct w:val="0"/>
        <w:autoSpaceDE/>
        <w:autoSpaceDN/>
        <w:bidi w:val="0"/>
        <w:adjustRightInd/>
        <w:snapToGrid/>
        <w:spacing w:before="49" w:line="400" w:lineRule="exact"/>
        <w:ind w:left="520" w:right="102"/>
        <w:textAlignment w:val="auto"/>
        <w:rPr>
          <w:rFonts w:hint="eastAsia" w:ascii="仿宋" w:hAnsi="仿宋" w:eastAsia="仿宋" w:cs="仿宋"/>
          <w:sz w:val="21"/>
          <w:szCs w:val="21"/>
        </w:rPr>
      </w:pPr>
      <w:r>
        <w:rPr>
          <w:rFonts w:hint="eastAsia" w:ascii="仿宋" w:hAnsi="仿宋" w:eastAsia="仿宋" w:cs="仿宋"/>
          <w:sz w:val="21"/>
          <w:szCs w:val="21"/>
        </w:rPr>
        <w:t>3.1.2 除专用合同条款另有约定外，签约合同价为固定价格。</w:t>
      </w:r>
    </w:p>
    <w:p w14:paraId="369A1FE8">
      <w:pPr>
        <w:pStyle w:val="4"/>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lang w:eastAsia="zh-CN"/>
        </w:rPr>
      </w:pPr>
      <w:bookmarkStart w:id="500" w:name="_bookmark116"/>
      <w:bookmarkEnd w:id="500"/>
      <w:r>
        <w:rPr>
          <w:rFonts w:hint="eastAsia" w:ascii="仿宋" w:hAnsi="仿宋" w:eastAsia="仿宋" w:cs="仿宋"/>
          <w:sz w:val="21"/>
          <w:szCs w:val="21"/>
        </w:rPr>
        <w:t>3.2 合同价款的支付</w:t>
      </w:r>
      <w:r>
        <w:rPr>
          <w:rFonts w:hint="eastAsia" w:ascii="仿宋" w:hAnsi="仿宋" w:eastAsia="仿宋" w:cs="仿宋"/>
          <w:sz w:val="21"/>
          <w:szCs w:val="21"/>
          <w:lang w:eastAsia="zh-CN"/>
        </w:rPr>
        <w:t>：具体由甲乙双方协商确定。</w:t>
      </w:r>
    </w:p>
    <w:p w14:paraId="0FD1C8A1">
      <w:pPr>
        <w:pStyle w:val="4"/>
        <w:pageBreakBefore w:val="0"/>
        <w:widowControl w:val="0"/>
        <w:kinsoku/>
        <w:wordWrap/>
        <w:overflowPunct/>
        <w:topLinePunct w:val="0"/>
        <w:autoSpaceDE/>
        <w:autoSpaceDN/>
        <w:bidi w:val="0"/>
        <w:adjustRightInd/>
        <w:snapToGrid/>
        <w:spacing w:line="400" w:lineRule="exact"/>
        <w:ind w:right="21"/>
        <w:textAlignment w:val="auto"/>
        <w:rPr>
          <w:rFonts w:hint="eastAsia" w:ascii="仿宋" w:hAnsi="仿宋" w:eastAsia="仿宋" w:cs="仿宋"/>
          <w:sz w:val="21"/>
          <w:szCs w:val="21"/>
        </w:rPr>
      </w:pPr>
      <w:bookmarkStart w:id="501" w:name="_bookmark117"/>
      <w:bookmarkEnd w:id="501"/>
      <w:r>
        <w:rPr>
          <w:rFonts w:hint="eastAsia" w:ascii="仿宋" w:hAnsi="仿宋" w:eastAsia="仿宋" w:cs="仿宋"/>
          <w:sz w:val="21"/>
          <w:szCs w:val="21"/>
        </w:rPr>
        <w:t>3.3  买方扣款的权利</w:t>
      </w:r>
    </w:p>
    <w:p w14:paraId="119702DD">
      <w:pPr>
        <w:pStyle w:val="12"/>
        <w:pageBreakBefore w:val="0"/>
        <w:widowControl w:val="0"/>
        <w:kinsoku/>
        <w:wordWrap/>
        <w:overflowPunct/>
        <w:topLinePunct w:val="0"/>
        <w:autoSpaceDE/>
        <w:autoSpaceDN/>
        <w:bidi w:val="0"/>
        <w:adjustRightInd/>
        <w:snapToGrid/>
        <w:spacing w:before="249" w:line="400" w:lineRule="exact"/>
        <w:ind w:left="100" w:right="21" w:firstLine="419"/>
        <w:textAlignment w:val="auto"/>
        <w:rPr>
          <w:rFonts w:hint="eastAsia" w:ascii="仿宋" w:hAnsi="仿宋" w:eastAsia="仿宋" w:cs="仿宋"/>
          <w:sz w:val="21"/>
          <w:szCs w:val="21"/>
        </w:rPr>
      </w:pPr>
      <w:r>
        <w:rPr>
          <w:rFonts w:hint="eastAsia" w:ascii="仿宋" w:hAnsi="仿宋" w:eastAsia="仿宋" w:cs="仿宋"/>
          <w:sz w:val="21"/>
          <w:szCs w:val="21"/>
        </w:rPr>
        <w:t>当卖方应向买方支付合同项下的违约金或赔偿金时，买方有权从上述任何一笔应付款中予以直接扣除和（或）兑付履约保证金。</w:t>
      </w:r>
    </w:p>
    <w:p w14:paraId="5D8D54E8">
      <w:pPr>
        <w:pStyle w:val="3"/>
        <w:pageBreakBefore w:val="0"/>
        <w:widowControl w:val="0"/>
        <w:kinsoku/>
        <w:wordWrap/>
        <w:overflowPunct/>
        <w:topLinePunct w:val="0"/>
        <w:autoSpaceDE/>
        <w:autoSpaceDN/>
        <w:bidi w:val="0"/>
        <w:adjustRightInd/>
        <w:snapToGrid/>
        <w:spacing w:before="174" w:line="400" w:lineRule="exact"/>
        <w:ind w:left="237" w:right="21"/>
        <w:textAlignment w:val="auto"/>
        <w:rPr>
          <w:rFonts w:hint="eastAsia" w:ascii="仿宋" w:hAnsi="仿宋" w:eastAsia="仿宋" w:cs="仿宋"/>
          <w:b/>
          <w:sz w:val="21"/>
          <w:szCs w:val="21"/>
        </w:rPr>
      </w:pPr>
      <w:bookmarkStart w:id="502" w:name="_bookmark118"/>
      <w:bookmarkEnd w:id="502"/>
      <w:r>
        <w:rPr>
          <w:rFonts w:hint="eastAsia" w:ascii="仿宋" w:hAnsi="仿宋" w:eastAsia="仿宋" w:cs="仿宋"/>
          <w:sz w:val="21"/>
          <w:szCs w:val="21"/>
        </w:rPr>
        <w:t>4.  监造及交货前检验</w:t>
      </w:r>
    </w:p>
    <w:p w14:paraId="5CB063EA">
      <w:pPr>
        <w:pStyle w:val="4"/>
        <w:pageBreakBefore w:val="0"/>
        <w:widowControl w:val="0"/>
        <w:kinsoku/>
        <w:wordWrap/>
        <w:overflowPunct/>
        <w:topLinePunct w:val="0"/>
        <w:autoSpaceDE/>
        <w:autoSpaceDN/>
        <w:bidi w:val="0"/>
        <w:adjustRightInd/>
        <w:snapToGrid/>
        <w:spacing w:line="400" w:lineRule="exact"/>
        <w:ind w:right="21"/>
        <w:textAlignment w:val="auto"/>
        <w:rPr>
          <w:rFonts w:hint="eastAsia" w:ascii="仿宋" w:hAnsi="仿宋" w:eastAsia="仿宋" w:cs="仿宋"/>
          <w:sz w:val="21"/>
          <w:szCs w:val="21"/>
        </w:rPr>
      </w:pPr>
      <w:bookmarkStart w:id="503" w:name="_bookmark119"/>
      <w:bookmarkEnd w:id="503"/>
      <w:r>
        <w:rPr>
          <w:rFonts w:hint="eastAsia" w:ascii="仿宋" w:hAnsi="仿宋" w:eastAsia="仿宋" w:cs="仿宋"/>
          <w:sz w:val="21"/>
          <w:szCs w:val="21"/>
        </w:rPr>
        <w:t>4.1</w:t>
      </w:r>
      <w:r>
        <w:rPr>
          <w:rFonts w:hint="eastAsia" w:ascii="仿宋" w:hAnsi="仿宋" w:eastAsia="仿宋" w:cs="仿宋"/>
          <w:spacing w:val="69"/>
          <w:sz w:val="21"/>
          <w:szCs w:val="21"/>
        </w:rPr>
        <w:t xml:space="preserve"> </w:t>
      </w:r>
      <w:r>
        <w:rPr>
          <w:rFonts w:hint="eastAsia" w:ascii="仿宋" w:hAnsi="仿宋" w:eastAsia="仿宋" w:cs="仿宋"/>
          <w:sz w:val="21"/>
          <w:szCs w:val="21"/>
        </w:rPr>
        <w:t>监造</w:t>
      </w:r>
    </w:p>
    <w:p w14:paraId="2A71D91D">
      <w:pPr>
        <w:pStyle w:val="12"/>
        <w:pageBreakBefore w:val="0"/>
        <w:widowControl w:val="0"/>
        <w:kinsoku/>
        <w:wordWrap/>
        <w:overflowPunct/>
        <w:topLinePunct w:val="0"/>
        <w:autoSpaceDE/>
        <w:autoSpaceDN/>
        <w:bidi w:val="0"/>
        <w:adjustRightInd/>
        <w:snapToGrid/>
        <w:spacing w:before="248"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专用合同条款约定买方对合同设备进行监造的，双方应按本款及专用合同条款约定履行。</w:t>
      </w:r>
    </w:p>
    <w:p w14:paraId="78E1631F">
      <w:pPr>
        <w:pStyle w:val="12"/>
        <w:pageBreakBefore w:val="0"/>
        <w:widowControl w:val="0"/>
        <w:kinsoku/>
        <w:wordWrap/>
        <w:overflowPunct/>
        <w:topLinePunct w:val="0"/>
        <w:autoSpaceDE/>
        <w:autoSpaceDN/>
        <w:bidi w:val="0"/>
        <w:adjustRightInd/>
        <w:snapToGrid/>
        <w:spacing w:before="133" w:line="400" w:lineRule="exact"/>
        <w:ind w:left="100" w:right="21" w:firstLine="419"/>
        <w:textAlignment w:val="auto"/>
        <w:rPr>
          <w:rFonts w:hint="eastAsia" w:ascii="仿宋" w:hAnsi="仿宋" w:eastAsia="仿宋" w:cs="仿宋"/>
          <w:sz w:val="21"/>
          <w:szCs w:val="21"/>
        </w:rPr>
      </w:pPr>
      <w:r>
        <w:rPr>
          <w:rFonts w:hint="eastAsia" w:ascii="仿宋" w:hAnsi="仿宋" w:eastAsia="仿宋" w:cs="仿宋"/>
          <w:sz w:val="21"/>
          <w:szCs w:val="21"/>
        </w:rPr>
        <w:t>4.1.1 在合同设备的制造过程中，买方可派出监造人员，对合同设备的生产制造进行监造， 监督合同设备制造、检验等情况。监造的范围、方式等应符合专用合同条款和（或）供货要求等合同文件的约定。</w:t>
      </w:r>
    </w:p>
    <w:p w14:paraId="4AA65089">
      <w:pPr>
        <w:pStyle w:val="12"/>
        <w:pageBreakBefore w:val="0"/>
        <w:widowControl w:val="0"/>
        <w:kinsoku/>
        <w:wordWrap/>
        <w:overflowPunct/>
        <w:topLinePunct w:val="0"/>
        <w:autoSpaceDE/>
        <w:autoSpaceDN/>
        <w:bidi w:val="0"/>
        <w:adjustRightInd/>
        <w:snapToGrid/>
        <w:spacing w:before="133" w:line="400" w:lineRule="exact"/>
        <w:ind w:left="100" w:right="113"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4.1.2 </w:t>
      </w:r>
      <w:r>
        <w:rPr>
          <w:rFonts w:hint="eastAsia" w:ascii="仿宋" w:hAnsi="仿宋" w:eastAsia="仿宋" w:cs="仿宋"/>
          <w:spacing w:val="-4"/>
          <w:sz w:val="21"/>
          <w:szCs w:val="21"/>
        </w:rPr>
        <w:t xml:space="preserve">除专用合同条款和（或）供货要求等合同文件另有约定外，买方监造人员可到合同设 </w:t>
      </w:r>
      <w:r>
        <w:rPr>
          <w:rFonts w:hint="eastAsia" w:ascii="仿宋" w:hAnsi="仿宋" w:eastAsia="仿宋" w:cs="仿宋"/>
          <w:spacing w:val="-1"/>
          <w:sz w:val="21"/>
          <w:szCs w:val="21"/>
        </w:rPr>
        <w:t xml:space="preserve">备及其关键部件的生产制造现场进行监造，卖方应予配合。卖方应免费为买方监造人员提供工作条件及便利，包括但不限于必要的办公场所、技术资料、检测工具及出入许可等。除专用合 </w:t>
      </w:r>
      <w:r>
        <w:rPr>
          <w:rFonts w:hint="eastAsia" w:ascii="仿宋" w:hAnsi="仿宋" w:eastAsia="仿宋" w:cs="仿宋"/>
          <w:sz w:val="21"/>
          <w:szCs w:val="21"/>
        </w:rPr>
        <w:t>同条款另有约定外，买方监造人员的交通、食宿费用由买方承担。</w:t>
      </w:r>
    </w:p>
    <w:p w14:paraId="58A75B6A">
      <w:pPr>
        <w:pStyle w:val="12"/>
        <w:pageBreakBefore w:val="0"/>
        <w:widowControl w:val="0"/>
        <w:kinsoku/>
        <w:wordWrap/>
        <w:overflowPunct/>
        <w:topLinePunct w:val="0"/>
        <w:autoSpaceDE/>
        <w:autoSpaceDN/>
        <w:bidi w:val="0"/>
        <w:adjustRightInd/>
        <w:snapToGrid/>
        <w:spacing w:before="36" w:line="400" w:lineRule="exact"/>
        <w:ind w:left="100" w:right="1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4.1.3 </w:t>
      </w:r>
      <w:r>
        <w:rPr>
          <w:rFonts w:hint="eastAsia" w:ascii="仿宋" w:hAnsi="仿宋" w:eastAsia="仿宋" w:cs="仿宋"/>
          <w:spacing w:val="-4"/>
          <w:sz w:val="21"/>
          <w:szCs w:val="21"/>
        </w:rPr>
        <w:t xml:space="preserve">卖方制订生产制造合同设备的进度计划时，应将买方监造纳入计划安排，并提前通知 </w:t>
      </w:r>
      <w:r>
        <w:rPr>
          <w:rFonts w:hint="eastAsia" w:ascii="仿宋" w:hAnsi="仿宋" w:eastAsia="仿宋" w:cs="仿宋"/>
          <w:spacing w:val="-1"/>
          <w:sz w:val="21"/>
          <w:szCs w:val="21"/>
        </w:rPr>
        <w:t xml:space="preserve">买方；买方进行监造不应影响合同设备的正常生产。除专用合同条款和（或）供货要求等合同 </w:t>
      </w:r>
      <w:r>
        <w:rPr>
          <w:rFonts w:hint="eastAsia" w:ascii="仿宋" w:hAnsi="仿宋" w:eastAsia="仿宋" w:cs="仿宋"/>
          <w:sz w:val="21"/>
          <w:szCs w:val="21"/>
        </w:rPr>
        <w:t>文件另有约定外，卖方应提前 7</w:t>
      </w:r>
      <w:r>
        <w:rPr>
          <w:rFonts w:hint="eastAsia" w:ascii="仿宋" w:hAnsi="仿宋" w:eastAsia="仿宋" w:cs="仿宋"/>
          <w:spacing w:val="-29"/>
          <w:sz w:val="21"/>
          <w:szCs w:val="21"/>
        </w:rPr>
        <w:t xml:space="preserve"> </w:t>
      </w:r>
      <w:r>
        <w:rPr>
          <w:rFonts w:hint="eastAsia" w:ascii="仿宋" w:hAnsi="仿宋" w:eastAsia="仿宋" w:cs="仿宋"/>
          <w:sz w:val="21"/>
          <w:szCs w:val="21"/>
        </w:rPr>
        <w:t xml:space="preserve">日将需要买方监造人员现场监造事项通知买方；如买方监造人 </w:t>
      </w:r>
      <w:r>
        <w:rPr>
          <w:rFonts w:hint="eastAsia" w:ascii="仿宋" w:hAnsi="仿宋" w:eastAsia="仿宋" w:cs="仿宋"/>
          <w:w w:val="100"/>
          <w:sz w:val="21"/>
          <w:szCs w:val="21"/>
        </w:rPr>
        <w:t>员未</w:t>
      </w:r>
      <w:r>
        <w:rPr>
          <w:rFonts w:hint="eastAsia" w:ascii="仿宋" w:hAnsi="仿宋" w:eastAsia="仿宋" w:cs="仿宋"/>
          <w:spacing w:val="-3"/>
          <w:w w:val="100"/>
          <w:sz w:val="21"/>
          <w:szCs w:val="21"/>
        </w:rPr>
        <w:t>按</w:t>
      </w:r>
      <w:r>
        <w:rPr>
          <w:rFonts w:hint="eastAsia" w:ascii="仿宋" w:hAnsi="仿宋" w:eastAsia="仿宋" w:cs="仿宋"/>
          <w:w w:val="100"/>
          <w:sz w:val="21"/>
          <w:szCs w:val="21"/>
        </w:rPr>
        <w:t>通</w:t>
      </w:r>
      <w:r>
        <w:rPr>
          <w:rFonts w:hint="eastAsia" w:ascii="仿宋" w:hAnsi="仿宋" w:eastAsia="仿宋" w:cs="仿宋"/>
          <w:spacing w:val="-3"/>
          <w:w w:val="100"/>
          <w:sz w:val="21"/>
          <w:szCs w:val="21"/>
        </w:rPr>
        <w:t>知</w:t>
      </w:r>
      <w:r>
        <w:rPr>
          <w:rFonts w:hint="eastAsia" w:ascii="仿宋" w:hAnsi="仿宋" w:eastAsia="仿宋" w:cs="仿宋"/>
          <w:w w:val="100"/>
          <w:sz w:val="21"/>
          <w:szCs w:val="21"/>
        </w:rPr>
        <w:t>出席</w:t>
      </w:r>
      <w:r>
        <w:rPr>
          <w:rFonts w:hint="eastAsia" w:ascii="仿宋" w:hAnsi="仿宋" w:eastAsia="仿宋" w:cs="仿宋"/>
          <w:spacing w:val="-94"/>
          <w:w w:val="100"/>
          <w:sz w:val="21"/>
          <w:szCs w:val="21"/>
        </w:rPr>
        <w:t>，</w:t>
      </w:r>
      <w:r>
        <w:rPr>
          <w:rFonts w:hint="eastAsia" w:ascii="仿宋" w:hAnsi="仿宋" w:eastAsia="仿宋" w:cs="仿宋"/>
          <w:w w:val="100"/>
          <w:sz w:val="21"/>
          <w:szCs w:val="21"/>
        </w:rPr>
        <w:t>不</w:t>
      </w:r>
      <w:r>
        <w:rPr>
          <w:rFonts w:hint="eastAsia" w:ascii="仿宋" w:hAnsi="仿宋" w:eastAsia="仿宋" w:cs="仿宋"/>
          <w:spacing w:val="-3"/>
          <w:w w:val="100"/>
          <w:sz w:val="21"/>
          <w:szCs w:val="21"/>
        </w:rPr>
        <w:t>影</w:t>
      </w:r>
      <w:r>
        <w:rPr>
          <w:rFonts w:hint="eastAsia" w:ascii="仿宋" w:hAnsi="仿宋" w:eastAsia="仿宋" w:cs="仿宋"/>
          <w:w w:val="100"/>
          <w:sz w:val="21"/>
          <w:szCs w:val="21"/>
        </w:rPr>
        <w:t>响</w:t>
      </w:r>
      <w:r>
        <w:rPr>
          <w:rFonts w:hint="eastAsia" w:ascii="仿宋" w:hAnsi="仿宋" w:eastAsia="仿宋" w:cs="仿宋"/>
          <w:spacing w:val="-3"/>
          <w:w w:val="100"/>
          <w:sz w:val="21"/>
          <w:szCs w:val="21"/>
        </w:rPr>
        <w:t>合</w:t>
      </w:r>
      <w:r>
        <w:rPr>
          <w:rFonts w:hint="eastAsia" w:ascii="仿宋" w:hAnsi="仿宋" w:eastAsia="仿宋" w:cs="仿宋"/>
          <w:w w:val="100"/>
          <w:sz w:val="21"/>
          <w:szCs w:val="21"/>
        </w:rPr>
        <w:t>同设</w:t>
      </w:r>
      <w:r>
        <w:rPr>
          <w:rFonts w:hint="eastAsia" w:ascii="仿宋" w:hAnsi="仿宋" w:eastAsia="仿宋" w:cs="仿宋"/>
          <w:spacing w:val="-3"/>
          <w:w w:val="100"/>
          <w:sz w:val="21"/>
          <w:szCs w:val="21"/>
        </w:rPr>
        <w:t>备</w:t>
      </w:r>
      <w:r>
        <w:rPr>
          <w:rFonts w:hint="eastAsia" w:ascii="仿宋" w:hAnsi="仿宋" w:eastAsia="仿宋" w:cs="仿宋"/>
          <w:w w:val="100"/>
          <w:sz w:val="21"/>
          <w:szCs w:val="21"/>
        </w:rPr>
        <w:t>及</w:t>
      </w:r>
      <w:r>
        <w:rPr>
          <w:rFonts w:hint="eastAsia" w:ascii="仿宋" w:hAnsi="仿宋" w:eastAsia="仿宋" w:cs="仿宋"/>
          <w:spacing w:val="-3"/>
          <w:w w:val="100"/>
          <w:sz w:val="21"/>
          <w:szCs w:val="21"/>
        </w:rPr>
        <w:t>其</w:t>
      </w:r>
      <w:r>
        <w:rPr>
          <w:rFonts w:hint="eastAsia" w:ascii="仿宋" w:hAnsi="仿宋" w:eastAsia="仿宋" w:cs="仿宋"/>
          <w:w w:val="100"/>
          <w:sz w:val="21"/>
          <w:szCs w:val="21"/>
        </w:rPr>
        <w:t>关</w:t>
      </w:r>
      <w:r>
        <w:rPr>
          <w:rFonts w:hint="eastAsia" w:ascii="仿宋" w:hAnsi="仿宋" w:eastAsia="仿宋" w:cs="仿宋"/>
          <w:spacing w:val="-3"/>
          <w:w w:val="100"/>
          <w:sz w:val="21"/>
          <w:szCs w:val="21"/>
        </w:rPr>
        <w:t>键</w:t>
      </w:r>
      <w:r>
        <w:rPr>
          <w:rFonts w:hint="eastAsia" w:ascii="仿宋" w:hAnsi="仿宋" w:eastAsia="仿宋" w:cs="仿宋"/>
          <w:w w:val="100"/>
          <w:sz w:val="21"/>
          <w:szCs w:val="21"/>
        </w:rPr>
        <w:t>部</w:t>
      </w:r>
      <w:r>
        <w:rPr>
          <w:rFonts w:hint="eastAsia" w:ascii="仿宋" w:hAnsi="仿宋" w:eastAsia="仿宋" w:cs="仿宋"/>
          <w:spacing w:val="-3"/>
          <w:w w:val="100"/>
          <w:sz w:val="21"/>
          <w:szCs w:val="21"/>
        </w:rPr>
        <w:t>件</w:t>
      </w:r>
      <w:r>
        <w:rPr>
          <w:rFonts w:hint="eastAsia" w:ascii="仿宋" w:hAnsi="仿宋" w:eastAsia="仿宋" w:cs="仿宋"/>
          <w:w w:val="100"/>
          <w:sz w:val="21"/>
          <w:szCs w:val="21"/>
        </w:rPr>
        <w:t>的</w:t>
      </w:r>
      <w:r>
        <w:rPr>
          <w:rFonts w:hint="eastAsia" w:ascii="仿宋" w:hAnsi="仿宋" w:eastAsia="仿宋" w:cs="仿宋"/>
          <w:spacing w:val="-3"/>
          <w:w w:val="100"/>
          <w:sz w:val="21"/>
          <w:szCs w:val="21"/>
        </w:rPr>
        <w:t>制</w:t>
      </w:r>
      <w:r>
        <w:rPr>
          <w:rFonts w:hint="eastAsia" w:ascii="仿宋" w:hAnsi="仿宋" w:eastAsia="仿宋" w:cs="仿宋"/>
          <w:w w:val="100"/>
          <w:sz w:val="21"/>
          <w:szCs w:val="21"/>
        </w:rPr>
        <w:t>造或</w:t>
      </w:r>
      <w:r>
        <w:rPr>
          <w:rFonts w:hint="eastAsia" w:ascii="仿宋" w:hAnsi="仿宋" w:eastAsia="仿宋" w:cs="仿宋"/>
          <w:spacing w:val="-3"/>
          <w:w w:val="100"/>
          <w:sz w:val="21"/>
          <w:szCs w:val="21"/>
        </w:rPr>
        <w:t>检</w:t>
      </w:r>
      <w:r>
        <w:rPr>
          <w:rFonts w:hint="eastAsia" w:ascii="仿宋" w:hAnsi="仿宋" w:eastAsia="仿宋" w:cs="仿宋"/>
          <w:w w:val="100"/>
          <w:sz w:val="21"/>
          <w:szCs w:val="21"/>
        </w:rPr>
        <w:t>验</w:t>
      </w:r>
      <w:r>
        <w:rPr>
          <w:rFonts w:hint="eastAsia" w:ascii="仿宋" w:hAnsi="仿宋" w:eastAsia="仿宋" w:cs="仿宋"/>
          <w:spacing w:val="-92"/>
          <w:w w:val="100"/>
          <w:sz w:val="21"/>
          <w:szCs w:val="21"/>
        </w:rPr>
        <w:t>，</w:t>
      </w:r>
      <w:r>
        <w:rPr>
          <w:rFonts w:hint="eastAsia" w:ascii="仿宋" w:hAnsi="仿宋" w:eastAsia="仿宋" w:cs="仿宋"/>
          <w:spacing w:val="-3"/>
          <w:w w:val="100"/>
          <w:sz w:val="21"/>
          <w:szCs w:val="21"/>
        </w:rPr>
        <w:t>但</w:t>
      </w:r>
      <w:r>
        <w:rPr>
          <w:rFonts w:hint="eastAsia" w:ascii="仿宋" w:hAnsi="仿宋" w:eastAsia="仿宋" w:cs="仿宋"/>
          <w:w w:val="100"/>
          <w:sz w:val="21"/>
          <w:szCs w:val="21"/>
        </w:rPr>
        <w:t>买</w:t>
      </w:r>
      <w:r>
        <w:rPr>
          <w:rFonts w:hint="eastAsia" w:ascii="仿宋" w:hAnsi="仿宋" w:eastAsia="仿宋" w:cs="仿宋"/>
          <w:spacing w:val="-3"/>
          <w:w w:val="100"/>
          <w:sz w:val="21"/>
          <w:szCs w:val="21"/>
        </w:rPr>
        <w:t>方</w:t>
      </w:r>
      <w:r>
        <w:rPr>
          <w:rFonts w:hint="eastAsia" w:ascii="仿宋" w:hAnsi="仿宋" w:eastAsia="仿宋" w:cs="仿宋"/>
          <w:w w:val="100"/>
          <w:sz w:val="21"/>
          <w:szCs w:val="21"/>
        </w:rPr>
        <w:t>监</w:t>
      </w:r>
      <w:r>
        <w:rPr>
          <w:rFonts w:hint="eastAsia" w:ascii="仿宋" w:hAnsi="仿宋" w:eastAsia="仿宋" w:cs="仿宋"/>
          <w:spacing w:val="-3"/>
          <w:w w:val="100"/>
          <w:sz w:val="21"/>
          <w:szCs w:val="21"/>
        </w:rPr>
        <w:t>造</w:t>
      </w:r>
      <w:r>
        <w:rPr>
          <w:rFonts w:hint="eastAsia" w:ascii="仿宋" w:hAnsi="仿宋" w:eastAsia="仿宋" w:cs="仿宋"/>
          <w:w w:val="100"/>
          <w:sz w:val="21"/>
          <w:szCs w:val="21"/>
        </w:rPr>
        <w:t>人</w:t>
      </w:r>
      <w:r>
        <w:rPr>
          <w:rFonts w:hint="eastAsia" w:ascii="仿宋" w:hAnsi="仿宋" w:eastAsia="仿宋" w:cs="仿宋"/>
          <w:spacing w:val="-3"/>
          <w:w w:val="100"/>
          <w:sz w:val="21"/>
          <w:szCs w:val="21"/>
        </w:rPr>
        <w:t>员</w:t>
      </w:r>
      <w:r>
        <w:rPr>
          <w:rFonts w:hint="eastAsia" w:ascii="仿宋" w:hAnsi="仿宋" w:eastAsia="仿宋" w:cs="仿宋"/>
          <w:w w:val="100"/>
          <w:sz w:val="21"/>
          <w:szCs w:val="21"/>
        </w:rPr>
        <w:t>有权</w:t>
      </w:r>
      <w:r>
        <w:rPr>
          <w:rFonts w:hint="eastAsia" w:ascii="仿宋" w:hAnsi="仿宋" w:eastAsia="仿宋" w:cs="仿宋"/>
          <w:spacing w:val="-3"/>
          <w:w w:val="100"/>
          <w:sz w:val="21"/>
          <w:szCs w:val="21"/>
        </w:rPr>
        <w:t>事</w:t>
      </w:r>
      <w:r>
        <w:rPr>
          <w:rFonts w:hint="eastAsia" w:ascii="仿宋" w:hAnsi="仿宋" w:eastAsia="仿宋" w:cs="仿宋"/>
          <w:w w:val="100"/>
          <w:sz w:val="21"/>
          <w:szCs w:val="21"/>
        </w:rPr>
        <w:t>后</w:t>
      </w:r>
      <w:r>
        <w:rPr>
          <w:rFonts w:hint="eastAsia" w:ascii="仿宋" w:hAnsi="仿宋" w:eastAsia="仿宋" w:cs="仿宋"/>
          <w:spacing w:val="-3"/>
          <w:w w:val="100"/>
          <w:sz w:val="21"/>
          <w:szCs w:val="21"/>
        </w:rPr>
        <w:t>了解</w:t>
      </w:r>
      <w:r>
        <w:rPr>
          <w:rFonts w:hint="eastAsia" w:ascii="仿宋" w:hAnsi="仿宋" w:eastAsia="仿宋" w:cs="仿宋"/>
          <w:w w:val="100"/>
          <w:sz w:val="21"/>
          <w:szCs w:val="21"/>
        </w:rPr>
        <w:t xml:space="preserve">、 </w:t>
      </w:r>
      <w:r>
        <w:rPr>
          <w:rFonts w:hint="eastAsia" w:ascii="仿宋" w:hAnsi="仿宋" w:eastAsia="仿宋" w:cs="仿宋"/>
          <w:sz w:val="21"/>
          <w:szCs w:val="21"/>
        </w:rPr>
        <w:t>查阅、复制相关制造或检验记录。</w:t>
      </w:r>
    </w:p>
    <w:p w14:paraId="690A687B">
      <w:pPr>
        <w:pStyle w:val="12"/>
        <w:pageBreakBefore w:val="0"/>
        <w:widowControl w:val="0"/>
        <w:kinsoku/>
        <w:wordWrap/>
        <w:overflowPunct/>
        <w:topLinePunct w:val="0"/>
        <w:autoSpaceDE/>
        <w:autoSpaceDN/>
        <w:bidi w:val="0"/>
        <w:adjustRightInd/>
        <w:snapToGrid/>
        <w:spacing w:before="38" w:line="400" w:lineRule="exact"/>
        <w:ind w:left="100" w:right="1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4.1.4 </w:t>
      </w:r>
      <w:r>
        <w:rPr>
          <w:rFonts w:hint="eastAsia" w:ascii="仿宋" w:hAnsi="仿宋" w:eastAsia="仿宋" w:cs="仿宋"/>
          <w:spacing w:val="-4"/>
          <w:sz w:val="21"/>
          <w:szCs w:val="21"/>
        </w:rPr>
        <w:t xml:space="preserve">买方监造人员在监造中如发现合同设备及其关键部件不符合合同约定的标准，则有权 </w:t>
      </w:r>
      <w:r>
        <w:rPr>
          <w:rFonts w:hint="eastAsia" w:ascii="仿宋" w:hAnsi="仿宋" w:eastAsia="仿宋" w:cs="仿宋"/>
          <w:spacing w:val="-1"/>
          <w:sz w:val="21"/>
          <w:szCs w:val="21"/>
        </w:rPr>
        <w:t xml:space="preserve">提出意见和建议。卖方应采取必要措施消除合同设备的不符，由此增加的费用和（或）造成的 </w:t>
      </w:r>
      <w:r>
        <w:rPr>
          <w:rFonts w:hint="eastAsia" w:ascii="仿宋" w:hAnsi="仿宋" w:eastAsia="仿宋" w:cs="仿宋"/>
          <w:sz w:val="21"/>
          <w:szCs w:val="21"/>
        </w:rPr>
        <w:t>延误由卖方负责。</w:t>
      </w:r>
    </w:p>
    <w:p w14:paraId="18F449F0">
      <w:pPr>
        <w:pStyle w:val="12"/>
        <w:pageBreakBefore w:val="0"/>
        <w:widowControl w:val="0"/>
        <w:kinsoku/>
        <w:wordWrap/>
        <w:overflowPunct/>
        <w:topLinePunct w:val="0"/>
        <w:autoSpaceDE/>
        <w:autoSpaceDN/>
        <w:bidi w:val="0"/>
        <w:adjustRightInd/>
        <w:snapToGrid/>
        <w:spacing w:before="38" w:line="400" w:lineRule="exact"/>
        <w:ind w:left="100" w:right="113"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4.1.5 </w:t>
      </w:r>
      <w:r>
        <w:rPr>
          <w:rFonts w:hint="eastAsia" w:ascii="仿宋" w:hAnsi="仿宋" w:eastAsia="仿宋" w:cs="仿宋"/>
          <w:spacing w:val="-4"/>
          <w:sz w:val="21"/>
          <w:szCs w:val="21"/>
        </w:rPr>
        <w:t xml:space="preserve">买方监造人员对合同设备的监造，不视为对合同设备质量的确认，不影响卖方交货后 </w:t>
      </w:r>
      <w:r>
        <w:rPr>
          <w:rFonts w:hint="eastAsia" w:ascii="仿宋" w:hAnsi="仿宋" w:eastAsia="仿宋" w:cs="仿宋"/>
          <w:spacing w:val="-1"/>
          <w:sz w:val="21"/>
          <w:szCs w:val="21"/>
        </w:rPr>
        <w:t xml:space="preserve">买方依照合同约定对合同设备提出质量异议和（或）退货的权利，也不免除卖方依照合同约定 </w:t>
      </w:r>
      <w:r>
        <w:rPr>
          <w:rFonts w:hint="eastAsia" w:ascii="仿宋" w:hAnsi="仿宋" w:eastAsia="仿宋" w:cs="仿宋"/>
          <w:sz w:val="21"/>
          <w:szCs w:val="21"/>
        </w:rPr>
        <w:t>对合同设备所应承担的任何义务或责任。</w:t>
      </w:r>
    </w:p>
    <w:p w14:paraId="032815B3">
      <w:pPr>
        <w:pStyle w:val="4"/>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bookmarkStart w:id="504" w:name="_bookmark120"/>
      <w:bookmarkEnd w:id="504"/>
      <w:r>
        <w:rPr>
          <w:rFonts w:hint="eastAsia" w:ascii="仿宋" w:hAnsi="仿宋" w:eastAsia="仿宋" w:cs="仿宋"/>
          <w:sz w:val="21"/>
          <w:szCs w:val="21"/>
        </w:rPr>
        <w:t>4.2  交货前检验</w:t>
      </w:r>
    </w:p>
    <w:p w14:paraId="36806944">
      <w:pPr>
        <w:pStyle w:val="12"/>
        <w:pageBreakBefore w:val="0"/>
        <w:widowControl w:val="0"/>
        <w:kinsoku/>
        <w:wordWrap/>
        <w:overflowPunct/>
        <w:topLinePunct w:val="0"/>
        <w:autoSpaceDE/>
        <w:autoSpaceDN/>
        <w:bidi w:val="0"/>
        <w:adjustRightInd/>
        <w:snapToGrid/>
        <w:spacing w:before="248" w:line="400" w:lineRule="exact"/>
        <w:ind w:left="520" w:right="102"/>
        <w:textAlignment w:val="auto"/>
        <w:rPr>
          <w:rFonts w:hint="eastAsia" w:ascii="仿宋" w:hAnsi="仿宋" w:eastAsia="仿宋" w:cs="仿宋"/>
          <w:sz w:val="21"/>
          <w:szCs w:val="21"/>
        </w:rPr>
      </w:pPr>
      <w:r>
        <w:rPr>
          <w:rFonts w:hint="eastAsia" w:ascii="仿宋" w:hAnsi="仿宋" w:eastAsia="仿宋" w:cs="仿宋"/>
          <w:sz w:val="21"/>
          <w:szCs w:val="21"/>
        </w:rPr>
        <w:t>专用合同条款约定买方参与交货前检验的，双方应按本款及专用合同条款约定履行。</w:t>
      </w:r>
    </w:p>
    <w:p w14:paraId="2355DE0F">
      <w:pPr>
        <w:pStyle w:val="12"/>
        <w:pageBreakBefore w:val="0"/>
        <w:widowControl w:val="0"/>
        <w:kinsoku/>
        <w:wordWrap/>
        <w:overflowPunct/>
        <w:topLinePunct w:val="0"/>
        <w:autoSpaceDE/>
        <w:autoSpaceDN/>
        <w:bidi w:val="0"/>
        <w:adjustRightInd/>
        <w:snapToGrid/>
        <w:spacing w:before="135" w:line="400" w:lineRule="exact"/>
        <w:ind w:left="100" w:right="1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4.2.1 </w:t>
      </w:r>
      <w:r>
        <w:rPr>
          <w:rFonts w:hint="eastAsia" w:ascii="仿宋" w:hAnsi="仿宋" w:eastAsia="仿宋" w:cs="仿宋"/>
          <w:spacing w:val="-4"/>
          <w:sz w:val="21"/>
          <w:szCs w:val="21"/>
        </w:rPr>
        <w:t>合同设备交货前，卖方应会同买方代表根据合同约定对合同设备进行交货前检验并出</w:t>
      </w:r>
      <w:r>
        <w:rPr>
          <w:rFonts w:hint="eastAsia" w:ascii="仿宋" w:hAnsi="仿宋" w:eastAsia="仿宋" w:cs="仿宋"/>
          <w:spacing w:val="-1"/>
          <w:sz w:val="21"/>
          <w:szCs w:val="21"/>
        </w:rPr>
        <w:t xml:space="preserve">具交货前检验记录，有关费用由卖方承担。卖方应免费为买方代表提供工作条件及便利，包括 但不限于必要的办公场所、技术资料、检测工具及出入许可等。除专用合同条款另有约定外， </w:t>
      </w:r>
      <w:r>
        <w:rPr>
          <w:rFonts w:hint="eastAsia" w:ascii="仿宋" w:hAnsi="仿宋" w:eastAsia="仿宋" w:cs="仿宋"/>
          <w:sz w:val="21"/>
          <w:szCs w:val="21"/>
        </w:rPr>
        <w:t>买方代表的交通、食宿费用由买方承担。</w:t>
      </w:r>
    </w:p>
    <w:p w14:paraId="10030B87">
      <w:pPr>
        <w:pStyle w:val="12"/>
        <w:pageBreakBefore w:val="0"/>
        <w:widowControl w:val="0"/>
        <w:kinsoku/>
        <w:wordWrap/>
        <w:overflowPunct/>
        <w:topLinePunct w:val="0"/>
        <w:autoSpaceDE/>
        <w:autoSpaceDN/>
        <w:bidi w:val="0"/>
        <w:adjustRightInd/>
        <w:snapToGrid/>
        <w:spacing w:before="36" w:line="400" w:lineRule="exact"/>
        <w:ind w:left="100" w:right="114"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4.2.2 </w:t>
      </w:r>
      <w:r>
        <w:rPr>
          <w:rFonts w:hint="eastAsia" w:ascii="仿宋" w:hAnsi="仿宋" w:eastAsia="仿宋" w:cs="仿宋"/>
          <w:spacing w:val="-4"/>
          <w:sz w:val="21"/>
          <w:szCs w:val="21"/>
        </w:rPr>
        <w:t>除专用合同条款和（或）供货要求等合同文件另有约定外，卖方应提前</w:t>
      </w:r>
      <w:r>
        <w:rPr>
          <w:rFonts w:hint="eastAsia" w:ascii="仿宋" w:hAnsi="仿宋" w:eastAsia="仿宋" w:cs="仿宋"/>
          <w:spacing w:val="-4"/>
          <w:sz w:val="21"/>
          <w:szCs w:val="21"/>
          <w:lang w:val="en-US" w:eastAsia="zh-CN"/>
        </w:rPr>
        <w:t>7</w:t>
      </w:r>
      <w:r>
        <w:rPr>
          <w:rFonts w:hint="eastAsia" w:ascii="仿宋" w:hAnsi="仿宋" w:eastAsia="仿宋" w:cs="仿宋"/>
          <w:sz w:val="21"/>
          <w:szCs w:val="21"/>
        </w:rPr>
        <w:t>日将需要买</w:t>
      </w:r>
      <w:r>
        <w:rPr>
          <w:rFonts w:hint="eastAsia" w:ascii="仿宋" w:hAnsi="仿宋" w:eastAsia="仿宋" w:cs="仿宋"/>
          <w:spacing w:val="-1"/>
          <w:sz w:val="21"/>
          <w:szCs w:val="21"/>
        </w:rPr>
        <w:t xml:space="preserve">方代表检验事项通知买方；如买方代表未按通知出席，不影响合同设备的检验。若卖方未依照合同约定提前通知买方而自行检验，则买方有权要求卖方暂停发货并重新进行检验，由此增加 </w:t>
      </w:r>
      <w:r>
        <w:rPr>
          <w:rFonts w:hint="eastAsia" w:ascii="仿宋" w:hAnsi="仿宋" w:eastAsia="仿宋" w:cs="仿宋"/>
          <w:sz w:val="21"/>
          <w:szCs w:val="21"/>
        </w:rPr>
        <w:t>的费用和（或）造成的延误由卖方负责。</w:t>
      </w:r>
    </w:p>
    <w:p w14:paraId="5FFBA472">
      <w:pPr>
        <w:pStyle w:val="12"/>
        <w:pageBreakBefore w:val="0"/>
        <w:widowControl w:val="0"/>
        <w:kinsoku/>
        <w:wordWrap/>
        <w:overflowPunct/>
        <w:topLinePunct w:val="0"/>
        <w:autoSpaceDE/>
        <w:autoSpaceDN/>
        <w:bidi w:val="0"/>
        <w:adjustRightInd/>
        <w:snapToGrid/>
        <w:spacing w:before="36" w:line="400" w:lineRule="exact"/>
        <w:ind w:left="100" w:right="113"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4.2.3 </w:t>
      </w:r>
      <w:r>
        <w:rPr>
          <w:rFonts w:hint="eastAsia" w:ascii="仿宋" w:hAnsi="仿宋" w:eastAsia="仿宋" w:cs="仿宋"/>
          <w:spacing w:val="-4"/>
          <w:sz w:val="21"/>
          <w:szCs w:val="21"/>
        </w:rPr>
        <w:t xml:space="preserve">买方代表在检验中如发现合同设备不符合合同约定的标准，则有权提出异议。卖方应 </w:t>
      </w:r>
      <w:r>
        <w:rPr>
          <w:rFonts w:hint="eastAsia" w:ascii="仿宋" w:hAnsi="仿宋" w:eastAsia="仿宋" w:cs="仿宋"/>
          <w:sz w:val="21"/>
          <w:szCs w:val="21"/>
        </w:rPr>
        <w:t>采取必要措施消除合同设备的不符，由此增加的费用和（或）造成的延误由卖方负责。</w:t>
      </w:r>
    </w:p>
    <w:p w14:paraId="24633EFA">
      <w:pPr>
        <w:pStyle w:val="12"/>
        <w:pageBreakBefore w:val="0"/>
        <w:widowControl w:val="0"/>
        <w:kinsoku/>
        <w:wordWrap/>
        <w:overflowPunct/>
        <w:topLinePunct w:val="0"/>
        <w:autoSpaceDE/>
        <w:autoSpaceDN/>
        <w:bidi w:val="0"/>
        <w:adjustRightInd/>
        <w:snapToGrid/>
        <w:spacing w:before="47" w:line="400" w:lineRule="exact"/>
        <w:ind w:left="100" w:right="1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4.2.4 </w:t>
      </w:r>
      <w:r>
        <w:rPr>
          <w:rFonts w:hint="eastAsia" w:ascii="仿宋" w:hAnsi="仿宋" w:eastAsia="仿宋" w:cs="仿宋"/>
          <w:spacing w:val="-4"/>
          <w:sz w:val="21"/>
          <w:szCs w:val="21"/>
        </w:rPr>
        <w:t>买方代表参与交货前检验及签署交货前检验记录的行为，不视为对合同设备质量的确</w:t>
      </w:r>
      <w:r>
        <w:rPr>
          <w:rFonts w:hint="eastAsia" w:ascii="仿宋" w:hAnsi="仿宋" w:eastAsia="仿宋" w:cs="仿宋"/>
          <w:spacing w:val="-1"/>
          <w:sz w:val="21"/>
          <w:szCs w:val="21"/>
        </w:rPr>
        <w:t>认</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不影响卖方交货后买方依照合同约定对合同设备提出质量异议和（或）退货的权利，也不</w:t>
      </w:r>
    </w:p>
    <w:p w14:paraId="4D7ABC3E">
      <w:pPr>
        <w:pStyle w:val="12"/>
        <w:pageBreakBefore w:val="0"/>
        <w:widowControl w:val="0"/>
        <w:kinsoku/>
        <w:wordWrap/>
        <w:overflowPunct/>
        <w:topLinePunct w:val="0"/>
        <w:autoSpaceDE/>
        <w:autoSpaceDN/>
        <w:bidi w:val="0"/>
        <w:adjustRightInd/>
        <w:snapToGrid/>
        <w:spacing w:before="6" w:line="400" w:lineRule="exact"/>
        <w:ind w:left="100" w:right="21"/>
        <w:textAlignment w:val="auto"/>
        <w:rPr>
          <w:rFonts w:hint="eastAsia" w:ascii="仿宋" w:hAnsi="仿宋" w:eastAsia="仿宋" w:cs="仿宋"/>
          <w:sz w:val="21"/>
          <w:szCs w:val="21"/>
        </w:rPr>
      </w:pPr>
      <w:r>
        <w:rPr>
          <w:rFonts w:hint="eastAsia" w:ascii="仿宋" w:hAnsi="仿宋" w:eastAsia="仿宋" w:cs="仿宋"/>
          <w:sz w:val="21"/>
          <w:szCs w:val="21"/>
        </w:rPr>
        <w:t>免除卖方依照合同约定对合同设备所应承担的任何义务或责任。</w:t>
      </w:r>
    </w:p>
    <w:p w14:paraId="722F63EC">
      <w:pPr>
        <w:pStyle w:val="3"/>
        <w:pageBreakBefore w:val="0"/>
        <w:widowControl w:val="0"/>
        <w:kinsoku/>
        <w:wordWrap/>
        <w:overflowPunct/>
        <w:topLinePunct w:val="0"/>
        <w:autoSpaceDE/>
        <w:autoSpaceDN/>
        <w:bidi w:val="0"/>
        <w:adjustRightInd/>
        <w:snapToGrid/>
        <w:spacing w:line="400" w:lineRule="exact"/>
        <w:ind w:right="21"/>
        <w:textAlignment w:val="auto"/>
        <w:rPr>
          <w:rFonts w:hint="eastAsia" w:ascii="仿宋" w:hAnsi="仿宋" w:eastAsia="仿宋" w:cs="仿宋"/>
          <w:b/>
          <w:sz w:val="21"/>
          <w:szCs w:val="21"/>
        </w:rPr>
      </w:pPr>
      <w:bookmarkStart w:id="505" w:name="_bookmark121"/>
      <w:bookmarkEnd w:id="505"/>
      <w:r>
        <w:rPr>
          <w:rFonts w:hint="eastAsia" w:ascii="仿宋" w:hAnsi="仿宋" w:eastAsia="仿宋" w:cs="仿宋"/>
          <w:sz w:val="21"/>
          <w:szCs w:val="21"/>
        </w:rPr>
        <w:t>5.包装、标记、运输和交付</w:t>
      </w:r>
    </w:p>
    <w:p w14:paraId="46D67BEA">
      <w:pPr>
        <w:pStyle w:val="4"/>
        <w:pageBreakBefore w:val="0"/>
        <w:widowControl w:val="0"/>
        <w:kinsoku/>
        <w:wordWrap/>
        <w:overflowPunct/>
        <w:topLinePunct w:val="0"/>
        <w:autoSpaceDE/>
        <w:autoSpaceDN/>
        <w:bidi w:val="0"/>
        <w:adjustRightInd/>
        <w:snapToGrid/>
        <w:spacing w:line="400" w:lineRule="exact"/>
        <w:ind w:right="21"/>
        <w:textAlignment w:val="auto"/>
        <w:rPr>
          <w:rFonts w:hint="eastAsia" w:ascii="仿宋" w:hAnsi="仿宋" w:eastAsia="仿宋" w:cs="仿宋"/>
          <w:sz w:val="21"/>
          <w:szCs w:val="21"/>
        </w:rPr>
      </w:pPr>
      <w:bookmarkStart w:id="506" w:name="_bookmark122"/>
      <w:bookmarkEnd w:id="506"/>
      <w:r>
        <w:rPr>
          <w:rFonts w:hint="eastAsia" w:ascii="仿宋" w:hAnsi="仿宋" w:eastAsia="仿宋" w:cs="仿宋"/>
          <w:sz w:val="21"/>
          <w:szCs w:val="21"/>
        </w:rPr>
        <w:t>5.1</w:t>
      </w:r>
      <w:r>
        <w:rPr>
          <w:rFonts w:hint="eastAsia" w:ascii="仿宋" w:hAnsi="仿宋" w:eastAsia="仿宋" w:cs="仿宋"/>
          <w:spacing w:val="69"/>
          <w:sz w:val="21"/>
          <w:szCs w:val="21"/>
        </w:rPr>
        <w:t xml:space="preserve"> </w:t>
      </w:r>
      <w:r>
        <w:rPr>
          <w:rFonts w:hint="eastAsia" w:ascii="仿宋" w:hAnsi="仿宋" w:eastAsia="仿宋" w:cs="仿宋"/>
          <w:sz w:val="21"/>
          <w:szCs w:val="21"/>
        </w:rPr>
        <w:t>包装</w:t>
      </w:r>
    </w:p>
    <w:p w14:paraId="5F11137E">
      <w:pPr>
        <w:pStyle w:val="12"/>
        <w:pageBreakBefore w:val="0"/>
        <w:widowControl w:val="0"/>
        <w:kinsoku/>
        <w:wordWrap/>
        <w:overflowPunct/>
        <w:topLinePunct w:val="0"/>
        <w:autoSpaceDE/>
        <w:autoSpaceDN/>
        <w:bidi w:val="0"/>
        <w:adjustRightInd/>
        <w:snapToGrid/>
        <w:spacing w:before="246" w:line="400" w:lineRule="exact"/>
        <w:ind w:left="100" w:right="2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5.1.1 </w:t>
      </w:r>
      <w:r>
        <w:rPr>
          <w:rFonts w:hint="eastAsia" w:ascii="仿宋" w:hAnsi="仿宋" w:eastAsia="仿宋" w:cs="仿宋"/>
          <w:spacing w:val="-4"/>
          <w:sz w:val="21"/>
          <w:szCs w:val="21"/>
        </w:rPr>
        <w:t xml:space="preserve">卖方应对合同设备进行妥善包装，以满足合同设备运至施工场地及在施工场地保管的 </w:t>
      </w:r>
      <w:r>
        <w:rPr>
          <w:rFonts w:hint="eastAsia" w:ascii="仿宋" w:hAnsi="仿宋" w:eastAsia="仿宋" w:cs="仿宋"/>
          <w:spacing w:val="-1"/>
          <w:sz w:val="21"/>
          <w:szCs w:val="21"/>
        </w:rPr>
        <w:t xml:space="preserve">需要。包装应采取防潮、防晒、防锈、防腐蚀、防震动及防止其它损坏的必要保护措施，从而 </w:t>
      </w:r>
      <w:r>
        <w:rPr>
          <w:rFonts w:hint="eastAsia" w:ascii="仿宋" w:hAnsi="仿宋" w:eastAsia="仿宋" w:cs="仿宋"/>
          <w:sz w:val="21"/>
          <w:szCs w:val="21"/>
        </w:rPr>
        <w:t>保护合同设备能够经受多次搬运、装卸、长途运输并适宜保管。</w:t>
      </w:r>
    </w:p>
    <w:p w14:paraId="3F98713B">
      <w:pPr>
        <w:pStyle w:val="12"/>
        <w:pageBreakBefore w:val="0"/>
        <w:widowControl w:val="0"/>
        <w:kinsoku/>
        <w:wordWrap/>
        <w:overflowPunct/>
        <w:topLinePunct w:val="0"/>
        <w:autoSpaceDE/>
        <w:autoSpaceDN/>
        <w:bidi w:val="0"/>
        <w:adjustRightInd/>
        <w:snapToGrid/>
        <w:spacing w:before="38"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5.1.2  每个独立包装箱内应附装箱清单、质量合格证、装配图、说明书、操作指南等资料。</w:t>
      </w:r>
    </w:p>
    <w:p w14:paraId="7D9E73F7">
      <w:pPr>
        <w:pStyle w:val="12"/>
        <w:pageBreakBefore w:val="0"/>
        <w:widowControl w:val="0"/>
        <w:kinsoku/>
        <w:wordWrap/>
        <w:overflowPunct/>
        <w:topLinePunct w:val="0"/>
        <w:autoSpaceDE/>
        <w:autoSpaceDN/>
        <w:bidi w:val="0"/>
        <w:adjustRightInd/>
        <w:snapToGrid/>
        <w:spacing w:before="117"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5.1.3 除专用合同条款另有约定外，买方无需将包装物退还给卖方。</w:t>
      </w:r>
    </w:p>
    <w:p w14:paraId="6BE9B6F1">
      <w:pPr>
        <w:pStyle w:val="4"/>
        <w:pageBreakBefore w:val="0"/>
        <w:widowControl w:val="0"/>
        <w:kinsoku/>
        <w:wordWrap/>
        <w:overflowPunct/>
        <w:topLinePunct w:val="0"/>
        <w:autoSpaceDE/>
        <w:autoSpaceDN/>
        <w:bidi w:val="0"/>
        <w:adjustRightInd/>
        <w:snapToGrid/>
        <w:spacing w:line="400" w:lineRule="exact"/>
        <w:ind w:right="21"/>
        <w:textAlignment w:val="auto"/>
        <w:rPr>
          <w:rFonts w:hint="eastAsia" w:ascii="仿宋" w:hAnsi="仿宋" w:eastAsia="仿宋" w:cs="仿宋"/>
          <w:sz w:val="21"/>
          <w:szCs w:val="21"/>
        </w:rPr>
      </w:pPr>
      <w:bookmarkStart w:id="507" w:name="_bookmark123"/>
      <w:bookmarkEnd w:id="507"/>
      <w:r>
        <w:rPr>
          <w:rFonts w:hint="eastAsia" w:ascii="仿宋" w:hAnsi="仿宋" w:eastAsia="仿宋" w:cs="仿宋"/>
          <w:sz w:val="21"/>
          <w:szCs w:val="21"/>
        </w:rPr>
        <w:t>5.2</w:t>
      </w:r>
      <w:r>
        <w:rPr>
          <w:rFonts w:hint="eastAsia" w:ascii="仿宋" w:hAnsi="仿宋" w:eastAsia="仿宋" w:cs="仿宋"/>
          <w:spacing w:val="69"/>
          <w:sz w:val="21"/>
          <w:szCs w:val="21"/>
        </w:rPr>
        <w:t xml:space="preserve"> </w:t>
      </w:r>
      <w:r>
        <w:rPr>
          <w:rFonts w:hint="eastAsia" w:ascii="仿宋" w:hAnsi="仿宋" w:eastAsia="仿宋" w:cs="仿宋"/>
          <w:sz w:val="21"/>
          <w:szCs w:val="21"/>
        </w:rPr>
        <w:t>标记</w:t>
      </w:r>
    </w:p>
    <w:p w14:paraId="510B2426">
      <w:pPr>
        <w:pStyle w:val="12"/>
        <w:pageBreakBefore w:val="0"/>
        <w:widowControl w:val="0"/>
        <w:kinsoku/>
        <w:wordWrap/>
        <w:overflowPunct/>
        <w:topLinePunct w:val="0"/>
        <w:autoSpaceDE/>
        <w:autoSpaceDN/>
        <w:bidi w:val="0"/>
        <w:adjustRightInd/>
        <w:snapToGrid/>
        <w:spacing w:before="248" w:line="400" w:lineRule="exact"/>
        <w:ind w:left="100" w:right="214"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5.2.1 </w:t>
      </w:r>
      <w:r>
        <w:rPr>
          <w:rFonts w:hint="eastAsia" w:ascii="仿宋" w:hAnsi="仿宋" w:eastAsia="仿宋" w:cs="仿宋"/>
          <w:spacing w:val="-4"/>
          <w:sz w:val="21"/>
          <w:szCs w:val="21"/>
        </w:rPr>
        <w:t xml:space="preserve">除专用合同条款另有约定外，卖方应在每一包装箱相邻的四个侧面以不可擦除的、明 </w:t>
      </w:r>
      <w:r>
        <w:rPr>
          <w:rFonts w:hint="eastAsia" w:ascii="仿宋" w:hAnsi="仿宋" w:eastAsia="仿宋" w:cs="仿宋"/>
          <w:sz w:val="21"/>
          <w:szCs w:val="21"/>
        </w:rPr>
        <w:t>显的方式标记必要的装运信息和标记，以满足合同设备运输和保管的需要。</w:t>
      </w:r>
    </w:p>
    <w:p w14:paraId="46723647">
      <w:pPr>
        <w:pStyle w:val="12"/>
        <w:pageBreakBefore w:val="0"/>
        <w:widowControl w:val="0"/>
        <w:kinsoku/>
        <w:wordWrap/>
        <w:overflowPunct/>
        <w:topLinePunct w:val="0"/>
        <w:autoSpaceDE/>
        <w:autoSpaceDN/>
        <w:bidi w:val="0"/>
        <w:adjustRightInd/>
        <w:snapToGrid/>
        <w:spacing w:before="47" w:line="400" w:lineRule="exact"/>
        <w:ind w:left="100" w:right="212" w:firstLine="419"/>
        <w:jc w:val="both"/>
        <w:textAlignment w:val="auto"/>
        <w:rPr>
          <w:rFonts w:hint="eastAsia" w:ascii="仿宋" w:hAnsi="仿宋" w:eastAsia="仿宋" w:cs="仿宋"/>
          <w:sz w:val="21"/>
          <w:szCs w:val="21"/>
        </w:rPr>
      </w:pPr>
      <w:r>
        <w:rPr>
          <w:rFonts w:hint="eastAsia" w:ascii="仿宋" w:hAnsi="仿宋" w:eastAsia="仿宋" w:cs="仿宋"/>
          <w:sz w:val="21"/>
          <w:szCs w:val="21"/>
        </w:rPr>
        <w:t>5.2.2 根据合同设备的特点和运输、保管的不同要求，卖方应在包装箱上清楚地标注</w:t>
      </w:r>
      <w:r>
        <w:rPr>
          <w:rFonts w:hint="eastAsia" w:ascii="仿宋" w:hAnsi="仿宋" w:eastAsia="仿宋" w:cs="仿宋"/>
          <w:i/>
          <w:sz w:val="21"/>
          <w:szCs w:val="21"/>
        </w:rPr>
        <w:t>“</w:t>
      </w:r>
      <w:r>
        <w:rPr>
          <w:rFonts w:hint="eastAsia" w:ascii="仿宋" w:hAnsi="仿宋" w:eastAsia="仿宋" w:cs="仿宋"/>
          <w:sz w:val="21"/>
          <w:szCs w:val="21"/>
        </w:rPr>
        <w:t xml:space="preserve">小心 </w:t>
      </w:r>
      <w:r>
        <w:rPr>
          <w:rFonts w:hint="eastAsia" w:ascii="仿宋" w:hAnsi="仿宋" w:eastAsia="仿宋" w:cs="仿宋"/>
          <w:w w:val="95"/>
          <w:sz w:val="21"/>
          <w:szCs w:val="21"/>
        </w:rPr>
        <w:t>轻放</w:t>
      </w:r>
      <w:r>
        <w:rPr>
          <w:rFonts w:hint="eastAsia" w:ascii="仿宋" w:hAnsi="仿宋" w:eastAsia="仿宋" w:cs="仿宋"/>
          <w:i/>
          <w:w w:val="95"/>
          <w:sz w:val="21"/>
          <w:szCs w:val="21"/>
        </w:rPr>
        <w:t>”</w:t>
      </w:r>
      <w:r>
        <w:rPr>
          <w:rFonts w:hint="eastAsia" w:ascii="仿宋" w:hAnsi="仿宋" w:eastAsia="仿宋" w:cs="仿宋"/>
          <w:w w:val="95"/>
          <w:sz w:val="21"/>
          <w:szCs w:val="21"/>
        </w:rPr>
        <w:t>、</w:t>
      </w:r>
      <w:r>
        <w:rPr>
          <w:rFonts w:hint="eastAsia" w:ascii="仿宋" w:hAnsi="仿宋" w:eastAsia="仿宋" w:cs="仿宋"/>
          <w:i/>
          <w:w w:val="95"/>
          <w:sz w:val="21"/>
          <w:szCs w:val="21"/>
        </w:rPr>
        <w:t>“</w:t>
      </w:r>
      <w:r>
        <w:rPr>
          <w:rFonts w:hint="eastAsia" w:ascii="仿宋" w:hAnsi="仿宋" w:eastAsia="仿宋" w:cs="仿宋"/>
          <w:w w:val="95"/>
          <w:sz w:val="21"/>
          <w:szCs w:val="21"/>
        </w:rPr>
        <w:t>此端朝上，请勿倒置</w:t>
      </w:r>
      <w:r>
        <w:rPr>
          <w:rFonts w:hint="eastAsia" w:ascii="仿宋" w:hAnsi="仿宋" w:eastAsia="仿宋" w:cs="仿宋"/>
          <w:i/>
          <w:w w:val="95"/>
          <w:sz w:val="21"/>
          <w:szCs w:val="21"/>
        </w:rPr>
        <w:t>”</w:t>
      </w:r>
      <w:r>
        <w:rPr>
          <w:rFonts w:hint="eastAsia" w:ascii="仿宋" w:hAnsi="仿宋" w:eastAsia="仿宋" w:cs="仿宋"/>
          <w:w w:val="95"/>
          <w:sz w:val="21"/>
          <w:szCs w:val="21"/>
        </w:rPr>
        <w:t>、</w:t>
      </w:r>
      <w:r>
        <w:rPr>
          <w:rFonts w:hint="eastAsia" w:ascii="仿宋" w:hAnsi="仿宋" w:eastAsia="仿宋" w:cs="仿宋"/>
          <w:i/>
          <w:w w:val="95"/>
          <w:sz w:val="21"/>
          <w:szCs w:val="21"/>
        </w:rPr>
        <w:t>“</w:t>
      </w:r>
      <w:r>
        <w:rPr>
          <w:rFonts w:hint="eastAsia" w:ascii="仿宋" w:hAnsi="仿宋" w:eastAsia="仿宋" w:cs="仿宋"/>
          <w:w w:val="95"/>
          <w:sz w:val="21"/>
          <w:szCs w:val="21"/>
        </w:rPr>
        <w:t>保持干燥</w:t>
      </w:r>
      <w:r>
        <w:rPr>
          <w:rFonts w:hint="eastAsia" w:ascii="仿宋" w:hAnsi="仿宋" w:eastAsia="仿宋" w:cs="仿宋"/>
          <w:i/>
          <w:w w:val="95"/>
          <w:sz w:val="21"/>
          <w:szCs w:val="21"/>
        </w:rPr>
        <w:t>”</w:t>
      </w:r>
      <w:r>
        <w:rPr>
          <w:rFonts w:hint="eastAsia" w:ascii="仿宋" w:hAnsi="仿宋" w:eastAsia="仿宋" w:cs="仿宋"/>
          <w:w w:val="95"/>
          <w:sz w:val="21"/>
          <w:szCs w:val="21"/>
        </w:rPr>
        <w:t>等字样和其他适当标记。对于专用合同条款约定的 超大超重件，卖方应在包装箱两侧标注</w:t>
      </w:r>
      <w:r>
        <w:rPr>
          <w:rFonts w:hint="eastAsia" w:ascii="仿宋" w:hAnsi="仿宋" w:eastAsia="仿宋" w:cs="仿宋"/>
          <w:i/>
          <w:w w:val="95"/>
          <w:sz w:val="21"/>
          <w:szCs w:val="21"/>
        </w:rPr>
        <w:t>“</w:t>
      </w:r>
      <w:r>
        <w:rPr>
          <w:rFonts w:hint="eastAsia" w:ascii="仿宋" w:hAnsi="仿宋" w:eastAsia="仿宋" w:cs="仿宋"/>
          <w:w w:val="95"/>
          <w:sz w:val="21"/>
          <w:szCs w:val="21"/>
        </w:rPr>
        <w:t>重心</w:t>
      </w:r>
      <w:r>
        <w:rPr>
          <w:rFonts w:hint="eastAsia" w:ascii="仿宋" w:hAnsi="仿宋" w:eastAsia="仿宋" w:cs="仿宋"/>
          <w:i/>
          <w:w w:val="95"/>
          <w:sz w:val="21"/>
          <w:szCs w:val="21"/>
        </w:rPr>
        <w:t>”</w:t>
      </w:r>
      <w:r>
        <w:rPr>
          <w:rFonts w:hint="eastAsia" w:ascii="仿宋" w:hAnsi="仿宋" w:eastAsia="仿宋" w:cs="仿宋"/>
          <w:w w:val="95"/>
          <w:sz w:val="21"/>
          <w:szCs w:val="21"/>
        </w:rPr>
        <w:t>和</w:t>
      </w:r>
      <w:r>
        <w:rPr>
          <w:rFonts w:hint="eastAsia" w:ascii="仿宋" w:hAnsi="仿宋" w:eastAsia="仿宋" w:cs="仿宋"/>
          <w:i/>
          <w:w w:val="95"/>
          <w:sz w:val="21"/>
          <w:szCs w:val="21"/>
        </w:rPr>
        <w:t>“</w:t>
      </w:r>
      <w:r>
        <w:rPr>
          <w:rFonts w:hint="eastAsia" w:ascii="仿宋" w:hAnsi="仿宋" w:eastAsia="仿宋" w:cs="仿宋"/>
          <w:w w:val="95"/>
          <w:sz w:val="21"/>
          <w:szCs w:val="21"/>
        </w:rPr>
        <w:t>起吊点</w:t>
      </w:r>
      <w:r>
        <w:rPr>
          <w:rFonts w:hint="eastAsia" w:ascii="仿宋" w:hAnsi="仿宋" w:eastAsia="仿宋" w:cs="仿宋"/>
          <w:i/>
          <w:w w:val="95"/>
          <w:sz w:val="21"/>
          <w:szCs w:val="21"/>
        </w:rPr>
        <w:t>”</w:t>
      </w:r>
      <w:r>
        <w:rPr>
          <w:rFonts w:hint="eastAsia" w:ascii="仿宋" w:hAnsi="仿宋" w:eastAsia="仿宋" w:cs="仿宋"/>
          <w:w w:val="95"/>
          <w:sz w:val="21"/>
          <w:szCs w:val="21"/>
        </w:rPr>
        <w:t xml:space="preserve">以便装卸和搬运。如果发运合同设备 </w:t>
      </w:r>
      <w:r>
        <w:rPr>
          <w:rFonts w:hint="eastAsia" w:ascii="仿宋" w:hAnsi="仿宋" w:eastAsia="仿宋" w:cs="仿宋"/>
          <w:sz w:val="21"/>
          <w:szCs w:val="21"/>
        </w:rPr>
        <w:t>中含有易燃易爆物品、腐蚀物品、放射性物质等危险品，则应在包装箱上标明危险品标志。</w:t>
      </w:r>
    </w:p>
    <w:p w14:paraId="170D4AAF">
      <w:pPr>
        <w:pStyle w:val="4"/>
        <w:pageBreakBefore w:val="0"/>
        <w:widowControl w:val="0"/>
        <w:kinsoku/>
        <w:wordWrap/>
        <w:overflowPunct/>
        <w:topLinePunct w:val="0"/>
        <w:autoSpaceDE/>
        <w:autoSpaceDN/>
        <w:bidi w:val="0"/>
        <w:adjustRightInd/>
        <w:snapToGrid/>
        <w:spacing w:line="400" w:lineRule="exact"/>
        <w:ind w:right="21"/>
        <w:textAlignment w:val="auto"/>
        <w:rPr>
          <w:rFonts w:hint="eastAsia" w:ascii="仿宋" w:hAnsi="仿宋" w:eastAsia="仿宋" w:cs="仿宋"/>
          <w:sz w:val="21"/>
          <w:szCs w:val="21"/>
        </w:rPr>
      </w:pPr>
      <w:bookmarkStart w:id="508" w:name="_bookmark124"/>
      <w:bookmarkEnd w:id="508"/>
      <w:r>
        <w:rPr>
          <w:rFonts w:hint="eastAsia" w:ascii="仿宋" w:hAnsi="仿宋" w:eastAsia="仿宋" w:cs="仿宋"/>
          <w:sz w:val="21"/>
          <w:szCs w:val="21"/>
        </w:rPr>
        <w:t>5.3 运输</w:t>
      </w:r>
    </w:p>
    <w:p w14:paraId="76BFCDF2">
      <w:pPr>
        <w:pStyle w:val="12"/>
        <w:pageBreakBefore w:val="0"/>
        <w:widowControl w:val="0"/>
        <w:kinsoku/>
        <w:wordWrap/>
        <w:overflowPunct/>
        <w:topLinePunct w:val="0"/>
        <w:autoSpaceDE/>
        <w:autoSpaceDN/>
        <w:bidi w:val="0"/>
        <w:adjustRightInd/>
        <w:snapToGrid/>
        <w:spacing w:before="248"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5.3.1 卖方应自行选择适宜的运输工具及线路安排合同设备运输。</w:t>
      </w:r>
    </w:p>
    <w:p w14:paraId="62C84BE5">
      <w:pPr>
        <w:pStyle w:val="12"/>
        <w:pageBreakBefore w:val="0"/>
        <w:widowControl w:val="0"/>
        <w:kinsoku/>
        <w:wordWrap/>
        <w:overflowPunct/>
        <w:topLinePunct w:val="0"/>
        <w:autoSpaceDE/>
        <w:autoSpaceDN/>
        <w:bidi w:val="0"/>
        <w:adjustRightInd/>
        <w:snapToGrid/>
        <w:spacing w:before="118" w:line="400" w:lineRule="exact"/>
        <w:ind w:left="100" w:right="213"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5.3.2 </w:t>
      </w:r>
      <w:r>
        <w:rPr>
          <w:rFonts w:hint="eastAsia" w:ascii="仿宋" w:hAnsi="仿宋" w:eastAsia="仿宋" w:cs="仿宋"/>
          <w:spacing w:val="-4"/>
          <w:sz w:val="21"/>
          <w:szCs w:val="21"/>
        </w:rPr>
        <w:t xml:space="preserve">除专用合同条款另有约定外，每件能够独立运行的设备应整套装运。该设备安装、调 </w:t>
      </w:r>
      <w:r>
        <w:rPr>
          <w:rFonts w:hint="eastAsia" w:ascii="仿宋" w:hAnsi="仿宋" w:eastAsia="仿宋" w:cs="仿宋"/>
          <w:sz w:val="21"/>
          <w:szCs w:val="21"/>
        </w:rPr>
        <w:t>试、考核和运行所使用的备品、备件、易损易耗件等应随相关的主机一齐装运。</w:t>
      </w:r>
    </w:p>
    <w:p w14:paraId="66556D40">
      <w:pPr>
        <w:pStyle w:val="12"/>
        <w:pageBreakBefore w:val="0"/>
        <w:widowControl w:val="0"/>
        <w:kinsoku/>
        <w:wordWrap/>
        <w:overflowPunct/>
        <w:topLinePunct w:val="0"/>
        <w:autoSpaceDE/>
        <w:autoSpaceDN/>
        <w:bidi w:val="0"/>
        <w:adjustRightInd/>
        <w:snapToGrid/>
        <w:spacing w:before="49" w:line="400" w:lineRule="exact"/>
        <w:ind w:left="100" w:right="21" w:firstLine="419"/>
        <w:textAlignment w:val="auto"/>
        <w:rPr>
          <w:rFonts w:hint="eastAsia" w:ascii="仿宋" w:hAnsi="仿宋" w:eastAsia="仿宋" w:cs="仿宋"/>
          <w:sz w:val="21"/>
          <w:szCs w:val="21"/>
        </w:rPr>
      </w:pPr>
      <w:r>
        <w:rPr>
          <w:rFonts w:hint="eastAsia" w:ascii="仿宋" w:hAnsi="仿宋" w:eastAsia="仿宋" w:cs="仿宋"/>
          <w:sz w:val="21"/>
          <w:szCs w:val="21"/>
        </w:rPr>
        <w:t xml:space="preserve">5.3.3 除专用合同条款另有约定外，卖方应在合同设备预计启运 7 日前，将合同设备名称、 </w:t>
      </w:r>
      <w:r>
        <w:rPr>
          <w:rFonts w:hint="eastAsia" w:ascii="仿宋" w:hAnsi="仿宋" w:eastAsia="仿宋" w:cs="仿宋"/>
          <w:w w:val="100"/>
          <w:sz w:val="21"/>
          <w:szCs w:val="21"/>
        </w:rPr>
        <w:t>数量</w:t>
      </w:r>
      <w:r>
        <w:rPr>
          <w:rFonts w:hint="eastAsia" w:ascii="仿宋" w:hAnsi="仿宋" w:eastAsia="仿宋" w:cs="仿宋"/>
          <w:spacing w:val="-3"/>
          <w:w w:val="100"/>
          <w:sz w:val="21"/>
          <w:szCs w:val="21"/>
        </w:rPr>
        <w:t>、</w:t>
      </w:r>
      <w:r>
        <w:rPr>
          <w:rFonts w:hint="eastAsia" w:ascii="仿宋" w:hAnsi="仿宋" w:eastAsia="仿宋" w:cs="仿宋"/>
          <w:w w:val="100"/>
          <w:sz w:val="21"/>
          <w:szCs w:val="21"/>
        </w:rPr>
        <w:t>箱</w:t>
      </w:r>
      <w:r>
        <w:rPr>
          <w:rFonts w:hint="eastAsia" w:ascii="仿宋" w:hAnsi="仿宋" w:eastAsia="仿宋" w:cs="仿宋"/>
          <w:spacing w:val="-3"/>
          <w:w w:val="100"/>
          <w:sz w:val="21"/>
          <w:szCs w:val="21"/>
        </w:rPr>
        <w:t>数</w:t>
      </w:r>
      <w:r>
        <w:rPr>
          <w:rFonts w:hint="eastAsia" w:ascii="仿宋" w:hAnsi="仿宋" w:eastAsia="仿宋" w:cs="仿宋"/>
          <w:w w:val="100"/>
          <w:sz w:val="21"/>
          <w:szCs w:val="21"/>
        </w:rPr>
        <w:t>、</w:t>
      </w:r>
      <w:r>
        <w:rPr>
          <w:rFonts w:hint="eastAsia" w:ascii="仿宋" w:hAnsi="仿宋" w:eastAsia="仿宋" w:cs="仿宋"/>
          <w:spacing w:val="-3"/>
          <w:w w:val="100"/>
          <w:sz w:val="21"/>
          <w:szCs w:val="21"/>
        </w:rPr>
        <w:t>总</w:t>
      </w:r>
      <w:r>
        <w:rPr>
          <w:rFonts w:hint="eastAsia" w:ascii="仿宋" w:hAnsi="仿宋" w:eastAsia="仿宋" w:cs="仿宋"/>
          <w:w w:val="100"/>
          <w:sz w:val="21"/>
          <w:szCs w:val="21"/>
        </w:rPr>
        <w:t>毛重</w:t>
      </w:r>
      <w:r>
        <w:rPr>
          <w:rFonts w:hint="eastAsia" w:ascii="仿宋" w:hAnsi="仿宋" w:eastAsia="仿宋" w:cs="仿宋"/>
          <w:spacing w:val="-3"/>
          <w:w w:val="100"/>
          <w:sz w:val="21"/>
          <w:szCs w:val="21"/>
        </w:rPr>
        <w:t>、总</w:t>
      </w:r>
      <w:r>
        <w:rPr>
          <w:rFonts w:hint="eastAsia" w:ascii="仿宋" w:hAnsi="仿宋" w:eastAsia="仿宋" w:cs="仿宋"/>
          <w:w w:val="100"/>
          <w:sz w:val="21"/>
          <w:szCs w:val="21"/>
        </w:rPr>
        <w:t>体积</w:t>
      </w:r>
      <w:r>
        <w:rPr>
          <w:rFonts w:hint="eastAsia" w:ascii="仿宋" w:hAnsi="仿宋" w:eastAsia="仿宋" w:cs="仿宋"/>
          <w:spacing w:val="-3"/>
          <w:w w:val="100"/>
          <w:sz w:val="21"/>
          <w:szCs w:val="21"/>
        </w:rPr>
        <w:t>（</w:t>
      </w:r>
      <w:r>
        <w:rPr>
          <w:rFonts w:hint="eastAsia" w:ascii="仿宋" w:hAnsi="仿宋" w:eastAsia="仿宋" w:cs="仿宋"/>
          <w:w w:val="100"/>
          <w:sz w:val="21"/>
          <w:szCs w:val="21"/>
        </w:rPr>
        <w:t>用</w:t>
      </w:r>
      <w:r>
        <w:rPr>
          <w:rFonts w:hint="eastAsia" w:ascii="仿宋" w:hAnsi="仿宋" w:eastAsia="仿宋" w:cs="仿宋"/>
          <w:sz w:val="21"/>
          <w:szCs w:val="21"/>
        </w:rPr>
        <w:t xml:space="preserve"> </w:t>
      </w:r>
      <w:r>
        <w:rPr>
          <w:rFonts w:hint="eastAsia" w:ascii="仿宋" w:hAnsi="仿宋" w:eastAsia="仿宋" w:cs="仿宋"/>
          <w:spacing w:val="-4"/>
          <w:w w:val="100"/>
          <w:sz w:val="21"/>
          <w:szCs w:val="21"/>
        </w:rPr>
        <w:t>m</w:t>
      </w:r>
      <w:r>
        <w:rPr>
          <w:rFonts w:hint="eastAsia" w:ascii="仿宋" w:hAnsi="仿宋" w:eastAsia="仿宋" w:cs="仿宋"/>
          <w:w w:val="100"/>
          <w:position w:val="6"/>
          <w:sz w:val="21"/>
          <w:szCs w:val="21"/>
        </w:rPr>
        <w:t>3</w:t>
      </w:r>
      <w:r>
        <w:rPr>
          <w:rFonts w:hint="eastAsia" w:ascii="仿宋" w:hAnsi="仿宋" w:eastAsia="仿宋" w:cs="仿宋"/>
          <w:position w:val="6"/>
          <w:sz w:val="21"/>
          <w:szCs w:val="21"/>
        </w:rPr>
        <w:t xml:space="preserve">  </w:t>
      </w:r>
      <w:r>
        <w:rPr>
          <w:rFonts w:hint="eastAsia" w:ascii="仿宋" w:hAnsi="仿宋" w:eastAsia="仿宋" w:cs="仿宋"/>
          <w:w w:val="100"/>
          <w:sz w:val="21"/>
          <w:szCs w:val="21"/>
        </w:rPr>
        <w:t>表示</w:t>
      </w:r>
      <w:r>
        <w:rPr>
          <w:rFonts w:hint="eastAsia" w:ascii="仿宋" w:hAnsi="仿宋" w:eastAsia="仿宋" w:cs="仿宋"/>
          <w:spacing w:val="-108"/>
          <w:w w:val="100"/>
          <w:sz w:val="21"/>
          <w:szCs w:val="21"/>
        </w:rPr>
        <w:t>）</w:t>
      </w:r>
      <w:r>
        <w:rPr>
          <w:rFonts w:hint="eastAsia" w:ascii="仿宋" w:hAnsi="仿宋" w:eastAsia="仿宋" w:cs="仿宋"/>
          <w:w w:val="100"/>
          <w:sz w:val="21"/>
          <w:szCs w:val="21"/>
        </w:rPr>
        <w:t>、</w:t>
      </w:r>
      <w:r>
        <w:rPr>
          <w:rFonts w:hint="eastAsia" w:ascii="仿宋" w:hAnsi="仿宋" w:eastAsia="仿宋" w:cs="仿宋"/>
          <w:spacing w:val="-3"/>
          <w:w w:val="100"/>
          <w:sz w:val="21"/>
          <w:szCs w:val="21"/>
        </w:rPr>
        <w:t>每箱</w:t>
      </w:r>
      <w:r>
        <w:rPr>
          <w:rFonts w:hint="eastAsia" w:ascii="仿宋" w:hAnsi="仿宋" w:eastAsia="仿宋" w:cs="仿宋"/>
          <w:w w:val="100"/>
          <w:sz w:val="21"/>
          <w:szCs w:val="21"/>
        </w:rPr>
        <w:t>尺寸</w:t>
      </w:r>
      <w:r>
        <w:rPr>
          <w:rFonts w:hint="eastAsia" w:ascii="仿宋" w:hAnsi="仿宋" w:eastAsia="仿宋" w:cs="仿宋"/>
          <w:spacing w:val="-3"/>
          <w:w w:val="100"/>
          <w:sz w:val="21"/>
          <w:szCs w:val="21"/>
        </w:rPr>
        <w:t>（</w:t>
      </w:r>
      <w:r>
        <w:rPr>
          <w:rFonts w:hint="eastAsia" w:ascii="仿宋" w:hAnsi="仿宋" w:eastAsia="仿宋" w:cs="仿宋"/>
          <w:spacing w:val="2"/>
          <w:w w:val="100"/>
          <w:sz w:val="21"/>
          <w:szCs w:val="21"/>
        </w:rPr>
        <w:t>长</w:t>
      </w:r>
      <w:r>
        <w:rPr>
          <w:rFonts w:hint="eastAsia" w:ascii="仿宋" w:hAnsi="仿宋" w:eastAsia="仿宋" w:cs="仿宋"/>
          <w:spacing w:val="-4"/>
          <w:w w:val="100"/>
          <w:sz w:val="21"/>
          <w:szCs w:val="21"/>
        </w:rPr>
        <w:t>×</w:t>
      </w:r>
      <w:r>
        <w:rPr>
          <w:rFonts w:hint="eastAsia" w:ascii="仿宋" w:hAnsi="仿宋" w:eastAsia="仿宋" w:cs="仿宋"/>
          <w:spacing w:val="2"/>
          <w:w w:val="100"/>
          <w:sz w:val="21"/>
          <w:szCs w:val="21"/>
        </w:rPr>
        <w:t>宽</w:t>
      </w:r>
      <w:r>
        <w:rPr>
          <w:rFonts w:hint="eastAsia" w:ascii="仿宋" w:hAnsi="仿宋" w:eastAsia="仿宋" w:cs="仿宋"/>
          <w:spacing w:val="-4"/>
          <w:w w:val="100"/>
          <w:sz w:val="21"/>
          <w:szCs w:val="21"/>
        </w:rPr>
        <w:t>×</w:t>
      </w:r>
      <w:r>
        <w:rPr>
          <w:rFonts w:hint="eastAsia" w:ascii="仿宋" w:hAnsi="仿宋" w:eastAsia="仿宋" w:cs="仿宋"/>
          <w:w w:val="100"/>
          <w:sz w:val="21"/>
          <w:szCs w:val="21"/>
        </w:rPr>
        <w:t>高</w:t>
      </w:r>
      <w:r>
        <w:rPr>
          <w:rFonts w:hint="eastAsia" w:ascii="仿宋" w:hAnsi="仿宋" w:eastAsia="仿宋" w:cs="仿宋"/>
          <w:spacing w:val="-108"/>
          <w:w w:val="100"/>
          <w:sz w:val="21"/>
          <w:szCs w:val="21"/>
        </w:rPr>
        <w:t>）</w:t>
      </w:r>
      <w:r>
        <w:rPr>
          <w:rFonts w:hint="eastAsia" w:ascii="仿宋" w:hAnsi="仿宋" w:eastAsia="仿宋" w:cs="仿宋"/>
          <w:w w:val="100"/>
          <w:sz w:val="21"/>
          <w:szCs w:val="21"/>
        </w:rPr>
        <w:t>、装</w:t>
      </w:r>
      <w:r>
        <w:rPr>
          <w:rFonts w:hint="eastAsia" w:ascii="仿宋" w:hAnsi="仿宋" w:eastAsia="仿宋" w:cs="仿宋"/>
          <w:spacing w:val="-3"/>
          <w:w w:val="100"/>
          <w:sz w:val="21"/>
          <w:szCs w:val="21"/>
        </w:rPr>
        <w:t>运合</w:t>
      </w:r>
      <w:r>
        <w:rPr>
          <w:rFonts w:hint="eastAsia" w:ascii="仿宋" w:hAnsi="仿宋" w:eastAsia="仿宋" w:cs="仿宋"/>
          <w:w w:val="100"/>
          <w:sz w:val="21"/>
          <w:szCs w:val="21"/>
        </w:rPr>
        <w:t>同设</w:t>
      </w:r>
      <w:r>
        <w:rPr>
          <w:rFonts w:hint="eastAsia" w:ascii="仿宋" w:hAnsi="仿宋" w:eastAsia="仿宋" w:cs="仿宋"/>
          <w:spacing w:val="-3"/>
          <w:w w:val="100"/>
          <w:sz w:val="21"/>
          <w:szCs w:val="21"/>
        </w:rPr>
        <w:t>备</w:t>
      </w:r>
      <w:r>
        <w:rPr>
          <w:rFonts w:hint="eastAsia" w:ascii="仿宋" w:hAnsi="仿宋" w:eastAsia="仿宋" w:cs="仿宋"/>
          <w:w w:val="100"/>
          <w:sz w:val="21"/>
          <w:szCs w:val="21"/>
        </w:rPr>
        <w:t>总</w:t>
      </w:r>
      <w:r>
        <w:rPr>
          <w:rFonts w:hint="eastAsia" w:ascii="仿宋" w:hAnsi="仿宋" w:eastAsia="仿宋" w:cs="仿宋"/>
          <w:spacing w:val="-3"/>
          <w:w w:val="100"/>
          <w:sz w:val="21"/>
          <w:szCs w:val="21"/>
        </w:rPr>
        <w:t>金</w:t>
      </w:r>
      <w:r>
        <w:rPr>
          <w:rFonts w:hint="eastAsia" w:ascii="仿宋" w:hAnsi="仿宋" w:eastAsia="仿宋" w:cs="仿宋"/>
          <w:w w:val="100"/>
          <w:sz w:val="21"/>
          <w:szCs w:val="21"/>
        </w:rPr>
        <w:t xml:space="preserve">额、 </w:t>
      </w:r>
      <w:r>
        <w:rPr>
          <w:rFonts w:hint="eastAsia" w:ascii="仿宋" w:hAnsi="仿宋" w:eastAsia="仿宋" w:cs="仿宋"/>
          <w:sz w:val="21"/>
          <w:szCs w:val="21"/>
        </w:rPr>
        <w:t>运输方式、预计交付日期和合同设备在运输、装卸、保管中的注意事项等预通知买方，并在合 同设备启运后</w:t>
      </w:r>
      <w:r>
        <w:rPr>
          <w:rFonts w:hint="eastAsia" w:ascii="仿宋" w:hAnsi="仿宋" w:eastAsia="仿宋" w:cs="仿宋"/>
          <w:spacing w:val="-56"/>
          <w:sz w:val="21"/>
          <w:szCs w:val="21"/>
        </w:rPr>
        <w:t xml:space="preserve"> </w:t>
      </w:r>
      <w:r>
        <w:rPr>
          <w:rFonts w:hint="eastAsia" w:ascii="仿宋" w:hAnsi="仿宋" w:eastAsia="仿宋" w:cs="仿宋"/>
          <w:sz w:val="21"/>
          <w:szCs w:val="21"/>
        </w:rPr>
        <w:t>24 小时之内正式通知买方。</w:t>
      </w:r>
    </w:p>
    <w:p w14:paraId="1FAEDE66">
      <w:pPr>
        <w:pStyle w:val="12"/>
        <w:pageBreakBefore w:val="0"/>
        <w:widowControl w:val="0"/>
        <w:kinsoku/>
        <w:wordWrap/>
        <w:overflowPunct/>
        <w:topLinePunct w:val="0"/>
        <w:autoSpaceDE/>
        <w:autoSpaceDN/>
        <w:bidi w:val="0"/>
        <w:adjustRightInd/>
        <w:snapToGrid/>
        <w:spacing w:before="17" w:line="400" w:lineRule="exact"/>
        <w:ind w:left="100" w:right="2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5.3.4 卖方在根据第 5.3.3 项进行通知时，如果发运合同设备中包括专用合同条款约定的超 大超重包装，则卖方应将超大和（或）超重的每个包装箱的重量和尺寸通知买方；如果发运合 同设备中包括易燃易爆物品、腐蚀物品、放射性物质等危险品，则危险品的品名、性质、在运 输、装卸、保管方面的特殊要求、注意事项和处理意外情况的方法等，也应一并通知买方。</w:t>
      </w:r>
    </w:p>
    <w:p w14:paraId="5DC8DD8A">
      <w:pPr>
        <w:pStyle w:val="4"/>
        <w:pageBreakBefore w:val="0"/>
        <w:widowControl w:val="0"/>
        <w:kinsoku/>
        <w:wordWrap/>
        <w:overflowPunct/>
        <w:topLinePunct w:val="0"/>
        <w:autoSpaceDE/>
        <w:autoSpaceDN/>
        <w:bidi w:val="0"/>
        <w:adjustRightInd/>
        <w:snapToGrid/>
        <w:spacing w:line="400" w:lineRule="exact"/>
        <w:ind w:right="21"/>
        <w:textAlignment w:val="auto"/>
        <w:rPr>
          <w:rFonts w:hint="eastAsia" w:ascii="仿宋" w:hAnsi="仿宋" w:eastAsia="仿宋" w:cs="仿宋"/>
          <w:sz w:val="21"/>
          <w:szCs w:val="21"/>
        </w:rPr>
      </w:pPr>
      <w:bookmarkStart w:id="509" w:name="_bookmark125"/>
      <w:bookmarkEnd w:id="509"/>
      <w:r>
        <w:rPr>
          <w:rFonts w:hint="eastAsia" w:ascii="仿宋" w:hAnsi="仿宋" w:eastAsia="仿宋" w:cs="仿宋"/>
          <w:sz w:val="21"/>
          <w:szCs w:val="21"/>
        </w:rPr>
        <w:t>5.4</w:t>
      </w:r>
      <w:r>
        <w:rPr>
          <w:rFonts w:hint="eastAsia" w:ascii="仿宋" w:hAnsi="仿宋" w:eastAsia="仿宋" w:cs="仿宋"/>
          <w:spacing w:val="69"/>
          <w:sz w:val="21"/>
          <w:szCs w:val="21"/>
        </w:rPr>
        <w:t xml:space="preserve"> </w:t>
      </w:r>
      <w:r>
        <w:rPr>
          <w:rFonts w:hint="eastAsia" w:ascii="仿宋" w:hAnsi="仿宋" w:eastAsia="仿宋" w:cs="仿宋"/>
          <w:sz w:val="21"/>
          <w:szCs w:val="21"/>
        </w:rPr>
        <w:t>交付</w:t>
      </w:r>
    </w:p>
    <w:p w14:paraId="794B27A2">
      <w:pPr>
        <w:pStyle w:val="12"/>
        <w:pageBreakBefore w:val="0"/>
        <w:widowControl w:val="0"/>
        <w:kinsoku/>
        <w:wordWrap/>
        <w:overflowPunct/>
        <w:topLinePunct w:val="0"/>
        <w:autoSpaceDE/>
        <w:autoSpaceDN/>
        <w:bidi w:val="0"/>
        <w:adjustRightInd/>
        <w:snapToGrid/>
        <w:spacing w:before="248" w:line="400" w:lineRule="exact"/>
        <w:ind w:left="100" w:right="2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5.4.1 </w:t>
      </w:r>
      <w:r>
        <w:rPr>
          <w:rFonts w:hint="eastAsia" w:ascii="仿宋" w:hAnsi="仿宋" w:eastAsia="仿宋" w:cs="仿宋"/>
          <w:spacing w:val="-4"/>
          <w:sz w:val="21"/>
          <w:szCs w:val="21"/>
        </w:rPr>
        <w:t xml:space="preserve">除专用合同条款另有约定外，卖方应根据合同约定的交付时间和批次在施工场地车面 </w:t>
      </w:r>
      <w:r>
        <w:rPr>
          <w:rFonts w:hint="eastAsia" w:ascii="仿宋" w:hAnsi="仿宋" w:eastAsia="仿宋" w:cs="仿宋"/>
          <w:spacing w:val="-1"/>
          <w:sz w:val="21"/>
          <w:szCs w:val="21"/>
        </w:rPr>
        <w:t xml:space="preserve">上将合同设备交付给买方。买方对卖方交付的包装的合同设备的外观及件数进行清点核验后应 签发收货清单，并自负风险和费用进行卸货。买方签发收货清单不代表对合同设备的接受，双 </w:t>
      </w:r>
      <w:r>
        <w:rPr>
          <w:rFonts w:hint="eastAsia" w:ascii="仿宋" w:hAnsi="仿宋" w:eastAsia="仿宋" w:cs="仿宋"/>
          <w:sz w:val="21"/>
          <w:szCs w:val="21"/>
        </w:rPr>
        <w:t>方还应按合同约定进行后续的检验和验收。</w:t>
      </w:r>
    </w:p>
    <w:p w14:paraId="7F84677A">
      <w:pPr>
        <w:pStyle w:val="12"/>
        <w:pageBreakBefore w:val="0"/>
        <w:widowControl w:val="0"/>
        <w:kinsoku/>
        <w:wordWrap/>
        <w:overflowPunct/>
        <w:topLinePunct w:val="0"/>
        <w:autoSpaceDE/>
        <w:autoSpaceDN/>
        <w:bidi w:val="0"/>
        <w:adjustRightInd/>
        <w:snapToGrid/>
        <w:spacing w:before="36" w:line="400" w:lineRule="exact"/>
        <w:ind w:left="100" w:right="2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5.4.2 </w:t>
      </w:r>
      <w:r>
        <w:rPr>
          <w:rFonts w:hint="eastAsia" w:ascii="仿宋" w:hAnsi="仿宋" w:eastAsia="仿宋" w:cs="仿宋"/>
          <w:spacing w:val="-4"/>
          <w:sz w:val="21"/>
          <w:szCs w:val="21"/>
        </w:rPr>
        <w:t xml:space="preserve">合同设备的所有权和风险自交付时起由卖方转移至买方，合同设备交付给买方之前包 </w:t>
      </w:r>
      <w:r>
        <w:rPr>
          <w:rFonts w:hint="eastAsia" w:ascii="仿宋" w:hAnsi="仿宋" w:eastAsia="仿宋" w:cs="仿宋"/>
          <w:sz w:val="21"/>
          <w:szCs w:val="21"/>
        </w:rPr>
        <w:t>括运输在内的所有风险均由卖方承担。</w:t>
      </w:r>
    </w:p>
    <w:p w14:paraId="0D2C2065">
      <w:pPr>
        <w:pStyle w:val="12"/>
        <w:pageBreakBefore w:val="0"/>
        <w:widowControl w:val="0"/>
        <w:kinsoku/>
        <w:wordWrap/>
        <w:overflowPunct/>
        <w:topLinePunct w:val="0"/>
        <w:autoSpaceDE/>
        <w:autoSpaceDN/>
        <w:bidi w:val="0"/>
        <w:adjustRightInd/>
        <w:snapToGrid/>
        <w:spacing w:before="47"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5.4.3  除专用合同条款另有约定外，买方如果发现技术资料存在短缺和（或）损坏，卖方应</w:t>
      </w:r>
    </w:p>
    <w:p w14:paraId="429A3241">
      <w:pPr>
        <w:pStyle w:val="12"/>
        <w:pageBreakBefore w:val="0"/>
        <w:widowControl w:val="0"/>
        <w:kinsoku/>
        <w:wordWrap/>
        <w:overflowPunct/>
        <w:topLinePunct w:val="0"/>
        <w:autoSpaceDE/>
        <w:autoSpaceDN/>
        <w:bidi w:val="0"/>
        <w:adjustRightInd/>
        <w:snapToGrid/>
        <w:spacing w:before="117" w:line="400" w:lineRule="exact"/>
        <w:ind w:left="100" w:right="21"/>
        <w:textAlignment w:val="auto"/>
        <w:rPr>
          <w:rFonts w:hint="eastAsia" w:ascii="仿宋" w:hAnsi="仿宋" w:eastAsia="仿宋" w:cs="仿宋"/>
          <w:sz w:val="21"/>
          <w:szCs w:val="21"/>
        </w:rPr>
      </w:pPr>
      <w:r>
        <w:rPr>
          <w:rFonts w:hint="eastAsia" w:ascii="仿宋" w:hAnsi="仿宋" w:eastAsia="仿宋" w:cs="仿宋"/>
          <w:sz w:val="21"/>
          <w:szCs w:val="21"/>
        </w:rPr>
        <w:t>在收到买方的通知后 7 日内免费补齐短缺和（或）损坏的部分。如果买方发现卖方提供的技术</w:t>
      </w:r>
    </w:p>
    <w:p w14:paraId="0B357DA2">
      <w:pPr>
        <w:pStyle w:val="12"/>
        <w:pageBreakBefore w:val="0"/>
        <w:widowControl w:val="0"/>
        <w:kinsoku/>
        <w:wordWrap/>
        <w:overflowPunct/>
        <w:topLinePunct w:val="0"/>
        <w:autoSpaceDE/>
        <w:autoSpaceDN/>
        <w:bidi w:val="0"/>
        <w:adjustRightInd/>
        <w:snapToGrid/>
        <w:spacing w:before="117" w:line="400" w:lineRule="exact"/>
        <w:ind w:left="100" w:right="21"/>
        <w:textAlignment w:val="auto"/>
        <w:rPr>
          <w:rFonts w:hint="eastAsia" w:ascii="仿宋" w:hAnsi="仿宋" w:eastAsia="仿宋" w:cs="仿宋"/>
          <w:sz w:val="21"/>
          <w:szCs w:val="21"/>
        </w:rPr>
      </w:pPr>
      <w:r>
        <w:rPr>
          <w:rFonts w:hint="eastAsia" w:ascii="仿宋" w:hAnsi="仿宋" w:eastAsia="仿宋" w:cs="仿宋"/>
          <w:w w:val="100"/>
          <w:sz w:val="21"/>
          <w:szCs w:val="21"/>
        </w:rPr>
        <w:t>资料</w:t>
      </w:r>
      <w:r>
        <w:rPr>
          <w:rFonts w:hint="eastAsia" w:ascii="仿宋" w:hAnsi="仿宋" w:eastAsia="仿宋" w:cs="仿宋"/>
          <w:spacing w:val="-3"/>
          <w:w w:val="100"/>
          <w:sz w:val="21"/>
          <w:szCs w:val="21"/>
        </w:rPr>
        <w:t>有</w:t>
      </w:r>
      <w:r>
        <w:rPr>
          <w:rFonts w:hint="eastAsia" w:ascii="仿宋" w:hAnsi="仿宋" w:eastAsia="仿宋" w:cs="仿宋"/>
          <w:w w:val="100"/>
          <w:sz w:val="21"/>
          <w:szCs w:val="21"/>
        </w:rPr>
        <w:t>误</w:t>
      </w:r>
      <w:r>
        <w:rPr>
          <w:rFonts w:hint="eastAsia" w:ascii="仿宋" w:hAnsi="仿宋" w:eastAsia="仿宋" w:cs="仿宋"/>
          <w:spacing w:val="-99"/>
          <w:w w:val="100"/>
          <w:sz w:val="21"/>
          <w:szCs w:val="21"/>
        </w:rPr>
        <w:t>，</w:t>
      </w:r>
      <w:r>
        <w:rPr>
          <w:rFonts w:hint="eastAsia" w:ascii="仿宋" w:hAnsi="仿宋" w:eastAsia="仿宋" w:cs="仿宋"/>
          <w:w w:val="100"/>
          <w:sz w:val="21"/>
          <w:szCs w:val="21"/>
        </w:rPr>
        <w:t>卖</w:t>
      </w:r>
      <w:r>
        <w:rPr>
          <w:rFonts w:hint="eastAsia" w:ascii="仿宋" w:hAnsi="仿宋" w:eastAsia="仿宋" w:cs="仿宋"/>
          <w:spacing w:val="-3"/>
          <w:w w:val="100"/>
          <w:sz w:val="21"/>
          <w:szCs w:val="21"/>
        </w:rPr>
        <w:t>方</w:t>
      </w:r>
      <w:r>
        <w:rPr>
          <w:rFonts w:hint="eastAsia" w:ascii="仿宋" w:hAnsi="仿宋" w:eastAsia="仿宋" w:cs="仿宋"/>
          <w:w w:val="100"/>
          <w:sz w:val="21"/>
          <w:szCs w:val="21"/>
        </w:rPr>
        <w:t>应</w:t>
      </w:r>
      <w:r>
        <w:rPr>
          <w:rFonts w:hint="eastAsia" w:ascii="仿宋" w:hAnsi="仿宋" w:eastAsia="仿宋" w:cs="仿宋"/>
          <w:spacing w:val="-3"/>
          <w:w w:val="100"/>
          <w:sz w:val="21"/>
          <w:szCs w:val="21"/>
        </w:rPr>
        <w:t>在</w:t>
      </w:r>
      <w:r>
        <w:rPr>
          <w:rFonts w:hint="eastAsia" w:ascii="仿宋" w:hAnsi="仿宋" w:eastAsia="仿宋" w:cs="仿宋"/>
          <w:w w:val="100"/>
          <w:sz w:val="21"/>
          <w:szCs w:val="21"/>
        </w:rPr>
        <w:t>收</w:t>
      </w:r>
      <w:r>
        <w:rPr>
          <w:rFonts w:hint="eastAsia" w:ascii="仿宋" w:hAnsi="仿宋" w:eastAsia="仿宋" w:cs="仿宋"/>
          <w:spacing w:val="-3"/>
          <w:w w:val="100"/>
          <w:sz w:val="21"/>
          <w:szCs w:val="21"/>
        </w:rPr>
        <w:t>到买</w:t>
      </w:r>
      <w:r>
        <w:rPr>
          <w:rFonts w:hint="eastAsia" w:ascii="仿宋" w:hAnsi="仿宋" w:eastAsia="仿宋" w:cs="仿宋"/>
          <w:w w:val="100"/>
          <w:sz w:val="21"/>
          <w:szCs w:val="21"/>
        </w:rPr>
        <w:t>方通</w:t>
      </w:r>
      <w:r>
        <w:rPr>
          <w:rFonts w:hint="eastAsia" w:ascii="仿宋" w:hAnsi="仿宋" w:eastAsia="仿宋" w:cs="仿宋"/>
          <w:spacing w:val="-3"/>
          <w:w w:val="100"/>
          <w:sz w:val="21"/>
          <w:szCs w:val="21"/>
        </w:rPr>
        <w:t>知</w:t>
      </w:r>
      <w:r>
        <w:rPr>
          <w:rFonts w:hint="eastAsia" w:ascii="仿宋" w:hAnsi="仿宋" w:eastAsia="仿宋" w:cs="仿宋"/>
          <w:w w:val="100"/>
          <w:sz w:val="21"/>
          <w:szCs w:val="21"/>
        </w:rPr>
        <w:t>后</w:t>
      </w:r>
      <w:r>
        <w:rPr>
          <w:rFonts w:hint="eastAsia" w:ascii="仿宋" w:hAnsi="仿宋" w:eastAsia="仿宋" w:cs="仿宋"/>
          <w:spacing w:val="-53"/>
          <w:sz w:val="21"/>
          <w:szCs w:val="21"/>
        </w:rPr>
        <w:t xml:space="preserve"> </w:t>
      </w:r>
      <w:r>
        <w:rPr>
          <w:rFonts w:hint="eastAsia" w:ascii="仿宋" w:hAnsi="仿宋" w:eastAsia="仿宋" w:cs="仿宋"/>
          <w:w w:val="100"/>
          <w:sz w:val="21"/>
          <w:szCs w:val="21"/>
        </w:rPr>
        <w:t>7</w:t>
      </w:r>
      <w:r>
        <w:rPr>
          <w:rFonts w:hint="eastAsia" w:ascii="仿宋" w:hAnsi="仿宋" w:eastAsia="仿宋" w:cs="仿宋"/>
          <w:spacing w:val="-3"/>
          <w:sz w:val="21"/>
          <w:szCs w:val="21"/>
        </w:rPr>
        <w:t xml:space="preserve"> </w:t>
      </w:r>
      <w:r>
        <w:rPr>
          <w:rFonts w:hint="eastAsia" w:ascii="仿宋" w:hAnsi="仿宋" w:eastAsia="仿宋" w:cs="仿宋"/>
          <w:w w:val="100"/>
          <w:sz w:val="21"/>
          <w:szCs w:val="21"/>
        </w:rPr>
        <w:t>日</w:t>
      </w:r>
      <w:r>
        <w:rPr>
          <w:rFonts w:hint="eastAsia" w:ascii="仿宋" w:hAnsi="仿宋" w:eastAsia="仿宋" w:cs="仿宋"/>
          <w:spacing w:val="-3"/>
          <w:w w:val="100"/>
          <w:sz w:val="21"/>
          <w:szCs w:val="21"/>
        </w:rPr>
        <w:t>内</w:t>
      </w:r>
      <w:r>
        <w:rPr>
          <w:rFonts w:hint="eastAsia" w:ascii="仿宋" w:hAnsi="仿宋" w:eastAsia="仿宋" w:cs="仿宋"/>
          <w:w w:val="100"/>
          <w:sz w:val="21"/>
          <w:szCs w:val="21"/>
        </w:rPr>
        <w:t>免</w:t>
      </w:r>
      <w:r>
        <w:rPr>
          <w:rFonts w:hint="eastAsia" w:ascii="仿宋" w:hAnsi="仿宋" w:eastAsia="仿宋" w:cs="仿宋"/>
          <w:spacing w:val="-3"/>
          <w:w w:val="100"/>
          <w:sz w:val="21"/>
          <w:szCs w:val="21"/>
        </w:rPr>
        <w:t>费</w:t>
      </w:r>
      <w:r>
        <w:rPr>
          <w:rFonts w:hint="eastAsia" w:ascii="仿宋" w:hAnsi="仿宋" w:eastAsia="仿宋" w:cs="仿宋"/>
          <w:w w:val="100"/>
          <w:sz w:val="21"/>
          <w:szCs w:val="21"/>
        </w:rPr>
        <w:t>替</w:t>
      </w:r>
      <w:r>
        <w:rPr>
          <w:rFonts w:hint="eastAsia" w:ascii="仿宋" w:hAnsi="仿宋" w:eastAsia="仿宋" w:cs="仿宋"/>
          <w:spacing w:val="-3"/>
          <w:w w:val="100"/>
          <w:sz w:val="21"/>
          <w:szCs w:val="21"/>
        </w:rPr>
        <w:t>换</w:t>
      </w:r>
      <w:r>
        <w:rPr>
          <w:rFonts w:hint="eastAsia" w:ascii="仿宋" w:hAnsi="仿宋" w:eastAsia="仿宋" w:cs="仿宋"/>
          <w:spacing w:val="-99"/>
          <w:w w:val="100"/>
          <w:sz w:val="21"/>
          <w:szCs w:val="21"/>
        </w:rPr>
        <w:t>。</w:t>
      </w:r>
      <w:r>
        <w:rPr>
          <w:rFonts w:hint="eastAsia" w:ascii="仿宋" w:hAnsi="仿宋" w:eastAsia="仿宋" w:cs="仿宋"/>
          <w:w w:val="100"/>
          <w:sz w:val="21"/>
          <w:szCs w:val="21"/>
        </w:rPr>
        <w:t>如由</w:t>
      </w:r>
      <w:r>
        <w:rPr>
          <w:rFonts w:hint="eastAsia" w:ascii="仿宋" w:hAnsi="仿宋" w:eastAsia="仿宋" w:cs="仿宋"/>
          <w:spacing w:val="-3"/>
          <w:w w:val="100"/>
          <w:sz w:val="21"/>
          <w:szCs w:val="21"/>
        </w:rPr>
        <w:t>于</w:t>
      </w:r>
      <w:r>
        <w:rPr>
          <w:rFonts w:hint="eastAsia" w:ascii="仿宋" w:hAnsi="仿宋" w:eastAsia="仿宋" w:cs="仿宋"/>
          <w:w w:val="100"/>
          <w:sz w:val="21"/>
          <w:szCs w:val="21"/>
        </w:rPr>
        <w:t>买</w:t>
      </w:r>
      <w:r>
        <w:rPr>
          <w:rFonts w:hint="eastAsia" w:ascii="仿宋" w:hAnsi="仿宋" w:eastAsia="仿宋" w:cs="仿宋"/>
          <w:spacing w:val="-3"/>
          <w:w w:val="100"/>
          <w:sz w:val="21"/>
          <w:szCs w:val="21"/>
        </w:rPr>
        <w:t>方</w:t>
      </w:r>
      <w:r>
        <w:rPr>
          <w:rFonts w:hint="eastAsia" w:ascii="仿宋" w:hAnsi="仿宋" w:eastAsia="仿宋" w:cs="仿宋"/>
          <w:w w:val="100"/>
          <w:sz w:val="21"/>
          <w:szCs w:val="21"/>
        </w:rPr>
        <w:t>原</w:t>
      </w:r>
      <w:r>
        <w:rPr>
          <w:rFonts w:hint="eastAsia" w:ascii="仿宋" w:hAnsi="仿宋" w:eastAsia="仿宋" w:cs="仿宋"/>
          <w:spacing w:val="-3"/>
          <w:w w:val="100"/>
          <w:sz w:val="21"/>
          <w:szCs w:val="21"/>
        </w:rPr>
        <w:t>因</w:t>
      </w:r>
      <w:r>
        <w:rPr>
          <w:rFonts w:hint="eastAsia" w:ascii="仿宋" w:hAnsi="仿宋" w:eastAsia="仿宋" w:cs="仿宋"/>
          <w:w w:val="100"/>
          <w:sz w:val="21"/>
          <w:szCs w:val="21"/>
        </w:rPr>
        <w:t>导</w:t>
      </w:r>
      <w:r>
        <w:rPr>
          <w:rFonts w:hint="eastAsia" w:ascii="仿宋" w:hAnsi="仿宋" w:eastAsia="仿宋" w:cs="仿宋"/>
          <w:spacing w:val="-3"/>
          <w:w w:val="100"/>
          <w:sz w:val="21"/>
          <w:szCs w:val="21"/>
        </w:rPr>
        <w:t>致</w:t>
      </w:r>
      <w:r>
        <w:rPr>
          <w:rFonts w:hint="eastAsia" w:ascii="仿宋" w:hAnsi="仿宋" w:eastAsia="仿宋" w:cs="仿宋"/>
          <w:w w:val="100"/>
          <w:sz w:val="21"/>
          <w:szCs w:val="21"/>
        </w:rPr>
        <w:t>技</w:t>
      </w:r>
      <w:r>
        <w:rPr>
          <w:rFonts w:hint="eastAsia" w:ascii="仿宋" w:hAnsi="仿宋" w:eastAsia="仿宋" w:cs="仿宋"/>
          <w:spacing w:val="-3"/>
          <w:w w:val="100"/>
          <w:sz w:val="21"/>
          <w:szCs w:val="21"/>
        </w:rPr>
        <w:t>术</w:t>
      </w:r>
      <w:r>
        <w:rPr>
          <w:rFonts w:hint="eastAsia" w:ascii="仿宋" w:hAnsi="仿宋" w:eastAsia="仿宋" w:cs="仿宋"/>
          <w:w w:val="100"/>
          <w:sz w:val="21"/>
          <w:szCs w:val="21"/>
        </w:rPr>
        <w:t>资料</w:t>
      </w:r>
      <w:r>
        <w:rPr>
          <w:rFonts w:hint="eastAsia" w:ascii="仿宋" w:hAnsi="仿宋" w:eastAsia="仿宋" w:cs="仿宋"/>
          <w:spacing w:val="-3"/>
          <w:w w:val="100"/>
          <w:sz w:val="21"/>
          <w:szCs w:val="21"/>
        </w:rPr>
        <w:t>丢</w:t>
      </w:r>
      <w:r>
        <w:rPr>
          <w:rFonts w:hint="eastAsia" w:ascii="仿宋" w:hAnsi="仿宋" w:eastAsia="仿宋" w:cs="仿宋"/>
          <w:w w:val="100"/>
          <w:sz w:val="21"/>
          <w:szCs w:val="21"/>
        </w:rPr>
        <w:t>失</w:t>
      </w:r>
      <w:r>
        <w:rPr>
          <w:rFonts w:hint="eastAsia" w:ascii="仿宋" w:hAnsi="仿宋" w:eastAsia="仿宋" w:cs="仿宋"/>
          <w:spacing w:val="-99"/>
          <w:w w:val="100"/>
          <w:sz w:val="21"/>
          <w:szCs w:val="21"/>
        </w:rPr>
        <w:t>和</w:t>
      </w:r>
      <w:r>
        <w:rPr>
          <w:rFonts w:hint="eastAsia" w:ascii="仿宋" w:hAnsi="仿宋" w:eastAsia="仿宋" w:cs="仿宋"/>
          <w:w w:val="100"/>
          <w:sz w:val="21"/>
          <w:szCs w:val="21"/>
        </w:rPr>
        <w:t>（或）</w:t>
      </w:r>
    </w:p>
    <w:p w14:paraId="4E581E71">
      <w:pPr>
        <w:pStyle w:val="12"/>
        <w:pageBreakBefore w:val="0"/>
        <w:widowControl w:val="0"/>
        <w:kinsoku/>
        <w:wordWrap/>
        <w:overflowPunct/>
        <w:topLinePunct w:val="0"/>
        <w:autoSpaceDE/>
        <w:autoSpaceDN/>
        <w:bidi w:val="0"/>
        <w:adjustRightInd/>
        <w:snapToGrid/>
        <w:spacing w:before="119" w:line="400" w:lineRule="exact"/>
        <w:ind w:left="100" w:right="21"/>
        <w:textAlignment w:val="auto"/>
        <w:rPr>
          <w:rFonts w:hint="eastAsia" w:ascii="仿宋" w:hAnsi="仿宋" w:eastAsia="仿宋" w:cs="仿宋"/>
          <w:sz w:val="21"/>
          <w:szCs w:val="21"/>
        </w:rPr>
      </w:pPr>
      <w:r>
        <w:rPr>
          <w:rFonts w:hint="eastAsia" w:ascii="仿宋" w:hAnsi="仿宋" w:eastAsia="仿宋" w:cs="仿宋"/>
          <w:sz w:val="21"/>
          <w:szCs w:val="21"/>
        </w:rPr>
        <w:t>损坏，卖方应在收到买方的通知后 7 日内补齐丢失和（或）损坏的部分，但买方应向卖方支付 合理的复制、邮寄费用。</w:t>
      </w:r>
    </w:p>
    <w:p w14:paraId="0E87DBA3">
      <w:pPr>
        <w:pStyle w:val="3"/>
        <w:pageBreakBefore w:val="0"/>
        <w:widowControl w:val="0"/>
        <w:kinsoku/>
        <w:wordWrap/>
        <w:overflowPunct/>
        <w:topLinePunct w:val="0"/>
        <w:autoSpaceDE/>
        <w:autoSpaceDN/>
        <w:bidi w:val="0"/>
        <w:adjustRightInd/>
        <w:snapToGrid/>
        <w:spacing w:line="400" w:lineRule="exact"/>
        <w:ind w:right="21"/>
        <w:textAlignment w:val="auto"/>
        <w:rPr>
          <w:rFonts w:hint="eastAsia" w:ascii="仿宋" w:hAnsi="仿宋" w:eastAsia="仿宋" w:cs="仿宋"/>
          <w:b/>
          <w:sz w:val="21"/>
          <w:szCs w:val="21"/>
        </w:rPr>
      </w:pPr>
      <w:bookmarkStart w:id="510" w:name="_bookmark126"/>
      <w:bookmarkEnd w:id="510"/>
      <w:r>
        <w:rPr>
          <w:rFonts w:hint="eastAsia" w:ascii="仿宋" w:hAnsi="仿宋" w:eastAsia="仿宋" w:cs="仿宋"/>
          <w:sz w:val="21"/>
          <w:szCs w:val="21"/>
        </w:rPr>
        <w:t>6.  开箱检验、安装、调试、考核、验收</w:t>
      </w:r>
    </w:p>
    <w:p w14:paraId="4B5FB48C">
      <w:pPr>
        <w:pStyle w:val="4"/>
        <w:pageBreakBefore w:val="0"/>
        <w:widowControl w:val="0"/>
        <w:kinsoku/>
        <w:wordWrap/>
        <w:overflowPunct/>
        <w:topLinePunct w:val="0"/>
        <w:autoSpaceDE/>
        <w:autoSpaceDN/>
        <w:bidi w:val="0"/>
        <w:adjustRightInd/>
        <w:snapToGrid/>
        <w:spacing w:line="400" w:lineRule="exact"/>
        <w:ind w:right="21"/>
        <w:textAlignment w:val="auto"/>
        <w:rPr>
          <w:rFonts w:hint="eastAsia" w:ascii="仿宋" w:hAnsi="仿宋" w:eastAsia="仿宋" w:cs="仿宋"/>
          <w:sz w:val="21"/>
          <w:szCs w:val="21"/>
        </w:rPr>
      </w:pPr>
      <w:bookmarkStart w:id="511" w:name="_bookmark127"/>
      <w:bookmarkEnd w:id="511"/>
      <w:r>
        <w:rPr>
          <w:rFonts w:hint="eastAsia" w:ascii="仿宋" w:hAnsi="仿宋" w:eastAsia="仿宋" w:cs="仿宋"/>
          <w:sz w:val="21"/>
          <w:szCs w:val="21"/>
        </w:rPr>
        <w:t>6.1  开箱检验</w:t>
      </w:r>
    </w:p>
    <w:p w14:paraId="097A3A9A">
      <w:pPr>
        <w:pStyle w:val="12"/>
        <w:pageBreakBefore w:val="0"/>
        <w:widowControl w:val="0"/>
        <w:kinsoku/>
        <w:wordWrap/>
        <w:overflowPunct/>
        <w:topLinePunct w:val="0"/>
        <w:autoSpaceDE/>
        <w:autoSpaceDN/>
        <w:bidi w:val="0"/>
        <w:adjustRightInd/>
        <w:snapToGrid/>
        <w:spacing w:before="246" w:line="400" w:lineRule="exact"/>
        <w:ind w:left="100" w:right="213"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6.1.1 </w:t>
      </w:r>
      <w:r>
        <w:rPr>
          <w:rFonts w:hint="eastAsia" w:ascii="仿宋" w:hAnsi="仿宋" w:eastAsia="仿宋" w:cs="仿宋"/>
          <w:spacing w:val="-4"/>
          <w:sz w:val="21"/>
          <w:szCs w:val="21"/>
        </w:rPr>
        <w:t xml:space="preserve">合同设备交付后应进行开箱检验，即合同设备数量及外观检验。开箱检验在专用合同 </w:t>
      </w:r>
      <w:r>
        <w:rPr>
          <w:rFonts w:hint="eastAsia" w:ascii="仿宋" w:hAnsi="仿宋" w:eastAsia="仿宋" w:cs="仿宋"/>
          <w:sz w:val="21"/>
          <w:szCs w:val="21"/>
        </w:rPr>
        <w:t>条款约定的下列任一种时间进行：</w:t>
      </w:r>
    </w:p>
    <w:p w14:paraId="7CEC97FA">
      <w:pPr>
        <w:pStyle w:val="12"/>
        <w:pageBreakBefore w:val="0"/>
        <w:widowControl w:val="0"/>
        <w:kinsoku/>
        <w:wordWrap/>
        <w:overflowPunct/>
        <w:topLinePunct w:val="0"/>
        <w:autoSpaceDE/>
        <w:autoSpaceDN/>
        <w:bidi w:val="0"/>
        <w:adjustRightInd/>
        <w:snapToGrid/>
        <w:spacing w:before="51"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（1）合同设备交付时；</w:t>
      </w:r>
    </w:p>
    <w:p w14:paraId="7E13F8F5">
      <w:pPr>
        <w:pStyle w:val="12"/>
        <w:pageBreakBefore w:val="0"/>
        <w:widowControl w:val="0"/>
        <w:kinsoku/>
        <w:wordWrap/>
        <w:overflowPunct/>
        <w:topLinePunct w:val="0"/>
        <w:autoSpaceDE/>
        <w:autoSpaceDN/>
        <w:bidi w:val="0"/>
        <w:adjustRightInd/>
        <w:snapToGrid/>
        <w:spacing w:before="117" w:line="400" w:lineRule="exact"/>
        <w:ind w:left="100" w:right="21" w:firstLine="419"/>
        <w:textAlignment w:val="auto"/>
        <w:rPr>
          <w:rFonts w:hint="eastAsia" w:ascii="仿宋" w:hAnsi="仿宋" w:eastAsia="仿宋" w:cs="仿宋"/>
          <w:sz w:val="21"/>
          <w:szCs w:val="21"/>
        </w:rPr>
      </w:pPr>
      <w:r>
        <w:rPr>
          <w:rFonts w:hint="eastAsia" w:ascii="仿宋" w:hAnsi="仿宋" w:eastAsia="仿宋" w:cs="仿宋"/>
          <w:sz w:val="21"/>
          <w:szCs w:val="21"/>
        </w:rPr>
        <w:t>（2）合同设备交付后的一定期限内。 如开箱检验不在合同设备交付时进行，买方应在开箱检验</w:t>
      </w:r>
      <w:r>
        <w:rPr>
          <w:rFonts w:hint="eastAsia" w:ascii="仿宋" w:hAnsi="仿宋" w:eastAsia="仿宋" w:cs="仿宋"/>
          <w:sz w:val="21"/>
          <w:szCs w:val="21"/>
          <w:lang w:val="en-US" w:eastAsia="zh-CN"/>
        </w:rPr>
        <w:t>3</w:t>
      </w:r>
      <w:r>
        <w:rPr>
          <w:rFonts w:hint="eastAsia" w:ascii="仿宋" w:hAnsi="仿宋" w:eastAsia="仿宋" w:cs="仿宋"/>
          <w:sz w:val="21"/>
          <w:szCs w:val="21"/>
        </w:rPr>
        <w:t>日将开箱检验的时间和地点通知卖方。</w:t>
      </w:r>
    </w:p>
    <w:p w14:paraId="1C216A2D">
      <w:pPr>
        <w:pStyle w:val="12"/>
        <w:pageBreakBefore w:val="0"/>
        <w:widowControl w:val="0"/>
        <w:kinsoku/>
        <w:wordWrap/>
        <w:overflowPunct/>
        <w:topLinePunct w:val="0"/>
        <w:autoSpaceDE/>
        <w:autoSpaceDN/>
        <w:bidi w:val="0"/>
        <w:adjustRightInd/>
        <w:snapToGrid/>
        <w:spacing w:before="133"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6.1.2 除专用合同条款另有约定外，合同设备的开箱检验应在施工场地进行。</w:t>
      </w:r>
    </w:p>
    <w:p w14:paraId="796E7A0A">
      <w:pPr>
        <w:pStyle w:val="12"/>
        <w:pageBreakBefore w:val="0"/>
        <w:widowControl w:val="0"/>
        <w:kinsoku/>
        <w:wordWrap/>
        <w:overflowPunct/>
        <w:topLinePunct w:val="0"/>
        <w:autoSpaceDE/>
        <w:autoSpaceDN/>
        <w:bidi w:val="0"/>
        <w:adjustRightInd/>
        <w:snapToGrid/>
        <w:spacing w:before="119"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6.1.3 开箱检验由买卖双方共同进行，卖方应自负费用派遣代表到场参加开箱检验。</w:t>
      </w:r>
    </w:p>
    <w:p w14:paraId="007CBCA0">
      <w:pPr>
        <w:pStyle w:val="12"/>
        <w:pageBreakBefore w:val="0"/>
        <w:widowControl w:val="0"/>
        <w:kinsoku/>
        <w:wordWrap/>
        <w:overflowPunct/>
        <w:topLinePunct w:val="0"/>
        <w:autoSpaceDE/>
        <w:autoSpaceDN/>
        <w:bidi w:val="0"/>
        <w:adjustRightInd/>
        <w:snapToGrid/>
        <w:spacing w:before="117" w:line="400" w:lineRule="exact"/>
        <w:ind w:left="100" w:right="21" w:firstLine="419"/>
        <w:textAlignment w:val="auto"/>
        <w:rPr>
          <w:rFonts w:hint="eastAsia" w:ascii="仿宋" w:hAnsi="仿宋" w:eastAsia="仿宋" w:cs="仿宋"/>
          <w:sz w:val="21"/>
          <w:szCs w:val="21"/>
        </w:rPr>
      </w:pPr>
      <w:r>
        <w:rPr>
          <w:rFonts w:hint="eastAsia" w:ascii="仿宋" w:hAnsi="仿宋" w:eastAsia="仿宋" w:cs="仿宋"/>
          <w:sz w:val="21"/>
          <w:szCs w:val="21"/>
        </w:rPr>
        <w:t>6.1.4 在开箱检验中，买方和卖方应共同签署数量、外观检验报告，报告应列明检验结果， 包括检验合格或发现的任何短缺、损坏或其它与合同约定不符的情形。</w:t>
      </w:r>
    </w:p>
    <w:p w14:paraId="7C1348BA">
      <w:pPr>
        <w:pStyle w:val="12"/>
        <w:pageBreakBefore w:val="0"/>
        <w:widowControl w:val="0"/>
        <w:kinsoku/>
        <w:wordWrap/>
        <w:overflowPunct/>
        <w:topLinePunct w:val="0"/>
        <w:autoSpaceDE/>
        <w:autoSpaceDN/>
        <w:bidi w:val="0"/>
        <w:adjustRightInd/>
        <w:snapToGrid/>
        <w:spacing w:before="49" w:line="400" w:lineRule="exact"/>
        <w:ind w:left="100" w:right="2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6.1.5 </w:t>
      </w:r>
      <w:r>
        <w:rPr>
          <w:rFonts w:hint="eastAsia" w:ascii="仿宋" w:hAnsi="仿宋" w:eastAsia="仿宋" w:cs="仿宋"/>
          <w:spacing w:val="-4"/>
          <w:sz w:val="21"/>
          <w:szCs w:val="21"/>
        </w:rPr>
        <w:t xml:space="preserve">如果卖方代表未能依约或按买方通知到场参加开箱检验，买方有权在卖方代表未在场 </w:t>
      </w:r>
      <w:r>
        <w:rPr>
          <w:rFonts w:hint="eastAsia" w:ascii="仿宋" w:hAnsi="仿宋" w:eastAsia="仿宋" w:cs="仿宋"/>
          <w:spacing w:val="-1"/>
          <w:sz w:val="21"/>
          <w:szCs w:val="21"/>
        </w:rPr>
        <w:t xml:space="preserve">的情况下进行开箱检验，并签署数量、外观检验报告，对于该检验报告和检验结果，视为卖方 </w:t>
      </w:r>
      <w:r>
        <w:rPr>
          <w:rFonts w:hint="eastAsia" w:ascii="仿宋" w:hAnsi="仿宋" w:eastAsia="仿宋" w:cs="仿宋"/>
          <w:sz w:val="21"/>
          <w:szCs w:val="21"/>
        </w:rPr>
        <w:t>已接受，但卖方确有合理理由且事先与买方协商推迟开箱检验时间的除外。</w:t>
      </w:r>
    </w:p>
    <w:p w14:paraId="2C04337B">
      <w:pPr>
        <w:pStyle w:val="12"/>
        <w:pageBreakBefore w:val="0"/>
        <w:widowControl w:val="0"/>
        <w:kinsoku/>
        <w:wordWrap/>
        <w:overflowPunct/>
        <w:topLinePunct w:val="0"/>
        <w:autoSpaceDE/>
        <w:autoSpaceDN/>
        <w:bidi w:val="0"/>
        <w:adjustRightInd/>
        <w:snapToGrid/>
        <w:spacing w:before="135" w:line="400" w:lineRule="exact"/>
        <w:ind w:left="100" w:right="1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6.1.6 如开箱检验不在合同设备交付时进行，则合同设备交付以后到开箱检验之前，应由</w:t>
      </w:r>
    </w:p>
    <w:p w14:paraId="7C4FAD3C">
      <w:pPr>
        <w:pStyle w:val="12"/>
        <w:pageBreakBefore w:val="0"/>
        <w:widowControl w:val="0"/>
        <w:kinsoku/>
        <w:wordWrap/>
        <w:overflowPunct/>
        <w:topLinePunct w:val="0"/>
        <w:autoSpaceDE/>
        <w:autoSpaceDN/>
        <w:bidi w:val="0"/>
        <w:adjustRightInd/>
        <w:snapToGrid/>
        <w:spacing w:before="135" w:line="400" w:lineRule="exact"/>
        <w:ind w:left="100" w:right="1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买方负责按交货时外包装原样对合同设备进行妥善保管。除专用合同条款另有约定外，在开箱检 验时如果合同设备外包装与交货时一致，则开箱检验中发现的合同设备的短缺、损坏或其它与 合同约定不符的情形，由卖方负责，卖方应补齐、更换及采取其他补救措施。如果在开箱检验 时合同设备外包装不是交货时的包装或虽是交货时的包装但与交货时不一致且出现很可能导致 合同设备短缺或损坏的包装破损，则开箱检验中发现合同设备短缺、损坏或其它与合同约定不 符的情形的风险，由买方承担，但买方能够证明是由于卖方原因或合同设备交付前非买方原因 导致的除外。</w:t>
      </w:r>
    </w:p>
    <w:p w14:paraId="3DFDC2E7">
      <w:pPr>
        <w:pStyle w:val="12"/>
        <w:pageBreakBefore w:val="0"/>
        <w:widowControl w:val="0"/>
        <w:kinsoku/>
        <w:wordWrap/>
        <w:overflowPunct/>
        <w:topLinePunct w:val="0"/>
        <w:autoSpaceDE/>
        <w:autoSpaceDN/>
        <w:bidi w:val="0"/>
        <w:adjustRightInd/>
        <w:snapToGrid/>
        <w:spacing w:before="33" w:line="400" w:lineRule="exact"/>
        <w:ind w:left="100" w:right="1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6.1.7 </w:t>
      </w:r>
      <w:r>
        <w:rPr>
          <w:rFonts w:hint="eastAsia" w:ascii="仿宋" w:hAnsi="仿宋" w:eastAsia="仿宋" w:cs="仿宋"/>
          <w:spacing w:val="-4"/>
          <w:sz w:val="21"/>
          <w:szCs w:val="21"/>
        </w:rPr>
        <w:t xml:space="preserve">如双方在专用合同条款和（或）供货要求等合同文件中约定由第三方检测机构对合同 </w:t>
      </w:r>
      <w:r>
        <w:rPr>
          <w:rFonts w:hint="eastAsia" w:ascii="仿宋" w:hAnsi="仿宋" w:eastAsia="仿宋" w:cs="仿宋"/>
          <w:spacing w:val="-1"/>
          <w:sz w:val="21"/>
          <w:szCs w:val="21"/>
        </w:rPr>
        <w:t xml:space="preserve">设备进行开箱检验或在开箱检验过程中另行约定由第三方检验的，则第三方检测机构的检验结 </w:t>
      </w:r>
      <w:r>
        <w:rPr>
          <w:rFonts w:hint="eastAsia" w:ascii="仿宋" w:hAnsi="仿宋" w:eastAsia="仿宋" w:cs="仿宋"/>
          <w:sz w:val="21"/>
          <w:szCs w:val="21"/>
        </w:rPr>
        <w:t>果对双方均具有约束力。</w:t>
      </w:r>
    </w:p>
    <w:p w14:paraId="271B5240">
      <w:pPr>
        <w:pStyle w:val="12"/>
        <w:pageBreakBefore w:val="0"/>
        <w:widowControl w:val="0"/>
        <w:kinsoku/>
        <w:wordWrap/>
        <w:overflowPunct/>
        <w:topLinePunct w:val="0"/>
        <w:autoSpaceDE/>
        <w:autoSpaceDN/>
        <w:bidi w:val="0"/>
        <w:adjustRightInd/>
        <w:snapToGrid/>
        <w:spacing w:before="40" w:line="400" w:lineRule="exact"/>
        <w:ind w:left="100" w:right="1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6.1.8 </w:t>
      </w:r>
      <w:r>
        <w:rPr>
          <w:rFonts w:hint="eastAsia" w:ascii="仿宋" w:hAnsi="仿宋" w:eastAsia="仿宋" w:cs="仿宋"/>
          <w:spacing w:val="-4"/>
          <w:sz w:val="21"/>
          <w:szCs w:val="21"/>
        </w:rPr>
        <w:t xml:space="preserve">开箱检验的检验结果不能对抗在合同设备的安装、调试、考核、验收中及质量保证期 </w:t>
      </w:r>
      <w:r>
        <w:rPr>
          <w:rFonts w:hint="eastAsia" w:ascii="仿宋" w:hAnsi="仿宋" w:eastAsia="仿宋" w:cs="仿宋"/>
          <w:spacing w:val="-1"/>
          <w:sz w:val="21"/>
          <w:szCs w:val="21"/>
        </w:rPr>
        <w:t xml:space="preserve">内发现的合同设备质量问题，也不能免除或影响卖方依照合同约定对买方负有的包括合同设备 </w:t>
      </w:r>
      <w:r>
        <w:rPr>
          <w:rFonts w:hint="eastAsia" w:ascii="仿宋" w:hAnsi="仿宋" w:eastAsia="仿宋" w:cs="仿宋"/>
          <w:sz w:val="21"/>
          <w:szCs w:val="21"/>
        </w:rPr>
        <w:t>质量在内的任何义务或责任。</w:t>
      </w:r>
    </w:p>
    <w:p w14:paraId="336C2F41">
      <w:pPr>
        <w:pStyle w:val="4"/>
        <w:pageBreakBefore w:val="0"/>
        <w:widowControl w:val="0"/>
        <w:kinsoku/>
        <w:wordWrap/>
        <w:overflowPunct/>
        <w:topLinePunct w:val="0"/>
        <w:autoSpaceDE/>
        <w:autoSpaceDN/>
        <w:bidi w:val="0"/>
        <w:adjustRightInd/>
        <w:snapToGrid/>
        <w:spacing w:before="1" w:line="400" w:lineRule="exact"/>
        <w:textAlignment w:val="auto"/>
        <w:rPr>
          <w:rFonts w:hint="eastAsia" w:ascii="仿宋" w:hAnsi="仿宋" w:eastAsia="仿宋" w:cs="仿宋"/>
          <w:sz w:val="21"/>
          <w:szCs w:val="21"/>
        </w:rPr>
      </w:pPr>
      <w:bookmarkStart w:id="512" w:name="_bookmark128"/>
      <w:bookmarkEnd w:id="512"/>
      <w:r>
        <w:rPr>
          <w:rFonts w:hint="eastAsia" w:ascii="仿宋" w:hAnsi="仿宋" w:eastAsia="仿宋" w:cs="仿宋"/>
          <w:sz w:val="21"/>
          <w:szCs w:val="21"/>
        </w:rPr>
        <w:t>6.2  安装、调试</w:t>
      </w:r>
    </w:p>
    <w:p w14:paraId="273EEFBE">
      <w:pPr>
        <w:pStyle w:val="12"/>
        <w:pageBreakBefore w:val="0"/>
        <w:widowControl w:val="0"/>
        <w:kinsoku/>
        <w:wordWrap/>
        <w:overflowPunct/>
        <w:topLinePunct w:val="0"/>
        <w:autoSpaceDE/>
        <w:autoSpaceDN/>
        <w:bidi w:val="0"/>
        <w:adjustRightInd/>
        <w:snapToGrid/>
        <w:spacing w:before="249" w:line="400" w:lineRule="exact"/>
        <w:ind w:left="100" w:right="113"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6.2.1 </w:t>
      </w:r>
      <w:r>
        <w:rPr>
          <w:rFonts w:hint="eastAsia" w:ascii="仿宋" w:hAnsi="仿宋" w:eastAsia="仿宋" w:cs="仿宋"/>
          <w:spacing w:val="-9"/>
          <w:sz w:val="21"/>
          <w:szCs w:val="21"/>
        </w:rPr>
        <w:t xml:space="preserve">开箱检验完成后，双方应对合同设备进行安装、调试，以使其具备考核的状态。安装、 </w:t>
      </w:r>
      <w:r>
        <w:rPr>
          <w:rFonts w:hint="eastAsia" w:ascii="仿宋" w:hAnsi="仿宋" w:eastAsia="仿宋" w:cs="仿宋"/>
          <w:sz w:val="21"/>
          <w:szCs w:val="21"/>
        </w:rPr>
        <w:t>调试应按照专用合同条款约定的下列任一种方式进行：</w:t>
      </w:r>
    </w:p>
    <w:p w14:paraId="657CD20E">
      <w:pPr>
        <w:pStyle w:val="12"/>
        <w:pageBreakBefore w:val="0"/>
        <w:widowControl w:val="0"/>
        <w:kinsoku/>
        <w:wordWrap/>
        <w:overflowPunct/>
        <w:topLinePunct w:val="0"/>
        <w:autoSpaceDE/>
        <w:autoSpaceDN/>
        <w:bidi w:val="0"/>
        <w:adjustRightInd/>
        <w:snapToGrid/>
        <w:spacing w:before="49" w:line="400" w:lineRule="exact"/>
        <w:ind w:left="520" w:right="102"/>
        <w:textAlignment w:val="auto"/>
        <w:rPr>
          <w:rFonts w:hint="eastAsia" w:ascii="仿宋" w:hAnsi="仿宋" w:eastAsia="仿宋" w:cs="仿宋"/>
          <w:sz w:val="21"/>
          <w:szCs w:val="21"/>
        </w:rPr>
      </w:pPr>
      <w:r>
        <w:rPr>
          <w:rFonts w:hint="eastAsia" w:ascii="仿宋" w:hAnsi="仿宋" w:eastAsia="仿宋" w:cs="仿宋"/>
          <w:sz w:val="21"/>
          <w:szCs w:val="21"/>
        </w:rPr>
        <w:t>（1）卖方按照合同约定完成合同设备的安装、调试工作；</w:t>
      </w:r>
    </w:p>
    <w:p w14:paraId="088EDD26">
      <w:pPr>
        <w:pStyle w:val="12"/>
        <w:pageBreakBefore w:val="0"/>
        <w:widowControl w:val="0"/>
        <w:kinsoku/>
        <w:wordWrap/>
        <w:overflowPunct/>
        <w:topLinePunct w:val="0"/>
        <w:autoSpaceDE/>
        <w:autoSpaceDN/>
        <w:bidi w:val="0"/>
        <w:adjustRightInd/>
        <w:snapToGrid/>
        <w:spacing w:before="135" w:line="400" w:lineRule="exact"/>
        <w:ind w:left="100" w:right="1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（2）买方或买方安排第三方负责合同设备的安装、调试工作，卖方提供技术服务。 除专用合同条款另有约定外，在安装、调试过程中，如由于买方或买方安排的第三方未按照卖方现场服务人员的指导导致安装、调试不成功和（或）出现合同设备损坏，买方应自行承 担责任。如在买方或买方安排的第三方按照卖方现场服务人员的指导进行安装、调试的情况下 出现安装、调试不成功和（或）造成合同设备损坏的情况，卖方应承担责任。</w:t>
      </w:r>
    </w:p>
    <w:p w14:paraId="561BB094">
      <w:pPr>
        <w:pStyle w:val="12"/>
        <w:pageBreakBefore w:val="0"/>
        <w:widowControl w:val="0"/>
        <w:kinsoku/>
        <w:wordWrap/>
        <w:overflowPunct/>
        <w:topLinePunct w:val="0"/>
        <w:autoSpaceDE/>
        <w:autoSpaceDN/>
        <w:bidi w:val="0"/>
        <w:adjustRightInd/>
        <w:snapToGrid/>
        <w:spacing w:before="30" w:line="400" w:lineRule="exact"/>
        <w:ind w:left="100" w:right="114"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6.2.2 </w:t>
      </w:r>
      <w:r>
        <w:rPr>
          <w:rFonts w:hint="eastAsia" w:ascii="仿宋" w:hAnsi="仿宋" w:eastAsia="仿宋" w:cs="仿宋"/>
          <w:spacing w:val="-4"/>
          <w:sz w:val="21"/>
          <w:szCs w:val="21"/>
        </w:rPr>
        <w:t xml:space="preserve">除专用合同条款另有约定外，安装、调试中合同设备运行需要的用水、用电、其他动 </w:t>
      </w:r>
      <w:r>
        <w:rPr>
          <w:rFonts w:hint="eastAsia" w:ascii="仿宋" w:hAnsi="仿宋" w:eastAsia="仿宋" w:cs="仿宋"/>
          <w:sz w:val="21"/>
          <w:szCs w:val="21"/>
        </w:rPr>
        <w:t>力和原材料（如需要）等均由买方承担。</w:t>
      </w:r>
    </w:p>
    <w:p w14:paraId="1499AF7D">
      <w:pPr>
        <w:pStyle w:val="12"/>
        <w:pageBreakBefore w:val="0"/>
        <w:widowControl w:val="0"/>
        <w:kinsoku/>
        <w:wordWrap/>
        <w:overflowPunct/>
        <w:topLinePunct w:val="0"/>
        <w:autoSpaceDE/>
        <w:autoSpaceDN/>
        <w:bidi w:val="0"/>
        <w:adjustRightInd/>
        <w:snapToGrid/>
        <w:spacing w:before="47" w:line="400" w:lineRule="exact"/>
        <w:ind w:left="520" w:right="102"/>
        <w:textAlignment w:val="auto"/>
        <w:rPr>
          <w:rFonts w:hint="eastAsia" w:ascii="仿宋" w:hAnsi="仿宋" w:eastAsia="仿宋" w:cs="仿宋"/>
          <w:sz w:val="21"/>
          <w:szCs w:val="21"/>
        </w:rPr>
      </w:pPr>
      <w:r>
        <w:rPr>
          <w:rFonts w:hint="eastAsia" w:ascii="仿宋" w:hAnsi="仿宋" w:eastAsia="仿宋" w:cs="仿宋"/>
          <w:sz w:val="21"/>
          <w:szCs w:val="21"/>
        </w:rPr>
        <w:t>6.2.3</w:t>
      </w:r>
      <w:r>
        <w:rPr>
          <w:rFonts w:hint="eastAsia" w:ascii="仿宋" w:hAnsi="仿宋" w:eastAsia="仿宋" w:cs="仿宋"/>
          <w:spacing w:val="50"/>
          <w:sz w:val="21"/>
          <w:szCs w:val="21"/>
        </w:rPr>
        <w:t xml:space="preserve"> </w:t>
      </w:r>
      <w:r>
        <w:rPr>
          <w:rFonts w:hint="eastAsia" w:ascii="仿宋" w:hAnsi="仿宋" w:eastAsia="仿宋" w:cs="仿宋"/>
          <w:sz w:val="21"/>
          <w:szCs w:val="21"/>
        </w:rPr>
        <w:t>双方应对合同设备的安装、调试情况共同及时进行记录。</w:t>
      </w:r>
    </w:p>
    <w:p w14:paraId="38272AAD">
      <w:pPr>
        <w:pStyle w:val="4"/>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bookmarkStart w:id="513" w:name="_bookmark129"/>
      <w:bookmarkEnd w:id="513"/>
      <w:r>
        <w:rPr>
          <w:rFonts w:hint="eastAsia" w:ascii="仿宋" w:hAnsi="仿宋" w:eastAsia="仿宋" w:cs="仿宋"/>
          <w:sz w:val="21"/>
          <w:szCs w:val="21"/>
        </w:rPr>
        <w:t>6.3</w:t>
      </w:r>
      <w:r>
        <w:rPr>
          <w:rFonts w:hint="eastAsia" w:ascii="仿宋" w:hAnsi="仿宋" w:eastAsia="仿宋" w:cs="仿宋"/>
          <w:spacing w:val="69"/>
          <w:sz w:val="21"/>
          <w:szCs w:val="21"/>
        </w:rPr>
        <w:t xml:space="preserve"> </w:t>
      </w:r>
      <w:r>
        <w:rPr>
          <w:rFonts w:hint="eastAsia" w:ascii="仿宋" w:hAnsi="仿宋" w:eastAsia="仿宋" w:cs="仿宋"/>
          <w:sz w:val="21"/>
          <w:szCs w:val="21"/>
        </w:rPr>
        <w:t>考核</w:t>
      </w:r>
    </w:p>
    <w:p w14:paraId="57E485A6">
      <w:pPr>
        <w:pStyle w:val="12"/>
        <w:pageBreakBefore w:val="0"/>
        <w:widowControl w:val="0"/>
        <w:kinsoku/>
        <w:wordWrap/>
        <w:overflowPunct/>
        <w:topLinePunct w:val="0"/>
        <w:autoSpaceDE/>
        <w:autoSpaceDN/>
        <w:bidi w:val="0"/>
        <w:adjustRightInd/>
        <w:snapToGrid/>
        <w:spacing w:before="248" w:line="400" w:lineRule="exact"/>
        <w:ind w:left="100" w:right="113"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6.3.1 </w:t>
      </w:r>
      <w:r>
        <w:rPr>
          <w:rFonts w:hint="eastAsia" w:ascii="仿宋" w:hAnsi="仿宋" w:eastAsia="仿宋" w:cs="仿宋"/>
          <w:spacing w:val="-4"/>
          <w:sz w:val="21"/>
          <w:szCs w:val="21"/>
        </w:rPr>
        <w:t xml:space="preserve">安装、调试完成后，双方应对合同设备进行考核，以确定合同设备是否达到合同约定 </w:t>
      </w:r>
      <w:r>
        <w:rPr>
          <w:rFonts w:hint="eastAsia" w:ascii="仿宋" w:hAnsi="仿宋" w:eastAsia="仿宋" w:cs="仿宋"/>
          <w:spacing w:val="-1"/>
          <w:sz w:val="21"/>
          <w:szCs w:val="21"/>
        </w:rPr>
        <w:t xml:space="preserve">的技术性能考核指标。除专用合同条款另有约定外，考核中合同设备运行需要的用水、用电、 </w:t>
      </w:r>
      <w:r>
        <w:rPr>
          <w:rFonts w:hint="eastAsia" w:ascii="仿宋" w:hAnsi="仿宋" w:eastAsia="仿宋" w:cs="仿宋"/>
          <w:sz w:val="21"/>
          <w:szCs w:val="21"/>
        </w:rPr>
        <w:t>其他动力和原材料（如需要）等均由买方承担。</w:t>
      </w:r>
    </w:p>
    <w:p w14:paraId="69584C13">
      <w:pPr>
        <w:pStyle w:val="12"/>
        <w:pageBreakBefore w:val="0"/>
        <w:widowControl w:val="0"/>
        <w:kinsoku/>
        <w:wordWrap/>
        <w:overflowPunct/>
        <w:topLinePunct w:val="0"/>
        <w:autoSpaceDE/>
        <w:autoSpaceDN/>
        <w:bidi w:val="0"/>
        <w:adjustRightInd/>
        <w:snapToGrid/>
        <w:spacing w:before="6" w:line="400" w:lineRule="exact"/>
        <w:ind w:left="100" w:right="2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6.3.2 </w:t>
      </w:r>
      <w:r>
        <w:rPr>
          <w:rFonts w:hint="eastAsia" w:ascii="仿宋" w:hAnsi="仿宋" w:eastAsia="仿宋" w:cs="仿宋"/>
          <w:spacing w:val="-4"/>
          <w:sz w:val="21"/>
          <w:szCs w:val="21"/>
        </w:rPr>
        <w:t xml:space="preserve">如由于卖方原因合同设备在考核中未能达到合同约定的技术性能考核指标，则卖方应 </w:t>
      </w:r>
      <w:r>
        <w:rPr>
          <w:rFonts w:hint="eastAsia" w:ascii="仿宋" w:hAnsi="仿宋" w:eastAsia="仿宋" w:cs="仿宋"/>
          <w:spacing w:val="-1"/>
          <w:sz w:val="21"/>
          <w:szCs w:val="21"/>
        </w:rPr>
        <w:t xml:space="preserve">在双方同意的期限内采取措施消除合同设备中存在的缺陷，并在缺陷消除以后，尽快进行再次 </w:t>
      </w:r>
      <w:r>
        <w:rPr>
          <w:rFonts w:hint="eastAsia" w:ascii="仿宋" w:hAnsi="仿宋" w:eastAsia="仿宋" w:cs="仿宋"/>
          <w:sz w:val="21"/>
          <w:szCs w:val="21"/>
        </w:rPr>
        <w:t>考核。</w:t>
      </w:r>
    </w:p>
    <w:p w14:paraId="2DDE883E">
      <w:pPr>
        <w:pStyle w:val="12"/>
        <w:pageBreakBefore w:val="0"/>
        <w:widowControl w:val="0"/>
        <w:kinsoku/>
        <w:wordWrap/>
        <w:overflowPunct/>
        <w:topLinePunct w:val="0"/>
        <w:autoSpaceDE/>
        <w:autoSpaceDN/>
        <w:bidi w:val="0"/>
        <w:adjustRightInd/>
        <w:snapToGrid/>
        <w:spacing w:before="43" w:line="400" w:lineRule="exact"/>
        <w:ind w:left="100" w:right="213"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6.3.3 </w:t>
      </w:r>
      <w:r>
        <w:rPr>
          <w:rFonts w:hint="eastAsia" w:ascii="仿宋" w:hAnsi="仿宋" w:eastAsia="仿宋" w:cs="仿宋"/>
          <w:spacing w:val="-3"/>
          <w:sz w:val="21"/>
          <w:szCs w:val="21"/>
        </w:rPr>
        <w:t xml:space="preserve">由于卖方原因未能达到技术性能考核指标时，为卖方进行考核的机会不超过三次。如 </w:t>
      </w:r>
      <w:r>
        <w:rPr>
          <w:rFonts w:hint="eastAsia" w:ascii="仿宋" w:hAnsi="仿宋" w:eastAsia="仿宋" w:cs="仿宋"/>
          <w:spacing w:val="-1"/>
          <w:sz w:val="21"/>
          <w:szCs w:val="21"/>
        </w:rPr>
        <w:t xml:space="preserve">果由于卖方原因，三次考核均未能达到合同约定的技术性能考核指标，则买卖双方应就合同的 后续履行进行协商，协商不成的，买方有权解除合同。但如合同中约定了或双方在考核中另行 达成了合同设备的最低技术性能考核指标，且合同设备达到了最低技术性能考核指标的，视为 合同设备已达到技术性能考核指标，买方无权解除合同，且应接受合同设备，但卖方应按专用 </w:t>
      </w:r>
      <w:r>
        <w:rPr>
          <w:rFonts w:hint="eastAsia" w:ascii="仿宋" w:hAnsi="仿宋" w:eastAsia="仿宋" w:cs="仿宋"/>
          <w:sz w:val="21"/>
          <w:szCs w:val="21"/>
        </w:rPr>
        <w:t>合同条款的约定进行减价或向买方支付补偿金。</w:t>
      </w:r>
    </w:p>
    <w:p w14:paraId="185692A0">
      <w:pPr>
        <w:pStyle w:val="12"/>
        <w:pageBreakBefore w:val="0"/>
        <w:widowControl w:val="0"/>
        <w:kinsoku/>
        <w:wordWrap/>
        <w:overflowPunct/>
        <w:topLinePunct w:val="0"/>
        <w:autoSpaceDE/>
        <w:autoSpaceDN/>
        <w:bidi w:val="0"/>
        <w:adjustRightInd/>
        <w:snapToGrid/>
        <w:spacing w:before="34" w:line="400" w:lineRule="exact"/>
        <w:ind w:left="100" w:right="2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6.3.4 </w:t>
      </w:r>
      <w:r>
        <w:rPr>
          <w:rFonts w:hint="eastAsia" w:ascii="仿宋" w:hAnsi="仿宋" w:eastAsia="仿宋" w:cs="仿宋"/>
          <w:spacing w:val="-4"/>
          <w:sz w:val="21"/>
          <w:szCs w:val="21"/>
        </w:rPr>
        <w:t xml:space="preserve">如由于买方原因合同设备在考核中未能达到合同约定的技术性能考核指标，则卖方应 </w:t>
      </w:r>
      <w:r>
        <w:rPr>
          <w:rFonts w:hint="eastAsia" w:ascii="仿宋" w:hAnsi="仿宋" w:eastAsia="仿宋" w:cs="仿宋"/>
          <w:spacing w:val="-1"/>
          <w:sz w:val="21"/>
          <w:szCs w:val="21"/>
        </w:rPr>
        <w:t xml:space="preserve">协助买方安排再次考核。由于买方原因未能达到技术性能考核指标时，为买方进行考核的机会 </w:t>
      </w:r>
      <w:r>
        <w:rPr>
          <w:rFonts w:hint="eastAsia" w:ascii="仿宋" w:hAnsi="仿宋" w:eastAsia="仿宋" w:cs="仿宋"/>
          <w:sz w:val="21"/>
          <w:szCs w:val="21"/>
        </w:rPr>
        <w:t>不超过三次。</w:t>
      </w:r>
    </w:p>
    <w:p w14:paraId="5F761508">
      <w:pPr>
        <w:pStyle w:val="12"/>
        <w:pageBreakBefore w:val="0"/>
        <w:widowControl w:val="0"/>
        <w:kinsoku/>
        <w:wordWrap/>
        <w:overflowPunct/>
        <w:topLinePunct w:val="0"/>
        <w:autoSpaceDE/>
        <w:autoSpaceDN/>
        <w:bidi w:val="0"/>
        <w:adjustRightInd/>
        <w:snapToGrid/>
        <w:spacing w:before="43" w:line="400" w:lineRule="exact"/>
        <w:ind w:left="100" w:right="21" w:firstLine="419"/>
        <w:textAlignment w:val="auto"/>
        <w:rPr>
          <w:rFonts w:hint="eastAsia" w:ascii="仿宋" w:hAnsi="仿宋" w:eastAsia="仿宋" w:cs="仿宋"/>
          <w:sz w:val="21"/>
          <w:szCs w:val="21"/>
        </w:rPr>
      </w:pPr>
      <w:r>
        <w:rPr>
          <w:rFonts w:hint="eastAsia" w:ascii="仿宋" w:hAnsi="仿宋" w:eastAsia="仿宋" w:cs="仿宋"/>
          <w:sz w:val="21"/>
          <w:szCs w:val="21"/>
        </w:rPr>
        <w:t>6.3.5 考核期间，双方应及时共同记录合同设备的用水、用电、其他动力和原材料（如有） 的使用及设备考核情况。对于未达到技术性能考核指标的，应如实记录设备表现、可能原因及 处理情况等。</w:t>
      </w:r>
    </w:p>
    <w:p w14:paraId="6D76BCDD">
      <w:pPr>
        <w:pStyle w:val="4"/>
        <w:pageBreakBefore w:val="0"/>
        <w:widowControl w:val="0"/>
        <w:kinsoku/>
        <w:wordWrap/>
        <w:overflowPunct/>
        <w:topLinePunct w:val="0"/>
        <w:autoSpaceDE/>
        <w:autoSpaceDN/>
        <w:bidi w:val="0"/>
        <w:adjustRightInd/>
        <w:snapToGrid/>
        <w:spacing w:line="400" w:lineRule="exact"/>
        <w:ind w:right="21"/>
        <w:textAlignment w:val="auto"/>
        <w:rPr>
          <w:rFonts w:hint="eastAsia" w:ascii="仿宋" w:hAnsi="仿宋" w:eastAsia="仿宋" w:cs="仿宋"/>
          <w:sz w:val="21"/>
          <w:szCs w:val="21"/>
        </w:rPr>
      </w:pPr>
      <w:bookmarkStart w:id="514" w:name="_bookmark130"/>
      <w:bookmarkEnd w:id="514"/>
      <w:r>
        <w:rPr>
          <w:rFonts w:hint="eastAsia" w:ascii="仿宋" w:hAnsi="仿宋" w:eastAsia="仿宋" w:cs="仿宋"/>
          <w:sz w:val="21"/>
          <w:szCs w:val="21"/>
        </w:rPr>
        <w:t>6.4</w:t>
      </w:r>
      <w:r>
        <w:rPr>
          <w:rFonts w:hint="eastAsia" w:ascii="仿宋" w:hAnsi="仿宋" w:eastAsia="仿宋" w:cs="仿宋"/>
          <w:spacing w:val="69"/>
          <w:sz w:val="21"/>
          <w:szCs w:val="21"/>
        </w:rPr>
        <w:t xml:space="preserve"> </w:t>
      </w:r>
      <w:r>
        <w:rPr>
          <w:rFonts w:hint="eastAsia" w:ascii="仿宋" w:hAnsi="仿宋" w:eastAsia="仿宋" w:cs="仿宋"/>
          <w:sz w:val="21"/>
          <w:szCs w:val="21"/>
        </w:rPr>
        <w:t>验收</w:t>
      </w:r>
    </w:p>
    <w:p w14:paraId="490623E7">
      <w:pPr>
        <w:pStyle w:val="12"/>
        <w:pageBreakBefore w:val="0"/>
        <w:widowControl w:val="0"/>
        <w:kinsoku/>
        <w:wordWrap/>
        <w:overflowPunct/>
        <w:topLinePunct w:val="0"/>
        <w:autoSpaceDE/>
        <w:autoSpaceDN/>
        <w:bidi w:val="0"/>
        <w:adjustRightInd/>
        <w:snapToGrid/>
        <w:spacing w:before="135" w:line="400" w:lineRule="exact"/>
        <w:ind w:left="100" w:right="1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6.4.1   如合同设备在考核中达到或视为达到技术性能考核指标，则买卖双方应在考核完成后7日内或专用合同条款另行约定的时间内签署合同设备验收证书一式二份，双方各持一份。验 收日期应为合同设备达到或视为达到技术性能考核指标的日期。</w:t>
      </w:r>
    </w:p>
    <w:p w14:paraId="101126E6">
      <w:pPr>
        <w:pStyle w:val="12"/>
        <w:pageBreakBefore w:val="0"/>
        <w:widowControl w:val="0"/>
        <w:kinsoku/>
        <w:wordWrap/>
        <w:overflowPunct/>
        <w:topLinePunct w:val="0"/>
        <w:autoSpaceDE/>
        <w:autoSpaceDN/>
        <w:bidi w:val="0"/>
        <w:adjustRightInd/>
        <w:snapToGrid/>
        <w:spacing w:before="135" w:line="400" w:lineRule="exact"/>
        <w:ind w:left="100" w:right="1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6.4.2   如由于买方原因合同设备在三次考核中均未能达到技术性能考核指标，买卖双方应在考核结束后</w:t>
      </w:r>
      <w:r>
        <w:rPr>
          <w:rFonts w:hint="eastAsia" w:ascii="仿宋" w:hAnsi="仿宋" w:eastAsia="仿宋" w:cs="仿宋"/>
          <w:sz w:val="21"/>
          <w:szCs w:val="21"/>
          <w:lang w:val="en-US" w:eastAsia="zh-CN"/>
        </w:rPr>
        <w:t>7</w:t>
      </w:r>
      <w:r>
        <w:rPr>
          <w:rFonts w:hint="eastAsia" w:ascii="仿宋" w:hAnsi="仿宋" w:eastAsia="仿宋" w:cs="仿宋"/>
          <w:sz w:val="21"/>
          <w:szCs w:val="21"/>
        </w:rPr>
        <w:t>日内或专用合同条款另行约定的时间内签署验收款支付函。除专用合同条款另有约定外，卖方有义务在验收款支付函签署后</w:t>
      </w:r>
      <w:r>
        <w:rPr>
          <w:rFonts w:hint="eastAsia" w:ascii="仿宋" w:hAnsi="仿宋" w:eastAsia="仿宋" w:cs="仿宋"/>
          <w:sz w:val="21"/>
          <w:szCs w:val="21"/>
          <w:lang w:val="en-US" w:eastAsia="zh-CN"/>
        </w:rPr>
        <w:t>12</w:t>
      </w:r>
      <w:r>
        <w:rPr>
          <w:rFonts w:hint="eastAsia" w:ascii="仿宋" w:hAnsi="仿宋" w:eastAsia="仿宋" w:cs="仿宋"/>
          <w:sz w:val="21"/>
          <w:szCs w:val="21"/>
        </w:rPr>
        <w:t>个月内应买方要求提供相关技术服务，协助买方采取一切必要措施使合同设备达到技术性能考核指标。买方应承担卖 方因此产生的全部费用。在上述</w:t>
      </w:r>
      <w:r>
        <w:rPr>
          <w:rFonts w:hint="eastAsia" w:ascii="仿宋" w:hAnsi="仿宋" w:eastAsia="仿宋" w:cs="仿宋"/>
          <w:sz w:val="21"/>
          <w:szCs w:val="21"/>
          <w:lang w:val="en-US" w:eastAsia="zh-CN"/>
        </w:rPr>
        <w:t>12</w:t>
      </w:r>
      <w:r>
        <w:rPr>
          <w:rFonts w:hint="eastAsia" w:ascii="仿宋" w:hAnsi="仿宋" w:eastAsia="仿宋" w:cs="仿宋"/>
          <w:sz w:val="21"/>
          <w:szCs w:val="21"/>
        </w:rPr>
        <w:t>个月的期限内，如合同设备经过考核达到或视为达到技术性能考核指标，则买卖双方应按照第 6.4.1 项的约定签署合同设备验收证书。</w:t>
      </w:r>
    </w:p>
    <w:p w14:paraId="1D356727">
      <w:pPr>
        <w:pStyle w:val="12"/>
        <w:pageBreakBefore w:val="0"/>
        <w:widowControl w:val="0"/>
        <w:kinsoku/>
        <w:wordWrap/>
        <w:overflowPunct/>
        <w:topLinePunct w:val="0"/>
        <w:autoSpaceDE/>
        <w:autoSpaceDN/>
        <w:bidi w:val="0"/>
        <w:adjustRightInd/>
        <w:snapToGrid/>
        <w:spacing w:before="135" w:line="400" w:lineRule="exact"/>
        <w:ind w:left="100" w:right="1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6.4.3  除专用合同条款另有约定外，如由于买方原因在最后一批合同设备交货后 </w:t>
      </w:r>
      <w:r>
        <w:rPr>
          <w:rFonts w:hint="eastAsia" w:ascii="仿宋" w:hAnsi="仿宋" w:eastAsia="仿宋" w:cs="仿宋"/>
          <w:sz w:val="21"/>
          <w:szCs w:val="21"/>
          <w:lang w:val="en-US" w:eastAsia="zh-CN"/>
        </w:rPr>
        <w:t>6</w:t>
      </w:r>
      <w:r>
        <w:rPr>
          <w:rFonts w:hint="eastAsia" w:ascii="仿宋" w:hAnsi="仿宋" w:eastAsia="仿宋" w:cs="仿宋"/>
          <w:sz w:val="21"/>
          <w:szCs w:val="21"/>
        </w:rPr>
        <w:t>个月内未能开始考核，则买卖双方应在上述期限届满后 7 日内或专用合同条款另行约定的时间内签署验 收款支付函。</w:t>
      </w:r>
    </w:p>
    <w:p w14:paraId="3A073883">
      <w:pPr>
        <w:pStyle w:val="12"/>
        <w:pageBreakBefore w:val="0"/>
        <w:widowControl w:val="0"/>
        <w:kinsoku/>
        <w:wordWrap/>
        <w:overflowPunct/>
        <w:topLinePunct w:val="0"/>
        <w:autoSpaceDE/>
        <w:autoSpaceDN/>
        <w:bidi w:val="0"/>
        <w:adjustRightInd/>
        <w:snapToGrid/>
        <w:spacing w:before="135" w:line="400" w:lineRule="exact"/>
        <w:ind w:left="100" w:right="1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除专用合同条款另有约定外，卖方有义务在验收款支付函签署后 6 个月内应买方要求提供不超出合同范围的技术服务，协助买方采取一切必要措施使合同设备达到技术性能考核指标， 且买方无需因此向卖方支付费用。在上述 6 个月的期限内，如合同设备经过考核达到或视为达到技术性能考核指标，则买卖双方应按照第 6.4.1 项的约定签署合同设备验收证书。</w:t>
      </w:r>
    </w:p>
    <w:p w14:paraId="3C345F61">
      <w:pPr>
        <w:pStyle w:val="12"/>
        <w:pageBreakBefore w:val="0"/>
        <w:widowControl w:val="0"/>
        <w:kinsoku/>
        <w:wordWrap/>
        <w:overflowPunct/>
        <w:topLinePunct w:val="0"/>
        <w:autoSpaceDE/>
        <w:autoSpaceDN/>
        <w:bidi w:val="0"/>
        <w:adjustRightInd/>
        <w:snapToGrid/>
        <w:spacing w:before="117" w:line="400" w:lineRule="exact"/>
        <w:ind w:left="520"/>
        <w:textAlignment w:val="auto"/>
        <w:rPr>
          <w:rFonts w:hint="eastAsia" w:ascii="仿宋" w:hAnsi="仿宋" w:eastAsia="仿宋" w:cs="仿宋"/>
          <w:sz w:val="21"/>
          <w:szCs w:val="21"/>
        </w:rPr>
      </w:pPr>
      <w:r>
        <w:rPr>
          <w:rFonts w:hint="eastAsia" w:ascii="仿宋" w:hAnsi="仿宋" w:eastAsia="仿宋" w:cs="仿宋"/>
          <w:sz w:val="21"/>
          <w:szCs w:val="21"/>
        </w:rPr>
        <w:t>6.4.4  在第 6.4.2 项和第</w:t>
      </w:r>
      <w:r>
        <w:rPr>
          <w:rFonts w:hint="eastAsia" w:ascii="仿宋" w:hAnsi="仿宋" w:eastAsia="仿宋" w:cs="仿宋"/>
          <w:spacing w:val="-54"/>
          <w:sz w:val="21"/>
          <w:szCs w:val="21"/>
        </w:rPr>
        <w:t xml:space="preserve"> </w:t>
      </w:r>
      <w:r>
        <w:rPr>
          <w:rFonts w:hint="eastAsia" w:ascii="仿宋" w:hAnsi="仿宋" w:eastAsia="仿宋" w:cs="仿宋"/>
          <w:sz w:val="21"/>
          <w:szCs w:val="21"/>
        </w:rPr>
        <w:t xml:space="preserve">6.4.3 </w:t>
      </w:r>
      <w:r>
        <w:rPr>
          <w:rFonts w:hint="eastAsia" w:ascii="仿宋" w:hAnsi="仿宋" w:eastAsia="仿宋" w:cs="仿宋"/>
          <w:spacing w:val="-5"/>
          <w:sz w:val="21"/>
          <w:szCs w:val="21"/>
        </w:rPr>
        <w:t>项情形下，卖方也可单方签署验收款支付函提交买方，如果买</w:t>
      </w:r>
      <w:r>
        <w:rPr>
          <w:rFonts w:hint="eastAsia" w:ascii="仿宋" w:hAnsi="仿宋" w:eastAsia="仿宋" w:cs="仿宋"/>
          <w:sz w:val="21"/>
          <w:szCs w:val="21"/>
        </w:rPr>
        <w:t xml:space="preserve">方在收到卖方签署的验收款支付函后 14 </w:t>
      </w:r>
      <w:r>
        <w:rPr>
          <w:rFonts w:hint="eastAsia" w:ascii="仿宋" w:hAnsi="仿宋" w:eastAsia="仿宋" w:cs="仿宋"/>
          <w:spacing w:val="-5"/>
          <w:sz w:val="21"/>
          <w:szCs w:val="21"/>
        </w:rPr>
        <w:t xml:space="preserve">日内未向卖方提出书面异议，则验收款支付函自签署之 </w:t>
      </w:r>
      <w:r>
        <w:rPr>
          <w:rFonts w:hint="eastAsia" w:ascii="仿宋" w:hAnsi="仿宋" w:eastAsia="仿宋" w:cs="仿宋"/>
          <w:sz w:val="21"/>
          <w:szCs w:val="21"/>
        </w:rPr>
        <w:t>日起生效。</w:t>
      </w:r>
    </w:p>
    <w:p w14:paraId="3D844647">
      <w:pPr>
        <w:pStyle w:val="12"/>
        <w:pageBreakBefore w:val="0"/>
        <w:widowControl w:val="0"/>
        <w:kinsoku/>
        <w:wordWrap/>
        <w:overflowPunct/>
        <w:topLinePunct w:val="0"/>
        <w:autoSpaceDE/>
        <w:autoSpaceDN/>
        <w:bidi w:val="0"/>
        <w:adjustRightInd/>
        <w:snapToGrid/>
        <w:spacing w:before="52" w:line="400" w:lineRule="exact"/>
        <w:ind w:left="520"/>
        <w:textAlignment w:val="auto"/>
        <w:rPr>
          <w:rFonts w:hint="eastAsia" w:ascii="仿宋" w:hAnsi="仿宋" w:eastAsia="仿宋" w:cs="仿宋"/>
          <w:sz w:val="21"/>
          <w:szCs w:val="21"/>
        </w:rPr>
      </w:pPr>
      <w:r>
        <w:rPr>
          <w:rFonts w:hint="eastAsia" w:ascii="仿宋" w:hAnsi="仿宋" w:eastAsia="仿宋" w:cs="仿宋"/>
          <w:sz w:val="21"/>
          <w:szCs w:val="21"/>
        </w:rPr>
        <w:t>6.4.5 合同设备验收证书的签署不能免除卖方在质量保证期内对合同设备应承担的保证责任。</w:t>
      </w:r>
    </w:p>
    <w:p w14:paraId="77886270">
      <w:pPr>
        <w:pStyle w:val="3"/>
        <w:pageBreakBefore w:val="0"/>
        <w:widowControl w:val="0"/>
        <w:kinsoku/>
        <w:wordWrap/>
        <w:overflowPunct/>
        <w:topLinePunct w:val="0"/>
        <w:autoSpaceDE/>
        <w:autoSpaceDN/>
        <w:bidi w:val="0"/>
        <w:adjustRightInd/>
        <w:snapToGrid/>
        <w:spacing w:before="1" w:line="400" w:lineRule="exact"/>
        <w:ind w:right="0"/>
        <w:textAlignment w:val="auto"/>
        <w:rPr>
          <w:rFonts w:hint="eastAsia" w:ascii="仿宋" w:hAnsi="仿宋" w:eastAsia="仿宋" w:cs="仿宋"/>
          <w:b/>
          <w:sz w:val="21"/>
          <w:szCs w:val="21"/>
        </w:rPr>
      </w:pPr>
      <w:bookmarkStart w:id="515" w:name="_bookmark131"/>
      <w:bookmarkEnd w:id="515"/>
      <w:r>
        <w:rPr>
          <w:rFonts w:hint="eastAsia" w:ascii="仿宋" w:hAnsi="仿宋" w:eastAsia="仿宋" w:cs="仿宋"/>
          <w:sz w:val="21"/>
          <w:szCs w:val="21"/>
        </w:rPr>
        <w:t>7.  技术服务</w:t>
      </w:r>
    </w:p>
    <w:p w14:paraId="30A59D97">
      <w:pPr>
        <w:pStyle w:val="12"/>
        <w:pageBreakBefore w:val="0"/>
        <w:widowControl w:val="0"/>
        <w:kinsoku/>
        <w:wordWrap/>
        <w:overflowPunct/>
        <w:topLinePunct w:val="0"/>
        <w:autoSpaceDE/>
        <w:autoSpaceDN/>
        <w:bidi w:val="0"/>
        <w:adjustRightInd/>
        <w:snapToGrid/>
        <w:spacing w:line="400" w:lineRule="exact"/>
        <w:ind w:left="100" w:right="317" w:firstLine="419"/>
        <w:jc w:val="both"/>
        <w:textAlignment w:val="auto"/>
        <w:rPr>
          <w:rFonts w:hint="eastAsia" w:ascii="仿宋" w:hAnsi="仿宋" w:eastAsia="仿宋" w:cs="仿宋"/>
          <w:sz w:val="21"/>
          <w:szCs w:val="21"/>
        </w:rPr>
      </w:pPr>
      <w:r>
        <w:rPr>
          <w:rFonts w:hint="eastAsia" w:ascii="仿宋" w:hAnsi="仿宋" w:eastAsia="仿宋" w:cs="仿宋"/>
          <w:sz w:val="21"/>
          <w:szCs w:val="21"/>
        </w:rPr>
        <w:t>7.1 卖方应派遣技术熟练、称职的技术人员到施工场地为买方提供技术服务。卖方的技术 服务应符合合同的约定。</w:t>
      </w:r>
    </w:p>
    <w:p w14:paraId="12DD4448">
      <w:pPr>
        <w:pStyle w:val="12"/>
        <w:pageBreakBefore w:val="0"/>
        <w:widowControl w:val="0"/>
        <w:kinsoku/>
        <w:wordWrap/>
        <w:overflowPunct/>
        <w:topLinePunct w:val="0"/>
        <w:autoSpaceDE/>
        <w:autoSpaceDN/>
        <w:bidi w:val="0"/>
        <w:adjustRightInd/>
        <w:snapToGrid/>
        <w:spacing w:before="51" w:line="400" w:lineRule="exact"/>
        <w:ind w:left="100" w:right="314" w:firstLine="419"/>
        <w:jc w:val="both"/>
        <w:textAlignment w:val="auto"/>
        <w:rPr>
          <w:rFonts w:hint="eastAsia" w:ascii="仿宋" w:hAnsi="仿宋" w:eastAsia="仿宋" w:cs="仿宋"/>
          <w:sz w:val="21"/>
          <w:szCs w:val="21"/>
        </w:rPr>
      </w:pPr>
      <w:r>
        <w:rPr>
          <w:rFonts w:hint="eastAsia" w:ascii="仿宋" w:hAnsi="仿宋" w:eastAsia="仿宋" w:cs="仿宋"/>
          <w:sz w:val="21"/>
          <w:szCs w:val="21"/>
        </w:rPr>
        <w:t>7.2 买方应免费为卖方技术人员提供工作条件及便利，包括但不限于必要的办公场所、技 术资料及出入许可等。除专用合同条款另有约定外，卖方技术人员的交通、食宿费用由卖方承 担。</w:t>
      </w:r>
    </w:p>
    <w:p w14:paraId="293423EC">
      <w:pPr>
        <w:pStyle w:val="12"/>
        <w:pageBreakBefore w:val="0"/>
        <w:widowControl w:val="0"/>
        <w:kinsoku/>
        <w:wordWrap/>
        <w:overflowPunct/>
        <w:topLinePunct w:val="0"/>
        <w:autoSpaceDE/>
        <w:autoSpaceDN/>
        <w:bidi w:val="0"/>
        <w:adjustRightInd/>
        <w:snapToGrid/>
        <w:spacing w:before="40" w:line="400" w:lineRule="exact"/>
        <w:ind w:left="100" w:right="317" w:firstLine="419"/>
        <w:jc w:val="both"/>
        <w:textAlignment w:val="auto"/>
        <w:rPr>
          <w:rFonts w:hint="eastAsia" w:ascii="仿宋" w:hAnsi="仿宋" w:eastAsia="仿宋" w:cs="仿宋"/>
          <w:sz w:val="21"/>
          <w:szCs w:val="21"/>
        </w:rPr>
      </w:pPr>
      <w:r>
        <w:rPr>
          <w:rFonts w:hint="eastAsia" w:ascii="仿宋" w:hAnsi="仿宋" w:eastAsia="仿宋" w:cs="仿宋"/>
          <w:sz w:val="21"/>
          <w:szCs w:val="21"/>
        </w:rPr>
        <w:t>7.3 卖方技术人员应遵守买方施工现场的各项规章制度和安全操作规程，并服从买方的现 场管理。</w:t>
      </w:r>
    </w:p>
    <w:p w14:paraId="1D30A62F">
      <w:pPr>
        <w:pStyle w:val="12"/>
        <w:pageBreakBefore w:val="0"/>
        <w:widowControl w:val="0"/>
        <w:kinsoku/>
        <w:wordWrap/>
        <w:overflowPunct/>
        <w:topLinePunct w:val="0"/>
        <w:autoSpaceDE/>
        <w:autoSpaceDN/>
        <w:bidi w:val="0"/>
        <w:adjustRightInd/>
        <w:snapToGrid/>
        <w:spacing w:before="47" w:line="400" w:lineRule="exact"/>
        <w:ind w:left="100" w:right="317" w:firstLine="419"/>
        <w:jc w:val="both"/>
        <w:textAlignment w:val="auto"/>
        <w:rPr>
          <w:rFonts w:hint="eastAsia" w:ascii="仿宋" w:hAnsi="仿宋" w:eastAsia="仿宋" w:cs="仿宋"/>
          <w:sz w:val="21"/>
          <w:szCs w:val="21"/>
        </w:rPr>
      </w:pPr>
      <w:r>
        <w:rPr>
          <w:rFonts w:hint="eastAsia" w:ascii="仿宋" w:hAnsi="仿宋" w:eastAsia="仿宋" w:cs="仿宋"/>
          <w:sz w:val="21"/>
          <w:szCs w:val="21"/>
        </w:rPr>
        <w:t>7.4 如果任何技术人员不合格，买方有权要求卖方撤换，因撤换而产生的费用应由卖方承 担。在不影响技术服务并且征得买方同意的条件下，卖方也可自负费用更换其技术人员。</w:t>
      </w:r>
    </w:p>
    <w:p w14:paraId="6FE93CFC">
      <w:pPr>
        <w:pStyle w:val="3"/>
        <w:pageBreakBefore w:val="0"/>
        <w:widowControl w:val="0"/>
        <w:kinsoku/>
        <w:wordWrap/>
        <w:overflowPunct/>
        <w:topLinePunct w:val="0"/>
        <w:autoSpaceDE/>
        <w:autoSpaceDN/>
        <w:bidi w:val="0"/>
        <w:adjustRightInd/>
        <w:snapToGrid/>
        <w:spacing w:line="400" w:lineRule="exact"/>
        <w:ind w:right="0"/>
        <w:textAlignment w:val="auto"/>
        <w:rPr>
          <w:rFonts w:hint="eastAsia" w:ascii="仿宋" w:hAnsi="仿宋" w:eastAsia="仿宋" w:cs="仿宋"/>
          <w:b/>
          <w:sz w:val="21"/>
          <w:szCs w:val="21"/>
        </w:rPr>
      </w:pPr>
      <w:bookmarkStart w:id="516" w:name="_bookmark132"/>
      <w:bookmarkEnd w:id="516"/>
      <w:r>
        <w:rPr>
          <w:rFonts w:hint="eastAsia" w:ascii="仿宋" w:hAnsi="仿宋" w:eastAsia="仿宋" w:cs="仿宋"/>
          <w:sz w:val="21"/>
          <w:szCs w:val="21"/>
        </w:rPr>
        <w:t>8.  质量保证期</w:t>
      </w:r>
    </w:p>
    <w:p w14:paraId="08B8602A">
      <w:pPr>
        <w:pStyle w:val="12"/>
        <w:pageBreakBefore w:val="0"/>
        <w:widowControl w:val="0"/>
        <w:kinsoku/>
        <w:wordWrap/>
        <w:overflowPunct/>
        <w:topLinePunct w:val="0"/>
        <w:autoSpaceDE/>
        <w:autoSpaceDN/>
        <w:bidi w:val="0"/>
        <w:adjustRightInd/>
        <w:snapToGrid/>
        <w:spacing w:before="135" w:line="400" w:lineRule="exact"/>
        <w:ind w:left="100" w:right="1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8.1   除专用合同条款和（或）供货要求</w:t>
      </w:r>
      <w:r>
        <w:rPr>
          <w:rFonts w:hint="eastAsia" w:ascii="仿宋" w:hAnsi="仿宋" w:eastAsia="仿宋" w:cs="仿宋"/>
          <w:sz w:val="21"/>
          <w:szCs w:val="21"/>
          <w:lang w:eastAsia="zh-CN"/>
        </w:rPr>
        <w:t>或招标文件</w:t>
      </w:r>
      <w:r>
        <w:rPr>
          <w:rFonts w:hint="eastAsia" w:ascii="仿宋" w:hAnsi="仿宋" w:eastAsia="仿宋" w:cs="仿宋"/>
          <w:sz w:val="21"/>
          <w:szCs w:val="21"/>
        </w:rPr>
        <w:t>等合同文件另有约定外，合同设备整体质量保证期为验收之日起</w:t>
      </w:r>
      <w:r>
        <w:rPr>
          <w:rFonts w:hint="eastAsia" w:ascii="仿宋" w:hAnsi="仿宋" w:eastAsia="仿宋" w:cs="仿宋"/>
          <w:sz w:val="21"/>
          <w:szCs w:val="21"/>
          <w:lang w:val="en-US" w:eastAsia="zh-CN"/>
        </w:rPr>
        <w:t>36</w:t>
      </w:r>
      <w:r>
        <w:rPr>
          <w:rFonts w:hint="eastAsia" w:ascii="仿宋" w:hAnsi="仿宋" w:eastAsia="仿宋" w:cs="仿宋"/>
          <w:sz w:val="21"/>
          <w:szCs w:val="21"/>
        </w:rPr>
        <w:t>个月。如对合同设备中关键部件的质量保证期有特殊要求的，买卖双方可在专用合同条款中约定。</w:t>
      </w:r>
    </w:p>
    <w:p w14:paraId="0FA77AE8">
      <w:pPr>
        <w:pStyle w:val="12"/>
        <w:pageBreakBefore w:val="0"/>
        <w:widowControl w:val="0"/>
        <w:kinsoku/>
        <w:wordWrap/>
        <w:overflowPunct/>
        <w:topLinePunct w:val="0"/>
        <w:autoSpaceDE/>
        <w:autoSpaceDN/>
        <w:bidi w:val="0"/>
        <w:adjustRightInd/>
        <w:snapToGrid/>
        <w:spacing w:before="117" w:line="400" w:lineRule="exact"/>
        <w:ind w:left="100" w:right="314" w:firstLine="419"/>
        <w:jc w:val="both"/>
        <w:textAlignment w:val="auto"/>
        <w:rPr>
          <w:rFonts w:hint="eastAsia" w:ascii="仿宋" w:hAnsi="仿宋" w:eastAsia="仿宋" w:cs="仿宋"/>
          <w:sz w:val="21"/>
          <w:szCs w:val="21"/>
        </w:rPr>
      </w:pPr>
      <w:r>
        <w:rPr>
          <w:rFonts w:hint="eastAsia" w:ascii="仿宋" w:hAnsi="仿宋" w:eastAsia="仿宋" w:cs="仿宋"/>
          <w:sz w:val="21"/>
          <w:szCs w:val="21"/>
        </w:rPr>
        <w:t>8.2 在质量保证期内如果合同设备出现故障，卖方应自负费用提供质保期服务，对相关合 同设备进行修理或更换以消除故障。更换的合同设备和（或）关键部件的质量保证期应重新计算。但如果合同设备的故障是由于买方原因造成的，则对合同设备进行修理和更换的费用应由 买方承担。</w:t>
      </w:r>
    </w:p>
    <w:p w14:paraId="3B8A50F9">
      <w:pPr>
        <w:pStyle w:val="12"/>
        <w:pageBreakBefore w:val="0"/>
        <w:widowControl w:val="0"/>
        <w:kinsoku/>
        <w:wordWrap/>
        <w:overflowPunct/>
        <w:topLinePunct w:val="0"/>
        <w:autoSpaceDE/>
        <w:autoSpaceDN/>
        <w:bidi w:val="0"/>
        <w:adjustRightInd/>
        <w:snapToGrid/>
        <w:spacing w:before="6" w:line="400" w:lineRule="exact"/>
        <w:ind w:left="100" w:right="102" w:firstLine="419"/>
        <w:textAlignment w:val="auto"/>
        <w:rPr>
          <w:rFonts w:hint="eastAsia" w:ascii="仿宋" w:hAnsi="仿宋" w:eastAsia="仿宋" w:cs="仿宋"/>
          <w:sz w:val="21"/>
          <w:szCs w:val="21"/>
        </w:rPr>
      </w:pPr>
      <w:r>
        <w:rPr>
          <w:rFonts w:hint="eastAsia" w:ascii="仿宋" w:hAnsi="仿宋" w:eastAsia="仿宋" w:cs="仿宋"/>
          <w:sz w:val="21"/>
          <w:szCs w:val="21"/>
        </w:rPr>
        <w:t xml:space="preserve">8.3 质量保证期届满后，买方应在 </w:t>
      </w:r>
      <w:r>
        <w:rPr>
          <w:rFonts w:hint="eastAsia" w:ascii="仿宋" w:hAnsi="仿宋" w:eastAsia="仿宋" w:cs="仿宋"/>
          <w:sz w:val="21"/>
          <w:szCs w:val="21"/>
          <w:lang w:val="en-US" w:eastAsia="zh-CN"/>
        </w:rPr>
        <w:t>7</w:t>
      </w:r>
      <w:r>
        <w:rPr>
          <w:rFonts w:hint="eastAsia" w:ascii="仿宋" w:hAnsi="仿宋" w:eastAsia="仿宋" w:cs="仿宋"/>
          <w:sz w:val="21"/>
          <w:szCs w:val="21"/>
        </w:rPr>
        <w:t>日内或专用合同条款另行约定的时间内向卖方出具合同设备的质量保证期届满证书。</w:t>
      </w:r>
    </w:p>
    <w:p w14:paraId="0022812F">
      <w:pPr>
        <w:pStyle w:val="12"/>
        <w:pageBreakBefore w:val="0"/>
        <w:widowControl w:val="0"/>
        <w:kinsoku/>
        <w:wordWrap/>
        <w:overflowPunct/>
        <w:topLinePunct w:val="0"/>
        <w:autoSpaceDE/>
        <w:autoSpaceDN/>
        <w:bidi w:val="0"/>
        <w:adjustRightInd/>
        <w:snapToGrid/>
        <w:spacing w:before="49" w:line="400" w:lineRule="exact"/>
        <w:ind w:left="520" w:right="26"/>
        <w:textAlignment w:val="auto"/>
        <w:rPr>
          <w:rFonts w:hint="eastAsia" w:ascii="仿宋" w:hAnsi="仿宋" w:eastAsia="仿宋" w:cs="仿宋"/>
          <w:sz w:val="21"/>
          <w:szCs w:val="21"/>
        </w:rPr>
      </w:pPr>
      <w:r>
        <w:rPr>
          <w:rFonts w:hint="eastAsia" w:ascii="仿宋" w:hAnsi="仿宋" w:eastAsia="仿宋" w:cs="仿宋"/>
          <w:sz w:val="21"/>
          <w:szCs w:val="21"/>
        </w:rPr>
        <w:t>8.4  在合同第 6.4.2 项情形下，如在验收款支付函签署后</w:t>
      </w:r>
      <w:r>
        <w:rPr>
          <w:rFonts w:hint="eastAsia" w:ascii="仿宋" w:hAnsi="仿宋" w:eastAsia="仿宋" w:cs="仿宋"/>
          <w:sz w:val="21"/>
          <w:szCs w:val="21"/>
          <w:lang w:val="en-US" w:eastAsia="zh-CN"/>
        </w:rPr>
        <w:t>12</w:t>
      </w:r>
      <w:r>
        <w:rPr>
          <w:rFonts w:hint="eastAsia" w:ascii="仿宋" w:hAnsi="仿宋" w:eastAsia="仿宋" w:cs="仿宋"/>
          <w:sz w:val="21"/>
          <w:szCs w:val="21"/>
        </w:rPr>
        <w:t>个月内由于买方原因合同设备仍未能达到技术性能考核指标，则买卖双方应在该 12 个月届满后 7 日内或专用合同条款另行约 定的时间内签署结清款支付函。</w:t>
      </w:r>
    </w:p>
    <w:p w14:paraId="43381930">
      <w:pPr>
        <w:pStyle w:val="12"/>
        <w:pageBreakBefore w:val="0"/>
        <w:widowControl w:val="0"/>
        <w:kinsoku/>
        <w:wordWrap/>
        <w:overflowPunct/>
        <w:topLinePunct w:val="0"/>
        <w:autoSpaceDE/>
        <w:autoSpaceDN/>
        <w:bidi w:val="0"/>
        <w:adjustRightInd/>
        <w:snapToGrid/>
        <w:spacing w:before="117" w:line="400" w:lineRule="exact"/>
        <w:ind w:left="100" w:right="314" w:firstLine="419"/>
        <w:jc w:val="both"/>
        <w:textAlignment w:val="auto"/>
        <w:rPr>
          <w:rFonts w:hint="eastAsia" w:ascii="仿宋" w:hAnsi="仿宋" w:eastAsia="仿宋" w:cs="仿宋"/>
          <w:sz w:val="21"/>
          <w:szCs w:val="21"/>
        </w:rPr>
      </w:pPr>
      <w:r>
        <w:rPr>
          <w:rFonts w:hint="eastAsia" w:ascii="仿宋" w:hAnsi="仿宋" w:eastAsia="仿宋" w:cs="仿宋"/>
          <w:sz w:val="21"/>
          <w:szCs w:val="21"/>
        </w:rPr>
        <w:t>8.5  在合同第 6.4.3 项情形下，如在验收款支付函签署后</w:t>
      </w:r>
      <w:r>
        <w:rPr>
          <w:rFonts w:hint="eastAsia" w:ascii="仿宋" w:hAnsi="仿宋" w:eastAsia="仿宋" w:cs="仿宋"/>
          <w:sz w:val="21"/>
          <w:szCs w:val="21"/>
          <w:lang w:val="en-US" w:eastAsia="zh-CN"/>
        </w:rPr>
        <w:t>6</w:t>
      </w:r>
      <w:r>
        <w:rPr>
          <w:rFonts w:hint="eastAsia" w:ascii="仿宋" w:hAnsi="仿宋" w:eastAsia="仿宋" w:cs="仿宋"/>
          <w:sz w:val="21"/>
          <w:szCs w:val="21"/>
        </w:rPr>
        <w:t>个月内由于买方原因合同设备仍未进行考核或仍未达到技术性能考核指标，则买卖双方应在该</w:t>
      </w:r>
      <w:r>
        <w:rPr>
          <w:rFonts w:hint="eastAsia" w:ascii="仿宋" w:hAnsi="仿宋" w:eastAsia="仿宋" w:cs="仿宋"/>
          <w:sz w:val="21"/>
          <w:szCs w:val="21"/>
          <w:lang w:val="en-US" w:eastAsia="zh-CN"/>
        </w:rPr>
        <w:t>6</w:t>
      </w:r>
      <w:r>
        <w:rPr>
          <w:rFonts w:hint="eastAsia" w:ascii="仿宋" w:hAnsi="仿宋" w:eastAsia="仿宋" w:cs="仿宋"/>
          <w:sz w:val="21"/>
          <w:szCs w:val="21"/>
        </w:rPr>
        <w:t>个月届满后 7 日内或专用合同条款另行约定的时间内签署结清款支付函。</w:t>
      </w:r>
    </w:p>
    <w:p w14:paraId="36E3063B">
      <w:pPr>
        <w:pStyle w:val="12"/>
        <w:pageBreakBefore w:val="0"/>
        <w:widowControl w:val="0"/>
        <w:kinsoku/>
        <w:wordWrap/>
        <w:overflowPunct/>
        <w:topLinePunct w:val="0"/>
        <w:autoSpaceDE/>
        <w:autoSpaceDN/>
        <w:bidi w:val="0"/>
        <w:adjustRightInd/>
        <w:snapToGrid/>
        <w:spacing w:before="117" w:line="400" w:lineRule="exact"/>
        <w:ind w:left="100" w:right="314" w:firstLine="419"/>
        <w:jc w:val="both"/>
        <w:textAlignment w:val="auto"/>
        <w:rPr>
          <w:rFonts w:hint="eastAsia" w:ascii="仿宋" w:hAnsi="仿宋" w:eastAsia="仿宋" w:cs="仿宋"/>
          <w:sz w:val="21"/>
          <w:szCs w:val="21"/>
        </w:rPr>
      </w:pPr>
      <w:r>
        <w:rPr>
          <w:rFonts w:hint="eastAsia" w:ascii="仿宋" w:hAnsi="仿宋" w:eastAsia="仿宋" w:cs="仿宋"/>
          <w:sz w:val="21"/>
          <w:szCs w:val="21"/>
        </w:rPr>
        <w:t>8.6  在第 8.4 款和第 8.5 款情形下，卖方也可单方签署结清款支付函提交买方，如果买方在收到卖方签署的结清款支付函后 14 日内未向卖方提出书面异议，则结清款支付函自签署之日起 生效。</w:t>
      </w:r>
    </w:p>
    <w:p w14:paraId="6C5E64D7">
      <w:pPr>
        <w:pStyle w:val="3"/>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bookmarkStart w:id="517" w:name="_bookmark133"/>
      <w:bookmarkEnd w:id="517"/>
      <w:r>
        <w:rPr>
          <w:rFonts w:hint="eastAsia" w:ascii="仿宋" w:hAnsi="仿宋" w:eastAsia="仿宋" w:cs="仿宋"/>
          <w:sz w:val="21"/>
          <w:szCs w:val="21"/>
        </w:rPr>
        <w:t>9.  质保期服务</w:t>
      </w:r>
    </w:p>
    <w:p w14:paraId="32959339">
      <w:pPr>
        <w:pStyle w:val="12"/>
        <w:pageBreakBefore w:val="0"/>
        <w:widowControl w:val="0"/>
        <w:kinsoku/>
        <w:wordWrap/>
        <w:overflowPunct/>
        <w:topLinePunct w:val="0"/>
        <w:autoSpaceDE/>
        <w:autoSpaceDN/>
        <w:bidi w:val="0"/>
        <w:adjustRightInd/>
        <w:snapToGrid/>
        <w:spacing w:before="117" w:line="400" w:lineRule="exact"/>
        <w:ind w:left="100" w:right="314" w:firstLine="419"/>
        <w:jc w:val="both"/>
        <w:textAlignment w:val="auto"/>
        <w:rPr>
          <w:rFonts w:hint="eastAsia" w:ascii="仿宋" w:hAnsi="仿宋" w:eastAsia="仿宋" w:cs="仿宋"/>
          <w:sz w:val="21"/>
          <w:szCs w:val="21"/>
        </w:rPr>
      </w:pPr>
      <w:r>
        <w:rPr>
          <w:rFonts w:hint="eastAsia" w:ascii="仿宋" w:hAnsi="仿宋" w:eastAsia="仿宋" w:cs="仿宋"/>
          <w:sz w:val="21"/>
          <w:szCs w:val="21"/>
        </w:rPr>
        <w:t>9.1   卖方应为质保期服务配备充足的技术人员、工具和备件并保证提供的联系方式畅通。除专用合同条款和（或）供货要求等合同文件另有约定外，卖方应在收到买方通知后 24 小时内</w:t>
      </w:r>
    </w:p>
    <w:p w14:paraId="35BCEC74">
      <w:pPr>
        <w:pStyle w:val="12"/>
        <w:pageBreakBefore w:val="0"/>
        <w:widowControl w:val="0"/>
        <w:kinsoku/>
        <w:wordWrap/>
        <w:overflowPunct/>
        <w:topLinePunct w:val="0"/>
        <w:autoSpaceDE/>
        <w:autoSpaceDN/>
        <w:bidi w:val="0"/>
        <w:adjustRightInd/>
        <w:snapToGrid/>
        <w:spacing w:before="117" w:line="400" w:lineRule="exact"/>
        <w:ind w:left="100" w:right="314" w:firstLine="419"/>
        <w:jc w:val="both"/>
        <w:textAlignment w:val="auto"/>
        <w:rPr>
          <w:rFonts w:hint="eastAsia" w:ascii="仿宋" w:hAnsi="仿宋" w:eastAsia="仿宋" w:cs="仿宋"/>
          <w:sz w:val="21"/>
          <w:szCs w:val="21"/>
        </w:rPr>
      </w:pPr>
      <w:r>
        <w:rPr>
          <w:rFonts w:hint="eastAsia" w:ascii="仿宋" w:hAnsi="仿宋" w:eastAsia="仿宋" w:cs="仿宋"/>
          <w:sz w:val="21"/>
          <w:szCs w:val="21"/>
        </w:rPr>
        <w:t>做出响应，如需卖方到合同设备现场，卖方应在收到买方通知后 48 小时内到达，并在到达后 7 日内解决合同设备的故障（重大故障除外）。如果卖方未在上述时间内作出响应，则买方有权自 行或委托他人解决相关问题或查找和解决合同设备的故障，卖方应承担由此发生的全部费用。 9.2 如卖方技术人员需到合同设备现场进行质保期服务，则买方应免费为卖方技术人员提 供工作条件及便利，包括但不限于必要的办公场所、技术资料及出入许可等。除专用合同条款 另有约定外，卖方技术人员的交通、食宿费用由卖方承担。卖方技术人员应遵守买方施工现场的各项规章制度和安全操作规程，并服从买方的现场管理。</w:t>
      </w:r>
    </w:p>
    <w:p w14:paraId="5EC4D197">
      <w:pPr>
        <w:pStyle w:val="12"/>
        <w:pageBreakBefore w:val="0"/>
        <w:widowControl w:val="0"/>
        <w:kinsoku/>
        <w:wordWrap/>
        <w:overflowPunct/>
        <w:topLinePunct w:val="0"/>
        <w:autoSpaceDE/>
        <w:autoSpaceDN/>
        <w:bidi w:val="0"/>
        <w:adjustRightInd/>
        <w:snapToGrid/>
        <w:spacing w:before="133" w:line="400" w:lineRule="exact"/>
        <w:ind w:left="100" w:right="102" w:firstLine="419"/>
        <w:textAlignment w:val="auto"/>
        <w:rPr>
          <w:rFonts w:hint="eastAsia" w:ascii="仿宋" w:hAnsi="仿宋" w:eastAsia="仿宋" w:cs="仿宋"/>
          <w:sz w:val="21"/>
          <w:szCs w:val="21"/>
        </w:rPr>
      </w:pPr>
      <w:r>
        <w:rPr>
          <w:rFonts w:hint="eastAsia" w:ascii="仿宋" w:hAnsi="仿宋" w:eastAsia="仿宋" w:cs="仿宋"/>
          <w:sz w:val="21"/>
          <w:szCs w:val="21"/>
        </w:rPr>
        <w:t>9.3 如果任何技术人员不合格，买方有权要求卖方撤换，因撤换而产生的费用应由卖方承 担。在不影响质保期服务并且征得买方同意的条件下，卖方也可自负费用更换其技术人员。</w:t>
      </w:r>
    </w:p>
    <w:p w14:paraId="505077B7">
      <w:pPr>
        <w:pStyle w:val="12"/>
        <w:pageBreakBefore w:val="0"/>
        <w:widowControl w:val="0"/>
        <w:kinsoku/>
        <w:wordWrap/>
        <w:overflowPunct/>
        <w:topLinePunct w:val="0"/>
        <w:autoSpaceDE/>
        <w:autoSpaceDN/>
        <w:bidi w:val="0"/>
        <w:adjustRightInd/>
        <w:snapToGrid/>
        <w:spacing w:before="49" w:line="400" w:lineRule="exact"/>
        <w:ind w:left="100" w:right="114" w:firstLine="419"/>
        <w:jc w:val="both"/>
        <w:textAlignment w:val="auto"/>
        <w:rPr>
          <w:rFonts w:hint="eastAsia" w:ascii="仿宋" w:hAnsi="仿宋" w:eastAsia="仿宋" w:cs="仿宋"/>
          <w:sz w:val="21"/>
          <w:szCs w:val="21"/>
        </w:rPr>
      </w:pPr>
      <w:r>
        <w:rPr>
          <w:rFonts w:hint="eastAsia" w:ascii="仿宋" w:hAnsi="仿宋" w:eastAsia="仿宋" w:cs="仿宋"/>
          <w:sz w:val="21"/>
          <w:szCs w:val="21"/>
        </w:rPr>
        <w:t>9.4 除专用合同条款另有约定外，卖方应就在施工现场进行质保期服务的情况进行记录， 记载合同设备故障发生的时间、原因及解决情况等，由买方签字确认，并在质量保证期结束后 提交给买方。</w:t>
      </w:r>
    </w:p>
    <w:p w14:paraId="7AE52116">
      <w:pPr>
        <w:pStyle w:val="3"/>
        <w:pageBreakBefore w:val="0"/>
        <w:widowControl w:val="0"/>
        <w:kinsoku/>
        <w:wordWrap/>
        <w:overflowPunct/>
        <w:topLinePunct w:val="0"/>
        <w:autoSpaceDE/>
        <w:autoSpaceDN/>
        <w:bidi w:val="0"/>
        <w:adjustRightInd/>
        <w:snapToGrid/>
        <w:spacing w:before="178" w:line="400" w:lineRule="exact"/>
        <w:textAlignment w:val="auto"/>
        <w:rPr>
          <w:rFonts w:hint="eastAsia" w:ascii="仿宋" w:hAnsi="仿宋" w:eastAsia="仿宋" w:cs="仿宋"/>
          <w:b/>
          <w:sz w:val="21"/>
          <w:szCs w:val="21"/>
        </w:rPr>
      </w:pPr>
      <w:bookmarkStart w:id="518" w:name="_bookmark134"/>
      <w:bookmarkEnd w:id="518"/>
      <w:r>
        <w:rPr>
          <w:rFonts w:hint="eastAsia" w:ascii="仿宋" w:hAnsi="仿宋" w:eastAsia="仿宋" w:cs="仿宋"/>
          <w:sz w:val="21"/>
          <w:szCs w:val="21"/>
        </w:rPr>
        <w:t>10.  履约保证金</w:t>
      </w:r>
    </w:p>
    <w:p w14:paraId="00C1C4EB">
      <w:pPr>
        <w:pStyle w:val="12"/>
        <w:pageBreakBefore w:val="0"/>
        <w:widowControl w:val="0"/>
        <w:kinsoku/>
        <w:wordWrap/>
        <w:overflowPunct/>
        <w:topLinePunct w:val="0"/>
        <w:autoSpaceDE/>
        <w:autoSpaceDN/>
        <w:bidi w:val="0"/>
        <w:adjustRightInd/>
        <w:snapToGrid/>
        <w:spacing w:before="117" w:line="400" w:lineRule="exact"/>
        <w:ind w:left="100" w:right="314" w:firstLine="419"/>
        <w:jc w:val="both"/>
        <w:textAlignment w:val="auto"/>
        <w:rPr>
          <w:rFonts w:hint="eastAsia" w:ascii="仿宋" w:hAnsi="仿宋" w:eastAsia="仿宋" w:cs="仿宋"/>
          <w:sz w:val="21"/>
          <w:szCs w:val="21"/>
        </w:rPr>
      </w:pPr>
      <w:r>
        <w:rPr>
          <w:rFonts w:hint="eastAsia" w:ascii="仿宋" w:hAnsi="仿宋" w:eastAsia="仿宋" w:cs="仿宋"/>
          <w:sz w:val="21"/>
          <w:szCs w:val="21"/>
        </w:rPr>
        <w:t>除专用合同条款另有约定外，履约保证金自合同生效之日起生效，在合同设备验收证书或验收款支付函签署之日起 28 日后失效。如果卖方不履行合同约定的义务或其履行不符合合同的 约定，买方有权扣划相应金额的履约保证金。</w:t>
      </w:r>
    </w:p>
    <w:p w14:paraId="2EF5C0FC">
      <w:pPr>
        <w:pStyle w:val="3"/>
        <w:pageBreakBefore w:val="0"/>
        <w:widowControl w:val="0"/>
        <w:kinsoku/>
        <w:wordWrap/>
        <w:overflowPunct/>
        <w:topLinePunct w:val="0"/>
        <w:autoSpaceDE/>
        <w:autoSpaceDN/>
        <w:bidi w:val="0"/>
        <w:adjustRightInd/>
        <w:snapToGrid/>
        <w:spacing w:line="400" w:lineRule="exact"/>
        <w:ind w:right="21"/>
        <w:textAlignment w:val="auto"/>
        <w:rPr>
          <w:rFonts w:hint="eastAsia" w:ascii="仿宋" w:hAnsi="仿宋" w:eastAsia="仿宋" w:cs="仿宋"/>
          <w:b/>
          <w:sz w:val="21"/>
          <w:szCs w:val="21"/>
        </w:rPr>
      </w:pPr>
      <w:bookmarkStart w:id="519" w:name="_bookmark135"/>
      <w:bookmarkEnd w:id="519"/>
      <w:r>
        <w:rPr>
          <w:rFonts w:hint="eastAsia" w:ascii="仿宋" w:hAnsi="仿宋" w:eastAsia="仿宋" w:cs="仿宋"/>
          <w:sz w:val="21"/>
          <w:szCs w:val="21"/>
        </w:rPr>
        <w:t>11.  保证</w:t>
      </w:r>
    </w:p>
    <w:p w14:paraId="716DB243">
      <w:pPr>
        <w:pStyle w:val="12"/>
        <w:pageBreakBefore w:val="0"/>
        <w:widowControl w:val="0"/>
        <w:kinsoku/>
        <w:wordWrap/>
        <w:overflowPunct/>
        <w:topLinePunct w:val="0"/>
        <w:autoSpaceDE/>
        <w:autoSpaceDN/>
        <w:bidi w:val="0"/>
        <w:adjustRightInd/>
        <w:snapToGrid/>
        <w:spacing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11.1 卖方保证其具有完全的能力履行本合同项下的全部义务。</w:t>
      </w:r>
    </w:p>
    <w:p w14:paraId="5F1167E1">
      <w:pPr>
        <w:pStyle w:val="12"/>
        <w:pageBreakBefore w:val="0"/>
        <w:widowControl w:val="0"/>
        <w:kinsoku/>
        <w:wordWrap/>
        <w:overflowPunct/>
        <w:topLinePunct w:val="0"/>
        <w:autoSpaceDE/>
        <w:autoSpaceDN/>
        <w:bidi w:val="0"/>
        <w:adjustRightInd/>
        <w:snapToGrid/>
        <w:spacing w:before="117" w:line="400" w:lineRule="exact"/>
        <w:ind w:left="100" w:right="2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11.2 卖方保证其所提供的合同设备及对合同的履行符合所有应适用的法律、行政法规、地 方性法规、自治条例和单行条例、规章及其他规范性文件的强制性规定。</w:t>
      </w:r>
    </w:p>
    <w:p w14:paraId="33B5C1A2">
      <w:pPr>
        <w:pStyle w:val="12"/>
        <w:pageBreakBefore w:val="0"/>
        <w:widowControl w:val="0"/>
        <w:kinsoku/>
        <w:wordWrap/>
        <w:overflowPunct/>
        <w:topLinePunct w:val="0"/>
        <w:autoSpaceDE/>
        <w:autoSpaceDN/>
        <w:bidi w:val="0"/>
        <w:adjustRightInd/>
        <w:snapToGrid/>
        <w:spacing w:before="49" w:line="400" w:lineRule="exact"/>
        <w:ind w:left="100" w:right="2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11.3 卖方保证其对合同设备的销售不损害任何第三方的合法权益和社会公众利益。任何第 三方不会因卖方原因而基于所有权、抵押权、留置权或其他任何权利或事由对合同设备主张权 利。</w:t>
      </w:r>
    </w:p>
    <w:p w14:paraId="65E71822">
      <w:pPr>
        <w:pStyle w:val="12"/>
        <w:pageBreakBefore w:val="0"/>
        <w:widowControl w:val="0"/>
        <w:kinsoku/>
        <w:wordWrap/>
        <w:overflowPunct/>
        <w:topLinePunct w:val="0"/>
        <w:autoSpaceDE/>
        <w:autoSpaceDN/>
        <w:bidi w:val="0"/>
        <w:adjustRightInd/>
        <w:snapToGrid/>
        <w:spacing w:before="40" w:line="400" w:lineRule="exact"/>
        <w:ind w:left="100" w:right="215" w:firstLine="419"/>
        <w:jc w:val="both"/>
        <w:textAlignment w:val="auto"/>
        <w:rPr>
          <w:rFonts w:hint="eastAsia" w:ascii="仿宋" w:hAnsi="仿宋" w:eastAsia="仿宋" w:cs="仿宋"/>
          <w:sz w:val="21"/>
          <w:szCs w:val="21"/>
        </w:rPr>
      </w:pPr>
      <w:r>
        <w:rPr>
          <w:rFonts w:hint="eastAsia" w:ascii="仿宋" w:hAnsi="仿宋" w:eastAsia="仿宋" w:cs="仿宋"/>
          <w:sz w:val="21"/>
          <w:szCs w:val="21"/>
        </w:rPr>
        <w:t>11.4 卖方保证合同设备符合合同约定的规格、标准、技术性能考核指标等，能够安全和稳 定地运行，且合同设备（包括全部部件）全新、完整、未使用过，除非专用合同条款和（或） 供货要求等合同文件另有约定。</w:t>
      </w:r>
    </w:p>
    <w:p w14:paraId="3820C169">
      <w:pPr>
        <w:pStyle w:val="12"/>
        <w:pageBreakBefore w:val="0"/>
        <w:widowControl w:val="0"/>
        <w:kinsoku/>
        <w:wordWrap/>
        <w:overflowPunct/>
        <w:topLinePunct w:val="0"/>
        <w:autoSpaceDE/>
        <w:autoSpaceDN/>
        <w:bidi w:val="0"/>
        <w:adjustRightInd/>
        <w:snapToGrid/>
        <w:spacing w:before="38" w:line="400" w:lineRule="exact"/>
        <w:ind w:left="100" w:right="2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11.5 卖方保证，卖方所提供的技术资料完整、清晰、准确，符合合同约定并且能够满足合 同设备的安装、调试、考核、操作以及维修和保养的需要。</w:t>
      </w:r>
    </w:p>
    <w:p w14:paraId="1EC50C06">
      <w:pPr>
        <w:pStyle w:val="12"/>
        <w:pageBreakBefore w:val="0"/>
        <w:widowControl w:val="0"/>
        <w:kinsoku/>
        <w:wordWrap/>
        <w:overflowPunct/>
        <w:topLinePunct w:val="0"/>
        <w:autoSpaceDE/>
        <w:autoSpaceDN/>
        <w:bidi w:val="0"/>
        <w:adjustRightInd/>
        <w:snapToGrid/>
        <w:spacing w:before="49" w:line="400" w:lineRule="exact"/>
        <w:ind w:left="100" w:right="214" w:firstLine="419"/>
        <w:jc w:val="both"/>
        <w:textAlignment w:val="auto"/>
        <w:rPr>
          <w:rFonts w:hint="eastAsia" w:ascii="仿宋" w:hAnsi="仿宋" w:eastAsia="仿宋" w:cs="仿宋"/>
          <w:sz w:val="21"/>
          <w:szCs w:val="21"/>
        </w:rPr>
      </w:pPr>
      <w:r>
        <w:rPr>
          <w:rFonts w:hint="eastAsia" w:ascii="仿宋" w:hAnsi="仿宋" w:eastAsia="仿宋" w:cs="仿宋"/>
          <w:sz w:val="21"/>
          <w:szCs w:val="21"/>
        </w:rPr>
        <w:t>11.6 卖方保证合同范围内提供的备品备件能够满足合同设备在质量保证期结束前正常运 行及维修的需要，如在质量保证期结束前因卖方原因出现备品备件短缺影响合同设备正常运行 的，卖方应免费提供。</w:t>
      </w:r>
    </w:p>
    <w:p w14:paraId="16399BAA">
      <w:pPr>
        <w:pStyle w:val="12"/>
        <w:pageBreakBefore w:val="0"/>
        <w:widowControl w:val="0"/>
        <w:kinsoku/>
        <w:wordWrap/>
        <w:overflowPunct/>
        <w:topLinePunct w:val="0"/>
        <w:autoSpaceDE/>
        <w:autoSpaceDN/>
        <w:bidi w:val="0"/>
        <w:adjustRightInd/>
        <w:snapToGrid/>
        <w:spacing w:before="38" w:line="400" w:lineRule="exact"/>
        <w:ind w:left="100" w:right="211" w:firstLine="419"/>
        <w:jc w:val="both"/>
        <w:textAlignment w:val="auto"/>
        <w:rPr>
          <w:rFonts w:hint="eastAsia" w:ascii="仿宋" w:hAnsi="仿宋" w:eastAsia="仿宋" w:cs="仿宋"/>
          <w:sz w:val="21"/>
          <w:szCs w:val="21"/>
        </w:rPr>
      </w:pPr>
      <w:r>
        <w:rPr>
          <w:rFonts w:hint="eastAsia" w:ascii="仿宋" w:hAnsi="仿宋" w:eastAsia="仿宋" w:cs="仿宋"/>
          <w:sz w:val="21"/>
          <w:szCs w:val="21"/>
        </w:rPr>
        <w:t>11.7 除专用合同条款和（或）供货要求等合同文件另有约定外，如果在合同设备设计使用 寿命期内发生合同项下备品备件停止生产的情况，卖方应事先将拟停止生产的计划通知买方， 使买方有足够的时间考虑备品备件的需求量。根据买方要求，卖方应：</w:t>
      </w:r>
    </w:p>
    <w:p w14:paraId="03D9011C">
      <w:pPr>
        <w:pStyle w:val="12"/>
        <w:pageBreakBefore w:val="0"/>
        <w:widowControl w:val="0"/>
        <w:kinsoku/>
        <w:wordWrap/>
        <w:overflowPunct/>
        <w:topLinePunct w:val="0"/>
        <w:autoSpaceDE/>
        <w:autoSpaceDN/>
        <w:bidi w:val="0"/>
        <w:adjustRightInd/>
        <w:snapToGrid/>
        <w:spacing w:before="43" w:line="400" w:lineRule="exact"/>
        <w:ind w:left="100" w:right="211" w:firstLine="419"/>
        <w:jc w:val="both"/>
        <w:textAlignment w:val="auto"/>
        <w:rPr>
          <w:rFonts w:hint="eastAsia" w:ascii="仿宋" w:hAnsi="仿宋" w:eastAsia="仿宋" w:cs="仿宋"/>
          <w:sz w:val="21"/>
          <w:szCs w:val="21"/>
        </w:rPr>
      </w:pPr>
      <w:r>
        <w:rPr>
          <w:rFonts w:hint="eastAsia" w:ascii="仿宋" w:hAnsi="仿宋" w:eastAsia="仿宋" w:cs="仿宋"/>
          <w:spacing w:val="-4"/>
          <w:sz w:val="21"/>
          <w:szCs w:val="21"/>
        </w:rPr>
        <w:t xml:space="preserve">（1）以不高于同期市场价格或其向任何第三方销售同类产品的价格提供合同设备正常运行 </w:t>
      </w:r>
      <w:r>
        <w:rPr>
          <w:rFonts w:hint="eastAsia" w:ascii="仿宋" w:hAnsi="仿宋" w:eastAsia="仿宋" w:cs="仿宋"/>
          <w:sz w:val="21"/>
          <w:szCs w:val="21"/>
        </w:rPr>
        <w:t>所需的全部备品备件。或</w:t>
      </w:r>
    </w:p>
    <w:p w14:paraId="596DBC9F">
      <w:pPr>
        <w:pStyle w:val="12"/>
        <w:pageBreakBefore w:val="0"/>
        <w:widowControl w:val="0"/>
        <w:kinsoku/>
        <w:wordWrap/>
        <w:overflowPunct/>
        <w:topLinePunct w:val="0"/>
        <w:autoSpaceDE/>
        <w:autoSpaceDN/>
        <w:bidi w:val="0"/>
        <w:adjustRightInd/>
        <w:snapToGrid/>
        <w:spacing w:before="49" w:line="400" w:lineRule="exact"/>
        <w:ind w:left="100" w:right="211" w:firstLine="419"/>
        <w:jc w:val="both"/>
        <w:textAlignment w:val="auto"/>
        <w:rPr>
          <w:rFonts w:hint="eastAsia" w:ascii="仿宋" w:hAnsi="仿宋" w:eastAsia="仿宋" w:cs="仿宋"/>
          <w:sz w:val="21"/>
          <w:szCs w:val="21"/>
        </w:rPr>
      </w:pPr>
      <w:r>
        <w:rPr>
          <w:rFonts w:hint="eastAsia" w:ascii="仿宋" w:hAnsi="仿宋" w:eastAsia="仿宋" w:cs="仿宋"/>
          <w:spacing w:val="-4"/>
          <w:sz w:val="21"/>
          <w:szCs w:val="21"/>
        </w:rPr>
        <w:t xml:space="preserve">（2）免费提供可供买方或第三方制造停产备品备件所需的全部技术资料，以便买方持续获 </w:t>
      </w:r>
      <w:r>
        <w:rPr>
          <w:rFonts w:hint="eastAsia" w:ascii="仿宋" w:hAnsi="仿宋" w:eastAsia="仿宋" w:cs="仿宋"/>
          <w:spacing w:val="-1"/>
          <w:sz w:val="21"/>
          <w:szCs w:val="21"/>
        </w:rPr>
        <w:t xml:space="preserve">得上述备品备件以满足合同设备在寿命期内正常运行的需要。卖方保证买方或买方委托的第三 </w:t>
      </w:r>
      <w:r>
        <w:rPr>
          <w:rFonts w:hint="eastAsia" w:ascii="仿宋" w:hAnsi="仿宋" w:eastAsia="仿宋" w:cs="仿宋"/>
          <w:sz w:val="21"/>
          <w:szCs w:val="21"/>
        </w:rPr>
        <w:t>方制造及买方使用这些备品备件不侵犯任何人的知识产权。</w:t>
      </w:r>
    </w:p>
    <w:p w14:paraId="59B6CBA0">
      <w:pPr>
        <w:pStyle w:val="12"/>
        <w:pageBreakBefore w:val="0"/>
        <w:widowControl w:val="0"/>
        <w:kinsoku/>
        <w:wordWrap/>
        <w:overflowPunct/>
        <w:topLinePunct w:val="0"/>
        <w:autoSpaceDE/>
        <w:autoSpaceDN/>
        <w:bidi w:val="0"/>
        <w:adjustRightInd/>
        <w:snapToGrid/>
        <w:spacing w:before="43" w:line="400" w:lineRule="exact"/>
        <w:ind w:left="100" w:right="21" w:firstLine="419"/>
        <w:textAlignment w:val="auto"/>
        <w:rPr>
          <w:rFonts w:hint="eastAsia" w:ascii="仿宋" w:hAnsi="仿宋" w:eastAsia="仿宋" w:cs="仿宋"/>
          <w:sz w:val="21"/>
          <w:szCs w:val="21"/>
        </w:rPr>
      </w:pPr>
      <w:r>
        <w:rPr>
          <w:rFonts w:hint="eastAsia" w:ascii="仿宋" w:hAnsi="仿宋" w:eastAsia="仿宋" w:cs="仿宋"/>
          <w:sz w:val="21"/>
          <w:szCs w:val="21"/>
        </w:rPr>
        <w:t>11.8 卖方保证，在合同设备设计使用寿命期内，如果卖方发现合同设备由于设计、制造、 标识等原因存在足以危及人身、财产安全的缺陷，卖方将及时通知买方并及时采取修正或者补 充标识、修理、更换等措施消除缺陷。</w:t>
      </w:r>
    </w:p>
    <w:p w14:paraId="0076EB23">
      <w:pPr>
        <w:pStyle w:val="3"/>
        <w:pageBreakBefore w:val="0"/>
        <w:widowControl w:val="0"/>
        <w:kinsoku/>
        <w:wordWrap/>
        <w:overflowPunct/>
        <w:topLinePunct w:val="0"/>
        <w:autoSpaceDE/>
        <w:autoSpaceDN/>
        <w:bidi w:val="0"/>
        <w:adjustRightInd/>
        <w:snapToGrid/>
        <w:spacing w:line="400" w:lineRule="exact"/>
        <w:ind w:right="21"/>
        <w:textAlignment w:val="auto"/>
        <w:rPr>
          <w:rFonts w:hint="eastAsia" w:ascii="仿宋" w:hAnsi="仿宋" w:eastAsia="仿宋" w:cs="仿宋"/>
          <w:b/>
          <w:sz w:val="21"/>
          <w:szCs w:val="21"/>
        </w:rPr>
      </w:pPr>
      <w:bookmarkStart w:id="520" w:name="_bookmark136"/>
      <w:bookmarkEnd w:id="520"/>
      <w:r>
        <w:rPr>
          <w:rFonts w:hint="eastAsia" w:ascii="仿宋" w:hAnsi="仿宋" w:eastAsia="仿宋" w:cs="仿宋"/>
          <w:sz w:val="21"/>
          <w:szCs w:val="21"/>
        </w:rPr>
        <w:t>12.  知识产权</w:t>
      </w:r>
    </w:p>
    <w:p w14:paraId="1B7E1759">
      <w:pPr>
        <w:pStyle w:val="12"/>
        <w:pageBreakBefore w:val="0"/>
        <w:widowControl w:val="0"/>
        <w:kinsoku/>
        <w:wordWrap/>
        <w:overflowPunct/>
        <w:topLinePunct w:val="0"/>
        <w:autoSpaceDE/>
        <w:autoSpaceDN/>
        <w:bidi w:val="0"/>
        <w:adjustRightInd/>
        <w:snapToGrid/>
        <w:spacing w:line="400" w:lineRule="exact"/>
        <w:ind w:left="100" w:right="21" w:firstLine="419"/>
        <w:textAlignment w:val="auto"/>
        <w:rPr>
          <w:rFonts w:hint="eastAsia" w:ascii="仿宋" w:hAnsi="仿宋" w:eastAsia="仿宋" w:cs="仿宋"/>
          <w:sz w:val="21"/>
          <w:szCs w:val="21"/>
        </w:rPr>
      </w:pPr>
      <w:r>
        <w:rPr>
          <w:rFonts w:hint="eastAsia" w:ascii="仿宋" w:hAnsi="仿宋" w:eastAsia="仿宋" w:cs="仿宋"/>
          <w:sz w:val="21"/>
          <w:szCs w:val="21"/>
        </w:rPr>
        <w:t>12.1 买方在履行合同过程中提供给卖方的全部图纸、文件和其他含有数据和信息的资料， 其知识产权属于买方。</w:t>
      </w:r>
    </w:p>
    <w:p w14:paraId="16C0E5BE">
      <w:pPr>
        <w:pStyle w:val="12"/>
        <w:pageBreakBefore w:val="0"/>
        <w:widowControl w:val="0"/>
        <w:kinsoku/>
        <w:wordWrap/>
        <w:overflowPunct/>
        <w:topLinePunct w:val="0"/>
        <w:autoSpaceDE/>
        <w:autoSpaceDN/>
        <w:bidi w:val="0"/>
        <w:adjustRightInd/>
        <w:snapToGrid/>
        <w:spacing w:before="117" w:line="400" w:lineRule="exact"/>
        <w:ind w:left="100" w:right="314"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12.2 除专用合同条款另有约定外，买方不因签署和履行合同而享有卖方在履行合同过程中 提供给买方的图纸、文件、配套软件、电子辅助程序和其他含有数据和信息的资料的知识产权。 </w:t>
      </w:r>
    </w:p>
    <w:p w14:paraId="3747AD4B">
      <w:pPr>
        <w:pStyle w:val="12"/>
        <w:pageBreakBefore w:val="0"/>
        <w:widowControl w:val="0"/>
        <w:kinsoku/>
        <w:wordWrap/>
        <w:overflowPunct/>
        <w:topLinePunct w:val="0"/>
        <w:autoSpaceDE/>
        <w:autoSpaceDN/>
        <w:bidi w:val="0"/>
        <w:adjustRightInd/>
        <w:snapToGrid/>
        <w:spacing w:before="117" w:line="400" w:lineRule="exact"/>
        <w:ind w:left="100" w:right="314" w:firstLine="419"/>
        <w:jc w:val="both"/>
        <w:textAlignment w:val="auto"/>
        <w:rPr>
          <w:rFonts w:hint="eastAsia" w:ascii="仿宋" w:hAnsi="仿宋" w:eastAsia="仿宋" w:cs="仿宋"/>
          <w:sz w:val="21"/>
          <w:szCs w:val="21"/>
        </w:rPr>
      </w:pPr>
      <w:r>
        <w:rPr>
          <w:rFonts w:hint="eastAsia" w:ascii="仿宋" w:hAnsi="仿宋" w:eastAsia="仿宋" w:cs="仿宋"/>
          <w:sz w:val="21"/>
          <w:szCs w:val="21"/>
        </w:rPr>
        <w:t>12.3   如合同设备涉及知识产权，则卖方保证买方在使用合同设备过程中免于受到第三方提出的有关知识产权侵权的主张、索赔或诉讼的伤害。</w:t>
      </w:r>
    </w:p>
    <w:p w14:paraId="61ED9717">
      <w:pPr>
        <w:pStyle w:val="12"/>
        <w:pageBreakBefore w:val="0"/>
        <w:widowControl w:val="0"/>
        <w:kinsoku/>
        <w:wordWrap/>
        <w:overflowPunct/>
        <w:topLinePunct w:val="0"/>
        <w:autoSpaceDE/>
        <w:autoSpaceDN/>
        <w:bidi w:val="0"/>
        <w:adjustRightInd/>
        <w:snapToGrid/>
        <w:spacing w:before="133" w:line="400" w:lineRule="exact"/>
        <w:ind w:left="100" w:right="21" w:firstLine="419"/>
        <w:textAlignment w:val="auto"/>
        <w:rPr>
          <w:rFonts w:hint="eastAsia" w:ascii="仿宋" w:hAnsi="仿宋" w:eastAsia="仿宋" w:cs="仿宋"/>
          <w:sz w:val="21"/>
          <w:szCs w:val="21"/>
        </w:rPr>
      </w:pPr>
      <w:r>
        <w:rPr>
          <w:rFonts w:hint="eastAsia" w:ascii="仿宋" w:hAnsi="仿宋" w:eastAsia="仿宋" w:cs="仿宋"/>
          <w:sz w:val="21"/>
          <w:szCs w:val="21"/>
        </w:rPr>
        <w:t>12.4 如果买方收到任何第三方有关知识产权的主张、索赔或诉讼，卖方在收到买方通知后， 应以买方名义并在买方的协助下，自负费用处理与第三方的索赔或诉讼，并赔偿买方因此发生 的费用和遭受的损失。除专用合同条款另有约定外，如果卖方拒绝处理前述索赔或诉讼或在收 到买方通知后 28 日内未作表示，买方可以自己的名义进行这些索赔或诉讼，因此发生的费用和 遭受的损失均应由卖方承担。</w:t>
      </w:r>
    </w:p>
    <w:p w14:paraId="4813CA05">
      <w:pPr>
        <w:pStyle w:val="3"/>
        <w:pageBreakBefore w:val="0"/>
        <w:widowControl w:val="0"/>
        <w:kinsoku/>
        <w:wordWrap/>
        <w:overflowPunct/>
        <w:topLinePunct w:val="0"/>
        <w:autoSpaceDE/>
        <w:autoSpaceDN/>
        <w:bidi w:val="0"/>
        <w:adjustRightInd/>
        <w:snapToGrid/>
        <w:spacing w:line="400" w:lineRule="exact"/>
        <w:ind w:right="21"/>
        <w:textAlignment w:val="auto"/>
        <w:rPr>
          <w:rFonts w:hint="eastAsia" w:ascii="仿宋" w:hAnsi="仿宋" w:eastAsia="仿宋" w:cs="仿宋"/>
          <w:b/>
          <w:sz w:val="21"/>
          <w:szCs w:val="21"/>
        </w:rPr>
      </w:pPr>
      <w:bookmarkStart w:id="521" w:name="_bookmark137"/>
      <w:bookmarkEnd w:id="521"/>
      <w:r>
        <w:rPr>
          <w:rFonts w:hint="eastAsia" w:ascii="仿宋" w:hAnsi="仿宋" w:eastAsia="仿宋" w:cs="仿宋"/>
          <w:sz w:val="21"/>
          <w:szCs w:val="21"/>
        </w:rPr>
        <w:t>13.  保密</w:t>
      </w:r>
    </w:p>
    <w:p w14:paraId="46EDA0BB">
      <w:pPr>
        <w:pStyle w:val="12"/>
        <w:pageBreakBefore w:val="0"/>
        <w:widowControl w:val="0"/>
        <w:kinsoku/>
        <w:wordWrap/>
        <w:overflowPunct/>
        <w:topLinePunct w:val="0"/>
        <w:autoSpaceDE/>
        <w:autoSpaceDN/>
        <w:bidi w:val="0"/>
        <w:adjustRightInd/>
        <w:snapToGrid/>
        <w:spacing w:line="400" w:lineRule="exact"/>
        <w:ind w:left="100" w:right="214" w:firstLine="419"/>
        <w:jc w:val="both"/>
        <w:textAlignment w:val="auto"/>
        <w:rPr>
          <w:rFonts w:hint="eastAsia" w:ascii="仿宋" w:hAnsi="仿宋" w:eastAsia="仿宋" w:cs="仿宋"/>
          <w:sz w:val="21"/>
          <w:szCs w:val="21"/>
        </w:rPr>
      </w:pPr>
      <w:r>
        <w:rPr>
          <w:rFonts w:hint="eastAsia" w:ascii="仿宋" w:hAnsi="仿宋" w:eastAsia="仿宋" w:cs="仿宋"/>
          <w:sz w:val="21"/>
          <w:szCs w:val="21"/>
        </w:rPr>
        <w:t>合同双方应对因履行合同而取得的另一方当事人的信息、资料等予以保密。未经另一方当 事人书面同意，任何一方均不得为与履行合同无关的目的使用或向第三方披露另一方当事人提 供的信息、资料。</w:t>
      </w:r>
    </w:p>
    <w:p w14:paraId="1D8FA3D4">
      <w:pPr>
        <w:pStyle w:val="12"/>
        <w:pageBreakBefore w:val="0"/>
        <w:widowControl w:val="0"/>
        <w:kinsoku/>
        <w:wordWrap/>
        <w:overflowPunct/>
        <w:topLinePunct w:val="0"/>
        <w:autoSpaceDE/>
        <w:autoSpaceDN/>
        <w:bidi w:val="0"/>
        <w:adjustRightInd/>
        <w:snapToGrid/>
        <w:spacing w:before="34"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合同当事人的保密义务不适用于下列信息：</w:t>
      </w:r>
    </w:p>
    <w:p w14:paraId="17073934">
      <w:pPr>
        <w:pStyle w:val="12"/>
        <w:pageBreakBefore w:val="0"/>
        <w:widowControl w:val="0"/>
        <w:kinsoku/>
        <w:wordWrap/>
        <w:overflowPunct/>
        <w:topLinePunct w:val="0"/>
        <w:autoSpaceDE/>
        <w:autoSpaceDN/>
        <w:bidi w:val="0"/>
        <w:adjustRightInd/>
        <w:snapToGrid/>
        <w:spacing w:before="133"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（1）非因接受信息一方的过失现在或以后进入公共领域的信息；</w:t>
      </w:r>
    </w:p>
    <w:p w14:paraId="43F4AA57">
      <w:pPr>
        <w:pStyle w:val="12"/>
        <w:pageBreakBefore w:val="0"/>
        <w:widowControl w:val="0"/>
        <w:kinsoku/>
        <w:wordWrap/>
        <w:overflowPunct/>
        <w:topLinePunct w:val="0"/>
        <w:autoSpaceDE/>
        <w:autoSpaceDN/>
        <w:bidi w:val="0"/>
        <w:adjustRightInd/>
        <w:snapToGrid/>
        <w:spacing w:before="117" w:line="400" w:lineRule="exact"/>
        <w:ind w:left="100" w:right="126" w:firstLine="419"/>
        <w:textAlignment w:val="auto"/>
        <w:rPr>
          <w:rFonts w:hint="eastAsia" w:ascii="仿宋" w:hAnsi="仿宋" w:eastAsia="仿宋" w:cs="仿宋"/>
          <w:sz w:val="21"/>
          <w:szCs w:val="21"/>
        </w:rPr>
      </w:pPr>
      <w:r>
        <w:rPr>
          <w:rFonts w:hint="eastAsia" w:ascii="仿宋" w:hAnsi="仿宋" w:eastAsia="仿宋" w:cs="仿宋"/>
          <w:sz w:val="21"/>
          <w:szCs w:val="21"/>
        </w:rPr>
        <w:t>（2）接受信息一方当事人合法地从第三方获得并且据其善意了解第三方也不对此承担保密 义务的信息；</w:t>
      </w:r>
    </w:p>
    <w:p w14:paraId="34E573F0">
      <w:pPr>
        <w:pStyle w:val="12"/>
        <w:pageBreakBefore w:val="0"/>
        <w:widowControl w:val="0"/>
        <w:kinsoku/>
        <w:wordWrap/>
        <w:overflowPunct/>
        <w:topLinePunct w:val="0"/>
        <w:autoSpaceDE/>
        <w:autoSpaceDN/>
        <w:bidi w:val="0"/>
        <w:adjustRightInd/>
        <w:snapToGrid/>
        <w:spacing w:before="49" w:line="400" w:lineRule="exact"/>
        <w:ind w:left="520" w:right="21"/>
        <w:textAlignment w:val="auto"/>
        <w:rPr>
          <w:rFonts w:hint="eastAsia" w:ascii="仿宋" w:hAnsi="仿宋" w:eastAsia="仿宋" w:cs="仿宋"/>
          <w:sz w:val="21"/>
          <w:szCs w:val="21"/>
        </w:rPr>
      </w:pPr>
      <w:r>
        <w:rPr>
          <w:rFonts w:hint="eastAsia" w:ascii="仿宋" w:hAnsi="仿宋" w:eastAsia="仿宋" w:cs="仿宋"/>
          <w:sz w:val="21"/>
          <w:szCs w:val="21"/>
        </w:rPr>
        <w:t>（3）法律或法律的执行要求披露的信息。</w:t>
      </w:r>
    </w:p>
    <w:p w14:paraId="7287618E">
      <w:pPr>
        <w:pStyle w:val="3"/>
        <w:pageBreakBefore w:val="0"/>
        <w:widowControl w:val="0"/>
        <w:kinsoku/>
        <w:wordWrap/>
        <w:overflowPunct/>
        <w:topLinePunct w:val="0"/>
        <w:autoSpaceDE/>
        <w:autoSpaceDN/>
        <w:bidi w:val="0"/>
        <w:adjustRightInd/>
        <w:snapToGrid/>
        <w:spacing w:before="1" w:line="400" w:lineRule="exact"/>
        <w:ind w:right="21"/>
        <w:textAlignment w:val="auto"/>
        <w:rPr>
          <w:rFonts w:hint="eastAsia" w:ascii="仿宋" w:hAnsi="仿宋" w:eastAsia="仿宋" w:cs="仿宋"/>
          <w:b/>
          <w:sz w:val="21"/>
          <w:szCs w:val="21"/>
        </w:rPr>
      </w:pPr>
      <w:bookmarkStart w:id="522" w:name="_bookmark138"/>
      <w:bookmarkEnd w:id="522"/>
      <w:r>
        <w:rPr>
          <w:rFonts w:hint="eastAsia" w:ascii="仿宋" w:hAnsi="仿宋" w:eastAsia="仿宋" w:cs="仿宋"/>
          <w:sz w:val="21"/>
          <w:szCs w:val="21"/>
        </w:rPr>
        <w:t>14.  违约责任</w:t>
      </w:r>
    </w:p>
    <w:p w14:paraId="693DE102">
      <w:pPr>
        <w:pStyle w:val="12"/>
        <w:pageBreakBefore w:val="0"/>
        <w:widowControl w:val="0"/>
        <w:kinsoku/>
        <w:wordWrap/>
        <w:overflowPunct/>
        <w:topLinePunct w:val="0"/>
        <w:autoSpaceDE/>
        <w:autoSpaceDN/>
        <w:bidi w:val="0"/>
        <w:adjustRightInd/>
        <w:snapToGrid/>
        <w:spacing w:line="400" w:lineRule="exact"/>
        <w:ind w:left="100" w:right="21" w:firstLine="419"/>
        <w:textAlignment w:val="auto"/>
        <w:rPr>
          <w:rFonts w:hint="eastAsia" w:ascii="仿宋" w:hAnsi="仿宋" w:eastAsia="仿宋" w:cs="仿宋"/>
          <w:sz w:val="21"/>
          <w:szCs w:val="21"/>
        </w:rPr>
      </w:pPr>
      <w:r>
        <w:rPr>
          <w:rFonts w:hint="eastAsia" w:ascii="仿宋" w:hAnsi="仿宋" w:eastAsia="仿宋" w:cs="仿宋"/>
          <w:sz w:val="21"/>
          <w:szCs w:val="21"/>
        </w:rPr>
        <w:t>14.1 合同一方不履行合同义务、履行合同义务不符合约定或者违反合同项下所作保证的， 应向对方承担继续履行、采取修理、更换、退货等补救措施或者赔偿损失等违约责任。</w:t>
      </w:r>
    </w:p>
    <w:p w14:paraId="6A308510">
      <w:pPr>
        <w:pStyle w:val="12"/>
        <w:pageBreakBefore w:val="0"/>
        <w:widowControl w:val="0"/>
        <w:kinsoku/>
        <w:wordWrap/>
        <w:overflowPunct/>
        <w:topLinePunct w:val="0"/>
        <w:autoSpaceDE/>
        <w:autoSpaceDN/>
        <w:bidi w:val="0"/>
        <w:adjustRightInd/>
        <w:snapToGrid/>
        <w:spacing w:before="52" w:line="400" w:lineRule="exact"/>
        <w:ind w:left="100" w:right="21" w:firstLine="419"/>
        <w:textAlignment w:val="auto"/>
        <w:rPr>
          <w:rFonts w:hint="eastAsia" w:ascii="仿宋" w:hAnsi="仿宋" w:eastAsia="仿宋" w:cs="仿宋"/>
          <w:sz w:val="21"/>
          <w:szCs w:val="21"/>
        </w:rPr>
      </w:pPr>
      <w:r>
        <w:rPr>
          <w:rFonts w:hint="eastAsia" w:ascii="仿宋" w:hAnsi="仿宋" w:eastAsia="仿宋" w:cs="仿宋"/>
          <w:sz w:val="21"/>
          <w:szCs w:val="21"/>
        </w:rPr>
        <w:t xml:space="preserve">14.2 </w:t>
      </w:r>
      <w:r>
        <w:rPr>
          <w:rFonts w:hint="eastAsia" w:ascii="仿宋" w:hAnsi="仿宋" w:eastAsia="仿宋" w:cs="仿宋"/>
          <w:spacing w:val="-3"/>
          <w:sz w:val="21"/>
          <w:szCs w:val="21"/>
        </w:rPr>
        <w:t xml:space="preserve">卖方未能按时交付合同设备（包括仅迟延交付技术资料但足以导致合同设备安装、调 </w:t>
      </w:r>
      <w:r>
        <w:rPr>
          <w:rFonts w:hint="eastAsia" w:ascii="仿宋" w:hAnsi="仿宋" w:eastAsia="仿宋" w:cs="仿宋"/>
          <w:spacing w:val="-6"/>
          <w:sz w:val="21"/>
          <w:szCs w:val="21"/>
        </w:rPr>
        <w:t>试、考核、验收工作推迟的）的，应向买方支付迟延交付违约金。除专用合同条款另有约定外，</w:t>
      </w:r>
      <w:r>
        <w:rPr>
          <w:rFonts w:hint="eastAsia" w:ascii="仿宋" w:hAnsi="仿宋" w:eastAsia="仿宋" w:cs="仿宋"/>
          <w:sz w:val="21"/>
          <w:szCs w:val="21"/>
        </w:rPr>
        <w:t>迟延交付违约金的计算方法如下：</w:t>
      </w:r>
    </w:p>
    <w:p w14:paraId="1C77F51D">
      <w:pPr>
        <w:pStyle w:val="12"/>
        <w:pageBreakBefore w:val="0"/>
        <w:widowControl w:val="0"/>
        <w:kinsoku/>
        <w:wordWrap/>
        <w:overflowPunct/>
        <w:topLinePunct w:val="0"/>
        <w:autoSpaceDE/>
        <w:autoSpaceDN/>
        <w:bidi w:val="0"/>
        <w:adjustRightInd/>
        <w:snapToGrid/>
        <w:spacing w:before="133" w:line="400" w:lineRule="exact"/>
        <w:ind w:left="520" w:right="102"/>
        <w:textAlignment w:val="auto"/>
        <w:rPr>
          <w:rFonts w:hint="eastAsia" w:ascii="仿宋" w:hAnsi="仿宋" w:eastAsia="仿宋" w:cs="仿宋"/>
          <w:sz w:val="21"/>
          <w:szCs w:val="21"/>
        </w:rPr>
      </w:pPr>
      <w:r>
        <w:rPr>
          <w:rFonts w:hint="eastAsia" w:ascii="仿宋" w:hAnsi="仿宋" w:eastAsia="仿宋" w:cs="仿宋"/>
          <w:sz w:val="21"/>
          <w:szCs w:val="21"/>
        </w:rPr>
        <w:t>（1）从迟交的第一周到第四周，每周迟延交付违约金为迟交合同设备价格的 0.5%；</w:t>
      </w:r>
    </w:p>
    <w:p w14:paraId="5ACC099F">
      <w:pPr>
        <w:pStyle w:val="12"/>
        <w:pageBreakBefore w:val="0"/>
        <w:widowControl w:val="0"/>
        <w:kinsoku/>
        <w:wordWrap/>
        <w:overflowPunct/>
        <w:topLinePunct w:val="0"/>
        <w:autoSpaceDE/>
        <w:autoSpaceDN/>
        <w:bidi w:val="0"/>
        <w:adjustRightInd/>
        <w:snapToGrid/>
        <w:spacing w:before="117" w:line="400" w:lineRule="exact"/>
        <w:ind w:left="520" w:right="102"/>
        <w:textAlignment w:val="auto"/>
        <w:rPr>
          <w:rFonts w:hint="eastAsia" w:ascii="仿宋" w:hAnsi="仿宋" w:eastAsia="仿宋" w:cs="仿宋"/>
          <w:sz w:val="21"/>
          <w:szCs w:val="21"/>
        </w:rPr>
      </w:pPr>
      <w:r>
        <w:rPr>
          <w:rFonts w:hint="eastAsia" w:ascii="仿宋" w:hAnsi="仿宋" w:eastAsia="仿宋" w:cs="仿宋"/>
          <w:sz w:val="21"/>
          <w:szCs w:val="21"/>
        </w:rPr>
        <w:t>（2）从迟交的第五周到第八周，每周迟延交付违约金为迟交合同设备价格的 1%；</w:t>
      </w:r>
    </w:p>
    <w:p w14:paraId="357A4B69">
      <w:pPr>
        <w:pStyle w:val="12"/>
        <w:pageBreakBefore w:val="0"/>
        <w:widowControl w:val="0"/>
        <w:kinsoku/>
        <w:wordWrap/>
        <w:overflowPunct/>
        <w:topLinePunct w:val="0"/>
        <w:autoSpaceDE/>
        <w:autoSpaceDN/>
        <w:bidi w:val="0"/>
        <w:adjustRightInd/>
        <w:snapToGrid/>
        <w:spacing w:before="52" w:line="400" w:lineRule="exact"/>
        <w:ind w:left="100" w:right="21" w:firstLine="419"/>
        <w:textAlignment w:val="auto"/>
        <w:rPr>
          <w:rFonts w:hint="eastAsia" w:ascii="仿宋" w:hAnsi="仿宋" w:eastAsia="仿宋" w:cs="仿宋"/>
          <w:spacing w:val="-3"/>
          <w:sz w:val="21"/>
          <w:szCs w:val="21"/>
        </w:rPr>
      </w:pPr>
      <w:r>
        <w:rPr>
          <w:rFonts w:hint="eastAsia" w:ascii="仿宋" w:hAnsi="仿宋" w:eastAsia="仿宋" w:cs="仿宋"/>
          <w:sz w:val="21"/>
          <w:szCs w:val="21"/>
        </w:rPr>
        <w:t>（3）</w:t>
      </w:r>
      <w:r>
        <w:rPr>
          <w:rFonts w:hint="eastAsia" w:ascii="仿宋" w:hAnsi="仿宋" w:eastAsia="仿宋" w:cs="仿宋"/>
          <w:spacing w:val="-3"/>
          <w:sz w:val="21"/>
          <w:szCs w:val="21"/>
        </w:rPr>
        <w:t>从迟交第九周起，每周迟延交付违约金为迟交合同设备价格的 1.5%。 在计算迟延交付违约金时，迟交不足一周的按一周计算。迟延交付违约金的总额不得超过合同价格的 10%。 迟延交付违约金的支付不能免除卖方继续交付相关合同设备的义务，但如迟延交付必然导致合同设备安装、调试、考核、验收工作推迟的，相关工作应相应顺延。</w:t>
      </w:r>
    </w:p>
    <w:p w14:paraId="1D33B77F">
      <w:pPr>
        <w:pStyle w:val="3"/>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bookmarkStart w:id="523" w:name="_bookmark139"/>
      <w:bookmarkEnd w:id="523"/>
      <w:r>
        <w:rPr>
          <w:rFonts w:hint="eastAsia" w:ascii="仿宋" w:hAnsi="仿宋" w:eastAsia="仿宋" w:cs="仿宋"/>
          <w:sz w:val="21"/>
          <w:szCs w:val="21"/>
        </w:rPr>
        <w:t>15.  合同的解除</w:t>
      </w:r>
    </w:p>
    <w:p w14:paraId="43098611">
      <w:pPr>
        <w:pStyle w:val="12"/>
        <w:pageBreakBefore w:val="0"/>
        <w:widowControl w:val="0"/>
        <w:kinsoku/>
        <w:wordWrap/>
        <w:overflowPunct/>
        <w:topLinePunct w:val="0"/>
        <w:autoSpaceDE/>
        <w:autoSpaceDN/>
        <w:bidi w:val="0"/>
        <w:adjustRightInd/>
        <w:snapToGrid/>
        <w:spacing w:line="400" w:lineRule="exact"/>
        <w:ind w:left="100" w:right="114" w:firstLine="419"/>
        <w:jc w:val="both"/>
        <w:textAlignment w:val="auto"/>
        <w:rPr>
          <w:rFonts w:hint="eastAsia" w:ascii="仿宋" w:hAnsi="仿宋" w:eastAsia="仿宋" w:cs="仿宋"/>
          <w:sz w:val="21"/>
          <w:szCs w:val="21"/>
        </w:rPr>
      </w:pPr>
      <w:r>
        <w:rPr>
          <w:rFonts w:hint="eastAsia" w:ascii="仿宋" w:hAnsi="仿宋" w:eastAsia="仿宋" w:cs="仿宋"/>
          <w:sz w:val="21"/>
          <w:szCs w:val="21"/>
        </w:rPr>
        <w:t>除专用合同条款另有约定外，有下述情形之一，当事人可发出书面通知全部或部分地解除 合同，合同自通知到达对方时全部或部分地解除：</w:t>
      </w:r>
    </w:p>
    <w:p w14:paraId="18893F37">
      <w:pPr>
        <w:pStyle w:val="12"/>
        <w:pageBreakBefore w:val="0"/>
        <w:widowControl w:val="0"/>
        <w:kinsoku/>
        <w:wordWrap/>
        <w:overflowPunct/>
        <w:topLinePunct w:val="0"/>
        <w:autoSpaceDE/>
        <w:autoSpaceDN/>
        <w:bidi w:val="0"/>
        <w:adjustRightInd/>
        <w:snapToGrid/>
        <w:spacing w:before="32" w:line="400" w:lineRule="exact"/>
        <w:ind w:left="520" w:right="102"/>
        <w:textAlignment w:val="auto"/>
        <w:rPr>
          <w:rFonts w:hint="eastAsia" w:ascii="仿宋" w:hAnsi="仿宋" w:eastAsia="仿宋" w:cs="仿宋"/>
          <w:sz w:val="21"/>
          <w:szCs w:val="21"/>
        </w:rPr>
      </w:pPr>
      <w:r>
        <w:rPr>
          <w:rFonts w:hint="eastAsia" w:ascii="仿宋" w:hAnsi="仿宋" w:eastAsia="仿宋" w:cs="仿宋"/>
          <w:sz w:val="21"/>
          <w:szCs w:val="21"/>
        </w:rPr>
        <w:t>（1）卖方迟延交付合同设备超过</w:t>
      </w:r>
      <w:r>
        <w:rPr>
          <w:rFonts w:hint="eastAsia" w:ascii="仿宋" w:hAnsi="仿宋" w:eastAsia="仿宋" w:cs="仿宋"/>
          <w:spacing w:val="-56"/>
          <w:sz w:val="21"/>
          <w:szCs w:val="21"/>
        </w:rPr>
        <w:t xml:space="preserve"> </w:t>
      </w:r>
      <w:r>
        <w:rPr>
          <w:rFonts w:hint="eastAsia" w:ascii="仿宋" w:hAnsi="仿宋" w:eastAsia="仿宋" w:cs="仿宋"/>
          <w:spacing w:val="-3"/>
          <w:sz w:val="21"/>
          <w:szCs w:val="21"/>
          <w:lang w:val="en-US" w:eastAsia="zh-CN"/>
        </w:rPr>
        <w:t>10天</w:t>
      </w:r>
      <w:r>
        <w:rPr>
          <w:rFonts w:hint="eastAsia" w:ascii="仿宋" w:hAnsi="仿宋" w:eastAsia="仿宋" w:cs="仿宋"/>
          <w:sz w:val="21"/>
          <w:szCs w:val="21"/>
        </w:rPr>
        <w:t>；</w:t>
      </w:r>
    </w:p>
    <w:p w14:paraId="6CF25FCD">
      <w:pPr>
        <w:pStyle w:val="12"/>
        <w:pageBreakBefore w:val="0"/>
        <w:widowControl w:val="0"/>
        <w:kinsoku/>
        <w:wordWrap/>
        <w:overflowPunct/>
        <w:topLinePunct w:val="0"/>
        <w:autoSpaceDE/>
        <w:autoSpaceDN/>
        <w:bidi w:val="0"/>
        <w:adjustRightInd/>
        <w:snapToGrid/>
        <w:spacing w:before="117" w:line="400" w:lineRule="exact"/>
        <w:ind w:left="100" w:right="111" w:firstLine="419"/>
        <w:jc w:val="both"/>
        <w:textAlignment w:val="auto"/>
        <w:rPr>
          <w:rFonts w:hint="eastAsia" w:ascii="仿宋" w:hAnsi="仿宋" w:eastAsia="仿宋" w:cs="仿宋"/>
          <w:sz w:val="21"/>
          <w:szCs w:val="21"/>
        </w:rPr>
      </w:pPr>
      <w:r>
        <w:rPr>
          <w:rFonts w:hint="eastAsia" w:ascii="仿宋" w:hAnsi="仿宋" w:eastAsia="仿宋" w:cs="仿宋"/>
          <w:spacing w:val="-4"/>
          <w:sz w:val="21"/>
          <w:szCs w:val="21"/>
        </w:rPr>
        <w:t>（2）合同设备由于卖方原因三次考核均未能达到技术性能考核指标或在合同约定了或双方</w:t>
      </w:r>
      <w:r>
        <w:rPr>
          <w:rFonts w:hint="eastAsia" w:ascii="仿宋" w:hAnsi="仿宋" w:eastAsia="仿宋" w:cs="仿宋"/>
          <w:spacing w:val="-1"/>
          <w:sz w:val="21"/>
          <w:szCs w:val="21"/>
        </w:rPr>
        <w:t>在考核中另行达成了最低技术性能考核指标时均未能达到最低技术性能考核指标，且买卖双方</w:t>
      </w:r>
      <w:r>
        <w:rPr>
          <w:rFonts w:hint="eastAsia" w:ascii="仿宋" w:hAnsi="仿宋" w:eastAsia="仿宋" w:cs="仿宋"/>
          <w:sz w:val="21"/>
          <w:szCs w:val="21"/>
        </w:rPr>
        <w:t>未就合同的后续履行协商达成一致；</w:t>
      </w:r>
    </w:p>
    <w:p w14:paraId="3745D83C">
      <w:pPr>
        <w:pStyle w:val="12"/>
        <w:pageBreakBefore w:val="0"/>
        <w:widowControl w:val="0"/>
        <w:kinsoku/>
        <w:wordWrap/>
        <w:overflowPunct/>
        <w:topLinePunct w:val="0"/>
        <w:autoSpaceDE/>
        <w:autoSpaceDN/>
        <w:bidi w:val="0"/>
        <w:adjustRightInd/>
        <w:snapToGrid/>
        <w:spacing w:before="117" w:line="400" w:lineRule="exact"/>
        <w:ind w:left="100" w:right="114" w:firstLine="419"/>
        <w:jc w:val="both"/>
        <w:textAlignment w:val="auto"/>
        <w:rPr>
          <w:rFonts w:hint="eastAsia" w:ascii="仿宋" w:hAnsi="仿宋" w:eastAsia="仿宋" w:cs="仿宋"/>
          <w:sz w:val="21"/>
          <w:szCs w:val="21"/>
        </w:rPr>
      </w:pPr>
      <w:r>
        <w:rPr>
          <w:rFonts w:hint="eastAsia" w:ascii="仿宋" w:hAnsi="仿宋" w:eastAsia="仿宋" w:cs="仿宋"/>
          <w:w w:val="100"/>
          <w:sz w:val="21"/>
          <w:szCs w:val="21"/>
        </w:rPr>
        <w:t>（</w:t>
      </w:r>
      <w:r>
        <w:rPr>
          <w:rFonts w:hint="eastAsia" w:ascii="仿宋" w:hAnsi="仿宋" w:eastAsia="仿宋" w:cs="仿宋"/>
          <w:w w:val="100"/>
          <w:sz w:val="21"/>
          <w:szCs w:val="21"/>
          <w:lang w:val="en-US" w:eastAsia="zh-CN"/>
        </w:rPr>
        <w:t>3</w:t>
      </w:r>
      <w:r>
        <w:rPr>
          <w:rFonts w:hint="eastAsia" w:ascii="仿宋" w:hAnsi="仿宋" w:eastAsia="仿宋" w:cs="仿宋"/>
          <w:w w:val="100"/>
          <w:sz w:val="21"/>
          <w:szCs w:val="21"/>
        </w:rPr>
        <w:t>）合同一方当事</w:t>
      </w:r>
      <w:r>
        <w:rPr>
          <w:rFonts w:hint="eastAsia" w:ascii="仿宋" w:hAnsi="仿宋" w:eastAsia="仿宋" w:cs="仿宋"/>
          <w:spacing w:val="-3"/>
          <w:w w:val="100"/>
          <w:sz w:val="21"/>
          <w:szCs w:val="21"/>
        </w:rPr>
        <w:t>人</w:t>
      </w:r>
      <w:r>
        <w:rPr>
          <w:rFonts w:hint="eastAsia" w:ascii="仿宋" w:hAnsi="仿宋" w:eastAsia="仿宋" w:cs="仿宋"/>
          <w:w w:val="100"/>
          <w:sz w:val="21"/>
          <w:szCs w:val="21"/>
        </w:rPr>
        <w:t>未</w:t>
      </w:r>
      <w:r>
        <w:rPr>
          <w:rFonts w:hint="eastAsia" w:ascii="仿宋" w:hAnsi="仿宋" w:eastAsia="仿宋" w:cs="仿宋"/>
          <w:spacing w:val="-3"/>
          <w:w w:val="100"/>
          <w:sz w:val="21"/>
          <w:szCs w:val="21"/>
        </w:rPr>
        <w:t>能</w:t>
      </w:r>
      <w:r>
        <w:rPr>
          <w:rFonts w:hint="eastAsia" w:ascii="仿宋" w:hAnsi="仿宋" w:eastAsia="仿宋" w:cs="仿宋"/>
          <w:w w:val="100"/>
          <w:sz w:val="21"/>
          <w:szCs w:val="21"/>
        </w:rPr>
        <w:t>履行合同项下任</w:t>
      </w:r>
      <w:r>
        <w:rPr>
          <w:rFonts w:hint="eastAsia" w:ascii="仿宋" w:hAnsi="仿宋" w:eastAsia="仿宋" w:cs="仿宋"/>
          <w:spacing w:val="-3"/>
          <w:w w:val="100"/>
          <w:sz w:val="21"/>
          <w:szCs w:val="21"/>
        </w:rPr>
        <w:t>何</w:t>
      </w:r>
      <w:r>
        <w:rPr>
          <w:rFonts w:hint="eastAsia" w:ascii="仿宋" w:hAnsi="仿宋" w:eastAsia="仿宋" w:cs="仿宋"/>
          <w:w w:val="100"/>
          <w:sz w:val="21"/>
          <w:szCs w:val="21"/>
        </w:rPr>
        <w:t>其它</w:t>
      </w:r>
      <w:r>
        <w:rPr>
          <w:rFonts w:hint="eastAsia" w:ascii="仿宋" w:hAnsi="仿宋" w:eastAsia="仿宋" w:cs="仿宋"/>
          <w:spacing w:val="-3"/>
          <w:w w:val="100"/>
          <w:sz w:val="21"/>
          <w:szCs w:val="21"/>
        </w:rPr>
        <w:t>义</w:t>
      </w:r>
      <w:r>
        <w:rPr>
          <w:rFonts w:hint="eastAsia" w:ascii="仿宋" w:hAnsi="仿宋" w:eastAsia="仿宋" w:cs="仿宋"/>
          <w:w w:val="100"/>
          <w:sz w:val="21"/>
          <w:szCs w:val="21"/>
        </w:rPr>
        <w:t>务（细微义务除</w:t>
      </w:r>
      <w:r>
        <w:rPr>
          <w:rFonts w:hint="eastAsia" w:ascii="仿宋" w:hAnsi="仿宋" w:eastAsia="仿宋" w:cs="仿宋"/>
          <w:spacing w:val="-3"/>
          <w:w w:val="100"/>
          <w:sz w:val="21"/>
          <w:szCs w:val="21"/>
        </w:rPr>
        <w:t>外</w:t>
      </w:r>
      <w:r>
        <w:rPr>
          <w:rFonts w:hint="eastAsia" w:ascii="仿宋" w:hAnsi="仿宋" w:eastAsia="仿宋" w:cs="仿宋"/>
          <w:spacing w:val="-104"/>
          <w:w w:val="100"/>
          <w:sz w:val="21"/>
          <w:szCs w:val="21"/>
        </w:rPr>
        <w:t>）</w:t>
      </w:r>
      <w:r>
        <w:rPr>
          <w:rFonts w:hint="eastAsia" w:ascii="仿宋" w:hAnsi="仿宋" w:eastAsia="仿宋" w:cs="仿宋"/>
          <w:spacing w:val="-3"/>
          <w:w w:val="100"/>
          <w:sz w:val="21"/>
          <w:szCs w:val="21"/>
        </w:rPr>
        <w:t>，</w:t>
      </w:r>
      <w:r>
        <w:rPr>
          <w:rFonts w:hint="eastAsia" w:ascii="仿宋" w:hAnsi="仿宋" w:eastAsia="仿宋" w:cs="仿宋"/>
          <w:w w:val="100"/>
          <w:sz w:val="21"/>
          <w:szCs w:val="21"/>
        </w:rPr>
        <w:t>或</w:t>
      </w:r>
      <w:r>
        <w:rPr>
          <w:rFonts w:hint="eastAsia" w:ascii="仿宋" w:hAnsi="仿宋" w:eastAsia="仿宋" w:cs="仿宋"/>
          <w:spacing w:val="-3"/>
          <w:w w:val="100"/>
          <w:sz w:val="21"/>
          <w:szCs w:val="21"/>
        </w:rPr>
        <w:t>在</w:t>
      </w:r>
      <w:r>
        <w:rPr>
          <w:rFonts w:hint="eastAsia" w:ascii="仿宋" w:hAnsi="仿宋" w:eastAsia="仿宋" w:cs="仿宋"/>
          <w:w w:val="100"/>
          <w:sz w:val="21"/>
          <w:szCs w:val="21"/>
        </w:rPr>
        <w:t>未事先征得</w:t>
      </w:r>
      <w:r>
        <w:rPr>
          <w:rFonts w:hint="eastAsia" w:ascii="仿宋" w:hAnsi="仿宋" w:eastAsia="仿宋" w:cs="仿宋"/>
          <w:spacing w:val="-1"/>
          <w:sz w:val="21"/>
          <w:szCs w:val="21"/>
        </w:rPr>
        <w:t>另一方当事人同意的情况下，从事任何可能在实质上不利影响其履行合同能力的活动，经另一</w:t>
      </w:r>
      <w:r>
        <w:rPr>
          <w:rFonts w:hint="eastAsia" w:ascii="仿宋" w:hAnsi="仿宋" w:eastAsia="仿宋" w:cs="仿宋"/>
          <w:sz w:val="21"/>
          <w:szCs w:val="21"/>
        </w:rPr>
        <w:t>方当事人书面通知后</w:t>
      </w:r>
      <w:r>
        <w:rPr>
          <w:rFonts w:hint="eastAsia" w:ascii="仿宋" w:hAnsi="仿宋" w:eastAsia="仿宋" w:cs="仿宋"/>
          <w:spacing w:val="-60"/>
          <w:sz w:val="21"/>
          <w:szCs w:val="21"/>
          <w:lang w:val="en-US" w:eastAsia="zh-CN"/>
        </w:rPr>
        <w:t>14</w:t>
      </w:r>
      <w:r>
        <w:rPr>
          <w:rFonts w:hint="eastAsia" w:ascii="仿宋" w:hAnsi="仿宋" w:eastAsia="仿宋" w:cs="仿宋"/>
          <w:sz w:val="21"/>
          <w:szCs w:val="21"/>
        </w:rPr>
        <w:t>日内或在专用合同条款约定的其他期限内未能对其行为作出补救；</w:t>
      </w:r>
    </w:p>
    <w:p w14:paraId="7B83D6EE">
      <w:pPr>
        <w:pStyle w:val="12"/>
        <w:pageBreakBefore w:val="0"/>
        <w:widowControl w:val="0"/>
        <w:kinsoku/>
        <w:wordWrap/>
        <w:overflowPunct/>
        <w:topLinePunct w:val="0"/>
        <w:autoSpaceDE/>
        <w:autoSpaceDN/>
        <w:bidi w:val="0"/>
        <w:adjustRightInd/>
        <w:snapToGrid/>
        <w:spacing w:before="12" w:line="400" w:lineRule="exact"/>
        <w:ind w:left="100" w:right="111" w:firstLine="419"/>
        <w:jc w:val="both"/>
        <w:textAlignment w:val="auto"/>
        <w:rPr>
          <w:rFonts w:hint="eastAsia" w:ascii="仿宋" w:hAnsi="仿宋" w:eastAsia="仿宋" w:cs="仿宋"/>
          <w:sz w:val="21"/>
          <w:szCs w:val="21"/>
        </w:rPr>
      </w:pP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4</w:t>
      </w:r>
      <w:r>
        <w:rPr>
          <w:rFonts w:hint="eastAsia" w:ascii="仿宋" w:hAnsi="仿宋" w:eastAsia="仿宋" w:cs="仿宋"/>
          <w:spacing w:val="-4"/>
          <w:sz w:val="21"/>
          <w:szCs w:val="21"/>
        </w:rPr>
        <w:t xml:space="preserve">）合同一方当事人出现破产、清算、资不抵债、成为失信被执行人等可能丧失履约能力 </w:t>
      </w:r>
      <w:r>
        <w:rPr>
          <w:rFonts w:hint="eastAsia" w:ascii="仿宋" w:hAnsi="仿宋" w:eastAsia="仿宋" w:cs="仿宋"/>
          <w:sz w:val="21"/>
          <w:szCs w:val="21"/>
        </w:rPr>
        <w:t>的情形，且未能提供令对方满意的履约保证金。</w:t>
      </w:r>
    </w:p>
    <w:p w14:paraId="5BC25314">
      <w:pPr>
        <w:pStyle w:val="3"/>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bookmarkStart w:id="524" w:name="_bookmark140"/>
      <w:bookmarkEnd w:id="524"/>
      <w:r>
        <w:rPr>
          <w:rFonts w:hint="eastAsia" w:ascii="仿宋" w:hAnsi="仿宋" w:eastAsia="仿宋" w:cs="仿宋"/>
          <w:sz w:val="21"/>
          <w:szCs w:val="21"/>
        </w:rPr>
        <w:t>16.  不可抗力</w:t>
      </w:r>
    </w:p>
    <w:p w14:paraId="4B6C672D">
      <w:pPr>
        <w:pStyle w:val="12"/>
        <w:pageBreakBefore w:val="0"/>
        <w:widowControl w:val="0"/>
        <w:kinsoku/>
        <w:wordWrap/>
        <w:overflowPunct/>
        <w:topLinePunct w:val="0"/>
        <w:autoSpaceDE/>
        <w:autoSpaceDN/>
        <w:bidi w:val="0"/>
        <w:adjustRightInd/>
        <w:snapToGrid/>
        <w:spacing w:before="12" w:line="400" w:lineRule="exact"/>
        <w:textAlignment w:val="auto"/>
        <w:rPr>
          <w:rFonts w:hint="eastAsia" w:ascii="仿宋" w:hAnsi="仿宋" w:eastAsia="仿宋" w:cs="仿宋"/>
          <w:b/>
          <w:sz w:val="21"/>
          <w:szCs w:val="21"/>
        </w:rPr>
      </w:pPr>
    </w:p>
    <w:p w14:paraId="48F901BB">
      <w:pPr>
        <w:pStyle w:val="12"/>
        <w:pageBreakBefore w:val="0"/>
        <w:widowControl w:val="0"/>
        <w:kinsoku/>
        <w:wordWrap/>
        <w:overflowPunct/>
        <w:topLinePunct w:val="0"/>
        <w:autoSpaceDE/>
        <w:autoSpaceDN/>
        <w:bidi w:val="0"/>
        <w:adjustRightInd/>
        <w:snapToGrid/>
        <w:spacing w:line="400" w:lineRule="exact"/>
        <w:ind w:left="100" w:right="113" w:firstLine="419"/>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16.1 </w:t>
      </w:r>
      <w:r>
        <w:rPr>
          <w:rFonts w:hint="eastAsia" w:ascii="仿宋" w:hAnsi="仿宋" w:eastAsia="仿宋" w:cs="仿宋"/>
          <w:spacing w:val="-3"/>
          <w:sz w:val="21"/>
          <w:szCs w:val="21"/>
        </w:rPr>
        <w:t xml:space="preserve">如果任何一方当事人受到不能预见、不能避免且不能克服的不可抗力事件的影响，例 </w:t>
      </w:r>
      <w:r>
        <w:rPr>
          <w:rFonts w:hint="eastAsia" w:ascii="仿宋" w:hAnsi="仿宋" w:eastAsia="仿宋" w:cs="仿宋"/>
          <w:spacing w:val="-1"/>
          <w:sz w:val="21"/>
          <w:szCs w:val="21"/>
        </w:rPr>
        <w:t xml:space="preserve">如战争、严重的火灾、台风、地震、洪水和专用合同条款约定的其他情形，而无法履行合同项 下的任何义务，则受影响的一方当事人应立即将此类事件的发生通知另一方当事人，并应在不 </w:t>
      </w:r>
      <w:r>
        <w:rPr>
          <w:rFonts w:hint="eastAsia" w:ascii="仿宋" w:hAnsi="仿宋" w:eastAsia="仿宋" w:cs="仿宋"/>
          <w:sz w:val="21"/>
          <w:szCs w:val="21"/>
        </w:rPr>
        <w:t>可抗力事件发生后</w:t>
      </w:r>
      <w:r>
        <w:rPr>
          <w:rFonts w:hint="eastAsia" w:ascii="仿宋" w:hAnsi="仿宋" w:eastAsia="仿宋" w:cs="仿宋"/>
          <w:spacing w:val="-58"/>
          <w:sz w:val="21"/>
          <w:szCs w:val="21"/>
        </w:rPr>
        <w:t xml:space="preserve"> </w:t>
      </w:r>
      <w:r>
        <w:rPr>
          <w:rFonts w:hint="eastAsia" w:ascii="仿宋" w:hAnsi="仿宋" w:eastAsia="仿宋" w:cs="仿宋"/>
          <w:sz w:val="21"/>
          <w:szCs w:val="21"/>
        </w:rPr>
        <w:t>28日内将有关当局或机构出具的证明文件提交给另一方当事人。</w:t>
      </w:r>
    </w:p>
    <w:p w14:paraId="14AD9702">
      <w:pPr>
        <w:pStyle w:val="12"/>
        <w:pageBreakBefore w:val="0"/>
        <w:widowControl w:val="0"/>
        <w:kinsoku/>
        <w:wordWrap/>
        <w:overflowPunct/>
        <w:topLinePunct w:val="0"/>
        <w:autoSpaceDE/>
        <w:autoSpaceDN/>
        <w:bidi w:val="0"/>
        <w:adjustRightInd/>
        <w:snapToGrid/>
        <w:spacing w:before="10" w:line="400" w:lineRule="exact"/>
        <w:ind w:left="100" w:right="114" w:firstLine="419"/>
        <w:jc w:val="both"/>
        <w:textAlignment w:val="auto"/>
        <w:rPr>
          <w:rFonts w:hint="eastAsia" w:ascii="仿宋" w:hAnsi="仿宋" w:eastAsia="仿宋" w:cs="仿宋"/>
          <w:sz w:val="21"/>
          <w:szCs w:val="21"/>
        </w:rPr>
      </w:pPr>
      <w:r>
        <w:rPr>
          <w:rFonts w:hint="eastAsia" w:ascii="仿宋" w:hAnsi="仿宋" w:eastAsia="仿宋" w:cs="仿宋"/>
          <w:sz w:val="21"/>
          <w:szCs w:val="21"/>
        </w:rPr>
        <w:t>16.2 受不可抗力事件影响的一方当事人对于不可抗力事件导致的任何合同义务的迟延履 行或不能履行不承担违约责任。但该方当事人应尽快将不可抗力事件结束或消除的情况通知另 一方当事人。</w:t>
      </w:r>
    </w:p>
    <w:p w14:paraId="6228A56C">
      <w:pPr>
        <w:pStyle w:val="12"/>
        <w:pageBreakBefore w:val="0"/>
        <w:widowControl w:val="0"/>
        <w:kinsoku/>
        <w:wordWrap/>
        <w:overflowPunct/>
        <w:topLinePunct w:val="0"/>
        <w:autoSpaceDE/>
        <w:autoSpaceDN/>
        <w:bidi w:val="0"/>
        <w:adjustRightInd/>
        <w:snapToGrid/>
        <w:spacing w:before="43" w:line="400" w:lineRule="exact"/>
        <w:ind w:left="520" w:right="26"/>
        <w:textAlignment w:val="auto"/>
        <w:rPr>
          <w:rFonts w:hint="eastAsia" w:ascii="仿宋" w:hAnsi="仿宋" w:eastAsia="仿宋" w:cs="仿宋"/>
          <w:sz w:val="21"/>
          <w:szCs w:val="21"/>
        </w:rPr>
      </w:pPr>
      <w:r>
        <w:rPr>
          <w:rFonts w:hint="eastAsia" w:ascii="仿宋" w:hAnsi="仿宋" w:eastAsia="仿宋" w:cs="仿宋"/>
          <w:sz w:val="21"/>
          <w:szCs w:val="21"/>
        </w:rPr>
        <w:t>16.3  双方当事人应在不可抗力事件结束或其影响消除后立即继续履行其合同义务，合同期</w:t>
      </w:r>
    </w:p>
    <w:p w14:paraId="56DAF307">
      <w:pPr>
        <w:pStyle w:val="12"/>
        <w:pageBreakBefore w:val="0"/>
        <w:widowControl w:val="0"/>
        <w:kinsoku/>
        <w:wordWrap/>
        <w:overflowPunct/>
        <w:topLinePunct w:val="0"/>
        <w:autoSpaceDE/>
        <w:autoSpaceDN/>
        <w:bidi w:val="0"/>
        <w:adjustRightInd/>
        <w:snapToGrid/>
        <w:spacing w:before="117" w:line="400" w:lineRule="exact"/>
        <w:ind w:left="100" w:right="26"/>
        <w:textAlignment w:val="auto"/>
        <w:rPr>
          <w:rFonts w:hint="eastAsia" w:ascii="仿宋" w:hAnsi="仿宋" w:eastAsia="仿宋" w:cs="仿宋"/>
          <w:sz w:val="21"/>
          <w:szCs w:val="21"/>
        </w:rPr>
      </w:pPr>
      <w:r>
        <w:rPr>
          <w:rFonts w:hint="eastAsia" w:ascii="仿宋" w:hAnsi="仿宋" w:eastAsia="仿宋" w:cs="仿宋"/>
          <w:sz w:val="21"/>
          <w:szCs w:val="21"/>
        </w:rPr>
        <w:t>限也应相应顺延。除专用合同条款另有约定外，如果不可抗力事件的影响持续超过 140 日，则 任何一方当事人均有权以书面通知解除合同。</w:t>
      </w:r>
    </w:p>
    <w:p w14:paraId="0B4887C0">
      <w:pPr>
        <w:pStyle w:val="3"/>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bookmarkStart w:id="525" w:name="_bookmark141"/>
      <w:bookmarkEnd w:id="525"/>
      <w:r>
        <w:rPr>
          <w:rFonts w:hint="eastAsia" w:ascii="仿宋" w:hAnsi="仿宋" w:eastAsia="仿宋" w:cs="仿宋"/>
          <w:sz w:val="21"/>
          <w:szCs w:val="21"/>
        </w:rPr>
        <w:t>17.  争议的解决</w:t>
      </w:r>
    </w:p>
    <w:p w14:paraId="7BB8DA87">
      <w:pPr>
        <w:pStyle w:val="12"/>
        <w:pageBreakBefore w:val="0"/>
        <w:widowControl w:val="0"/>
        <w:kinsoku/>
        <w:wordWrap/>
        <w:overflowPunct/>
        <w:topLinePunct w:val="0"/>
        <w:autoSpaceDE/>
        <w:autoSpaceDN/>
        <w:bidi w:val="0"/>
        <w:adjustRightInd/>
        <w:snapToGrid/>
        <w:spacing w:line="400" w:lineRule="exact"/>
        <w:ind w:left="100" w:right="113" w:firstLine="419"/>
        <w:jc w:val="both"/>
        <w:textAlignment w:val="auto"/>
        <w:rPr>
          <w:rFonts w:hint="eastAsia" w:ascii="仿宋" w:hAnsi="仿宋" w:eastAsia="仿宋" w:cs="仿宋"/>
          <w:sz w:val="21"/>
          <w:szCs w:val="21"/>
        </w:rPr>
      </w:pPr>
      <w:r>
        <w:rPr>
          <w:rFonts w:hint="eastAsia" w:ascii="仿宋" w:hAnsi="仿宋" w:eastAsia="仿宋" w:cs="仿宋"/>
          <w:spacing w:val="-2"/>
          <w:sz w:val="21"/>
          <w:szCs w:val="21"/>
        </w:rPr>
        <w:t xml:space="preserve">因本合同引起的或与本合同有关的任何争议,双方可通过友好协商解决。友好协商解决不成 </w:t>
      </w:r>
      <w:r>
        <w:rPr>
          <w:rFonts w:hint="eastAsia" w:ascii="仿宋" w:hAnsi="仿宋" w:eastAsia="仿宋" w:cs="仿宋"/>
          <w:sz w:val="21"/>
          <w:szCs w:val="21"/>
        </w:rPr>
        <w:t>的，可在专用合同条款中约定下列一种方式解决：</w:t>
      </w:r>
    </w:p>
    <w:p w14:paraId="7D8309F2">
      <w:pPr>
        <w:pStyle w:val="12"/>
        <w:pageBreakBefore w:val="0"/>
        <w:widowControl w:val="0"/>
        <w:kinsoku/>
        <w:wordWrap/>
        <w:overflowPunct/>
        <w:topLinePunct w:val="0"/>
        <w:autoSpaceDE/>
        <w:autoSpaceDN/>
        <w:bidi w:val="0"/>
        <w:adjustRightInd/>
        <w:snapToGrid/>
        <w:spacing w:before="49" w:line="400" w:lineRule="exact"/>
        <w:ind w:left="520" w:right="102"/>
        <w:textAlignment w:val="auto"/>
        <w:rPr>
          <w:rFonts w:hint="eastAsia" w:ascii="仿宋" w:hAnsi="仿宋" w:eastAsia="仿宋" w:cs="仿宋"/>
          <w:sz w:val="21"/>
          <w:szCs w:val="21"/>
        </w:rPr>
      </w:pPr>
      <w:r>
        <w:rPr>
          <w:rFonts w:hint="eastAsia" w:ascii="仿宋" w:hAnsi="仿宋" w:eastAsia="仿宋" w:cs="仿宋"/>
          <w:sz w:val="21"/>
          <w:szCs w:val="21"/>
        </w:rPr>
        <w:t>（1）向约定的仲裁委员会申请仲裁；</w:t>
      </w:r>
    </w:p>
    <w:p w14:paraId="58EB1A50">
      <w:pPr>
        <w:pStyle w:val="12"/>
        <w:pageBreakBefore w:val="0"/>
        <w:widowControl w:val="0"/>
        <w:kinsoku/>
        <w:wordWrap/>
        <w:overflowPunct/>
        <w:topLinePunct w:val="0"/>
        <w:autoSpaceDE/>
        <w:autoSpaceDN/>
        <w:bidi w:val="0"/>
        <w:adjustRightInd/>
        <w:snapToGrid/>
        <w:spacing w:before="117" w:line="400" w:lineRule="exact"/>
        <w:ind w:left="520" w:right="102"/>
        <w:textAlignment w:val="auto"/>
        <w:rPr>
          <w:rFonts w:hint="eastAsia" w:ascii="仿宋" w:hAnsi="仿宋" w:eastAsia="仿宋" w:cs="仿宋"/>
          <w:sz w:val="21"/>
          <w:szCs w:val="21"/>
        </w:rPr>
      </w:pPr>
      <w:r>
        <w:rPr>
          <w:rFonts w:hint="eastAsia" w:ascii="仿宋" w:hAnsi="仿宋" w:eastAsia="仿宋" w:cs="仿宋"/>
          <w:sz w:val="21"/>
          <w:szCs w:val="21"/>
        </w:rPr>
        <w:t>（2）向有管辖权的人民法院提起诉讼。</w:t>
      </w:r>
    </w:p>
    <w:p w14:paraId="1D7688BF">
      <w:pPr>
        <w:spacing w:after="0"/>
        <w:rPr>
          <w:rFonts w:hint="eastAsia" w:ascii="仿宋" w:hAnsi="仿宋" w:eastAsia="仿宋" w:cs="仿宋"/>
          <w:sz w:val="21"/>
          <w:szCs w:val="21"/>
        </w:rPr>
        <w:sectPr>
          <w:footerReference r:id="rId6" w:type="default"/>
          <w:pgSz w:w="12240" w:h="15840"/>
          <w:pgMar w:top="1400" w:right="1680" w:bottom="1120" w:left="1700" w:header="0" w:footer="921" w:gutter="0"/>
          <w:pgNumType w:fmt="decimal"/>
          <w:cols w:space="720" w:num="1"/>
        </w:sectPr>
      </w:pPr>
    </w:p>
    <w:p w14:paraId="7CB38923">
      <w:pPr>
        <w:pStyle w:val="3"/>
        <w:spacing w:line="443" w:lineRule="exact"/>
        <w:ind w:left="3275" w:right="0"/>
      </w:pPr>
      <w:bookmarkStart w:id="526" w:name="_bookmark142"/>
      <w:bookmarkEnd w:id="526"/>
      <w:r>
        <w:t>第二节专用合同条款</w:t>
      </w:r>
    </w:p>
    <w:p w14:paraId="26DC5CF6">
      <w:pPr>
        <w:spacing w:after="0" w:line="443" w:lineRule="exact"/>
        <w:sectPr>
          <w:pgSz w:w="12240" w:h="15840"/>
          <w:pgMar w:top="1400" w:right="1720" w:bottom="1120" w:left="1720" w:header="0" w:footer="921" w:gutter="0"/>
          <w:pgNumType w:fmt="decimal"/>
          <w:cols w:space="720" w:num="1"/>
        </w:sectPr>
      </w:pPr>
    </w:p>
    <w:p w14:paraId="3E984B10">
      <w:pPr>
        <w:pStyle w:val="4"/>
        <w:spacing w:line="363" w:lineRule="exact"/>
        <w:ind w:right="21"/>
        <w:rPr>
          <w:rFonts w:hint="eastAsia" w:ascii="仿宋" w:hAnsi="仿宋" w:eastAsia="仿宋" w:cs="仿宋"/>
          <w:sz w:val="21"/>
          <w:szCs w:val="21"/>
        </w:rPr>
      </w:pPr>
      <w:bookmarkStart w:id="527" w:name="_bookmark144"/>
      <w:bookmarkEnd w:id="527"/>
      <w:bookmarkStart w:id="528" w:name="_bookmark143"/>
      <w:bookmarkEnd w:id="528"/>
      <w:r>
        <w:rPr>
          <w:rFonts w:hint="eastAsia" w:ascii="仿宋" w:hAnsi="仿宋" w:eastAsia="仿宋" w:cs="仿宋"/>
          <w:sz w:val="21"/>
          <w:szCs w:val="21"/>
        </w:rPr>
        <w:t>附件一：合同协议书</w:t>
      </w:r>
    </w:p>
    <w:p w14:paraId="68D6DD2A">
      <w:pPr>
        <w:spacing w:before="15"/>
        <w:ind w:left="220" w:right="336" w:firstLine="0"/>
        <w:jc w:val="center"/>
        <w:rPr>
          <w:rFonts w:hint="eastAsia" w:ascii="仿宋" w:hAnsi="仿宋" w:eastAsia="仿宋" w:cs="仿宋"/>
          <w:sz w:val="21"/>
          <w:szCs w:val="21"/>
        </w:rPr>
      </w:pPr>
      <w:r>
        <w:rPr>
          <w:rFonts w:hint="eastAsia" w:ascii="仿宋" w:hAnsi="仿宋" w:eastAsia="仿宋" w:cs="仿宋"/>
          <w:sz w:val="21"/>
          <w:szCs w:val="21"/>
        </w:rPr>
        <w:t>合同协议书</w:t>
      </w:r>
    </w:p>
    <w:p w14:paraId="14966E24">
      <w:pPr>
        <w:pStyle w:val="12"/>
        <w:rPr>
          <w:rFonts w:hint="eastAsia" w:ascii="仿宋" w:hAnsi="仿宋" w:eastAsia="仿宋" w:cs="仿宋"/>
          <w:sz w:val="21"/>
          <w:szCs w:val="21"/>
        </w:rPr>
      </w:pPr>
    </w:p>
    <w:p w14:paraId="697DF214">
      <w:pPr>
        <w:pStyle w:val="12"/>
        <w:tabs>
          <w:tab w:val="left" w:pos="2457"/>
          <w:tab w:val="left" w:pos="6019"/>
          <w:tab w:val="left" w:pos="7483"/>
        </w:tabs>
        <w:spacing w:before="227" w:line="364" w:lineRule="auto"/>
        <w:ind w:left="100" w:right="109" w:firstLine="359"/>
        <w:rPr>
          <w:rFonts w:hint="eastAsia" w:ascii="仿宋" w:hAnsi="仿宋" w:eastAsia="仿宋" w:cs="仿宋"/>
          <w:sz w:val="21"/>
          <w:szCs w:val="21"/>
        </w:rPr>
      </w:pPr>
      <w:r>
        <w:rPr>
          <w:rFonts w:hint="eastAsia" w:ascii="仿宋" w:hAnsi="仿宋" w:eastAsia="仿宋" w:cs="仿宋"/>
          <w:w w:val="100"/>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pacing w:val="-9"/>
          <w:sz w:val="21"/>
          <w:szCs w:val="21"/>
        </w:rPr>
        <w:t>（买方名称，以下简称</w:t>
      </w:r>
      <w:r>
        <w:rPr>
          <w:rFonts w:hint="eastAsia" w:ascii="仿宋" w:hAnsi="仿宋" w:eastAsia="仿宋" w:cs="仿宋"/>
          <w:i/>
          <w:spacing w:val="-9"/>
          <w:sz w:val="21"/>
          <w:szCs w:val="21"/>
        </w:rPr>
        <w:t>“</w:t>
      </w:r>
      <w:r>
        <w:rPr>
          <w:rFonts w:hint="eastAsia" w:ascii="仿宋" w:hAnsi="仿宋" w:eastAsia="仿宋" w:cs="仿宋"/>
          <w:spacing w:val="-9"/>
          <w:sz w:val="21"/>
          <w:szCs w:val="21"/>
        </w:rPr>
        <w:t>买方</w:t>
      </w:r>
      <w:r>
        <w:rPr>
          <w:rFonts w:hint="eastAsia" w:ascii="仿宋" w:hAnsi="仿宋" w:eastAsia="仿宋" w:cs="仿宋"/>
          <w:i/>
          <w:spacing w:val="-9"/>
          <w:sz w:val="21"/>
          <w:szCs w:val="21"/>
        </w:rPr>
        <w:t>”</w:t>
      </w:r>
      <w:r>
        <w:rPr>
          <w:rFonts w:hint="eastAsia" w:ascii="仿宋" w:hAnsi="仿宋" w:eastAsia="仿宋" w:cs="仿宋"/>
          <w:spacing w:val="-9"/>
          <w:sz w:val="21"/>
          <w:szCs w:val="21"/>
        </w:rPr>
        <w:t>）为获得</w:t>
      </w:r>
      <w:r>
        <w:rPr>
          <w:rFonts w:hint="eastAsia" w:ascii="仿宋" w:hAnsi="仿宋" w:eastAsia="仿宋" w:cs="仿宋"/>
          <w:spacing w:val="-9"/>
          <w:sz w:val="21"/>
          <w:szCs w:val="21"/>
          <w:u w:val="single"/>
        </w:rPr>
        <w:t xml:space="preserve"> </w:t>
      </w:r>
      <w:r>
        <w:rPr>
          <w:rFonts w:hint="eastAsia" w:ascii="仿宋" w:hAnsi="仿宋" w:eastAsia="仿宋" w:cs="仿宋"/>
          <w:spacing w:val="-9"/>
          <w:sz w:val="21"/>
          <w:szCs w:val="21"/>
          <w:u w:val="single"/>
        </w:rPr>
        <w:tab/>
      </w:r>
      <w:r>
        <w:rPr>
          <w:rFonts w:hint="eastAsia" w:ascii="仿宋" w:hAnsi="仿宋" w:eastAsia="仿宋" w:cs="仿宋"/>
          <w:spacing w:val="-9"/>
          <w:sz w:val="21"/>
          <w:szCs w:val="21"/>
          <w:u w:val="single"/>
        </w:rPr>
        <w:tab/>
      </w:r>
      <w:r>
        <w:rPr>
          <w:rFonts w:hint="eastAsia" w:ascii="仿宋" w:hAnsi="仿宋" w:eastAsia="仿宋" w:cs="仿宋"/>
          <w:sz w:val="21"/>
          <w:szCs w:val="21"/>
          <w:u w:val="single"/>
        </w:rPr>
        <w:t>（</w:t>
      </w:r>
      <w:r>
        <w:rPr>
          <w:rFonts w:hint="eastAsia" w:ascii="仿宋" w:hAnsi="仿宋" w:eastAsia="仿宋" w:cs="仿宋"/>
          <w:sz w:val="21"/>
          <w:szCs w:val="21"/>
        </w:rPr>
        <w:t xml:space="preserve">项目名称） </w:t>
      </w:r>
      <w:r>
        <w:rPr>
          <w:rFonts w:hint="eastAsia" w:ascii="仿宋" w:hAnsi="仿宋" w:eastAsia="仿宋" w:cs="仿宋"/>
          <w:w w:val="100"/>
          <w:sz w:val="21"/>
          <w:szCs w:val="21"/>
        </w:rPr>
        <w:t>合</w:t>
      </w:r>
      <w:r>
        <w:rPr>
          <w:rFonts w:hint="eastAsia" w:ascii="仿宋" w:hAnsi="仿宋" w:eastAsia="仿宋" w:cs="仿宋"/>
          <w:spacing w:val="-1"/>
          <w:w w:val="100"/>
          <w:sz w:val="21"/>
          <w:szCs w:val="21"/>
        </w:rPr>
        <w:t>同</w:t>
      </w:r>
      <w:r>
        <w:rPr>
          <w:rFonts w:hint="eastAsia" w:ascii="仿宋" w:hAnsi="仿宋" w:eastAsia="仿宋" w:cs="仿宋"/>
          <w:spacing w:val="-3"/>
          <w:w w:val="100"/>
          <w:sz w:val="21"/>
          <w:szCs w:val="21"/>
        </w:rPr>
        <w:t>设</w:t>
      </w:r>
      <w:r>
        <w:rPr>
          <w:rFonts w:hint="eastAsia" w:ascii="仿宋" w:hAnsi="仿宋" w:eastAsia="仿宋" w:cs="仿宋"/>
          <w:w w:val="100"/>
          <w:sz w:val="21"/>
          <w:szCs w:val="21"/>
        </w:rPr>
        <w:t>备</w:t>
      </w:r>
      <w:r>
        <w:rPr>
          <w:rFonts w:hint="eastAsia" w:ascii="仿宋" w:hAnsi="仿宋" w:eastAsia="仿宋" w:cs="仿宋"/>
          <w:spacing w:val="-3"/>
          <w:w w:val="100"/>
          <w:sz w:val="21"/>
          <w:szCs w:val="21"/>
        </w:rPr>
        <w:t>和</w:t>
      </w:r>
      <w:r>
        <w:rPr>
          <w:rFonts w:hint="eastAsia" w:ascii="仿宋" w:hAnsi="仿宋" w:eastAsia="仿宋" w:cs="仿宋"/>
          <w:w w:val="100"/>
          <w:sz w:val="21"/>
          <w:szCs w:val="21"/>
        </w:rPr>
        <w:t>技</w:t>
      </w:r>
      <w:r>
        <w:rPr>
          <w:rFonts w:hint="eastAsia" w:ascii="仿宋" w:hAnsi="仿宋" w:eastAsia="仿宋" w:cs="仿宋"/>
          <w:spacing w:val="-3"/>
          <w:w w:val="100"/>
          <w:sz w:val="21"/>
          <w:szCs w:val="21"/>
        </w:rPr>
        <w:t>术</w:t>
      </w:r>
      <w:r>
        <w:rPr>
          <w:rFonts w:hint="eastAsia" w:ascii="仿宋" w:hAnsi="仿宋" w:eastAsia="仿宋" w:cs="仿宋"/>
          <w:w w:val="100"/>
          <w:sz w:val="21"/>
          <w:szCs w:val="21"/>
        </w:rPr>
        <w:t>服</w:t>
      </w:r>
      <w:r>
        <w:rPr>
          <w:rFonts w:hint="eastAsia" w:ascii="仿宋" w:hAnsi="仿宋" w:eastAsia="仿宋" w:cs="仿宋"/>
          <w:spacing w:val="-3"/>
          <w:w w:val="100"/>
          <w:sz w:val="21"/>
          <w:szCs w:val="21"/>
        </w:rPr>
        <w:t>务</w:t>
      </w:r>
      <w:r>
        <w:rPr>
          <w:rFonts w:hint="eastAsia" w:ascii="仿宋" w:hAnsi="仿宋" w:eastAsia="仿宋" w:cs="仿宋"/>
          <w:w w:val="100"/>
          <w:sz w:val="21"/>
          <w:szCs w:val="21"/>
        </w:rPr>
        <w:t>和</w:t>
      </w:r>
      <w:r>
        <w:rPr>
          <w:rFonts w:hint="eastAsia" w:ascii="仿宋" w:hAnsi="仿宋" w:eastAsia="仿宋" w:cs="仿宋"/>
          <w:spacing w:val="-3"/>
          <w:w w:val="100"/>
          <w:sz w:val="21"/>
          <w:szCs w:val="21"/>
        </w:rPr>
        <w:t>质</w:t>
      </w:r>
      <w:r>
        <w:rPr>
          <w:rFonts w:hint="eastAsia" w:ascii="仿宋" w:hAnsi="仿宋" w:eastAsia="仿宋" w:cs="仿宋"/>
          <w:w w:val="100"/>
          <w:sz w:val="21"/>
          <w:szCs w:val="21"/>
        </w:rPr>
        <w:t>保期</w:t>
      </w:r>
      <w:r>
        <w:rPr>
          <w:rFonts w:hint="eastAsia" w:ascii="仿宋" w:hAnsi="仿宋" w:eastAsia="仿宋" w:cs="仿宋"/>
          <w:spacing w:val="-3"/>
          <w:w w:val="100"/>
          <w:sz w:val="21"/>
          <w:szCs w:val="21"/>
        </w:rPr>
        <w:t>服务</w:t>
      </w:r>
      <w:r>
        <w:rPr>
          <w:rFonts w:hint="eastAsia" w:ascii="仿宋" w:hAnsi="仿宋" w:eastAsia="仿宋" w:cs="仿宋"/>
          <w:spacing w:val="-87"/>
          <w:w w:val="100"/>
          <w:sz w:val="21"/>
          <w:szCs w:val="21"/>
        </w:rPr>
        <w:t>，</w:t>
      </w:r>
      <w:r>
        <w:rPr>
          <w:rFonts w:hint="eastAsia" w:ascii="仿宋" w:hAnsi="仿宋" w:eastAsia="仿宋" w:cs="仿宋"/>
          <w:spacing w:val="-3"/>
          <w:w w:val="100"/>
          <w:sz w:val="21"/>
          <w:szCs w:val="21"/>
        </w:rPr>
        <w:t>已</w:t>
      </w:r>
      <w:r>
        <w:rPr>
          <w:rFonts w:hint="eastAsia" w:ascii="仿宋" w:hAnsi="仿宋" w:eastAsia="仿宋" w:cs="仿宋"/>
          <w:w w:val="100"/>
          <w:sz w:val="21"/>
          <w:szCs w:val="21"/>
        </w:rPr>
        <w:t>接</w:t>
      </w:r>
      <w:r>
        <w:rPr>
          <w:rFonts w:hint="eastAsia" w:ascii="仿宋" w:hAnsi="仿宋" w:eastAsia="仿宋" w:cs="仿宋"/>
          <w:spacing w:val="-3"/>
          <w:w w:val="100"/>
          <w:sz w:val="21"/>
          <w:szCs w:val="21"/>
        </w:rPr>
        <w:t>受</w:t>
      </w:r>
      <w:r>
        <w:rPr>
          <w:rFonts w:hint="eastAsia" w:ascii="仿宋" w:hAnsi="仿宋" w:eastAsia="仿宋" w:cs="仿宋"/>
          <w:w w:val="100"/>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w w:val="100"/>
          <w:sz w:val="21"/>
          <w:szCs w:val="21"/>
          <w:u w:val="single"/>
        </w:rPr>
        <w:t>（</w:t>
      </w:r>
      <w:r>
        <w:rPr>
          <w:rFonts w:hint="eastAsia" w:ascii="仿宋" w:hAnsi="仿宋" w:eastAsia="仿宋" w:cs="仿宋"/>
          <w:spacing w:val="-3"/>
          <w:w w:val="100"/>
          <w:sz w:val="21"/>
          <w:szCs w:val="21"/>
        </w:rPr>
        <w:t>卖</w:t>
      </w:r>
      <w:r>
        <w:rPr>
          <w:rFonts w:hint="eastAsia" w:ascii="仿宋" w:hAnsi="仿宋" w:eastAsia="仿宋" w:cs="仿宋"/>
          <w:w w:val="100"/>
          <w:sz w:val="21"/>
          <w:szCs w:val="21"/>
        </w:rPr>
        <w:t>方</w:t>
      </w:r>
      <w:r>
        <w:rPr>
          <w:rFonts w:hint="eastAsia" w:ascii="仿宋" w:hAnsi="仿宋" w:eastAsia="仿宋" w:cs="仿宋"/>
          <w:spacing w:val="-3"/>
          <w:w w:val="100"/>
          <w:sz w:val="21"/>
          <w:szCs w:val="21"/>
        </w:rPr>
        <w:t>名称</w:t>
      </w:r>
      <w:r>
        <w:rPr>
          <w:rFonts w:hint="eastAsia" w:ascii="仿宋" w:hAnsi="仿宋" w:eastAsia="仿宋" w:cs="仿宋"/>
          <w:spacing w:val="-89"/>
          <w:w w:val="100"/>
          <w:sz w:val="21"/>
          <w:szCs w:val="21"/>
        </w:rPr>
        <w:t>，</w:t>
      </w:r>
      <w:r>
        <w:rPr>
          <w:rFonts w:hint="eastAsia" w:ascii="仿宋" w:hAnsi="仿宋" w:eastAsia="仿宋" w:cs="仿宋"/>
          <w:w w:val="100"/>
          <w:sz w:val="21"/>
          <w:szCs w:val="21"/>
        </w:rPr>
        <w:t>以下</w:t>
      </w:r>
      <w:r>
        <w:rPr>
          <w:rFonts w:hint="eastAsia" w:ascii="仿宋" w:hAnsi="仿宋" w:eastAsia="仿宋" w:cs="仿宋"/>
          <w:spacing w:val="-3"/>
          <w:w w:val="100"/>
          <w:sz w:val="21"/>
          <w:szCs w:val="21"/>
        </w:rPr>
        <w:t>简</w:t>
      </w:r>
      <w:r>
        <w:rPr>
          <w:rFonts w:hint="eastAsia" w:ascii="仿宋" w:hAnsi="仿宋" w:eastAsia="仿宋" w:cs="仿宋"/>
          <w:w w:val="100"/>
          <w:sz w:val="21"/>
          <w:szCs w:val="21"/>
        </w:rPr>
        <w:t>称</w:t>
      </w:r>
      <w:r>
        <w:rPr>
          <w:rFonts w:hint="eastAsia" w:ascii="仿宋" w:hAnsi="仿宋" w:eastAsia="仿宋" w:cs="仿宋"/>
          <w:i/>
          <w:spacing w:val="-3"/>
          <w:w w:val="80"/>
          <w:sz w:val="21"/>
          <w:szCs w:val="21"/>
        </w:rPr>
        <w:t>“</w:t>
      </w:r>
      <w:r>
        <w:rPr>
          <w:rFonts w:hint="eastAsia" w:ascii="仿宋" w:hAnsi="仿宋" w:eastAsia="仿宋" w:cs="仿宋"/>
          <w:w w:val="100"/>
          <w:sz w:val="21"/>
          <w:szCs w:val="21"/>
        </w:rPr>
        <w:t>卖方</w:t>
      </w:r>
      <w:r>
        <w:rPr>
          <w:rFonts w:hint="eastAsia" w:ascii="仿宋" w:hAnsi="仿宋" w:eastAsia="仿宋" w:cs="仿宋"/>
          <w:i/>
          <w:spacing w:val="-3"/>
          <w:w w:val="80"/>
          <w:sz w:val="21"/>
          <w:szCs w:val="21"/>
        </w:rPr>
        <w:t>”</w:t>
      </w:r>
      <w:r>
        <w:rPr>
          <w:rFonts w:hint="eastAsia" w:ascii="仿宋" w:hAnsi="仿宋" w:eastAsia="仿宋" w:cs="仿宋"/>
          <w:w w:val="100"/>
          <w:sz w:val="21"/>
          <w:szCs w:val="21"/>
        </w:rPr>
        <w:t>）</w:t>
      </w:r>
    </w:p>
    <w:p w14:paraId="12622BE7">
      <w:pPr>
        <w:pStyle w:val="12"/>
        <w:spacing w:before="28"/>
        <w:ind w:left="100" w:right="21"/>
        <w:rPr>
          <w:rFonts w:hint="eastAsia" w:ascii="仿宋" w:hAnsi="仿宋" w:eastAsia="仿宋" w:cs="仿宋"/>
          <w:sz w:val="21"/>
          <w:szCs w:val="21"/>
        </w:rPr>
      </w:pPr>
      <w:r>
        <w:rPr>
          <w:rFonts w:hint="eastAsia" w:ascii="仿宋" w:hAnsi="仿宋" w:eastAsia="仿宋" w:cs="仿宋"/>
          <w:sz w:val="21"/>
          <w:szCs w:val="21"/>
        </w:rPr>
        <w:t>为提供上述合同设备和技术服务和质保期服务所作的投标，买方和卖方共同达成如下协议：</w:t>
      </w:r>
    </w:p>
    <w:p w14:paraId="1A892843">
      <w:pPr>
        <w:pStyle w:val="12"/>
        <w:spacing w:before="164"/>
        <w:ind w:left="520" w:right="21"/>
        <w:rPr>
          <w:rFonts w:hint="eastAsia" w:ascii="仿宋" w:hAnsi="仿宋" w:eastAsia="仿宋" w:cs="仿宋"/>
          <w:sz w:val="21"/>
          <w:szCs w:val="21"/>
        </w:rPr>
      </w:pPr>
      <w:r>
        <w:rPr>
          <w:rFonts w:hint="eastAsia" w:ascii="仿宋" w:hAnsi="仿宋" w:eastAsia="仿宋" w:cs="仿宋"/>
          <w:sz w:val="21"/>
          <w:szCs w:val="21"/>
        </w:rPr>
        <w:t>1. 本协议书与下列文件一起构成合同文件：</w:t>
      </w:r>
    </w:p>
    <w:p w14:paraId="2CD84FD0">
      <w:pPr>
        <w:pStyle w:val="12"/>
        <w:spacing w:before="151"/>
        <w:ind w:left="520" w:right="21"/>
        <w:rPr>
          <w:rFonts w:hint="eastAsia" w:ascii="仿宋" w:hAnsi="仿宋" w:eastAsia="仿宋" w:cs="仿宋"/>
          <w:sz w:val="21"/>
          <w:szCs w:val="21"/>
        </w:rPr>
      </w:pPr>
      <w:r>
        <w:rPr>
          <w:rFonts w:hint="eastAsia" w:ascii="仿宋" w:hAnsi="仿宋" w:eastAsia="仿宋" w:cs="仿宋"/>
          <w:sz w:val="21"/>
          <w:szCs w:val="21"/>
        </w:rPr>
        <w:t>（1）中标通知书；</w:t>
      </w:r>
    </w:p>
    <w:p w14:paraId="43BE11A0">
      <w:pPr>
        <w:pStyle w:val="12"/>
        <w:spacing w:before="148"/>
        <w:ind w:left="520" w:right="21"/>
        <w:rPr>
          <w:rFonts w:hint="eastAsia" w:ascii="仿宋" w:hAnsi="仿宋" w:eastAsia="仿宋" w:cs="仿宋"/>
          <w:sz w:val="21"/>
          <w:szCs w:val="21"/>
        </w:rPr>
      </w:pPr>
      <w:r>
        <w:rPr>
          <w:rFonts w:hint="eastAsia" w:ascii="仿宋" w:hAnsi="仿宋" w:eastAsia="仿宋" w:cs="仿宋"/>
          <w:sz w:val="21"/>
          <w:szCs w:val="21"/>
        </w:rPr>
        <w:t>（2）投标函；</w:t>
      </w:r>
    </w:p>
    <w:p w14:paraId="63C5820D">
      <w:pPr>
        <w:pStyle w:val="12"/>
        <w:spacing w:before="148"/>
        <w:ind w:left="520" w:right="21"/>
        <w:rPr>
          <w:rFonts w:hint="eastAsia" w:ascii="仿宋" w:hAnsi="仿宋" w:eastAsia="仿宋" w:cs="仿宋"/>
          <w:sz w:val="21"/>
          <w:szCs w:val="21"/>
        </w:rPr>
      </w:pPr>
      <w:r>
        <w:rPr>
          <w:rFonts w:hint="eastAsia" w:ascii="仿宋" w:hAnsi="仿宋" w:eastAsia="仿宋" w:cs="仿宋"/>
          <w:sz w:val="21"/>
          <w:szCs w:val="21"/>
        </w:rPr>
        <w:t>（3）商务和技术偏差表；</w:t>
      </w:r>
    </w:p>
    <w:p w14:paraId="611B8D53">
      <w:pPr>
        <w:pStyle w:val="12"/>
        <w:spacing w:before="151"/>
        <w:ind w:left="520" w:right="21"/>
        <w:rPr>
          <w:rFonts w:hint="eastAsia" w:ascii="仿宋" w:hAnsi="仿宋" w:eastAsia="仿宋" w:cs="仿宋"/>
          <w:sz w:val="21"/>
          <w:szCs w:val="21"/>
        </w:rPr>
      </w:pPr>
      <w:r>
        <w:rPr>
          <w:rFonts w:hint="eastAsia" w:ascii="仿宋" w:hAnsi="仿宋" w:eastAsia="仿宋" w:cs="仿宋"/>
          <w:sz w:val="21"/>
          <w:szCs w:val="21"/>
        </w:rPr>
        <w:t>（4）专用合同条款；</w:t>
      </w:r>
    </w:p>
    <w:p w14:paraId="20102A5D">
      <w:pPr>
        <w:pStyle w:val="12"/>
        <w:spacing w:before="148"/>
        <w:ind w:left="520" w:right="21"/>
        <w:rPr>
          <w:rFonts w:hint="eastAsia" w:ascii="仿宋" w:hAnsi="仿宋" w:eastAsia="仿宋" w:cs="仿宋"/>
          <w:sz w:val="21"/>
          <w:szCs w:val="21"/>
        </w:rPr>
      </w:pPr>
      <w:r>
        <w:rPr>
          <w:rFonts w:hint="eastAsia" w:ascii="仿宋" w:hAnsi="仿宋" w:eastAsia="仿宋" w:cs="仿宋"/>
          <w:sz w:val="21"/>
          <w:szCs w:val="21"/>
        </w:rPr>
        <w:t>（5）通用合同条款；</w:t>
      </w:r>
    </w:p>
    <w:p w14:paraId="72B3E52D">
      <w:pPr>
        <w:pStyle w:val="12"/>
        <w:spacing w:before="149"/>
        <w:ind w:left="520" w:right="21"/>
        <w:rPr>
          <w:rFonts w:hint="eastAsia" w:ascii="仿宋" w:hAnsi="仿宋" w:eastAsia="仿宋" w:cs="仿宋"/>
          <w:sz w:val="21"/>
          <w:szCs w:val="21"/>
        </w:rPr>
      </w:pPr>
      <w:r>
        <w:rPr>
          <w:rFonts w:hint="eastAsia" w:ascii="仿宋" w:hAnsi="仿宋" w:eastAsia="仿宋" w:cs="仿宋"/>
          <w:sz w:val="21"/>
          <w:szCs w:val="21"/>
        </w:rPr>
        <w:t>（6）供货要求；</w:t>
      </w:r>
    </w:p>
    <w:p w14:paraId="1C399F8A">
      <w:pPr>
        <w:pStyle w:val="12"/>
        <w:spacing w:before="151"/>
        <w:ind w:left="520" w:right="21"/>
        <w:rPr>
          <w:rFonts w:hint="eastAsia" w:ascii="仿宋" w:hAnsi="仿宋" w:eastAsia="仿宋" w:cs="仿宋"/>
          <w:sz w:val="21"/>
          <w:szCs w:val="21"/>
        </w:rPr>
      </w:pPr>
      <w:r>
        <w:rPr>
          <w:rFonts w:hint="eastAsia" w:ascii="仿宋" w:hAnsi="仿宋" w:eastAsia="仿宋" w:cs="仿宋"/>
          <w:sz w:val="21"/>
          <w:szCs w:val="21"/>
        </w:rPr>
        <w:t>（7）分项报价表；</w:t>
      </w:r>
    </w:p>
    <w:p w14:paraId="0FE7B15B">
      <w:pPr>
        <w:pStyle w:val="12"/>
        <w:spacing w:before="148"/>
        <w:ind w:left="520" w:right="21"/>
        <w:rPr>
          <w:rFonts w:hint="eastAsia" w:ascii="仿宋" w:hAnsi="仿宋" w:eastAsia="仿宋" w:cs="仿宋"/>
          <w:sz w:val="21"/>
          <w:szCs w:val="21"/>
        </w:rPr>
      </w:pPr>
      <w:r>
        <w:rPr>
          <w:rFonts w:hint="eastAsia" w:ascii="仿宋" w:hAnsi="仿宋" w:eastAsia="仿宋" w:cs="仿宋"/>
          <w:sz w:val="21"/>
          <w:szCs w:val="21"/>
        </w:rPr>
        <w:t>（8）中标设备技术性能指标的详细描述；</w:t>
      </w:r>
    </w:p>
    <w:p w14:paraId="40D18A04">
      <w:pPr>
        <w:pStyle w:val="12"/>
        <w:spacing w:before="148"/>
        <w:ind w:left="520" w:right="21"/>
        <w:rPr>
          <w:rFonts w:hint="eastAsia" w:ascii="仿宋" w:hAnsi="仿宋" w:eastAsia="仿宋" w:cs="仿宋"/>
          <w:sz w:val="21"/>
          <w:szCs w:val="21"/>
        </w:rPr>
      </w:pPr>
      <w:r>
        <w:rPr>
          <w:rFonts w:hint="eastAsia" w:ascii="仿宋" w:hAnsi="仿宋" w:eastAsia="仿宋" w:cs="仿宋"/>
          <w:sz w:val="21"/>
          <w:szCs w:val="21"/>
        </w:rPr>
        <w:t>（9）技术服务和质保期服务计划；</w:t>
      </w:r>
    </w:p>
    <w:p w14:paraId="7CF6A1E4">
      <w:pPr>
        <w:pStyle w:val="12"/>
        <w:spacing w:before="151"/>
        <w:ind w:left="520" w:right="21"/>
        <w:rPr>
          <w:rFonts w:hint="eastAsia" w:ascii="仿宋" w:hAnsi="仿宋" w:eastAsia="仿宋" w:cs="仿宋"/>
          <w:sz w:val="21"/>
          <w:szCs w:val="21"/>
        </w:rPr>
      </w:pPr>
      <w:r>
        <w:rPr>
          <w:rFonts w:hint="eastAsia" w:ascii="仿宋" w:hAnsi="仿宋" w:eastAsia="仿宋" w:cs="仿宋"/>
          <w:sz w:val="21"/>
          <w:szCs w:val="21"/>
        </w:rPr>
        <w:t>（10）其他合同文件。</w:t>
      </w:r>
    </w:p>
    <w:p w14:paraId="3E79A9FD">
      <w:pPr>
        <w:pStyle w:val="12"/>
        <w:spacing w:before="148" w:line="362" w:lineRule="auto"/>
        <w:ind w:left="100" w:right="21" w:firstLine="419"/>
        <w:rPr>
          <w:rFonts w:hint="eastAsia" w:ascii="仿宋" w:hAnsi="仿宋" w:eastAsia="仿宋" w:cs="仿宋"/>
          <w:sz w:val="21"/>
          <w:szCs w:val="21"/>
        </w:rPr>
      </w:pPr>
      <w:r>
        <w:rPr>
          <w:rFonts w:hint="eastAsia" w:ascii="仿宋" w:hAnsi="仿宋" w:eastAsia="仿宋" w:cs="仿宋"/>
          <w:sz w:val="21"/>
          <w:szCs w:val="21"/>
        </w:rPr>
        <w:t>2. 上述合同文件互相补充和解释。如果合同文件之间存在矛盾或不一致之处，以上述文件 的排列顺序在先者为准。</w:t>
      </w:r>
    </w:p>
    <w:p w14:paraId="6CCED037">
      <w:pPr>
        <w:pStyle w:val="12"/>
        <w:tabs>
          <w:tab w:val="left" w:pos="4984"/>
          <w:tab w:val="left" w:pos="6768"/>
        </w:tabs>
        <w:spacing w:before="59"/>
        <w:ind w:left="520" w:right="21"/>
        <w:rPr>
          <w:rFonts w:hint="eastAsia" w:ascii="仿宋" w:hAnsi="仿宋" w:eastAsia="仿宋" w:cs="仿宋"/>
          <w:sz w:val="21"/>
          <w:szCs w:val="21"/>
        </w:rPr>
      </w:pPr>
      <w:r>
        <w:rPr>
          <w:rFonts w:hint="eastAsia" w:ascii="仿宋" w:hAnsi="仿宋" w:eastAsia="仿宋" w:cs="仿宋"/>
          <w:w w:val="100"/>
          <w:sz w:val="21"/>
          <w:szCs w:val="21"/>
        </w:rPr>
        <w:t>3.</w:t>
      </w:r>
      <w:r>
        <w:rPr>
          <w:rFonts w:hint="eastAsia" w:ascii="仿宋" w:hAnsi="仿宋" w:eastAsia="仿宋" w:cs="仿宋"/>
          <w:sz w:val="21"/>
          <w:szCs w:val="21"/>
        </w:rPr>
        <w:t xml:space="preserve"> </w:t>
      </w:r>
      <w:r>
        <w:rPr>
          <w:rFonts w:hint="eastAsia" w:ascii="仿宋" w:hAnsi="仿宋" w:eastAsia="仿宋" w:cs="仿宋"/>
          <w:spacing w:val="-3"/>
          <w:w w:val="100"/>
          <w:sz w:val="21"/>
          <w:szCs w:val="21"/>
        </w:rPr>
        <w:t>签</w:t>
      </w:r>
      <w:r>
        <w:rPr>
          <w:rFonts w:hint="eastAsia" w:ascii="仿宋" w:hAnsi="仿宋" w:eastAsia="仿宋" w:cs="仿宋"/>
          <w:w w:val="100"/>
          <w:sz w:val="21"/>
          <w:szCs w:val="21"/>
        </w:rPr>
        <w:t>约</w:t>
      </w:r>
      <w:r>
        <w:rPr>
          <w:rFonts w:hint="eastAsia" w:ascii="仿宋" w:hAnsi="仿宋" w:eastAsia="仿宋" w:cs="仿宋"/>
          <w:spacing w:val="-3"/>
          <w:w w:val="100"/>
          <w:sz w:val="21"/>
          <w:szCs w:val="21"/>
        </w:rPr>
        <w:t>合</w:t>
      </w:r>
      <w:r>
        <w:rPr>
          <w:rFonts w:hint="eastAsia" w:ascii="仿宋" w:hAnsi="仿宋" w:eastAsia="仿宋" w:cs="仿宋"/>
          <w:w w:val="100"/>
          <w:sz w:val="21"/>
          <w:szCs w:val="21"/>
        </w:rPr>
        <w:t>同</w:t>
      </w:r>
      <w:r>
        <w:rPr>
          <w:rFonts w:hint="eastAsia" w:ascii="仿宋" w:hAnsi="仿宋" w:eastAsia="仿宋" w:cs="仿宋"/>
          <w:spacing w:val="-3"/>
          <w:w w:val="100"/>
          <w:sz w:val="21"/>
          <w:szCs w:val="21"/>
        </w:rPr>
        <w:t>价</w:t>
      </w:r>
      <w:r>
        <w:rPr>
          <w:rFonts w:hint="eastAsia" w:ascii="仿宋" w:hAnsi="仿宋" w:eastAsia="仿宋" w:cs="仿宋"/>
          <w:w w:val="100"/>
          <w:sz w:val="21"/>
          <w:szCs w:val="21"/>
        </w:rPr>
        <w:t>：</w:t>
      </w:r>
      <w:r>
        <w:rPr>
          <w:rFonts w:hint="eastAsia" w:ascii="仿宋" w:hAnsi="仿宋" w:eastAsia="仿宋" w:cs="仿宋"/>
          <w:spacing w:val="-3"/>
          <w:w w:val="100"/>
          <w:sz w:val="21"/>
          <w:szCs w:val="21"/>
        </w:rPr>
        <w:t>人</w:t>
      </w:r>
      <w:r>
        <w:rPr>
          <w:rFonts w:hint="eastAsia" w:ascii="仿宋" w:hAnsi="仿宋" w:eastAsia="仿宋" w:cs="仿宋"/>
          <w:w w:val="100"/>
          <w:sz w:val="21"/>
          <w:szCs w:val="21"/>
        </w:rPr>
        <w:t>民</w:t>
      </w:r>
      <w:r>
        <w:rPr>
          <w:rFonts w:hint="eastAsia" w:ascii="仿宋" w:hAnsi="仿宋" w:eastAsia="仿宋" w:cs="仿宋"/>
          <w:spacing w:val="-3"/>
          <w:w w:val="100"/>
          <w:sz w:val="21"/>
          <w:szCs w:val="21"/>
        </w:rPr>
        <w:t>币（</w:t>
      </w:r>
      <w:r>
        <w:rPr>
          <w:rFonts w:hint="eastAsia" w:ascii="仿宋" w:hAnsi="仿宋" w:eastAsia="仿宋" w:cs="仿宋"/>
          <w:w w:val="100"/>
          <w:sz w:val="21"/>
          <w:szCs w:val="21"/>
        </w:rPr>
        <w:t>大写</w:t>
      </w:r>
      <w:r>
        <w:rPr>
          <w:rFonts w:hint="eastAsia" w:ascii="仿宋" w:hAnsi="仿宋" w:eastAsia="仿宋" w:cs="仿宋"/>
          <w:spacing w:val="-3"/>
          <w:w w:val="100"/>
          <w:sz w:val="21"/>
          <w:szCs w:val="21"/>
        </w:rPr>
        <w:t>）</w:t>
      </w:r>
      <w:r>
        <w:rPr>
          <w:rFonts w:hint="eastAsia" w:ascii="仿宋" w:hAnsi="仿宋" w:eastAsia="仿宋" w:cs="仿宋"/>
          <w:w w:val="100"/>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w w:val="100"/>
          <w:sz w:val="21"/>
          <w:szCs w:val="21"/>
        </w:rPr>
        <w:t>（</w:t>
      </w:r>
      <w:r>
        <w:rPr>
          <w:rFonts w:hint="eastAsia" w:ascii="仿宋" w:hAnsi="仿宋" w:eastAsia="仿宋" w:cs="仿宋"/>
          <w:spacing w:val="-6"/>
          <w:w w:val="100"/>
          <w:sz w:val="21"/>
          <w:szCs w:val="21"/>
        </w:rPr>
        <w:t>¥</w:t>
      </w:r>
      <w:r>
        <w:rPr>
          <w:rFonts w:hint="eastAsia" w:ascii="仿宋" w:hAnsi="仿宋" w:eastAsia="仿宋" w:cs="仿宋"/>
          <w:w w:val="100"/>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pacing w:val="-106"/>
          <w:w w:val="100"/>
          <w:sz w:val="21"/>
          <w:szCs w:val="21"/>
        </w:rPr>
        <w:t>）</w:t>
      </w:r>
      <w:r>
        <w:rPr>
          <w:rFonts w:hint="eastAsia" w:ascii="仿宋" w:hAnsi="仿宋" w:eastAsia="仿宋" w:cs="仿宋"/>
          <w:w w:val="100"/>
          <w:sz w:val="21"/>
          <w:szCs w:val="21"/>
        </w:rPr>
        <w:t>。</w:t>
      </w:r>
    </w:p>
    <w:p w14:paraId="6D8F06FE">
      <w:pPr>
        <w:pStyle w:val="12"/>
        <w:spacing w:before="148"/>
        <w:ind w:left="520" w:right="21"/>
        <w:rPr>
          <w:rFonts w:hint="eastAsia" w:ascii="仿宋" w:hAnsi="仿宋" w:eastAsia="仿宋" w:cs="仿宋"/>
          <w:sz w:val="21"/>
          <w:szCs w:val="21"/>
        </w:rPr>
      </w:pPr>
      <w:r>
        <w:rPr>
          <w:rFonts w:hint="eastAsia" w:ascii="仿宋" w:hAnsi="仿宋" w:eastAsia="仿宋" w:cs="仿宋"/>
          <w:sz w:val="21"/>
          <w:szCs w:val="21"/>
        </w:rPr>
        <w:t>4. 卖方承诺保证完全按照合同约定提供合同设备和技术服务和质保期服务并修补缺陷。</w:t>
      </w:r>
    </w:p>
    <w:p w14:paraId="64F6CB9E">
      <w:pPr>
        <w:pStyle w:val="12"/>
        <w:spacing w:before="148"/>
        <w:ind w:left="520" w:right="21"/>
        <w:rPr>
          <w:rFonts w:hint="eastAsia" w:ascii="仿宋" w:hAnsi="仿宋" w:eastAsia="仿宋" w:cs="仿宋"/>
          <w:sz w:val="21"/>
          <w:szCs w:val="21"/>
        </w:rPr>
      </w:pPr>
      <w:r>
        <w:rPr>
          <w:rFonts w:hint="eastAsia" w:ascii="仿宋" w:hAnsi="仿宋" w:eastAsia="仿宋" w:cs="仿宋"/>
          <w:sz w:val="21"/>
          <w:szCs w:val="21"/>
        </w:rPr>
        <w:t>5. 买方承诺保证按照合同约定的条件、时间和方式向卖方支付合同价款。</w:t>
      </w:r>
    </w:p>
    <w:p w14:paraId="4F919B0D">
      <w:pPr>
        <w:pStyle w:val="12"/>
        <w:tabs>
          <w:tab w:val="left" w:pos="3199"/>
          <w:tab w:val="left" w:pos="5614"/>
        </w:tabs>
        <w:spacing w:before="151"/>
        <w:ind w:left="520" w:right="21"/>
        <w:rPr>
          <w:rFonts w:hint="eastAsia" w:ascii="仿宋" w:hAnsi="仿宋" w:eastAsia="仿宋" w:cs="仿宋"/>
          <w:sz w:val="21"/>
          <w:szCs w:val="21"/>
        </w:rPr>
      </w:pPr>
      <w:r>
        <w:rPr>
          <w:rFonts w:hint="eastAsia" w:ascii="仿宋" w:hAnsi="仿宋" w:eastAsia="仿宋" w:cs="仿宋"/>
          <w:sz w:val="21"/>
          <w:szCs w:val="21"/>
        </w:rPr>
        <w:t>6.本合同协议书一式</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份，合同双方各执</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pacing w:val="-3"/>
          <w:sz w:val="21"/>
          <w:szCs w:val="21"/>
        </w:rPr>
        <w:t>份。</w:t>
      </w:r>
    </w:p>
    <w:p w14:paraId="67A79B67">
      <w:pPr>
        <w:pStyle w:val="12"/>
        <w:spacing w:before="148"/>
        <w:ind w:left="520" w:right="21"/>
        <w:rPr>
          <w:rFonts w:hint="eastAsia" w:ascii="仿宋" w:hAnsi="仿宋" w:eastAsia="仿宋" w:cs="仿宋"/>
          <w:sz w:val="21"/>
          <w:szCs w:val="21"/>
        </w:rPr>
      </w:pPr>
      <w:r>
        <w:rPr>
          <w:rFonts w:hint="eastAsia" w:ascii="仿宋" w:hAnsi="仿宋" w:eastAsia="仿宋" w:cs="仿宋"/>
          <w:sz w:val="21"/>
          <w:szCs w:val="21"/>
        </w:rPr>
        <w:t>7. 合同未尽事宜，双方另行签订补充协议，补充协议是合同的组成部分。</w:t>
      </w:r>
    </w:p>
    <w:p w14:paraId="36CD95C3">
      <w:pPr>
        <w:pStyle w:val="12"/>
        <w:keepNext w:val="0"/>
        <w:keepLines w:val="0"/>
        <w:pageBreakBefore w:val="0"/>
        <w:widowControl w:val="0"/>
        <w:tabs>
          <w:tab w:val="left" w:pos="7466"/>
        </w:tabs>
        <w:kinsoku/>
        <w:wordWrap/>
        <w:overflowPunct/>
        <w:topLinePunct w:val="0"/>
        <w:autoSpaceDE/>
        <w:autoSpaceDN/>
        <w:bidi w:val="0"/>
        <w:adjustRightInd/>
        <w:snapToGrid/>
        <w:ind w:left="2726" w:right="21"/>
        <w:jc w:val="right"/>
        <w:textAlignment w:val="auto"/>
        <w:rPr>
          <w:rFonts w:hint="eastAsia" w:ascii="仿宋" w:hAnsi="仿宋" w:eastAsia="仿宋" w:cs="仿宋"/>
          <w:sz w:val="21"/>
          <w:szCs w:val="21"/>
        </w:rPr>
      </w:pPr>
      <w:r>
        <w:rPr>
          <w:rFonts w:hint="eastAsia" w:ascii="仿宋" w:hAnsi="仿宋" w:eastAsia="仿宋" w:cs="仿宋"/>
          <w:spacing w:val="2"/>
          <w:sz w:val="21"/>
          <w:szCs w:val="21"/>
        </w:rPr>
        <w:t>买方：</w:t>
      </w:r>
      <w:r>
        <w:rPr>
          <w:rFonts w:hint="eastAsia" w:ascii="仿宋" w:hAnsi="仿宋" w:eastAsia="仿宋" w:cs="仿宋"/>
          <w:spacing w:val="2"/>
          <w:sz w:val="21"/>
          <w:szCs w:val="21"/>
          <w:u w:val="single"/>
        </w:rPr>
        <w:t xml:space="preserve"> </w:t>
      </w:r>
      <w:r>
        <w:rPr>
          <w:rFonts w:hint="eastAsia" w:ascii="仿宋" w:hAnsi="仿宋" w:eastAsia="仿宋" w:cs="仿宋"/>
          <w:spacing w:val="2"/>
          <w:sz w:val="21"/>
          <w:szCs w:val="21"/>
          <w:u w:val="single"/>
          <w:lang w:val="en-US" w:eastAsia="zh-CN"/>
        </w:rPr>
        <w:t xml:space="preserve">                    </w:t>
      </w:r>
      <w:r>
        <w:rPr>
          <w:rFonts w:hint="eastAsia" w:ascii="仿宋" w:hAnsi="仿宋" w:eastAsia="仿宋" w:cs="仿宋"/>
          <w:sz w:val="21"/>
          <w:szCs w:val="21"/>
        </w:rPr>
        <w:t>（盖单位章）</w:t>
      </w:r>
    </w:p>
    <w:p w14:paraId="6233EFEF">
      <w:pPr>
        <w:pStyle w:val="12"/>
        <w:keepNext w:val="0"/>
        <w:keepLines w:val="0"/>
        <w:pageBreakBefore w:val="0"/>
        <w:widowControl w:val="0"/>
        <w:tabs>
          <w:tab w:val="left" w:pos="5438"/>
          <w:tab w:val="left" w:pos="6383"/>
          <w:tab w:val="left" w:pos="7326"/>
        </w:tabs>
        <w:kinsoku/>
        <w:wordWrap/>
        <w:overflowPunct/>
        <w:topLinePunct w:val="0"/>
        <w:autoSpaceDE/>
        <w:autoSpaceDN/>
        <w:bidi w:val="0"/>
        <w:adjustRightInd/>
        <w:snapToGrid/>
        <w:spacing w:before="37"/>
        <w:jc w:val="right"/>
        <w:textAlignment w:val="auto"/>
        <w:rPr>
          <w:rFonts w:hint="eastAsia" w:ascii="仿宋" w:hAnsi="仿宋" w:eastAsia="仿宋" w:cs="仿宋"/>
          <w:sz w:val="21"/>
          <w:szCs w:val="21"/>
        </w:rPr>
      </w:pPr>
      <w:r>
        <w:rPr>
          <w:rFonts w:hint="eastAsia" w:ascii="仿宋" w:hAnsi="仿宋" w:eastAsia="仿宋" w:cs="仿宋"/>
          <w:sz w:val="21"/>
          <w:szCs w:val="21"/>
        </w:rPr>
        <w:t>法定代表人（单位负责人）或其委托代理人：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（签字）</w:t>
      </w:r>
    </w:p>
    <w:p w14:paraId="5E54CB0E">
      <w:pPr>
        <w:pStyle w:val="12"/>
        <w:keepNext w:val="0"/>
        <w:keepLines w:val="0"/>
        <w:pageBreakBefore w:val="0"/>
        <w:widowControl w:val="0"/>
        <w:tabs>
          <w:tab w:val="left" w:pos="5077"/>
          <w:tab w:val="left" w:pos="6023"/>
          <w:tab w:val="left" w:pos="6966"/>
        </w:tabs>
        <w:kinsoku/>
        <w:wordWrap/>
        <w:overflowPunct/>
        <w:topLinePunct w:val="0"/>
        <w:autoSpaceDE/>
        <w:autoSpaceDN/>
        <w:bidi w:val="0"/>
        <w:adjustRightInd/>
        <w:snapToGrid/>
        <w:spacing w:before="37"/>
        <w:ind w:left="4341"/>
        <w:jc w:val="right"/>
        <w:textAlignment w:val="auto"/>
        <w:rPr>
          <w:rFonts w:hint="eastAsia" w:ascii="仿宋" w:hAnsi="仿宋" w:eastAsia="仿宋" w:cs="仿宋"/>
          <w:sz w:val="21"/>
          <w:szCs w:val="21"/>
        </w:rPr>
      </w:pPr>
      <w:r>
        <w:rPr>
          <w:rFonts w:hint="eastAsia" w:ascii="仿宋" w:hAnsi="仿宋" w:eastAsia="仿宋" w:cs="仿宋"/>
          <w:w w:val="100"/>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pacing w:val="-3"/>
          <w:sz w:val="21"/>
          <w:szCs w:val="21"/>
        </w:rPr>
        <w:t>月</w:t>
      </w:r>
      <w:r>
        <w:rPr>
          <w:rFonts w:hint="eastAsia" w:ascii="仿宋" w:hAnsi="仿宋" w:eastAsia="仿宋" w:cs="仿宋"/>
          <w:spacing w:val="-3"/>
          <w:sz w:val="21"/>
          <w:szCs w:val="21"/>
          <w:u w:val="single"/>
        </w:rPr>
        <w:t xml:space="preserve"> </w:t>
      </w:r>
      <w:r>
        <w:rPr>
          <w:rFonts w:hint="eastAsia" w:ascii="仿宋" w:hAnsi="仿宋" w:eastAsia="仿宋" w:cs="仿宋"/>
          <w:spacing w:val="-3"/>
          <w:sz w:val="21"/>
          <w:szCs w:val="21"/>
          <w:u w:val="single"/>
        </w:rPr>
        <w:tab/>
      </w:r>
      <w:r>
        <w:rPr>
          <w:rFonts w:hint="eastAsia" w:ascii="仿宋" w:hAnsi="仿宋" w:eastAsia="仿宋" w:cs="仿宋"/>
          <w:sz w:val="21"/>
          <w:szCs w:val="21"/>
        </w:rPr>
        <w:t>日</w:t>
      </w:r>
    </w:p>
    <w:p w14:paraId="6ADC5F63">
      <w:pPr>
        <w:pStyle w:val="12"/>
        <w:keepNext w:val="0"/>
        <w:keepLines w:val="0"/>
        <w:pageBreakBefore w:val="0"/>
        <w:widowControl w:val="0"/>
        <w:tabs>
          <w:tab w:val="left" w:pos="7430"/>
        </w:tabs>
        <w:kinsoku/>
        <w:wordWrap/>
        <w:overflowPunct/>
        <w:topLinePunct w:val="0"/>
        <w:autoSpaceDE/>
        <w:autoSpaceDN/>
        <w:bidi w:val="0"/>
        <w:adjustRightInd/>
        <w:snapToGrid/>
        <w:spacing w:before="37"/>
        <w:ind w:left="2601"/>
        <w:jc w:val="right"/>
        <w:textAlignment w:val="auto"/>
        <w:rPr>
          <w:rFonts w:hint="eastAsia" w:ascii="仿宋" w:hAnsi="仿宋" w:eastAsia="仿宋" w:cs="仿宋"/>
          <w:sz w:val="21"/>
          <w:szCs w:val="21"/>
        </w:rPr>
      </w:pPr>
      <w:r>
        <w:rPr>
          <w:rFonts w:hint="eastAsia" w:ascii="仿宋" w:hAnsi="仿宋" w:eastAsia="仿宋" w:cs="仿宋"/>
          <w:sz w:val="21"/>
          <w:szCs w:val="21"/>
        </w:rPr>
        <w:t>卖方：</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rPr>
        <w:t>（盖单位章）</w:t>
      </w:r>
    </w:p>
    <w:p w14:paraId="44C514BE">
      <w:pPr>
        <w:pStyle w:val="12"/>
        <w:keepNext w:val="0"/>
        <w:keepLines w:val="0"/>
        <w:pageBreakBefore w:val="0"/>
        <w:widowControl w:val="0"/>
        <w:tabs>
          <w:tab w:val="left" w:pos="7852"/>
        </w:tabs>
        <w:kinsoku/>
        <w:wordWrap/>
        <w:overflowPunct/>
        <w:topLinePunct w:val="0"/>
        <w:autoSpaceDE/>
        <w:autoSpaceDN/>
        <w:bidi w:val="0"/>
        <w:adjustRightInd/>
        <w:snapToGrid/>
        <w:spacing w:before="36"/>
        <w:ind w:left="2601"/>
        <w:jc w:val="right"/>
        <w:textAlignment w:val="auto"/>
        <w:rPr>
          <w:rFonts w:hint="eastAsia" w:ascii="仿宋" w:hAnsi="仿宋" w:eastAsia="仿宋" w:cs="仿宋"/>
          <w:sz w:val="21"/>
          <w:szCs w:val="21"/>
        </w:rPr>
      </w:pPr>
      <w:r>
        <w:rPr>
          <w:rFonts w:hint="eastAsia" w:ascii="仿宋" w:hAnsi="仿宋" w:eastAsia="仿宋" w:cs="仿宋"/>
          <w:sz w:val="21"/>
          <w:szCs w:val="21"/>
        </w:rPr>
        <w:t>法定代表人（单位负责人）或其委托代理人：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rPr>
        <w:t>（签字）</w:t>
      </w:r>
    </w:p>
    <w:p w14:paraId="1AA66F55">
      <w:pPr>
        <w:pStyle w:val="12"/>
        <w:keepNext w:val="0"/>
        <w:keepLines w:val="0"/>
        <w:pageBreakBefore w:val="0"/>
        <w:widowControl w:val="0"/>
        <w:tabs>
          <w:tab w:val="left" w:pos="5077"/>
          <w:tab w:val="left" w:pos="6023"/>
          <w:tab w:val="left" w:pos="6966"/>
        </w:tabs>
        <w:kinsoku/>
        <w:wordWrap/>
        <w:overflowPunct/>
        <w:topLinePunct w:val="0"/>
        <w:autoSpaceDE/>
        <w:autoSpaceDN/>
        <w:bidi w:val="0"/>
        <w:adjustRightInd/>
        <w:snapToGrid/>
        <w:spacing w:before="37"/>
        <w:ind w:left="4341"/>
        <w:jc w:val="right"/>
        <w:textAlignment w:val="auto"/>
        <w:rPr>
          <w:rFonts w:hint="eastAsia" w:ascii="仿宋" w:hAnsi="仿宋" w:eastAsia="仿宋" w:cs="仿宋"/>
          <w:sz w:val="21"/>
          <w:szCs w:val="21"/>
        </w:rPr>
      </w:pPr>
      <w:r>
        <w:rPr>
          <w:rFonts w:hint="eastAsia" w:ascii="仿宋" w:hAnsi="仿宋" w:eastAsia="仿宋" w:cs="仿宋"/>
          <w:w w:val="100"/>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pacing w:val="-3"/>
          <w:sz w:val="21"/>
          <w:szCs w:val="21"/>
        </w:rPr>
        <w:t>月</w:t>
      </w:r>
      <w:r>
        <w:rPr>
          <w:rFonts w:hint="eastAsia" w:ascii="仿宋" w:hAnsi="仿宋" w:eastAsia="仿宋" w:cs="仿宋"/>
          <w:spacing w:val="-3"/>
          <w:sz w:val="21"/>
          <w:szCs w:val="21"/>
          <w:u w:val="single"/>
        </w:rPr>
        <w:t xml:space="preserve"> </w:t>
      </w:r>
      <w:r>
        <w:rPr>
          <w:rFonts w:hint="eastAsia" w:ascii="仿宋" w:hAnsi="仿宋" w:eastAsia="仿宋" w:cs="仿宋"/>
          <w:spacing w:val="-3"/>
          <w:sz w:val="21"/>
          <w:szCs w:val="21"/>
          <w:u w:val="single"/>
        </w:rPr>
        <w:tab/>
      </w:r>
      <w:r>
        <w:rPr>
          <w:rFonts w:hint="eastAsia" w:ascii="仿宋" w:hAnsi="仿宋" w:eastAsia="仿宋" w:cs="仿宋"/>
          <w:sz w:val="21"/>
          <w:szCs w:val="21"/>
        </w:rPr>
        <w:t>日</w:t>
      </w:r>
    </w:p>
    <w:p w14:paraId="67A3B590">
      <w:pPr>
        <w:pStyle w:val="12"/>
        <w:keepNext w:val="0"/>
        <w:keepLines w:val="0"/>
        <w:pageBreakBefore w:val="0"/>
        <w:widowControl w:val="0"/>
        <w:tabs>
          <w:tab w:val="left" w:pos="7466"/>
        </w:tabs>
        <w:kinsoku/>
        <w:wordWrap/>
        <w:overflowPunct/>
        <w:topLinePunct w:val="0"/>
        <w:autoSpaceDE/>
        <w:autoSpaceDN/>
        <w:bidi w:val="0"/>
        <w:adjustRightInd/>
        <w:snapToGrid/>
        <w:ind w:left="2726" w:right="21"/>
        <w:textAlignment w:val="auto"/>
        <w:rPr>
          <w:rFonts w:hint="eastAsia" w:ascii="仿宋" w:hAnsi="仿宋" w:eastAsia="仿宋" w:cs="仿宋"/>
          <w:spacing w:val="2"/>
          <w:sz w:val="21"/>
          <w:szCs w:val="21"/>
        </w:rPr>
      </w:pPr>
    </w:p>
    <w:p w14:paraId="531DDE95">
      <w:pPr>
        <w:pStyle w:val="12"/>
        <w:keepNext w:val="0"/>
        <w:keepLines w:val="0"/>
        <w:pageBreakBefore w:val="0"/>
        <w:widowControl w:val="0"/>
        <w:tabs>
          <w:tab w:val="left" w:pos="7466"/>
        </w:tabs>
        <w:kinsoku/>
        <w:wordWrap/>
        <w:overflowPunct/>
        <w:topLinePunct w:val="0"/>
        <w:autoSpaceDE/>
        <w:autoSpaceDN/>
        <w:bidi w:val="0"/>
        <w:adjustRightInd/>
        <w:snapToGrid/>
        <w:ind w:left="2726" w:right="21"/>
        <w:textAlignment w:val="auto"/>
        <w:rPr>
          <w:rFonts w:hint="eastAsia" w:ascii="仿宋" w:hAnsi="仿宋" w:eastAsia="仿宋" w:cs="仿宋"/>
          <w:spacing w:val="2"/>
          <w:sz w:val="21"/>
          <w:szCs w:val="21"/>
        </w:rPr>
      </w:pPr>
    </w:p>
    <w:p w14:paraId="6EF5E8FC">
      <w:pPr>
        <w:rPr>
          <w:rFonts w:hint="eastAsia" w:ascii="仿宋" w:hAnsi="仿宋" w:eastAsia="仿宋" w:cs="仿宋"/>
          <w:sz w:val="21"/>
          <w:szCs w:val="21"/>
        </w:rPr>
      </w:pPr>
      <w:bookmarkStart w:id="529" w:name="_bookmark145"/>
      <w:bookmarkEnd w:id="529"/>
      <w:r>
        <w:rPr>
          <w:rFonts w:hint="eastAsia" w:ascii="仿宋" w:hAnsi="仿宋" w:eastAsia="仿宋" w:cs="仿宋"/>
          <w:sz w:val="21"/>
          <w:szCs w:val="21"/>
        </w:rPr>
        <w:br w:type="page"/>
      </w:r>
    </w:p>
    <w:p w14:paraId="20C9D515">
      <w:pPr>
        <w:pStyle w:val="2"/>
        <w:jc w:val="center"/>
        <w:rPr>
          <w:rFonts w:ascii="仿宋" w:hAnsi="仿宋" w:eastAsia="仿宋" w:cs="仿宋"/>
          <w:sz w:val="32"/>
          <w:szCs w:val="32"/>
        </w:rPr>
      </w:pPr>
      <w:bookmarkStart w:id="530" w:name="_Toc20526"/>
      <w:bookmarkStart w:id="531" w:name="_Toc185327320"/>
      <w:bookmarkStart w:id="532" w:name="_Toc1167"/>
      <w:r>
        <w:rPr>
          <w:rFonts w:hint="eastAsia" w:ascii="仿宋" w:hAnsi="仿宋" w:eastAsia="仿宋" w:cs="仿宋"/>
          <w:sz w:val="32"/>
          <w:szCs w:val="32"/>
        </w:rPr>
        <w:t>第五章 供货</w:t>
      </w:r>
      <w:r>
        <w:rPr>
          <w:rFonts w:hint="eastAsia" w:ascii="仿宋" w:hAnsi="仿宋" w:eastAsia="仿宋" w:cs="仿宋"/>
          <w:sz w:val="32"/>
          <w:szCs w:val="32"/>
          <w:lang w:eastAsia="zh-CN"/>
        </w:rPr>
        <w:t>具体</w:t>
      </w:r>
      <w:r>
        <w:rPr>
          <w:rFonts w:hint="eastAsia" w:ascii="仿宋" w:hAnsi="仿宋" w:eastAsia="仿宋" w:cs="仿宋"/>
          <w:sz w:val="32"/>
          <w:szCs w:val="32"/>
        </w:rPr>
        <w:t>要求</w:t>
      </w:r>
      <w:bookmarkEnd w:id="474"/>
      <w:bookmarkEnd w:id="475"/>
      <w:bookmarkEnd w:id="530"/>
      <w:bookmarkEnd w:id="531"/>
      <w:bookmarkEnd w:id="532"/>
    </w:p>
    <w:bookmarkEnd w:id="476"/>
    <w:bookmarkEnd w:id="477"/>
    <w:bookmarkEnd w:id="478"/>
    <w:bookmarkEnd w:id="479"/>
    <w:p w14:paraId="6578068E">
      <w:pPr>
        <w:pStyle w:val="80"/>
        <w:spacing w:line="240" w:lineRule="auto"/>
        <w:ind w:leftChars="100" w:firstLine="0" w:firstLineChars="0"/>
        <w:rPr>
          <w:rFonts w:hint="eastAsia" w:ascii="仿宋" w:hAnsi="仿宋"/>
          <w:b/>
          <w:bCs/>
          <w:color w:val="auto"/>
          <w:sz w:val="28"/>
          <w:szCs w:val="28"/>
          <w:highlight w:val="none"/>
          <w:lang w:val="en-US" w:eastAsia="zh-CN"/>
        </w:rPr>
      </w:pPr>
      <w:bookmarkStart w:id="533" w:name="_Toc256000789"/>
      <w:bookmarkStart w:id="534" w:name="_Toc256000035"/>
      <w:bookmarkStart w:id="535" w:name="_Toc256000411"/>
      <w:bookmarkStart w:id="536" w:name="_Toc256000106"/>
      <w:bookmarkStart w:id="537" w:name="_Toc256000466"/>
      <w:bookmarkStart w:id="538" w:name="_Toc256000234"/>
      <w:bookmarkStart w:id="539" w:name="_Toc256000155"/>
      <w:bookmarkStart w:id="540" w:name="_Toc256000573"/>
      <w:bookmarkStart w:id="541" w:name="_Toc256000306"/>
      <w:bookmarkStart w:id="542" w:name="_Toc13610"/>
      <w:bookmarkStart w:id="543" w:name="_Toc6393"/>
      <w:bookmarkStart w:id="544" w:name="_Toc256000626"/>
      <w:bookmarkStart w:id="545" w:name="_Toc256000734"/>
      <w:bookmarkStart w:id="546" w:name="_Toc23744"/>
      <w:bookmarkStart w:id="547" w:name="_Toc5068"/>
      <w:bookmarkStart w:id="548" w:name="_Toc185327321"/>
      <w:r>
        <w:rPr>
          <w:rFonts w:hint="eastAsia"/>
          <w:b/>
          <w:bCs/>
          <w:color w:val="auto"/>
          <w:sz w:val="28"/>
          <w:szCs w:val="32"/>
          <w:highlight w:val="none"/>
        </w:rPr>
        <w:t>一、</w:t>
      </w:r>
      <w:bookmarkEnd w:id="533"/>
      <w:bookmarkEnd w:id="534"/>
      <w:bookmarkEnd w:id="535"/>
      <w:bookmarkEnd w:id="536"/>
      <w:bookmarkEnd w:id="537"/>
      <w:bookmarkEnd w:id="538"/>
      <w:bookmarkEnd w:id="539"/>
      <w:bookmarkEnd w:id="540"/>
      <w:bookmarkEnd w:id="541"/>
      <w:bookmarkEnd w:id="542"/>
      <w:bookmarkEnd w:id="543"/>
      <w:bookmarkEnd w:id="544"/>
      <w:bookmarkEnd w:id="545"/>
      <w:bookmarkStart w:id="549" w:name="_Toc256000156"/>
      <w:r>
        <w:rPr>
          <w:rFonts w:hint="eastAsia" w:ascii="仿宋" w:hAnsi="仿宋"/>
          <w:b/>
          <w:bCs/>
          <w:color w:val="auto"/>
          <w:sz w:val="28"/>
          <w:szCs w:val="28"/>
          <w:highlight w:val="none"/>
          <w:lang w:val="en-US" w:eastAsia="zh-CN"/>
        </w:rPr>
        <w:t>货物清单</w:t>
      </w:r>
      <w:bookmarkEnd w:id="549"/>
    </w:p>
    <w:tbl>
      <w:tblPr>
        <w:tblStyle w:val="33"/>
        <w:tblW w:w="4822" w:type="pct"/>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7"/>
        <w:gridCol w:w="1815"/>
        <w:gridCol w:w="3839"/>
        <w:gridCol w:w="586"/>
        <w:gridCol w:w="597"/>
        <w:gridCol w:w="806"/>
      </w:tblGrid>
      <w:tr w14:paraId="09B8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1B5A76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1"/>
                <w:szCs w:val="21"/>
                <w:highlight w:val="none"/>
                <w:u w:val="none"/>
              </w:rPr>
            </w:pPr>
            <w:bookmarkStart w:id="550" w:name="_Toc20384570"/>
            <w:r>
              <w:rPr>
                <w:rFonts w:hint="eastAsia" w:ascii="仿宋" w:hAnsi="仿宋" w:eastAsia="仿宋" w:cs="仿宋"/>
                <w:b/>
                <w:bCs/>
                <w:color w:val="000000"/>
                <w:sz w:val="21"/>
                <w:szCs w:val="21"/>
                <w:highlight w:val="none"/>
                <w:u w:val="none"/>
                <w:lang w:val="en-US" w:eastAsia="zh-CN" w:bidi="ar"/>
              </w:rPr>
              <w:t>序号</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521431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color w:val="000000"/>
                <w:sz w:val="21"/>
                <w:szCs w:val="21"/>
                <w:highlight w:val="none"/>
                <w:u w:val="none"/>
                <w:lang w:val="en-US" w:eastAsia="zh-CN" w:bidi="ar"/>
              </w:rPr>
              <w:t>设备名称</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158FF0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color w:val="000000"/>
                <w:sz w:val="21"/>
                <w:szCs w:val="21"/>
                <w:highlight w:val="none"/>
                <w:u w:val="none"/>
                <w:lang w:val="en-US" w:eastAsia="zh-CN" w:bidi="ar"/>
              </w:rPr>
              <w:t>设备参数</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2B923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color w:val="000000"/>
                <w:sz w:val="21"/>
                <w:szCs w:val="21"/>
                <w:highlight w:val="none"/>
                <w:u w:val="none"/>
                <w:lang w:val="en-US" w:eastAsia="zh-CN" w:bidi="ar"/>
              </w:rPr>
              <w:t>单位</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76EF3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color w:val="000000"/>
                <w:sz w:val="21"/>
                <w:szCs w:val="21"/>
                <w:highlight w:val="none"/>
                <w:u w:val="none"/>
                <w:lang w:val="en-US" w:eastAsia="zh-CN" w:bidi="ar"/>
              </w:rPr>
              <w:t>数量</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93086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highlight w:val="none"/>
                <w:lang w:val="en-US" w:eastAsia="zh-CN" w:bidi="ar"/>
              </w:rPr>
            </w:pPr>
            <w:r>
              <w:rPr>
                <w:rFonts w:hint="eastAsia" w:ascii="仿宋" w:hAnsi="仿宋" w:eastAsia="仿宋" w:cs="仿宋"/>
                <w:b/>
                <w:bCs/>
                <w:color w:val="000000"/>
                <w:sz w:val="21"/>
                <w:szCs w:val="21"/>
                <w:highlight w:val="none"/>
                <w:u w:val="none"/>
                <w:lang w:val="en-US" w:eastAsia="zh-CN" w:bidi="ar"/>
              </w:rPr>
              <w:t>备注</w:t>
            </w:r>
          </w:p>
        </w:tc>
      </w:tr>
      <w:tr w14:paraId="6DC6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1DBB6D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169DC6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皮带输送机</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0115E91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B=500mm,L=4.5m，N=1.1kW</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24534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119F7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restart"/>
            <w:tcBorders>
              <w:top w:val="single" w:color="000000" w:sz="4" w:space="0"/>
              <w:left w:val="single" w:color="000000" w:sz="4" w:space="0"/>
              <w:right w:val="single" w:color="000000" w:sz="4" w:space="0"/>
            </w:tcBorders>
            <w:noWrap w:val="0"/>
            <w:vAlign w:val="center"/>
          </w:tcPr>
          <w:p w14:paraId="57D530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位置：第二污水厂粗格栅及进水泵房改造</w:t>
            </w:r>
          </w:p>
        </w:tc>
      </w:tr>
      <w:tr w14:paraId="0A4CA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56A626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393BA7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潜水排污泵</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21BE1137">
            <w:pPr>
              <w:spacing w:line="240" w:lineRule="auto"/>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Q=500m³/h，H=14m，N=30KW，配套控制箱，3用1备，全变频，安装深度8.1m。</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1B430C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A7A49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490" w:type="pct"/>
            <w:vMerge w:val="continue"/>
            <w:tcBorders>
              <w:left w:val="single" w:color="000000" w:sz="4" w:space="0"/>
              <w:right w:val="single" w:color="000000" w:sz="4" w:space="0"/>
            </w:tcBorders>
            <w:noWrap w:val="0"/>
            <w:vAlign w:val="center"/>
          </w:tcPr>
          <w:p w14:paraId="4466B4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5AA7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023419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37E9A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电动葫芦</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282FD6F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CD12-12D,N=3+0.4kW</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9F86C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1E029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right w:val="single" w:color="000000" w:sz="4" w:space="0"/>
            </w:tcBorders>
            <w:noWrap w:val="0"/>
            <w:vAlign w:val="center"/>
          </w:tcPr>
          <w:p w14:paraId="05308E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D8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1317FE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1132D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铸铁镶铜方闸门</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404EA3D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500×500 铸铁镶铜</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F9737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707A18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490" w:type="pct"/>
            <w:vMerge w:val="continue"/>
            <w:tcBorders>
              <w:left w:val="single" w:color="000000" w:sz="4" w:space="0"/>
              <w:right w:val="single" w:color="000000" w:sz="4" w:space="0"/>
            </w:tcBorders>
            <w:noWrap w:val="0"/>
            <w:vAlign w:val="center"/>
          </w:tcPr>
          <w:p w14:paraId="2EE23F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05852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49DB4A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07500C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铸铁镶铜圆闸门</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4A742B1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DN500 铸铁镶铜</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7E649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77F03F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2A01D0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77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72630A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4166FC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设备拆除</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73A1735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4台潜水排污泵,1台电动葫芦，1套皮带输送机，6个铸铁镶铜闸门</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2A0CC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DC46D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right w:val="single" w:color="000000" w:sz="4" w:space="0"/>
            </w:tcBorders>
            <w:noWrap w:val="0"/>
            <w:vAlign w:val="center"/>
          </w:tcPr>
          <w:p w14:paraId="1A9EE4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4C59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1974A8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1F3B03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池底清淤</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2B25EA7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1677BF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m3</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4EE6EC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490" w:type="pct"/>
            <w:vMerge w:val="continue"/>
            <w:tcBorders>
              <w:left w:val="single" w:color="000000" w:sz="4" w:space="0"/>
              <w:bottom w:val="single" w:color="000000" w:sz="4" w:space="0"/>
              <w:right w:val="single" w:color="000000" w:sz="4" w:space="0"/>
            </w:tcBorders>
            <w:noWrap w:val="0"/>
            <w:vAlign w:val="center"/>
          </w:tcPr>
          <w:p w14:paraId="3D96D3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7855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33C1CC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54E7FC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bookmarkStart w:id="645" w:name="_GoBack"/>
            <w:r>
              <w:rPr>
                <w:rFonts w:hint="eastAsia" w:ascii="仿宋" w:hAnsi="仿宋" w:eastAsia="仿宋" w:cs="仿宋"/>
                <w:i w:val="0"/>
                <w:iCs w:val="0"/>
                <w:color w:val="000000"/>
                <w:kern w:val="0"/>
                <w:sz w:val="21"/>
                <w:szCs w:val="21"/>
                <w:highlight w:val="none"/>
                <w:u w:val="none"/>
                <w:lang w:val="en-US" w:eastAsia="zh-CN" w:bidi="ar"/>
              </w:rPr>
              <w:t>罗茨鼓风机</w:t>
            </w:r>
            <w:bookmarkEnd w:id="645"/>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64360F1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Q=1.75m3/min，P=39.2Kpa，N=2.2kW，配套过滤器、隔音罩等需要的配件，</w:t>
            </w:r>
          </w:p>
          <w:p w14:paraId="1985010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含现状设备拆除。</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014A8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CE904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restart"/>
            <w:tcBorders>
              <w:top w:val="single" w:color="000000" w:sz="4" w:space="0"/>
              <w:left w:val="single" w:color="000000" w:sz="4" w:space="0"/>
              <w:right w:val="single" w:color="000000" w:sz="4" w:space="0"/>
            </w:tcBorders>
            <w:noWrap w:val="0"/>
            <w:vAlign w:val="center"/>
          </w:tcPr>
          <w:p w14:paraId="07139C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位置：第二污水厂细格栅及旋流沉砂池改造，其中序号14-17配套成套控制箱。</w:t>
            </w:r>
          </w:p>
        </w:tc>
      </w:tr>
      <w:tr w14:paraId="3890E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6E97E4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312AA0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吸砂管道</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27A2157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D108x4 SS304</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E4640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7D5D30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490" w:type="pct"/>
            <w:vMerge w:val="continue"/>
            <w:tcBorders>
              <w:left w:val="single" w:color="000000" w:sz="4" w:space="0"/>
              <w:right w:val="single" w:color="000000" w:sz="4" w:space="0"/>
            </w:tcBorders>
            <w:noWrap w:val="0"/>
            <w:vAlign w:val="center"/>
          </w:tcPr>
          <w:p w14:paraId="2C11EA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E57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52FA66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58E99E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空气管道</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0667F81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 镀锌钢</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4AB19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716AE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490" w:type="pct"/>
            <w:vMerge w:val="continue"/>
            <w:tcBorders>
              <w:left w:val="single" w:color="000000" w:sz="4" w:space="0"/>
              <w:right w:val="single" w:color="000000" w:sz="4" w:space="0"/>
            </w:tcBorders>
            <w:noWrap w:val="0"/>
            <w:vAlign w:val="center"/>
          </w:tcPr>
          <w:p w14:paraId="307E32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47A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300C57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12F135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排砂管道</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5B260B0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D159x6 SS304</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1BB69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5155A1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490" w:type="pct"/>
            <w:vMerge w:val="continue"/>
            <w:tcBorders>
              <w:left w:val="single" w:color="000000" w:sz="4" w:space="0"/>
              <w:right w:val="single" w:color="000000" w:sz="4" w:space="0"/>
            </w:tcBorders>
            <w:noWrap w:val="0"/>
            <w:vAlign w:val="center"/>
          </w:tcPr>
          <w:p w14:paraId="070F68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6F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652AF6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0156F5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三通</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567C546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DN150 SS304</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DCC57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3DC238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right w:val="single" w:color="000000" w:sz="4" w:space="0"/>
            </w:tcBorders>
            <w:noWrap w:val="0"/>
            <w:vAlign w:val="center"/>
          </w:tcPr>
          <w:p w14:paraId="00F600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30B28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4BB33D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3AD8F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异径管</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6206130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DN100x150 SS304</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BBF21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401EAA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452BB5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07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7C8B90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5AFDA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内进流网板</w:t>
            </w:r>
          </w:p>
          <w:p w14:paraId="68E1D0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格栅除污机</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2CABE7B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渠宽0.7m</w:t>
            </w:r>
            <w:r>
              <w:rPr>
                <w:rFonts w:hint="eastAsia" w:ascii="仿宋" w:hAnsi="仿宋" w:eastAsia="仿宋" w:cs="仿宋"/>
                <w:i w:val="0"/>
                <w:iCs w:val="0"/>
                <w:color w:val="000000"/>
                <w:kern w:val="0"/>
                <w:sz w:val="21"/>
                <w:szCs w:val="21"/>
                <w:u w:val="none"/>
                <w:lang w:val="pl-PL" w:eastAsia="zh-CN" w:bidi="ar"/>
              </w:rPr>
              <w:t>，孔径</w:t>
            </w:r>
            <w:r>
              <w:rPr>
                <w:rFonts w:hint="eastAsia" w:ascii="仿宋" w:hAnsi="仿宋" w:eastAsia="仿宋" w:cs="仿宋"/>
                <w:i w:val="0"/>
                <w:iCs w:val="0"/>
                <w:color w:val="000000"/>
                <w:kern w:val="0"/>
                <w:sz w:val="21"/>
                <w:szCs w:val="21"/>
                <w:u w:val="none"/>
                <w:lang w:val="en-US" w:eastAsia="zh-CN" w:bidi="ar"/>
              </w:rPr>
              <w:t>5</w:t>
            </w:r>
            <w:r>
              <w:rPr>
                <w:rFonts w:hint="eastAsia" w:ascii="仿宋" w:hAnsi="仿宋" w:eastAsia="仿宋" w:cs="仿宋"/>
                <w:i w:val="0"/>
                <w:iCs w:val="0"/>
                <w:color w:val="000000"/>
                <w:kern w:val="0"/>
                <w:sz w:val="21"/>
                <w:szCs w:val="21"/>
                <w:u w:val="none"/>
                <w:lang w:val="pl-PL" w:eastAsia="zh-CN" w:bidi="ar"/>
              </w:rPr>
              <w:t>mm，N</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pl-PL" w:eastAsia="zh-CN" w:bidi="ar"/>
              </w:rPr>
              <w:t>1.1kW，</w:t>
            </w:r>
            <w:r>
              <w:rPr>
                <w:rFonts w:hint="eastAsia" w:ascii="仿宋" w:hAnsi="仿宋" w:eastAsia="仿宋" w:cs="仿宋"/>
                <w:i w:val="0"/>
                <w:iCs w:val="0"/>
                <w:color w:val="000000"/>
                <w:kern w:val="0"/>
                <w:sz w:val="21"/>
                <w:szCs w:val="21"/>
                <w:u w:val="none"/>
                <w:lang w:val="en-US" w:eastAsia="zh-CN" w:bidi="ar"/>
              </w:rPr>
              <w:t>SS304，共含一整套就地控制箱1控5</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0DDB08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96B7F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73F64A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7DD08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3B48EA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7645B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冲洗水泵</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6659932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Q=12m3/h,H=90m,N=5.5kW</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CFF0F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0EBA3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275DD0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FD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768722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0C3C8C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U型滑槽</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6191374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p320 L=6m SS304</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328B0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5F9A7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right w:val="single" w:color="000000" w:sz="4" w:space="0"/>
            </w:tcBorders>
            <w:noWrap w:val="0"/>
            <w:vAlign w:val="center"/>
          </w:tcPr>
          <w:p w14:paraId="76C5ED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05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3DB7C7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636E5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冲洗水箱</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0D299B8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8m3 φ=2m，H=3m PE</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169760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21B2A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right w:val="single" w:color="000000" w:sz="4" w:space="0"/>
            </w:tcBorders>
            <w:noWrap w:val="0"/>
            <w:vAlign w:val="center"/>
          </w:tcPr>
          <w:p w14:paraId="718405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523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127F70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26B57E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手动软密封闸阀</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3FFF148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DN100，Z41X-10,用于冲洗水管</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59CD0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41007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7FEC20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E07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4B35E2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4EA66B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手动软密封闸阀</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2DD6963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DN80，Z41X-10,用于冲洗水管</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14559C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DF7E4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67324E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3B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1AF418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02E57B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100X液压</w:t>
            </w:r>
          </w:p>
          <w:p w14:paraId="266AE1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水位控制阀</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711A919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 用于冲洗水箱</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5F2AB5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7DDC1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right w:val="single" w:color="000000" w:sz="4" w:space="0"/>
            </w:tcBorders>
            <w:noWrap w:val="0"/>
            <w:vAlign w:val="center"/>
          </w:tcPr>
          <w:p w14:paraId="0975E7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50B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6D4E79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21</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D0723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微阻缓闭止回阀</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031754A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DN80，HH49X-10,用于冲洗水管</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A1521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3E8A70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3F6A18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259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2E35B8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22</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3065F7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可曲挠橡胶接头</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34E8703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DN80，PN10,用于冲洗水管</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C028E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78DB0E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490" w:type="pct"/>
            <w:vMerge w:val="continue"/>
            <w:tcBorders>
              <w:left w:val="single" w:color="000000" w:sz="4" w:space="0"/>
              <w:right w:val="single" w:color="000000" w:sz="4" w:space="0"/>
            </w:tcBorders>
            <w:noWrap w:val="0"/>
            <w:vAlign w:val="center"/>
          </w:tcPr>
          <w:p w14:paraId="53C19E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6485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5129C8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23</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4D3DAB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镀锌钢管</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7B00F71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DN80(外保温) 镀锌钢,用于冲洗水管</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88EB8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DAF1E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490" w:type="pct"/>
            <w:vMerge w:val="continue"/>
            <w:tcBorders>
              <w:left w:val="single" w:color="000000" w:sz="4" w:space="0"/>
              <w:right w:val="single" w:color="000000" w:sz="4" w:space="0"/>
            </w:tcBorders>
            <w:noWrap w:val="0"/>
            <w:vAlign w:val="center"/>
          </w:tcPr>
          <w:p w14:paraId="24ACA7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E03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367F0C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00C84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90°镀锌钢弯头</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49E3A96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 镀锌钢,用于冲洗水管</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019198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7E4DF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490" w:type="pct"/>
            <w:vMerge w:val="continue"/>
            <w:tcBorders>
              <w:left w:val="single" w:color="000000" w:sz="4" w:space="0"/>
              <w:right w:val="single" w:color="000000" w:sz="4" w:space="0"/>
            </w:tcBorders>
            <w:noWrap w:val="0"/>
            <w:vAlign w:val="center"/>
          </w:tcPr>
          <w:p w14:paraId="09EC45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72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6F940E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3D48B7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镀锌钢三通</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7A06842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 镀锌钢,用于冲洗水管</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097B00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3305CA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right w:val="single" w:color="000000" w:sz="4" w:space="0"/>
            </w:tcBorders>
            <w:noWrap w:val="0"/>
            <w:vAlign w:val="center"/>
          </w:tcPr>
          <w:p w14:paraId="795477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05E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242EDC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147DE5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可曲挠橡胶接头</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1FCB91A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DN100，PN10,用于冲洗水管</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5211B3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C69A8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490" w:type="pct"/>
            <w:vMerge w:val="continue"/>
            <w:tcBorders>
              <w:left w:val="single" w:color="000000" w:sz="4" w:space="0"/>
              <w:right w:val="single" w:color="000000" w:sz="4" w:space="0"/>
            </w:tcBorders>
            <w:noWrap w:val="0"/>
            <w:vAlign w:val="center"/>
          </w:tcPr>
          <w:p w14:paraId="1D2DAE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308D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720B77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5A6783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镀锌钢管</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7F7D386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DN100(外保温) 镀锌钢,用于冲洗水管</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10756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17EB3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773E35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5BA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46C221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0DF178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90°镀锌钢弯头</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7E70FD5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 镀锌钢,用于冲洗水管</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9D11A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DD220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right w:val="single" w:color="000000" w:sz="4" w:space="0"/>
            </w:tcBorders>
            <w:noWrap w:val="0"/>
            <w:vAlign w:val="center"/>
          </w:tcPr>
          <w:p w14:paraId="2ED17F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EF0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3D751C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29</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77D49C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镀锌钢三通</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23EF96F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 镀锌钢,用于冲洗水管</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D3A1C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C4F1F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right w:val="single" w:color="000000" w:sz="4" w:space="0"/>
            </w:tcBorders>
            <w:noWrap w:val="0"/>
            <w:vAlign w:val="center"/>
          </w:tcPr>
          <w:p w14:paraId="358803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5B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79D1E7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BF697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PE给水管</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6A6FC82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dn110 PE100,用于冲洗水管</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01A5D3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3B341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490" w:type="pct"/>
            <w:vMerge w:val="continue"/>
            <w:tcBorders>
              <w:left w:val="single" w:color="000000" w:sz="4" w:space="0"/>
              <w:right w:val="single" w:color="000000" w:sz="4" w:space="0"/>
            </w:tcBorders>
            <w:noWrap w:val="0"/>
            <w:vAlign w:val="center"/>
          </w:tcPr>
          <w:p w14:paraId="6C686B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F2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2E86B7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31</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11FB59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设备拆除</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7510DB4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拆除细格栅2台，罗茨鼓风机2台，吸砂、空气管道各15米。</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7F7B1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EA96E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bottom w:val="single" w:color="000000" w:sz="4" w:space="0"/>
              <w:right w:val="single" w:color="000000" w:sz="4" w:space="0"/>
            </w:tcBorders>
            <w:noWrap w:val="0"/>
            <w:vAlign w:val="center"/>
          </w:tcPr>
          <w:p w14:paraId="0707C2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F93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1ACC9D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06BACD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高速潜水搅拌器</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7773544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Φ325mm,功率=5.5KW ，SS304，配套立杆与控制箱，安装深度4m。</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EE46E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6DF37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restart"/>
            <w:tcBorders>
              <w:top w:val="single" w:color="000000" w:sz="4" w:space="0"/>
              <w:left w:val="single" w:color="000000" w:sz="4" w:space="0"/>
              <w:right w:val="single" w:color="000000" w:sz="4" w:space="0"/>
            </w:tcBorders>
            <w:noWrap w:val="0"/>
            <w:vAlign w:val="center"/>
          </w:tcPr>
          <w:p w14:paraId="1C0AE4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位置：第二污水厂污泥池</w:t>
            </w:r>
          </w:p>
          <w:p w14:paraId="23A1B0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改造</w:t>
            </w:r>
          </w:p>
        </w:tc>
      </w:tr>
      <w:tr w14:paraId="5148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50DADA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33</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73468B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设备拆除</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085CA77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1台慢速搅拌机</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BACD3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85CCD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bottom w:val="single" w:color="000000" w:sz="4" w:space="0"/>
              <w:right w:val="single" w:color="000000" w:sz="4" w:space="0"/>
            </w:tcBorders>
            <w:noWrap w:val="0"/>
            <w:vAlign w:val="center"/>
          </w:tcPr>
          <w:p w14:paraId="775496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C6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50DCC4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2E28A0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管式微孔曝气器</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61C6A19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≥5m3/h个,L=785mm,E≥0.3 刚玉材质</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617FB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DFFBF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1004</w:t>
            </w:r>
          </w:p>
        </w:tc>
        <w:tc>
          <w:tcPr>
            <w:tcW w:w="490" w:type="pct"/>
            <w:vMerge w:val="restart"/>
            <w:tcBorders>
              <w:top w:val="single" w:color="000000" w:sz="4" w:space="0"/>
              <w:left w:val="single" w:color="000000" w:sz="4" w:space="0"/>
              <w:right w:val="single" w:color="000000" w:sz="4" w:space="0"/>
            </w:tcBorders>
            <w:noWrap w:val="0"/>
            <w:vAlign w:val="center"/>
          </w:tcPr>
          <w:p w14:paraId="0E0E8A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位置：第二污水厂一期氧化沟改造</w:t>
            </w:r>
          </w:p>
        </w:tc>
      </w:tr>
      <w:tr w14:paraId="4322A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4479F9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35</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4FACB9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潜水搅拌器</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000B8D4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Φ368mm,N=1.5KW ,710rpm/mir ，SS304，配控制箱，安装深度5.5m。</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D64FD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B5767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490" w:type="pct"/>
            <w:vMerge w:val="continue"/>
            <w:tcBorders>
              <w:left w:val="single" w:color="000000" w:sz="4" w:space="0"/>
              <w:right w:val="single" w:color="000000" w:sz="4" w:space="0"/>
            </w:tcBorders>
            <w:noWrap w:val="0"/>
            <w:vAlign w:val="center"/>
          </w:tcPr>
          <w:p w14:paraId="5B897C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F58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2161D8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210877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缺氧池潜水</w:t>
            </w:r>
          </w:p>
          <w:p w14:paraId="42C7F2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推流器</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72A811C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桨叶直径Φ1600mm,N=4.3KW</w:t>
            </w:r>
          </w:p>
          <w:p w14:paraId="731E96C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转速47rpm/min，SS304 配控制箱。</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C595F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55CC9E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490" w:type="pct"/>
            <w:vMerge w:val="continue"/>
            <w:tcBorders>
              <w:left w:val="single" w:color="000000" w:sz="4" w:space="0"/>
              <w:right w:val="single" w:color="000000" w:sz="4" w:space="0"/>
            </w:tcBorders>
            <w:noWrap w:val="0"/>
            <w:vAlign w:val="center"/>
          </w:tcPr>
          <w:p w14:paraId="25D114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F03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5D6F03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37</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205FFB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潜水立式搅拌器</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5E15005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Φ580mm,N=5.5KW 转速475rpm/mir，SS304，配控制箱，安装深度5.5m。</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C4D15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50FF03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490" w:type="pct"/>
            <w:vMerge w:val="continue"/>
            <w:tcBorders>
              <w:left w:val="single" w:color="000000" w:sz="4" w:space="0"/>
              <w:right w:val="single" w:color="000000" w:sz="4" w:space="0"/>
            </w:tcBorders>
            <w:noWrap w:val="0"/>
            <w:vAlign w:val="center"/>
          </w:tcPr>
          <w:p w14:paraId="75FF56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37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3AE622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38</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0FB0B6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内回流泵</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763C653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Q=313m3/h,H=0.6m,N=2.5kW  </w:t>
            </w:r>
          </w:p>
          <w:p w14:paraId="538478E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配套控制箱，4用2备，安装深度5m。</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87050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E81BA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490" w:type="pct"/>
            <w:vMerge w:val="continue"/>
            <w:tcBorders>
              <w:left w:val="single" w:color="000000" w:sz="4" w:space="0"/>
              <w:right w:val="single" w:color="000000" w:sz="4" w:space="0"/>
            </w:tcBorders>
            <w:noWrap w:val="0"/>
            <w:vAlign w:val="center"/>
          </w:tcPr>
          <w:p w14:paraId="0BD9A9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F34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187E63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39</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1EAE4D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四绳卷扬机</w:t>
            </w:r>
          </w:p>
          <w:p w14:paraId="6134A6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(可调速）</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234D62C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电机功率1.5kW，提升速度2m/min </w:t>
            </w:r>
          </w:p>
          <w:p w14:paraId="1C36004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含滑轮固定架、导向柱及钢丝绳</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5C6061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72EAB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w:t>
            </w:r>
          </w:p>
        </w:tc>
        <w:tc>
          <w:tcPr>
            <w:tcW w:w="490" w:type="pct"/>
            <w:vMerge w:val="continue"/>
            <w:tcBorders>
              <w:left w:val="single" w:color="000000" w:sz="4" w:space="0"/>
              <w:right w:val="single" w:color="000000" w:sz="4" w:space="0"/>
            </w:tcBorders>
            <w:noWrap w:val="0"/>
            <w:vAlign w:val="center"/>
          </w:tcPr>
          <w:p w14:paraId="79C1F3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08FC1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198EFB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4FC2C7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提升框架</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08F5A3F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不锈钢槽钢 SS304</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852C8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C8832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490" w:type="pct"/>
            <w:vMerge w:val="continue"/>
            <w:tcBorders>
              <w:left w:val="single" w:color="000000" w:sz="4" w:space="0"/>
              <w:right w:val="single" w:color="000000" w:sz="4" w:space="0"/>
            </w:tcBorders>
            <w:noWrap w:val="0"/>
            <w:vAlign w:val="center"/>
          </w:tcPr>
          <w:p w14:paraId="4A139E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FD4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6E303C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41</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1182D7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生物池曝气</w:t>
            </w:r>
          </w:p>
          <w:p w14:paraId="3042C3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立管不锈钢管</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5567557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D108x4(空气管) SS304</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15BD89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ACC40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490" w:type="pct"/>
            <w:vMerge w:val="continue"/>
            <w:tcBorders>
              <w:left w:val="single" w:color="000000" w:sz="4" w:space="0"/>
              <w:right w:val="single" w:color="000000" w:sz="4" w:space="0"/>
            </w:tcBorders>
            <w:noWrap w:val="0"/>
            <w:vAlign w:val="center"/>
          </w:tcPr>
          <w:p w14:paraId="24E82C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1F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3491B4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42</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50BC1E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设备拆除</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64E8402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10台潜水搅拌器,4台缺氧池潜水推流器,4台潜水立式搅拌器,6台内回流泵,1004套徽孔曝气器,32套提升框架,30套卷扬机</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13B31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66F08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right w:val="single" w:color="000000" w:sz="4" w:space="0"/>
            </w:tcBorders>
            <w:noWrap w:val="0"/>
            <w:vAlign w:val="center"/>
          </w:tcPr>
          <w:p w14:paraId="1217CD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36064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0106C3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43</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47163B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池底清淤</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229A9F6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7B53F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m3</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3CA283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2600</w:t>
            </w:r>
          </w:p>
        </w:tc>
        <w:tc>
          <w:tcPr>
            <w:tcW w:w="490" w:type="pct"/>
            <w:vMerge w:val="continue"/>
            <w:tcBorders>
              <w:left w:val="single" w:color="000000" w:sz="4" w:space="0"/>
              <w:bottom w:val="single" w:color="000000" w:sz="4" w:space="0"/>
              <w:right w:val="single" w:color="000000" w:sz="4" w:space="0"/>
            </w:tcBorders>
            <w:noWrap w:val="0"/>
            <w:vAlign w:val="center"/>
          </w:tcPr>
          <w:p w14:paraId="7AAD52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FB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77D9C3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44</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53C90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污泥回流泵</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4D95E7E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Q=417m³/h，H=8m，N=15kW，配套控制箱，2用1备，1台变频，安装深度5.2m。</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09B66E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3A920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490" w:type="pct"/>
            <w:vMerge w:val="restart"/>
            <w:tcBorders>
              <w:top w:val="single" w:color="000000" w:sz="4" w:space="0"/>
              <w:left w:val="single" w:color="000000" w:sz="4" w:space="0"/>
              <w:right w:val="single" w:color="000000" w:sz="4" w:space="0"/>
            </w:tcBorders>
            <w:noWrap w:val="0"/>
            <w:vAlign w:val="center"/>
          </w:tcPr>
          <w:p w14:paraId="63D8BB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位置：第二污水厂一期污泥泵站改造</w:t>
            </w:r>
          </w:p>
        </w:tc>
      </w:tr>
      <w:tr w14:paraId="7A35B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7D6224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45</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0E4B49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剩余污泥泵</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5A65654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Q=40m³/h，H=8m，N=2.2kW，配套控制箱，1用1备，安装深度5.2m。</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11987A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3F51B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7E55B3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445FC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310B0E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46</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E4712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电动葫芦</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3F4775A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CD12-12D,N=3+0.4kW</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4A11F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752FD8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right w:val="single" w:color="000000" w:sz="4" w:space="0"/>
            </w:tcBorders>
            <w:noWrap w:val="0"/>
            <w:vAlign w:val="center"/>
          </w:tcPr>
          <w:p w14:paraId="36CFC7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1E1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1C3767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47</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0B922B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设备拆除</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2760E61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污泥回流泵3台,剩余污泥泵2台,</w:t>
            </w:r>
          </w:p>
          <w:p w14:paraId="2829B34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电动葫芦1台</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78881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DDAB2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right w:val="single" w:color="000000" w:sz="4" w:space="0"/>
            </w:tcBorders>
            <w:noWrap w:val="0"/>
            <w:vAlign w:val="center"/>
          </w:tcPr>
          <w:p w14:paraId="747845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B2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7A5288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48</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2B7E03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池内抽水、清淤</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352FDA5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72351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m3</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60C8F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85</w:t>
            </w:r>
          </w:p>
        </w:tc>
        <w:tc>
          <w:tcPr>
            <w:tcW w:w="490" w:type="pct"/>
            <w:vMerge w:val="continue"/>
            <w:tcBorders>
              <w:left w:val="single" w:color="000000" w:sz="4" w:space="0"/>
              <w:bottom w:val="single" w:color="000000" w:sz="4" w:space="0"/>
              <w:right w:val="single" w:color="000000" w:sz="4" w:space="0"/>
            </w:tcBorders>
            <w:noWrap w:val="0"/>
            <w:vAlign w:val="center"/>
          </w:tcPr>
          <w:p w14:paraId="75EFB9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4E14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5AD2B8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AD75B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二沉刮泥机桥架</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11A2CE9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直径20m，二沉池配套</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F3BBA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5216A7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restart"/>
            <w:tcBorders>
              <w:top w:val="single" w:color="000000" w:sz="4" w:space="0"/>
              <w:left w:val="single" w:color="000000" w:sz="4" w:space="0"/>
              <w:right w:val="single" w:color="000000" w:sz="4" w:space="0"/>
            </w:tcBorders>
            <w:noWrap w:val="0"/>
            <w:vAlign w:val="center"/>
          </w:tcPr>
          <w:p w14:paraId="298786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位置：第二污水厂一期二沉池改造</w:t>
            </w:r>
          </w:p>
        </w:tc>
      </w:tr>
      <w:tr w14:paraId="282B5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33ABAC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02D26F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二沉池行走电机</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72F4D7C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直径20m二沉池配套</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56CA17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051BB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490" w:type="pct"/>
            <w:vMerge w:val="continue"/>
            <w:tcBorders>
              <w:left w:val="single" w:color="000000" w:sz="4" w:space="0"/>
              <w:right w:val="single" w:color="000000" w:sz="4" w:space="0"/>
            </w:tcBorders>
            <w:noWrap w:val="0"/>
            <w:vAlign w:val="center"/>
          </w:tcPr>
          <w:p w14:paraId="75CA58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E8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1FFACD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377465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二沉池行走轮子</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3FB01F4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直径20m二沉池配套，橡胶</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0CF110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4EF981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490" w:type="pct"/>
            <w:vMerge w:val="continue"/>
            <w:tcBorders>
              <w:left w:val="single" w:color="000000" w:sz="4" w:space="0"/>
              <w:right w:val="single" w:color="000000" w:sz="4" w:space="0"/>
            </w:tcBorders>
            <w:noWrap w:val="0"/>
            <w:vAlign w:val="center"/>
          </w:tcPr>
          <w:p w14:paraId="502866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3D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2E5F19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52</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4BEECE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二沉池真空泵</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4690B97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1.5kW，直径20m二沉池配套</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51B7F9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E212C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16DF6C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86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1F4CD6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53</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14B9B4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污水泵</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536C4F1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Q=30m3/h,H=30m,N=5.5kW</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01B66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47DC2F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7BD028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A88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0041DB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54</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3C11E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设备拆除</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04262E7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1套刮泥机桥架，4台行走电机，8个行走轮子，2台真空泵,2台污水泵</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6D447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5D2BC1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bottom w:val="single" w:color="000000" w:sz="4" w:space="0"/>
              <w:right w:val="single" w:color="000000" w:sz="4" w:space="0"/>
            </w:tcBorders>
            <w:noWrap w:val="0"/>
            <w:vAlign w:val="center"/>
          </w:tcPr>
          <w:p w14:paraId="2B5B43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A91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1351D3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55</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19285F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快速搅拌器</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7081CD8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φ=0.6m， P=4kW，SS304，</w:t>
            </w:r>
          </w:p>
          <w:p w14:paraId="03B439D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变频，配控制箱。</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5A0E51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CF422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restart"/>
            <w:tcBorders>
              <w:top w:val="single" w:color="000000" w:sz="4" w:space="0"/>
              <w:left w:val="single" w:color="000000" w:sz="4" w:space="0"/>
              <w:right w:val="single" w:color="000000" w:sz="4" w:space="0"/>
            </w:tcBorders>
            <w:noWrap w:val="0"/>
            <w:vAlign w:val="center"/>
          </w:tcPr>
          <w:p w14:paraId="110CC6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位置：第二污水厂一期反应沉淀池改造</w:t>
            </w:r>
          </w:p>
        </w:tc>
      </w:tr>
      <w:tr w14:paraId="0414A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13FD59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56</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2EE983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慢速搅拌器</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155086F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φ=1.2m， P=2.2kW，SS304，</w:t>
            </w:r>
          </w:p>
          <w:p w14:paraId="3CF12BF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变频带导流筒，配控制箱。</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00BDAF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DBF52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441D7F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BE2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710885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57</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2CC5A5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立式排污泵</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65B5212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Q=25m3/h H=15m N=4kW</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1261AE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68CFB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490" w:type="pct"/>
            <w:vMerge w:val="continue"/>
            <w:tcBorders>
              <w:left w:val="single" w:color="000000" w:sz="4" w:space="0"/>
              <w:right w:val="single" w:color="000000" w:sz="4" w:space="0"/>
            </w:tcBorders>
            <w:noWrap w:val="0"/>
            <w:vAlign w:val="center"/>
          </w:tcPr>
          <w:p w14:paraId="55405A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59A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7C00B4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58</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192374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斜管</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233616B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直径:φ80mm，斜管长度:1000mm,</w:t>
            </w:r>
          </w:p>
          <w:p w14:paraId="24F39B2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安装倾角60° PP材质</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5CC726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345A5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96</w:t>
            </w:r>
          </w:p>
        </w:tc>
        <w:tc>
          <w:tcPr>
            <w:tcW w:w="490" w:type="pct"/>
            <w:vMerge w:val="continue"/>
            <w:tcBorders>
              <w:left w:val="single" w:color="000000" w:sz="4" w:space="0"/>
              <w:right w:val="single" w:color="000000" w:sz="4" w:space="0"/>
            </w:tcBorders>
            <w:noWrap w:val="0"/>
            <w:vAlign w:val="center"/>
          </w:tcPr>
          <w:p w14:paraId="7177A9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0D4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0C4E3E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59</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1A12F8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不锈钢管</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51B287C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D159×6</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363C2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416648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w:t>
            </w:r>
          </w:p>
        </w:tc>
        <w:tc>
          <w:tcPr>
            <w:tcW w:w="490" w:type="pct"/>
            <w:vMerge w:val="continue"/>
            <w:tcBorders>
              <w:left w:val="single" w:color="000000" w:sz="4" w:space="0"/>
              <w:right w:val="single" w:color="000000" w:sz="4" w:space="0"/>
            </w:tcBorders>
            <w:noWrap w:val="0"/>
            <w:vAlign w:val="center"/>
          </w:tcPr>
          <w:p w14:paraId="37D158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3BA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2E7AD8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60</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101FE0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电动快开式</w:t>
            </w:r>
          </w:p>
          <w:p w14:paraId="58367C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排泥角阀</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283F8CB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DN150,Z941X-10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E7B27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563222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490" w:type="pct"/>
            <w:vMerge w:val="continue"/>
            <w:tcBorders>
              <w:left w:val="single" w:color="000000" w:sz="4" w:space="0"/>
              <w:right w:val="single" w:color="000000" w:sz="4" w:space="0"/>
            </w:tcBorders>
            <w:noWrap w:val="0"/>
            <w:vAlign w:val="center"/>
          </w:tcPr>
          <w:p w14:paraId="7D315C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8D6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122B4D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61</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DB53C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微阻缓闭止回阀（立式安装）</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4287927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DN150 HH49X-10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4788F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3CD68C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2294B8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600C5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4F4003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62</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0EA796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手动闸阀</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0578621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DN150,Z341X-10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FF268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3C860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4EEA45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250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335E11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5A0DEB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可曲挠橡胶接头</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28C29ED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DN150,1.0MPa</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A47A7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B0F62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48EE18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14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08C6CA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64</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354386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不锈钢三通</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772101C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25027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444C5C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490" w:type="pct"/>
            <w:vMerge w:val="continue"/>
            <w:tcBorders>
              <w:left w:val="single" w:color="000000" w:sz="4" w:space="0"/>
              <w:right w:val="single" w:color="000000" w:sz="4" w:space="0"/>
            </w:tcBorders>
            <w:noWrap w:val="0"/>
            <w:vAlign w:val="center"/>
          </w:tcPr>
          <w:p w14:paraId="7F111A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B6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577DA3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65</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5DA592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设备拆除</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42BCC72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4台揽拌器,2台污泥泵，96m斜管，30m不锈钢管，8个排泥角阀，2个止回间，2个手动阀，2个橡胶接头，8个三通</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5F02AD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B31E6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bottom w:val="single" w:color="000000" w:sz="4" w:space="0"/>
              <w:right w:val="single" w:color="000000" w:sz="4" w:space="0"/>
            </w:tcBorders>
            <w:noWrap w:val="0"/>
            <w:vAlign w:val="center"/>
          </w:tcPr>
          <w:p w14:paraId="0CC485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2C3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4B9345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66</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3EF51E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潜水搅拌器</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2B71582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Φ368mm,功率=1.5KW 转速710rpm/mir，</w:t>
            </w:r>
          </w:p>
          <w:p w14:paraId="39D0FA5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配控制箱，安装深度5m。</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58E9AD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7B9560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restart"/>
            <w:tcBorders>
              <w:top w:val="single" w:color="000000" w:sz="4" w:space="0"/>
              <w:left w:val="single" w:color="000000" w:sz="4" w:space="0"/>
              <w:right w:val="single" w:color="000000" w:sz="4" w:space="0"/>
            </w:tcBorders>
            <w:noWrap w:val="0"/>
            <w:vAlign w:val="center"/>
          </w:tcPr>
          <w:p w14:paraId="22FA26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位置：第二污水厂二期氧化沟改造</w:t>
            </w:r>
          </w:p>
        </w:tc>
      </w:tr>
      <w:tr w14:paraId="3E667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4FBB3B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67</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3C947F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潜水推流器</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4C38353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桨叶直径Φ2200mm,N=4.3KW转速42rpm，</w:t>
            </w:r>
          </w:p>
          <w:p w14:paraId="737896F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配控制箱。</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E73F0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8D15B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37ED8D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A4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752EF6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68</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2EAA94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潜水推流器</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728125E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桨叶直径Φ1800mm,N=4.3KW </w:t>
            </w:r>
          </w:p>
          <w:p w14:paraId="6220DDF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转速47rpm，配控制箱。</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1FC526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AE92A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2347C9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C3D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77BE01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69</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74D0AA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内回流泵</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06B0F2D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Q=625m³/h，H=0.6m，N=2.5kW，配套控制箱，2用1备，安装深度5m。</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0730B1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A4CC5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490" w:type="pct"/>
            <w:vMerge w:val="continue"/>
            <w:tcBorders>
              <w:left w:val="single" w:color="000000" w:sz="4" w:space="0"/>
              <w:right w:val="single" w:color="000000" w:sz="4" w:space="0"/>
            </w:tcBorders>
            <w:noWrap w:val="0"/>
            <w:vAlign w:val="center"/>
          </w:tcPr>
          <w:p w14:paraId="4B2BA2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4E7B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3CCF2C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70</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32996C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设备拆除</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09B1DAF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1台搅拌器,4台推流器，3台内回流泵</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24682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560A6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right w:val="single" w:color="000000" w:sz="4" w:space="0"/>
            </w:tcBorders>
            <w:noWrap w:val="0"/>
            <w:vAlign w:val="center"/>
          </w:tcPr>
          <w:p w14:paraId="69990B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8D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1B82D8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71</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4B7376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池底清淤</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77D6BA7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D146D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m3</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32D5F8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750</w:t>
            </w:r>
          </w:p>
        </w:tc>
        <w:tc>
          <w:tcPr>
            <w:tcW w:w="490" w:type="pct"/>
            <w:vMerge w:val="continue"/>
            <w:tcBorders>
              <w:left w:val="single" w:color="000000" w:sz="4" w:space="0"/>
              <w:bottom w:val="single" w:color="000000" w:sz="4" w:space="0"/>
              <w:right w:val="single" w:color="000000" w:sz="4" w:space="0"/>
            </w:tcBorders>
            <w:noWrap w:val="0"/>
            <w:vAlign w:val="center"/>
          </w:tcPr>
          <w:p w14:paraId="3A476E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6ED1D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08D857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72</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58EED1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污泥回流泵</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7DB75FE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Q=417m³/h，H=8m，N=15kW，配套控制箱，2用1备，1台变频，安装深度5.1m。</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11E86E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DC0C0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restart"/>
            <w:tcBorders>
              <w:top w:val="single" w:color="000000" w:sz="4" w:space="0"/>
              <w:left w:val="single" w:color="000000" w:sz="4" w:space="0"/>
              <w:right w:val="single" w:color="000000" w:sz="4" w:space="0"/>
            </w:tcBorders>
            <w:noWrap w:val="0"/>
            <w:vAlign w:val="center"/>
          </w:tcPr>
          <w:p w14:paraId="038F84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位置：第二污水厂二期污泥泵站改造</w:t>
            </w:r>
          </w:p>
        </w:tc>
      </w:tr>
      <w:tr w14:paraId="3FF3D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2E0EB7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73</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47D3D0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剩余污泥泵</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56B2CA1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Q=40m³/h，H=8m，N=2.2kW，配套控制箱，1用1备，安装深度5.2m。</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0BE0D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7C5EC9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368E04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E46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65BAF5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74</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4867DA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电动葫芦</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7D95110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CD12-12D,N=3+0.4kW</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35BF4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5CCCC1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right w:val="single" w:color="000000" w:sz="4" w:space="0"/>
            </w:tcBorders>
            <w:noWrap w:val="0"/>
            <w:vAlign w:val="center"/>
          </w:tcPr>
          <w:p w14:paraId="60E511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BC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64491B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7AB44C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设备拆除</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6DEDF56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2台污泥回流泵，2台剩余污泥泵，</w:t>
            </w:r>
          </w:p>
          <w:p w14:paraId="728E66E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1台电动葫芦</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536C83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360BE0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right w:val="single" w:color="000000" w:sz="4" w:space="0"/>
            </w:tcBorders>
            <w:noWrap w:val="0"/>
            <w:vAlign w:val="center"/>
          </w:tcPr>
          <w:p w14:paraId="1B9325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3203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367457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76</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5768BF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池底清淤</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727F4A8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76422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m3</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BB645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490" w:type="pct"/>
            <w:vMerge w:val="continue"/>
            <w:tcBorders>
              <w:left w:val="single" w:color="000000" w:sz="4" w:space="0"/>
              <w:bottom w:val="single" w:color="000000" w:sz="4" w:space="0"/>
              <w:right w:val="single" w:color="000000" w:sz="4" w:space="0"/>
            </w:tcBorders>
            <w:noWrap w:val="0"/>
            <w:vAlign w:val="center"/>
          </w:tcPr>
          <w:p w14:paraId="2F6CEA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1C0B4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20A402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77</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870A3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二沉池行走电机</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65ED97D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直径30m，二沉池配套</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83A9B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31C8D3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restart"/>
            <w:tcBorders>
              <w:top w:val="single" w:color="000000" w:sz="4" w:space="0"/>
              <w:left w:val="single" w:color="000000" w:sz="4" w:space="0"/>
              <w:right w:val="single" w:color="000000" w:sz="4" w:space="0"/>
            </w:tcBorders>
            <w:noWrap w:val="0"/>
            <w:vAlign w:val="center"/>
          </w:tcPr>
          <w:p w14:paraId="16FBD8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位置：第二污水厂二期二沉池改造</w:t>
            </w:r>
          </w:p>
        </w:tc>
      </w:tr>
      <w:tr w14:paraId="6DBD0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2F177A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78</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28EC14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二沉池行走轮子</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734481C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直径30m，二沉池配套</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4EB59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7BC3AC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490" w:type="pct"/>
            <w:vMerge w:val="continue"/>
            <w:tcBorders>
              <w:left w:val="single" w:color="000000" w:sz="4" w:space="0"/>
              <w:right w:val="single" w:color="000000" w:sz="4" w:space="0"/>
            </w:tcBorders>
            <w:noWrap w:val="0"/>
            <w:vAlign w:val="center"/>
          </w:tcPr>
          <w:p w14:paraId="0229F0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23487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3C78C4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79</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73E3FE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二沉池真空泵</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5F84C0F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1.5kW 直径30m</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5FD23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7DB240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right w:val="single" w:color="000000" w:sz="4" w:space="0"/>
            </w:tcBorders>
            <w:noWrap w:val="0"/>
            <w:vAlign w:val="center"/>
          </w:tcPr>
          <w:p w14:paraId="522A4D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C7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4D7BA5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80</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5A72B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污水泵</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01B4B12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Q=30m3/h,H=30m,N=5.5kW</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F6675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38F28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right w:val="single" w:color="000000" w:sz="4" w:space="0"/>
            </w:tcBorders>
            <w:noWrap w:val="0"/>
            <w:vAlign w:val="center"/>
          </w:tcPr>
          <w:p w14:paraId="1F2B21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6E8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314E6D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81</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43F173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自动清洗机器人</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5AAAE3A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直径30m二沉池配套</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5557F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01165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right w:val="single" w:color="000000" w:sz="4" w:space="0"/>
            </w:tcBorders>
            <w:noWrap w:val="0"/>
            <w:vAlign w:val="center"/>
          </w:tcPr>
          <w:p w14:paraId="6D66F9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076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3834B4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82</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36A2CF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自动清洗机器人</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79C0F56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直径20m二沉池配套</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0A4DCB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97EE6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75B659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E45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14991D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83</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05960C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设备拆除</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09146FF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2台行走电机，4个行走轮子，1台真空泵，1台污水泵</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0764B9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5BA98C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bottom w:val="single" w:color="000000" w:sz="4" w:space="0"/>
              <w:right w:val="single" w:color="000000" w:sz="4" w:space="0"/>
            </w:tcBorders>
            <w:noWrap w:val="0"/>
            <w:vAlign w:val="center"/>
          </w:tcPr>
          <w:p w14:paraId="36180B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D3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6AE214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84</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436652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立式污泥泵</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5E6213A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Q=25m3/h,H=15m,N=4kW 配套控制箱，</w:t>
            </w:r>
          </w:p>
          <w:p w14:paraId="64BC640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2用1备</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1D6A00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5F2F79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490" w:type="pct"/>
            <w:vMerge w:val="restart"/>
            <w:tcBorders>
              <w:top w:val="single" w:color="000000" w:sz="4" w:space="0"/>
              <w:left w:val="single" w:color="000000" w:sz="4" w:space="0"/>
              <w:right w:val="single" w:color="000000" w:sz="4" w:space="0"/>
            </w:tcBorders>
            <w:noWrap w:val="0"/>
            <w:vAlign w:val="center"/>
          </w:tcPr>
          <w:p w14:paraId="0E8704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位置：第二污水厂二期高效沉淀池</w:t>
            </w:r>
          </w:p>
        </w:tc>
      </w:tr>
      <w:tr w14:paraId="6F7B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4AD71C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85</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7A9090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设备拆除</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6126086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3台立式污泥泵</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5F6BD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AA21E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bottom w:val="single" w:color="000000" w:sz="4" w:space="0"/>
              <w:right w:val="single" w:color="000000" w:sz="4" w:space="0"/>
            </w:tcBorders>
            <w:noWrap w:val="0"/>
            <w:vAlign w:val="center"/>
          </w:tcPr>
          <w:p w14:paraId="63C994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68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6D8850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86</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1098E4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纤维转盘过滤器</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7F747D3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过滤网孔孔径≤10微米，转盘直径2m，16个盘片</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B1E30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4D0D27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restart"/>
            <w:tcBorders>
              <w:top w:val="single" w:color="000000" w:sz="4" w:space="0"/>
              <w:left w:val="single" w:color="000000" w:sz="4" w:space="0"/>
              <w:right w:val="single" w:color="000000" w:sz="4" w:space="0"/>
            </w:tcBorders>
            <w:noWrap w:val="0"/>
            <w:vAlign w:val="center"/>
          </w:tcPr>
          <w:p w14:paraId="315DF4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位置：第二污水厂转盘滤池改造</w:t>
            </w:r>
          </w:p>
        </w:tc>
      </w:tr>
      <w:tr w14:paraId="2523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50B3FD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87</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5E3FB7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设备拆除</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6B243C8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纤维转盘滤池成套设备1套</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E4834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F9629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bottom w:val="single" w:color="000000" w:sz="4" w:space="0"/>
              <w:right w:val="single" w:color="000000" w:sz="4" w:space="0"/>
            </w:tcBorders>
            <w:noWrap w:val="0"/>
            <w:vAlign w:val="center"/>
          </w:tcPr>
          <w:p w14:paraId="06ACD9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8C3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02819B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88</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70DB3B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叠螺脱水机</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6273696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单机处理能力300kg/h, 进料污泥含固率0.8%，脱水后泥饼含固率&gt;20%，</w:t>
            </w:r>
          </w:p>
          <w:p w14:paraId="3204096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空气中用于污泥的脱水。</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00B71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78B150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restart"/>
            <w:tcBorders>
              <w:top w:val="single" w:color="000000" w:sz="4" w:space="0"/>
              <w:left w:val="single" w:color="000000" w:sz="4" w:space="0"/>
              <w:right w:val="single" w:color="000000" w:sz="4" w:space="0"/>
            </w:tcBorders>
            <w:noWrap w:val="0"/>
            <w:vAlign w:val="center"/>
          </w:tcPr>
          <w:p w14:paraId="304FC3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位置：第二污水厂污泥脱水机房</w:t>
            </w:r>
          </w:p>
        </w:tc>
      </w:tr>
      <w:tr w14:paraId="4C026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7092F1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89</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7E9271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污泥螺杆泵</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125B424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Q=20m3/h，H=0.3MPa N=4KW，</w:t>
            </w:r>
          </w:p>
          <w:p w14:paraId="21F7C92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空气中用于污泥的投加。</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3AF2F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DE852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3F1DAE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6B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2CE6A0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42AF22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一体化</w:t>
            </w:r>
          </w:p>
          <w:p w14:paraId="175406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PAM制备装置</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28F13E2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制备量3000L/h，N=4.05kW ，将PAM干粉制备成0.1-0.2‰浓度的溶液。 </w:t>
            </w:r>
          </w:p>
          <w:p w14:paraId="131B971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不锈钢材质</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02605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02FFE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right w:val="single" w:color="000000" w:sz="4" w:space="0"/>
            </w:tcBorders>
            <w:noWrap w:val="0"/>
            <w:vAlign w:val="center"/>
          </w:tcPr>
          <w:p w14:paraId="21FD9E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F0F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51FEF3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91</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0B987E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螺杆泵</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53E3B63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Q=2m3//h,P=0.2MPa,</w:t>
            </w:r>
          </w:p>
          <w:p w14:paraId="78BBA49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变频调速,N=1.1kW，2用1备，</w:t>
            </w:r>
          </w:p>
          <w:p w14:paraId="20DDD48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空气中用于药液（PAM）的投加</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64256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7789C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490" w:type="pct"/>
            <w:vMerge w:val="continue"/>
            <w:tcBorders>
              <w:left w:val="single" w:color="000000" w:sz="4" w:space="0"/>
              <w:right w:val="single" w:color="000000" w:sz="4" w:space="0"/>
            </w:tcBorders>
            <w:noWrap w:val="0"/>
            <w:vAlign w:val="center"/>
          </w:tcPr>
          <w:p w14:paraId="40B074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B68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24D54B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92</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7AC5C7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工业UPVC管</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388CFC8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DN63 S6.3</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7C5D4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966DD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w:t>
            </w:r>
          </w:p>
        </w:tc>
        <w:tc>
          <w:tcPr>
            <w:tcW w:w="490" w:type="pct"/>
            <w:vMerge w:val="continue"/>
            <w:tcBorders>
              <w:left w:val="single" w:color="000000" w:sz="4" w:space="0"/>
              <w:right w:val="single" w:color="000000" w:sz="4" w:space="0"/>
            </w:tcBorders>
            <w:noWrap w:val="0"/>
            <w:vAlign w:val="center"/>
          </w:tcPr>
          <w:p w14:paraId="7F94E5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BD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3AFA0F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93</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4638BC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手动球阀</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19998FC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 Q41F-10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04527D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390AE3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490" w:type="pct"/>
            <w:vMerge w:val="continue"/>
            <w:tcBorders>
              <w:left w:val="single" w:color="000000" w:sz="4" w:space="0"/>
              <w:right w:val="single" w:color="000000" w:sz="4" w:space="0"/>
            </w:tcBorders>
            <w:noWrap w:val="0"/>
            <w:vAlign w:val="center"/>
          </w:tcPr>
          <w:p w14:paraId="480A08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360B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0662DE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94</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258A2D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7E60ABF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 H44T-10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170A15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F1E9A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490" w:type="pct"/>
            <w:vMerge w:val="continue"/>
            <w:tcBorders>
              <w:left w:val="single" w:color="000000" w:sz="4" w:space="0"/>
              <w:right w:val="single" w:color="000000" w:sz="4" w:space="0"/>
            </w:tcBorders>
            <w:noWrap w:val="0"/>
            <w:vAlign w:val="center"/>
          </w:tcPr>
          <w:p w14:paraId="2A06F1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46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1C544C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95</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0E1E1A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90°弯头</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24C6DFE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59C094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FC2D0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490" w:type="pct"/>
            <w:vMerge w:val="continue"/>
            <w:tcBorders>
              <w:left w:val="single" w:color="000000" w:sz="4" w:space="0"/>
              <w:right w:val="single" w:color="000000" w:sz="4" w:space="0"/>
            </w:tcBorders>
            <w:noWrap w:val="0"/>
            <w:vAlign w:val="center"/>
          </w:tcPr>
          <w:p w14:paraId="293F27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B0F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2655C2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96</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00C5A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三通</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5FD2FD3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0BEAC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72D116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490" w:type="pct"/>
            <w:vMerge w:val="continue"/>
            <w:tcBorders>
              <w:left w:val="single" w:color="000000" w:sz="4" w:space="0"/>
              <w:right w:val="single" w:color="000000" w:sz="4" w:space="0"/>
            </w:tcBorders>
            <w:noWrap w:val="0"/>
            <w:vAlign w:val="center"/>
          </w:tcPr>
          <w:p w14:paraId="39C04A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2F59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2C3107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32B0C8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电磁流量计</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6E9FCB8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N50，空气中，对絮凝剂投加泵所投加的药液量进行测定并反馈给PLC。</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863DB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4C223E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right w:val="single" w:color="000000" w:sz="4" w:space="0"/>
            </w:tcBorders>
            <w:noWrap w:val="0"/>
            <w:vAlign w:val="center"/>
          </w:tcPr>
          <w:p w14:paraId="7AC35E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3F2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11711D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98</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784C5A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设备拆除</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3B177F8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2台脱水机、污泥螺杆泵，1台PAM制备装置，3台螺杆泵30mUPVC管，7个球阀，3个止回间，6个弯头，5个三通。</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FC130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7E625F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bottom w:val="single" w:color="000000" w:sz="4" w:space="0"/>
              <w:right w:val="single" w:color="000000" w:sz="4" w:space="0"/>
            </w:tcBorders>
            <w:noWrap w:val="0"/>
            <w:vAlign w:val="center"/>
          </w:tcPr>
          <w:p w14:paraId="70F965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81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3D687A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99</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060DD8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真空泵</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5E83BBE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N=0.75kW</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A39F3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9A359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restart"/>
            <w:tcBorders>
              <w:top w:val="single" w:color="000000" w:sz="4" w:space="0"/>
              <w:left w:val="single" w:color="000000" w:sz="4" w:space="0"/>
              <w:right w:val="single" w:color="000000" w:sz="4" w:space="0"/>
            </w:tcBorders>
            <w:noWrap w:val="0"/>
            <w:vAlign w:val="center"/>
          </w:tcPr>
          <w:p w14:paraId="50B2EC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位置：第一污水厂一污二沉池</w:t>
            </w:r>
          </w:p>
        </w:tc>
      </w:tr>
      <w:tr w14:paraId="19881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080FB6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5315E6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减速机+行走电机</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2456319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含配电箱</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4B7E2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50CA4C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490" w:type="pct"/>
            <w:vMerge w:val="continue"/>
            <w:tcBorders>
              <w:left w:val="single" w:color="000000" w:sz="4" w:space="0"/>
              <w:right w:val="single" w:color="000000" w:sz="4" w:space="0"/>
            </w:tcBorders>
            <w:noWrap w:val="0"/>
            <w:vAlign w:val="center"/>
          </w:tcPr>
          <w:p w14:paraId="18FA40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9E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1AA94D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101</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5D1465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碳刷滑环</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0461146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二沉池中心岛圆形桶子</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CBBA0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CA9DE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3354E5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2F584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61D4E3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102</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71CEB1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导电滑环40A</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1EF7388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90723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CB9CD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3AF6AA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213C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22B66E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103</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218989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C40细石混凝土</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6C2E1DC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100米长0.6米宽，5厘米厚，</w:t>
            </w:r>
          </w:p>
          <w:p w14:paraId="6C1A61E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上覆5mm厚钢板</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94DA1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座</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348A42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2FDBBF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7DCA9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6D8B6C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104</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123069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池壁走道板</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1C50BAE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105米长，0.5米宽，栏杆高1.2米，</w:t>
            </w:r>
          </w:p>
          <w:p w14:paraId="4CDED04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长105米</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6E794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座</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D17E6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continue"/>
            <w:tcBorders>
              <w:left w:val="single" w:color="000000" w:sz="4" w:space="0"/>
              <w:right w:val="single" w:color="000000" w:sz="4" w:space="0"/>
            </w:tcBorders>
            <w:noWrap w:val="0"/>
            <w:vAlign w:val="center"/>
          </w:tcPr>
          <w:p w14:paraId="2F33B5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70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76FC11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105</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07987A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设备拆除</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0AC819E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拆除2套真空泵，</w:t>
            </w:r>
          </w:p>
          <w:p w14:paraId="26F8479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4套减速机+行走电机4个滑环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0FF6C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568C90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bottom w:val="single" w:color="000000" w:sz="4" w:space="0"/>
              <w:right w:val="single" w:color="000000" w:sz="4" w:space="0"/>
            </w:tcBorders>
            <w:noWrap w:val="0"/>
            <w:vAlign w:val="center"/>
          </w:tcPr>
          <w:p w14:paraId="7DF53F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08AD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701427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106</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11CFC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污泥螺杆泵</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002B08B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Q=20m3/h，H=0.3MPa N=4KW</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0DB71C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009B4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90" w:type="pct"/>
            <w:vMerge w:val="restart"/>
            <w:tcBorders>
              <w:top w:val="single" w:color="000000" w:sz="4" w:space="0"/>
              <w:left w:val="single" w:color="000000" w:sz="4" w:space="0"/>
              <w:right w:val="single" w:color="000000" w:sz="4" w:space="0"/>
            </w:tcBorders>
            <w:noWrap w:val="0"/>
            <w:vAlign w:val="center"/>
          </w:tcPr>
          <w:p w14:paraId="36EDD7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位置：第一污水厂一污脱水机房</w:t>
            </w:r>
          </w:p>
        </w:tc>
      </w:tr>
      <w:tr w14:paraId="43C4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659DDE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107</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069F6B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污泥螺杆泵</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112CFB2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Q=2-4m3/h H=0.6MPa N=5.5kW</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5C2B07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501372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right w:val="single" w:color="000000" w:sz="4" w:space="0"/>
            </w:tcBorders>
            <w:noWrap w:val="0"/>
            <w:vAlign w:val="center"/>
          </w:tcPr>
          <w:p w14:paraId="5496EB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2C0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4BB9AE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108</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70E59A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设备拆除</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2BA5164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拆除3套泵</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13E36B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7CF1C5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vMerge w:val="continue"/>
            <w:tcBorders>
              <w:left w:val="single" w:color="000000" w:sz="4" w:space="0"/>
              <w:bottom w:val="single" w:color="000000" w:sz="4" w:space="0"/>
              <w:right w:val="single" w:color="000000" w:sz="4" w:space="0"/>
            </w:tcBorders>
            <w:noWrap w:val="0"/>
            <w:vAlign w:val="center"/>
          </w:tcPr>
          <w:p w14:paraId="7D1C12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60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06606F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109</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5E5BA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设备安装调试</w:t>
            </w:r>
          </w:p>
        </w:tc>
        <w:tc>
          <w:tcPr>
            <w:tcW w:w="2335" w:type="pct"/>
            <w:tcBorders>
              <w:top w:val="single" w:color="000000" w:sz="4" w:space="0"/>
              <w:left w:val="single" w:color="000000" w:sz="4" w:space="0"/>
              <w:bottom w:val="single" w:color="000000" w:sz="4" w:space="0"/>
              <w:right w:val="single" w:color="000000" w:sz="4" w:space="0"/>
            </w:tcBorders>
            <w:noWrap w:val="0"/>
            <w:vAlign w:val="center"/>
          </w:tcPr>
          <w:p w14:paraId="57AA4C8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1DD1E8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569E6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65786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bookmarkEnd w:id="550"/>
    </w:tbl>
    <w:p w14:paraId="63AC6FE3">
      <w:pPr>
        <w:pStyle w:val="80"/>
        <w:pageBreakBefore w:val="0"/>
        <w:kinsoku/>
        <w:wordWrap/>
        <w:overflowPunct/>
        <w:topLinePunct w:val="0"/>
        <w:bidi w:val="0"/>
        <w:adjustRightInd/>
        <w:spacing w:line="400" w:lineRule="exact"/>
        <w:ind w:left="0" w:leftChars="0" w:firstLine="0" w:firstLineChars="0"/>
        <w:outlineLvl w:val="9"/>
        <w:rPr>
          <w:rFonts w:hint="eastAsia" w:ascii="仿宋" w:hAnsi="仿宋"/>
          <w:b/>
          <w:bCs/>
          <w:color w:val="auto"/>
          <w:sz w:val="28"/>
          <w:szCs w:val="28"/>
          <w:highlight w:val="none"/>
          <w:lang w:val="en-US" w:eastAsia="zh-CN"/>
        </w:rPr>
      </w:pPr>
      <w:r>
        <w:rPr>
          <w:rFonts w:hint="eastAsia" w:ascii="仿宋" w:hAnsi="仿宋"/>
          <w:b/>
          <w:bCs/>
          <w:color w:val="auto"/>
          <w:sz w:val="28"/>
          <w:szCs w:val="28"/>
          <w:highlight w:val="none"/>
          <w:lang w:val="en-US" w:eastAsia="zh-CN"/>
        </w:rPr>
        <w:t>二、其他说明</w:t>
      </w:r>
    </w:p>
    <w:p w14:paraId="37A6C37E">
      <w:pPr>
        <w:pStyle w:val="80"/>
        <w:pageBreakBefore w:val="0"/>
        <w:kinsoku/>
        <w:wordWrap/>
        <w:overflowPunct/>
        <w:topLinePunct w:val="0"/>
        <w:bidi w:val="0"/>
        <w:adjustRightInd/>
        <w:spacing w:line="400" w:lineRule="exact"/>
        <w:ind w:leftChars="100" w:firstLine="0" w:firstLineChars="0"/>
        <w:outlineLvl w:val="9"/>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1、招标文件中要求材料材质为基本要求，投标人可提供优于招标文件规定的材料。</w:t>
      </w:r>
    </w:p>
    <w:p w14:paraId="464E5528">
      <w:pPr>
        <w:pStyle w:val="80"/>
        <w:pageBreakBefore w:val="0"/>
        <w:kinsoku/>
        <w:wordWrap/>
        <w:overflowPunct/>
        <w:topLinePunct w:val="0"/>
        <w:bidi w:val="0"/>
        <w:adjustRightInd/>
        <w:spacing w:line="400" w:lineRule="exact"/>
        <w:ind w:leftChars="100" w:firstLine="0" w:firstLineChars="0"/>
        <w:outlineLvl w:val="9"/>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2、投标供应商应保证所供应的工艺设备与所供应的电气设备和自控、监控设备完全协调，使系统的工作完全符合规定。应保证所供应的电气设备与所供应的机械设备和自控、监控设备完全协调。如果某些电气设备没有包括在供应范围里，投标人将有责任向买方提供所有为保证所供应的设备与其他的设备相互兼容所必需的信息，并由买方协调处理。应保证所供应的仪表与所供应的自控、监控系统完全兼容，使系统的工作完全符合规定。（投标单位要对此做出承诺，否则按废标处理）</w:t>
      </w:r>
    </w:p>
    <w:p w14:paraId="5AD55D2A">
      <w:pPr>
        <w:pStyle w:val="80"/>
        <w:pageBreakBefore w:val="0"/>
        <w:kinsoku/>
        <w:wordWrap/>
        <w:overflowPunct/>
        <w:topLinePunct w:val="0"/>
        <w:bidi w:val="0"/>
        <w:adjustRightInd/>
        <w:spacing w:line="400" w:lineRule="exact"/>
        <w:ind w:leftChars="100" w:firstLine="0" w:firstLineChars="0"/>
        <w:outlineLvl w:val="9"/>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3、本项目要求户外型配电箱（柜）、控制箱（柜）、仪表箱及所有工艺设备电控箱（柜）均采用</w:t>
      </w:r>
      <w:bookmarkStart w:id="551" w:name="OLE_LINK18"/>
      <w:r>
        <w:rPr>
          <w:rFonts w:hint="eastAsia" w:ascii="仿宋" w:hAnsi="仿宋" w:eastAsia="仿宋" w:cs="仿宋"/>
          <w:spacing w:val="-3"/>
          <w:kern w:val="2"/>
          <w:sz w:val="21"/>
          <w:szCs w:val="21"/>
          <w:lang w:val="en-US" w:eastAsia="zh-CN" w:bidi="ar-SA"/>
        </w:rPr>
        <w:t>304不锈钢制作，箱（柜）体不锈钢厚度1.5mm以上，所有设备电控箱（柜）随设备配套供货，并配有安装支架、底座等所有箱体现场安装材料（材料为不锈钢304）</w:t>
      </w:r>
      <w:bookmarkEnd w:id="551"/>
      <w:r>
        <w:rPr>
          <w:rFonts w:hint="eastAsia" w:ascii="仿宋" w:hAnsi="仿宋" w:eastAsia="仿宋" w:cs="仿宋"/>
          <w:spacing w:val="-3"/>
          <w:kern w:val="2"/>
          <w:sz w:val="21"/>
          <w:szCs w:val="21"/>
          <w:lang w:val="en-US" w:eastAsia="zh-CN" w:bidi="ar-SA"/>
        </w:rPr>
        <w:t>。（投标单位要对此做出承诺，否则按废标处理）</w:t>
      </w:r>
    </w:p>
    <w:p w14:paraId="02A9716B">
      <w:pPr>
        <w:pStyle w:val="80"/>
        <w:pageBreakBefore w:val="0"/>
        <w:kinsoku/>
        <w:wordWrap/>
        <w:overflowPunct/>
        <w:topLinePunct w:val="0"/>
        <w:bidi w:val="0"/>
        <w:adjustRightInd/>
        <w:spacing w:line="400" w:lineRule="exact"/>
        <w:ind w:leftChars="100" w:firstLine="0" w:firstLineChars="0"/>
        <w:outlineLvl w:val="9"/>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4、所有供应设备预埋件由设备投标人提供，预埋钢板由土建投标人负责供货及安装，设备投标人与土建投标人应加强协商以保证所有供应设备预埋件等相关配件适时安装与预留。所有供应设备必须适于土建安装，不得导致土建结构的改变。（投标单位要对此做出承诺，否则按废标处理）</w:t>
      </w:r>
    </w:p>
    <w:p w14:paraId="79A294D2">
      <w:pPr>
        <w:pStyle w:val="80"/>
        <w:pageBreakBefore w:val="0"/>
        <w:kinsoku/>
        <w:wordWrap/>
        <w:overflowPunct/>
        <w:topLinePunct w:val="0"/>
        <w:bidi w:val="0"/>
        <w:adjustRightInd/>
        <w:spacing w:line="400" w:lineRule="exact"/>
        <w:ind w:leftChars="100" w:firstLine="0" w:firstLineChars="0"/>
        <w:outlineLvl w:val="9"/>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5、根据本项目实际需求潜水排污泵、污泥回流泵、剩余污泥泵要在合同签订后5日内供货到甲方指定地点。（投标单位要对此做出承诺，否则按废标处理）</w:t>
      </w:r>
    </w:p>
    <w:p w14:paraId="22CA6717">
      <w:pPr>
        <w:pStyle w:val="80"/>
        <w:pageBreakBefore w:val="0"/>
        <w:kinsoku/>
        <w:wordWrap/>
        <w:overflowPunct/>
        <w:topLinePunct w:val="0"/>
        <w:bidi w:val="0"/>
        <w:adjustRightInd/>
        <w:spacing w:line="400" w:lineRule="exact"/>
        <w:ind w:leftChars="100" w:firstLine="0" w:firstLineChars="0"/>
        <w:outlineLvl w:val="9"/>
        <w:rPr>
          <w:rFonts w:hint="eastAsia" w:ascii="仿宋" w:hAnsi="仿宋" w:eastAsia="仿宋" w:cs="仿宋"/>
          <w:spacing w:val="-3"/>
          <w:kern w:val="2"/>
          <w:sz w:val="21"/>
          <w:szCs w:val="21"/>
          <w:lang w:val="en-US" w:eastAsia="zh-CN" w:bidi="ar-SA"/>
        </w:rPr>
      </w:pPr>
      <w:bookmarkStart w:id="552" w:name="_Toc24968"/>
      <w:r>
        <w:rPr>
          <w:rFonts w:hint="eastAsia" w:ascii="仿宋" w:hAnsi="仿宋" w:eastAsia="仿宋" w:cs="仿宋"/>
          <w:spacing w:val="-3"/>
          <w:kern w:val="2"/>
          <w:sz w:val="21"/>
          <w:szCs w:val="21"/>
          <w:lang w:val="en-US" w:eastAsia="zh-CN" w:bidi="ar-SA"/>
        </w:rPr>
        <w:br w:type="page"/>
      </w:r>
    </w:p>
    <w:p w14:paraId="1912C61F">
      <w:pPr>
        <w:pStyle w:val="2"/>
        <w:jc w:val="center"/>
        <w:rPr>
          <w:rFonts w:ascii="仿宋" w:hAnsi="仿宋" w:eastAsia="仿宋" w:cs="仿宋"/>
          <w:sz w:val="32"/>
          <w:szCs w:val="32"/>
        </w:rPr>
      </w:pPr>
      <w:bookmarkStart w:id="553" w:name="_Toc15737"/>
      <w:r>
        <w:rPr>
          <w:rFonts w:hint="eastAsia" w:ascii="仿宋" w:hAnsi="仿宋" w:eastAsia="仿宋" w:cs="仿宋"/>
          <w:sz w:val="32"/>
          <w:szCs w:val="32"/>
        </w:rPr>
        <w:t>第六章 投标文件格式</w:t>
      </w:r>
      <w:bookmarkEnd w:id="546"/>
      <w:bookmarkEnd w:id="547"/>
      <w:bookmarkEnd w:id="548"/>
      <w:bookmarkEnd w:id="552"/>
      <w:bookmarkEnd w:id="553"/>
    </w:p>
    <w:p w14:paraId="6E8C7CA0">
      <w:pPr>
        <w:jc w:val="center"/>
        <w:rPr>
          <w:rFonts w:hint="eastAsia" w:ascii="仿宋" w:hAnsi="仿宋" w:eastAsia="仿宋" w:cs="仿宋"/>
          <w:sz w:val="36"/>
          <w:szCs w:val="36"/>
          <w:u w:val="single"/>
        </w:rPr>
      </w:pPr>
    </w:p>
    <w:p w14:paraId="14B3571D">
      <w:pPr>
        <w:jc w:val="center"/>
        <w:rPr>
          <w:rFonts w:hint="eastAsia" w:ascii="仿宋" w:hAnsi="仿宋" w:eastAsia="仿宋" w:cs="仿宋"/>
          <w:sz w:val="36"/>
          <w:szCs w:val="36"/>
          <w:u w:val="single"/>
        </w:rPr>
      </w:pPr>
    </w:p>
    <w:p w14:paraId="242FEC53">
      <w:pPr>
        <w:jc w:val="center"/>
        <w:rPr>
          <w:rFonts w:ascii="仿宋" w:hAnsi="仿宋" w:eastAsia="仿宋" w:cs="仿宋"/>
          <w:sz w:val="36"/>
          <w:szCs w:val="36"/>
        </w:rPr>
      </w:pPr>
      <w:r>
        <w:rPr>
          <w:rFonts w:hint="eastAsia" w:ascii="仿宋" w:hAnsi="仿宋" w:eastAsia="仿宋" w:cs="仿宋"/>
          <w:sz w:val="36"/>
          <w:szCs w:val="36"/>
          <w:u w:val="single"/>
        </w:rPr>
        <w:t xml:space="preserve">    </w:t>
      </w:r>
      <w:r>
        <w:rPr>
          <w:rFonts w:hint="eastAsia" w:ascii="仿宋" w:hAnsi="仿宋" w:eastAsia="仿宋" w:cs="仿宋"/>
          <w:sz w:val="36"/>
          <w:szCs w:val="36"/>
          <w:u w:val="single"/>
          <w:lang w:val="en-US" w:eastAsia="zh-CN"/>
        </w:rPr>
        <w:t xml:space="preserve">               </w:t>
      </w:r>
      <w:r>
        <w:rPr>
          <w:rFonts w:hint="eastAsia" w:ascii="仿宋" w:hAnsi="仿宋" w:eastAsia="仿宋" w:cs="仿宋"/>
          <w:sz w:val="36"/>
          <w:szCs w:val="36"/>
          <w:u w:val="single"/>
        </w:rPr>
        <w:t xml:space="preserve">    </w:t>
      </w:r>
      <w:r>
        <w:rPr>
          <w:rFonts w:hint="eastAsia" w:ascii="仿宋" w:hAnsi="仿宋" w:eastAsia="仿宋" w:cs="仿宋"/>
          <w:sz w:val="36"/>
          <w:szCs w:val="36"/>
        </w:rPr>
        <w:t>（项目名称）</w:t>
      </w:r>
    </w:p>
    <w:p w14:paraId="5D89F548">
      <w:pPr>
        <w:rPr>
          <w:rFonts w:ascii="仿宋" w:hAnsi="仿宋" w:eastAsia="仿宋" w:cs="仿宋"/>
          <w:sz w:val="20"/>
        </w:rPr>
      </w:pPr>
    </w:p>
    <w:p w14:paraId="1093AFCA">
      <w:pPr>
        <w:rPr>
          <w:rFonts w:ascii="仿宋" w:hAnsi="仿宋" w:eastAsia="仿宋" w:cs="仿宋"/>
          <w:sz w:val="20"/>
        </w:rPr>
      </w:pPr>
    </w:p>
    <w:p w14:paraId="0CCB89B0">
      <w:pPr>
        <w:jc w:val="center"/>
        <w:rPr>
          <w:rFonts w:ascii="仿宋" w:hAnsi="仿宋" w:eastAsia="仿宋" w:cs="仿宋"/>
          <w:sz w:val="56"/>
          <w:szCs w:val="32"/>
        </w:rPr>
      </w:pPr>
    </w:p>
    <w:p w14:paraId="776DEC57">
      <w:pPr>
        <w:jc w:val="center"/>
        <w:rPr>
          <w:rFonts w:ascii="仿宋" w:hAnsi="仿宋" w:eastAsia="仿宋" w:cs="仿宋"/>
          <w:sz w:val="56"/>
          <w:szCs w:val="32"/>
        </w:rPr>
      </w:pPr>
      <w:r>
        <w:rPr>
          <w:rFonts w:hint="eastAsia" w:ascii="仿宋" w:hAnsi="仿宋" w:eastAsia="仿宋" w:cs="仿宋"/>
          <w:sz w:val="56"/>
          <w:szCs w:val="32"/>
        </w:rPr>
        <w:t>投 标 文 件</w:t>
      </w:r>
    </w:p>
    <w:p w14:paraId="4F10C9C7">
      <w:pPr>
        <w:jc w:val="center"/>
        <w:rPr>
          <w:rFonts w:ascii="仿宋" w:hAnsi="仿宋" w:eastAsia="仿宋" w:cs="仿宋"/>
          <w:sz w:val="44"/>
        </w:rPr>
      </w:pPr>
    </w:p>
    <w:p w14:paraId="5219C104">
      <w:pPr>
        <w:rPr>
          <w:rFonts w:ascii="仿宋" w:hAnsi="仿宋" w:eastAsia="仿宋" w:cs="仿宋"/>
          <w:sz w:val="28"/>
        </w:rPr>
      </w:pPr>
    </w:p>
    <w:p w14:paraId="410E9B9B">
      <w:pPr>
        <w:rPr>
          <w:rFonts w:ascii="仿宋" w:hAnsi="仿宋" w:eastAsia="仿宋" w:cs="仿宋"/>
          <w:sz w:val="28"/>
        </w:rPr>
      </w:pPr>
    </w:p>
    <w:p w14:paraId="68746B63">
      <w:pPr>
        <w:rPr>
          <w:rFonts w:ascii="仿宋" w:hAnsi="仿宋" w:eastAsia="仿宋" w:cs="仿宋"/>
          <w:sz w:val="28"/>
        </w:rPr>
      </w:pPr>
    </w:p>
    <w:p w14:paraId="0F1D461A">
      <w:pPr>
        <w:rPr>
          <w:rFonts w:ascii="仿宋" w:hAnsi="仿宋" w:eastAsia="仿宋" w:cs="仿宋"/>
          <w:sz w:val="28"/>
        </w:rPr>
      </w:pPr>
    </w:p>
    <w:p w14:paraId="71170ABD">
      <w:pPr>
        <w:rPr>
          <w:rFonts w:ascii="仿宋" w:hAnsi="仿宋" w:eastAsia="仿宋" w:cs="仿宋"/>
          <w:sz w:val="28"/>
        </w:rPr>
      </w:pPr>
    </w:p>
    <w:p w14:paraId="1C03F6D0">
      <w:pPr>
        <w:rPr>
          <w:rFonts w:ascii="仿宋" w:hAnsi="仿宋" w:eastAsia="仿宋" w:cs="仿宋"/>
          <w:sz w:val="28"/>
        </w:rPr>
      </w:pPr>
    </w:p>
    <w:p w14:paraId="5F2050AB">
      <w:pPr>
        <w:rPr>
          <w:rFonts w:ascii="仿宋" w:hAnsi="仿宋" w:eastAsia="仿宋" w:cs="仿宋"/>
          <w:sz w:val="28"/>
        </w:rPr>
      </w:pPr>
    </w:p>
    <w:p w14:paraId="75C3986B">
      <w:pPr>
        <w:rPr>
          <w:rFonts w:ascii="仿宋" w:hAnsi="仿宋" w:eastAsia="仿宋" w:cs="仿宋"/>
          <w:sz w:val="28"/>
        </w:rPr>
      </w:pPr>
    </w:p>
    <w:p w14:paraId="6BBB3B14">
      <w:pPr>
        <w:rPr>
          <w:rFonts w:ascii="仿宋" w:hAnsi="仿宋" w:eastAsia="仿宋" w:cs="仿宋"/>
          <w:sz w:val="28"/>
        </w:rPr>
      </w:pPr>
    </w:p>
    <w:p w14:paraId="08D65200">
      <w:pPr>
        <w:rPr>
          <w:rFonts w:ascii="仿宋" w:hAnsi="仿宋" w:eastAsia="仿宋" w:cs="仿宋"/>
          <w:sz w:val="28"/>
        </w:rPr>
      </w:pPr>
    </w:p>
    <w:p w14:paraId="2114747D">
      <w:pPr>
        <w:spacing w:line="360" w:lineRule="auto"/>
        <w:rPr>
          <w:rFonts w:ascii="仿宋" w:hAnsi="仿宋" w:eastAsia="仿宋" w:cs="仿宋"/>
          <w:sz w:val="28"/>
        </w:rPr>
      </w:pPr>
    </w:p>
    <w:p w14:paraId="28C59283">
      <w:pPr>
        <w:spacing w:line="360" w:lineRule="auto"/>
        <w:ind w:firstLine="1120" w:firstLineChars="400"/>
        <w:rPr>
          <w:rFonts w:ascii="仿宋" w:hAnsi="仿宋" w:eastAsia="仿宋" w:cs="仿宋"/>
          <w:sz w:val="28"/>
          <w:u w:val="single"/>
        </w:rPr>
      </w:pPr>
      <w:r>
        <w:rPr>
          <w:rFonts w:hint="eastAsia" w:ascii="仿宋" w:hAnsi="仿宋" w:eastAsia="仿宋" w:cs="仿宋"/>
          <w:sz w:val="28"/>
        </w:rPr>
        <w:t>投标人：</w:t>
      </w:r>
      <w:r>
        <w:rPr>
          <w:rFonts w:hint="eastAsia" w:ascii="仿宋" w:hAnsi="仿宋" w:eastAsia="仿宋" w:cs="仿宋"/>
          <w:u w:val="single"/>
        </w:rPr>
        <w:t xml:space="preserve">                                   </w:t>
      </w:r>
      <w:r>
        <w:rPr>
          <w:rFonts w:hint="eastAsia" w:ascii="仿宋" w:hAnsi="仿宋" w:eastAsia="仿宋" w:cs="仿宋"/>
          <w:sz w:val="28"/>
        </w:rPr>
        <w:t>（企业电子章）</w:t>
      </w:r>
    </w:p>
    <w:p w14:paraId="3E9280C9">
      <w:pPr>
        <w:spacing w:line="360" w:lineRule="auto"/>
        <w:ind w:firstLine="1120" w:firstLineChars="400"/>
        <w:jc w:val="left"/>
        <w:rPr>
          <w:rFonts w:ascii="仿宋" w:hAnsi="仿宋" w:eastAsia="仿宋" w:cs="仿宋"/>
          <w:sz w:val="28"/>
        </w:rPr>
      </w:pPr>
      <w:r>
        <w:rPr>
          <w:rFonts w:hint="eastAsia" w:ascii="仿宋" w:hAnsi="仿宋" w:eastAsia="仿宋" w:cs="仿宋"/>
          <w:sz w:val="28"/>
        </w:rPr>
        <w:t>法定代表人或其委托代理人：</w:t>
      </w:r>
      <w:r>
        <w:rPr>
          <w:rFonts w:hint="eastAsia" w:ascii="仿宋" w:hAnsi="仿宋" w:eastAsia="仿宋" w:cs="仿宋"/>
          <w:u w:val="single"/>
        </w:rPr>
        <w:t xml:space="preserve">           </w:t>
      </w:r>
      <w:r>
        <w:rPr>
          <w:rFonts w:hint="eastAsia" w:ascii="仿宋" w:hAnsi="仿宋" w:eastAsia="仿宋" w:cs="仿宋"/>
          <w:sz w:val="28"/>
        </w:rPr>
        <w:t>（签字或盖电子章）</w:t>
      </w:r>
    </w:p>
    <w:p w14:paraId="156366A7">
      <w:pPr>
        <w:jc w:val="center"/>
        <w:rPr>
          <w:rFonts w:ascii="仿宋" w:hAnsi="仿宋" w:eastAsia="仿宋" w:cs="仿宋"/>
          <w:sz w:val="28"/>
        </w:rPr>
      </w:pPr>
    </w:p>
    <w:p w14:paraId="2165E106">
      <w:pPr>
        <w:spacing w:line="400" w:lineRule="exact"/>
        <w:jc w:val="center"/>
        <w:rPr>
          <w:rFonts w:ascii="仿宋" w:hAnsi="仿宋" w:eastAsia="仿宋" w:cs="仿宋"/>
        </w:rPr>
      </w:pPr>
      <w:r>
        <w:rPr>
          <w:rFonts w:hint="eastAsia" w:ascii="仿宋" w:hAnsi="仿宋" w:eastAsia="仿宋" w:cs="仿宋"/>
          <w:u w:val="single"/>
        </w:rPr>
        <w:t xml:space="preserve">       </w:t>
      </w:r>
      <w:r>
        <w:rPr>
          <w:rFonts w:hint="eastAsia" w:ascii="仿宋" w:hAnsi="仿宋" w:eastAsia="仿宋" w:cs="仿宋"/>
          <w:sz w:val="28"/>
        </w:rPr>
        <w:t>年</w:t>
      </w:r>
      <w:r>
        <w:rPr>
          <w:rFonts w:hint="eastAsia" w:ascii="仿宋" w:hAnsi="仿宋" w:eastAsia="仿宋" w:cs="仿宋"/>
          <w:u w:val="single"/>
        </w:rPr>
        <w:t xml:space="preserve">       </w:t>
      </w:r>
      <w:r>
        <w:rPr>
          <w:rFonts w:hint="eastAsia" w:ascii="仿宋" w:hAnsi="仿宋" w:eastAsia="仿宋" w:cs="仿宋"/>
          <w:sz w:val="28"/>
        </w:rPr>
        <w:t>月</w:t>
      </w:r>
      <w:r>
        <w:rPr>
          <w:rFonts w:hint="eastAsia" w:ascii="仿宋" w:hAnsi="仿宋" w:eastAsia="仿宋" w:cs="仿宋"/>
          <w:u w:val="single"/>
        </w:rPr>
        <w:t xml:space="preserve">       </w:t>
      </w:r>
      <w:r>
        <w:rPr>
          <w:rFonts w:hint="eastAsia" w:ascii="仿宋" w:hAnsi="仿宋" w:eastAsia="仿宋" w:cs="仿宋"/>
          <w:sz w:val="28"/>
        </w:rPr>
        <w:t>日</w:t>
      </w:r>
      <w:r>
        <w:rPr>
          <w:rFonts w:hint="eastAsia" w:ascii="仿宋" w:hAnsi="仿宋" w:eastAsia="仿宋" w:cs="仿宋"/>
        </w:rPr>
        <w:br w:type="page"/>
      </w:r>
    </w:p>
    <w:p w14:paraId="11317BB6">
      <w:pPr>
        <w:pStyle w:val="3"/>
        <w:jc w:val="center"/>
        <w:rPr>
          <w:rFonts w:ascii="仿宋" w:hAnsi="仿宋" w:eastAsia="仿宋" w:cs="仿宋"/>
        </w:rPr>
      </w:pPr>
      <w:bookmarkStart w:id="554" w:name="_Toc18680"/>
      <w:bookmarkStart w:id="555" w:name="_Toc20782"/>
      <w:bookmarkStart w:id="556" w:name="_Toc116"/>
      <w:bookmarkStart w:id="557" w:name="_Toc185327322"/>
      <w:r>
        <w:rPr>
          <w:rFonts w:hint="eastAsia" w:ascii="仿宋" w:hAnsi="仿宋" w:eastAsia="仿宋" w:cs="仿宋"/>
        </w:rPr>
        <w:t>目录</w:t>
      </w:r>
      <w:bookmarkEnd w:id="554"/>
      <w:bookmarkEnd w:id="555"/>
      <w:bookmarkEnd w:id="556"/>
      <w:bookmarkEnd w:id="557"/>
    </w:p>
    <w:p w14:paraId="3263AC31">
      <w:pPr>
        <w:spacing w:line="540" w:lineRule="exact"/>
        <w:rPr>
          <w:rFonts w:ascii="仿宋" w:hAnsi="仿宋" w:eastAsia="仿宋" w:cs="仿宋"/>
        </w:rPr>
      </w:pPr>
    </w:p>
    <w:p w14:paraId="34D19AAF">
      <w:pPr>
        <w:spacing w:line="540" w:lineRule="exact"/>
        <w:rPr>
          <w:rFonts w:ascii="仿宋" w:hAnsi="仿宋" w:eastAsia="仿宋" w:cs="仿宋"/>
        </w:rPr>
      </w:pPr>
      <w:r>
        <w:rPr>
          <w:rFonts w:hint="eastAsia" w:ascii="仿宋" w:hAnsi="仿宋" w:eastAsia="仿宋" w:cs="仿宋"/>
        </w:rPr>
        <w:t>一、投标函及投标函附录</w:t>
      </w:r>
    </w:p>
    <w:p w14:paraId="6827FEF8">
      <w:pPr>
        <w:spacing w:line="540" w:lineRule="exact"/>
        <w:rPr>
          <w:rFonts w:ascii="仿宋" w:hAnsi="仿宋" w:eastAsia="仿宋" w:cs="仿宋"/>
        </w:rPr>
      </w:pPr>
      <w:r>
        <w:rPr>
          <w:rFonts w:hint="eastAsia" w:ascii="仿宋" w:hAnsi="仿宋" w:eastAsia="仿宋" w:cs="仿宋"/>
        </w:rPr>
        <w:t>二、法定代表人身份证明（适用于无委托代理人的情况）</w:t>
      </w:r>
    </w:p>
    <w:p w14:paraId="616D504D">
      <w:pPr>
        <w:spacing w:line="540" w:lineRule="exact"/>
        <w:rPr>
          <w:rFonts w:ascii="仿宋" w:hAnsi="仿宋" w:eastAsia="仿宋" w:cs="仿宋"/>
        </w:rPr>
      </w:pPr>
      <w:r>
        <w:rPr>
          <w:rFonts w:hint="eastAsia" w:ascii="仿宋" w:hAnsi="仿宋" w:eastAsia="仿宋" w:cs="仿宋"/>
        </w:rPr>
        <w:t>三、授权委托书（适用于有委托代理人的情况）</w:t>
      </w:r>
    </w:p>
    <w:p w14:paraId="39AE7C81">
      <w:pPr>
        <w:spacing w:line="540" w:lineRule="exact"/>
        <w:rPr>
          <w:rFonts w:ascii="仿宋" w:hAnsi="仿宋" w:eastAsia="仿宋" w:cs="仿宋"/>
        </w:rPr>
      </w:pPr>
      <w:r>
        <w:rPr>
          <w:rFonts w:hint="eastAsia" w:ascii="仿宋" w:hAnsi="仿宋" w:eastAsia="仿宋" w:cs="仿宋"/>
        </w:rPr>
        <w:t>四、商务和技术偏差表</w:t>
      </w:r>
    </w:p>
    <w:p w14:paraId="2B4D5F6E">
      <w:pPr>
        <w:spacing w:line="540" w:lineRule="exact"/>
        <w:rPr>
          <w:rFonts w:hint="eastAsia" w:ascii="仿宋" w:hAnsi="仿宋" w:eastAsia="仿宋" w:cs="仿宋"/>
          <w:lang w:eastAsia="zh-CN"/>
        </w:rPr>
      </w:pPr>
      <w:r>
        <w:rPr>
          <w:rFonts w:hint="eastAsia" w:ascii="仿宋" w:hAnsi="仿宋" w:eastAsia="仿宋" w:cs="仿宋"/>
        </w:rPr>
        <w:t>五、</w:t>
      </w:r>
      <w:r>
        <w:rPr>
          <w:rFonts w:hint="eastAsia" w:ascii="仿宋" w:hAnsi="仿宋" w:eastAsia="仿宋" w:cs="仿宋"/>
          <w:lang w:eastAsia="zh-CN"/>
        </w:rPr>
        <w:t>分项报价表</w:t>
      </w:r>
    </w:p>
    <w:p w14:paraId="5B660680">
      <w:pPr>
        <w:spacing w:line="540" w:lineRule="exact"/>
        <w:rPr>
          <w:rFonts w:ascii="仿宋" w:hAnsi="仿宋" w:eastAsia="仿宋" w:cs="仿宋"/>
        </w:rPr>
      </w:pPr>
      <w:r>
        <w:rPr>
          <w:rFonts w:hint="eastAsia" w:ascii="仿宋" w:hAnsi="仿宋" w:eastAsia="仿宋" w:cs="仿宋"/>
        </w:rPr>
        <w:t>六、投标保证金（投标保证金企业信用承诺函）</w:t>
      </w:r>
    </w:p>
    <w:p w14:paraId="74145641">
      <w:pPr>
        <w:spacing w:line="540" w:lineRule="exact"/>
        <w:rPr>
          <w:rFonts w:ascii="仿宋" w:hAnsi="仿宋" w:eastAsia="仿宋" w:cs="仿宋"/>
        </w:rPr>
      </w:pPr>
      <w:r>
        <w:rPr>
          <w:rFonts w:hint="eastAsia" w:ascii="仿宋" w:hAnsi="仿宋" w:eastAsia="仿宋" w:cs="仿宋"/>
        </w:rPr>
        <w:t>七、资格审查资料</w:t>
      </w:r>
    </w:p>
    <w:p w14:paraId="4B3E022F">
      <w:pPr>
        <w:spacing w:line="540" w:lineRule="exact"/>
        <w:rPr>
          <w:rFonts w:ascii="仿宋" w:hAnsi="仿宋" w:eastAsia="仿宋" w:cs="仿宋"/>
        </w:rPr>
      </w:pPr>
      <w:r>
        <w:rPr>
          <w:rFonts w:hint="eastAsia" w:ascii="仿宋" w:hAnsi="仿宋" w:eastAsia="仿宋" w:cs="仿宋"/>
        </w:rPr>
        <w:t>八、技术性能指标的详细描述</w:t>
      </w:r>
    </w:p>
    <w:p w14:paraId="3FB8B9AE">
      <w:pPr>
        <w:spacing w:line="540" w:lineRule="exact"/>
        <w:rPr>
          <w:rFonts w:ascii="仿宋" w:hAnsi="仿宋" w:eastAsia="仿宋" w:cs="仿宋"/>
        </w:rPr>
      </w:pPr>
      <w:bookmarkStart w:id="558" w:name="_Toc300835204"/>
      <w:bookmarkStart w:id="559" w:name="_Toc247514232"/>
      <w:bookmarkStart w:id="560" w:name="_Toc247527819"/>
      <w:r>
        <w:rPr>
          <w:rFonts w:hint="eastAsia" w:ascii="仿宋" w:hAnsi="仿宋" w:eastAsia="仿宋" w:cs="仿宋"/>
        </w:rPr>
        <w:t>九、</w:t>
      </w:r>
      <w:bookmarkEnd w:id="558"/>
      <w:bookmarkEnd w:id="559"/>
      <w:bookmarkEnd w:id="560"/>
      <w:r>
        <w:rPr>
          <w:rFonts w:hint="eastAsia" w:ascii="仿宋" w:hAnsi="仿宋" w:eastAsia="仿宋" w:cs="仿宋"/>
        </w:rPr>
        <w:t>项目实施方案</w:t>
      </w:r>
    </w:p>
    <w:p w14:paraId="4DADC88A">
      <w:pPr>
        <w:spacing w:line="540" w:lineRule="exact"/>
        <w:rPr>
          <w:rFonts w:ascii="仿宋" w:hAnsi="仿宋" w:eastAsia="仿宋" w:cs="仿宋"/>
        </w:rPr>
      </w:pPr>
      <w:bookmarkStart w:id="561" w:name="_Toc7039"/>
      <w:bookmarkStart w:id="562" w:name="_Toc352691655"/>
      <w:bookmarkStart w:id="563" w:name="_Toc369531691"/>
      <w:r>
        <w:rPr>
          <w:rFonts w:hint="eastAsia" w:ascii="仿宋" w:hAnsi="仿宋" w:eastAsia="仿宋" w:cs="仿宋"/>
        </w:rPr>
        <w:t>十、其他资料</w:t>
      </w:r>
    </w:p>
    <w:p w14:paraId="1EF33CC9">
      <w:pPr>
        <w:spacing w:line="540" w:lineRule="exact"/>
        <w:rPr>
          <w:rFonts w:ascii="仿宋" w:hAnsi="仿宋" w:eastAsia="仿宋" w:cs="仿宋"/>
        </w:rPr>
      </w:pPr>
    </w:p>
    <w:p w14:paraId="746FBF03">
      <w:pPr>
        <w:spacing w:line="540" w:lineRule="exact"/>
        <w:rPr>
          <w:rFonts w:ascii="仿宋" w:hAnsi="仿宋" w:eastAsia="仿宋" w:cs="仿宋"/>
        </w:rPr>
      </w:pPr>
    </w:p>
    <w:p w14:paraId="7DFFC7AD">
      <w:pPr>
        <w:spacing w:line="540" w:lineRule="exact"/>
        <w:rPr>
          <w:rFonts w:ascii="仿宋" w:hAnsi="仿宋" w:eastAsia="仿宋" w:cs="仿宋"/>
          <w:sz w:val="20"/>
        </w:rPr>
      </w:pPr>
      <w:r>
        <w:rPr>
          <w:rFonts w:hint="eastAsia" w:ascii="仿宋" w:hAnsi="仿宋" w:eastAsia="仿宋" w:cs="仿宋"/>
        </w:rPr>
        <w:br w:type="page"/>
      </w:r>
    </w:p>
    <w:bookmarkEnd w:id="561"/>
    <w:bookmarkEnd w:id="562"/>
    <w:bookmarkEnd w:id="563"/>
    <w:p w14:paraId="589C4623">
      <w:pPr>
        <w:pStyle w:val="3"/>
        <w:numPr>
          <w:ilvl w:val="0"/>
          <w:numId w:val="3"/>
        </w:numPr>
        <w:jc w:val="center"/>
        <w:rPr>
          <w:rFonts w:ascii="仿宋" w:hAnsi="仿宋" w:eastAsia="仿宋" w:cs="仿宋"/>
        </w:rPr>
      </w:pPr>
      <w:bookmarkStart w:id="564" w:name="_Toc7884"/>
      <w:bookmarkStart w:id="565" w:name="_Toc185327323"/>
      <w:bookmarkStart w:id="566" w:name="_Toc12801"/>
      <w:bookmarkStart w:id="567" w:name="_Toc22550"/>
      <w:bookmarkStart w:id="568" w:name="_Toc352691656"/>
      <w:bookmarkStart w:id="569" w:name="_Toc369531692"/>
      <w:bookmarkStart w:id="570" w:name="_Toc6931"/>
      <w:r>
        <w:rPr>
          <w:rFonts w:hint="eastAsia" w:ascii="仿宋" w:hAnsi="仿宋" w:eastAsia="仿宋" w:cs="仿宋"/>
        </w:rPr>
        <w:t>投标函及投标函附录</w:t>
      </w:r>
      <w:bookmarkEnd w:id="564"/>
      <w:bookmarkEnd w:id="565"/>
      <w:bookmarkEnd w:id="566"/>
      <w:bookmarkEnd w:id="567"/>
    </w:p>
    <w:p w14:paraId="7E3B8427">
      <w:pPr>
        <w:jc w:val="center"/>
        <w:outlineLvl w:val="2"/>
        <w:rPr>
          <w:rFonts w:ascii="仿宋" w:hAnsi="仿宋" w:eastAsia="仿宋" w:cs="仿宋"/>
          <w:sz w:val="28"/>
          <w:szCs w:val="28"/>
        </w:rPr>
      </w:pPr>
      <w:r>
        <w:rPr>
          <w:rFonts w:hint="eastAsia" w:ascii="仿宋" w:hAnsi="仿宋" w:eastAsia="仿宋" w:cs="仿宋"/>
          <w:b/>
          <w:sz w:val="28"/>
          <w:szCs w:val="28"/>
        </w:rPr>
        <w:t>（一）投标函</w:t>
      </w:r>
    </w:p>
    <w:bookmarkEnd w:id="568"/>
    <w:bookmarkEnd w:id="569"/>
    <w:bookmarkEnd w:id="570"/>
    <w:p w14:paraId="4C49CB65">
      <w:pPr>
        <w:spacing w:line="440" w:lineRule="exact"/>
        <w:rPr>
          <w:rFonts w:ascii="仿宋" w:hAnsi="仿宋" w:eastAsia="仿宋" w:cs="仿宋"/>
          <w:szCs w:val="21"/>
        </w:rPr>
      </w:pPr>
      <w:r>
        <w:rPr>
          <w:rFonts w:hint="eastAsia" w:ascii="仿宋" w:hAnsi="仿宋" w:eastAsia="仿宋" w:cs="仿宋"/>
          <w:u w:val="single"/>
        </w:rPr>
        <w:t xml:space="preserve">                  </w:t>
      </w:r>
      <w:r>
        <w:rPr>
          <w:rFonts w:hint="eastAsia" w:ascii="仿宋" w:hAnsi="仿宋" w:eastAsia="仿宋" w:cs="仿宋"/>
          <w:szCs w:val="21"/>
        </w:rPr>
        <w:t>（招标人名称）：</w:t>
      </w:r>
    </w:p>
    <w:p w14:paraId="460CCC04">
      <w:pPr>
        <w:wordWrap w:val="0"/>
        <w:spacing w:line="440" w:lineRule="exact"/>
        <w:ind w:firstLine="420" w:firstLineChars="200"/>
        <w:rPr>
          <w:rFonts w:ascii="仿宋" w:hAnsi="仿宋" w:eastAsia="仿宋" w:cs="仿宋"/>
          <w:szCs w:val="21"/>
        </w:rPr>
      </w:pPr>
      <w:r>
        <w:rPr>
          <w:rFonts w:hint="eastAsia" w:ascii="仿宋" w:hAnsi="仿宋" w:eastAsia="仿宋" w:cs="仿宋"/>
          <w:szCs w:val="21"/>
        </w:rPr>
        <w:t>1．我方已仔细研究了</w:t>
      </w:r>
      <w:r>
        <w:rPr>
          <w:rFonts w:hint="eastAsia" w:ascii="仿宋" w:hAnsi="仿宋" w:eastAsia="仿宋" w:cs="仿宋"/>
          <w:u w:val="single"/>
        </w:rPr>
        <w:t xml:space="preserve">                  </w:t>
      </w:r>
      <w:r>
        <w:rPr>
          <w:rFonts w:hint="eastAsia" w:ascii="仿宋" w:hAnsi="仿宋" w:eastAsia="仿宋" w:cs="仿宋"/>
        </w:rPr>
        <w:t>（</w:t>
      </w:r>
      <w:r>
        <w:rPr>
          <w:rFonts w:hint="eastAsia" w:ascii="仿宋" w:hAnsi="仿宋" w:eastAsia="仿宋" w:cs="仿宋"/>
          <w:szCs w:val="21"/>
        </w:rPr>
        <w:t>项目名称</w:t>
      </w:r>
      <w:r>
        <w:rPr>
          <w:rFonts w:hint="eastAsia" w:ascii="仿宋" w:hAnsi="仿宋" w:eastAsia="仿宋" w:cs="仿宋"/>
        </w:rPr>
        <w:t>）设备采购及安装招标项目</w:t>
      </w:r>
      <w:r>
        <w:rPr>
          <w:rFonts w:hint="eastAsia" w:ascii="仿宋" w:hAnsi="仿宋" w:eastAsia="仿宋" w:cs="仿宋"/>
          <w:szCs w:val="21"/>
        </w:rPr>
        <w:t>招标文件的全部内容，愿意以投标总报价（含增值税）（大写）</w:t>
      </w:r>
      <w:r>
        <w:rPr>
          <w:rFonts w:hint="eastAsia" w:ascii="仿宋" w:hAnsi="仿宋" w:eastAsia="仿宋" w:cs="仿宋"/>
          <w:u w:val="single"/>
        </w:rPr>
        <w:t xml:space="preserve">               </w:t>
      </w:r>
      <w:r>
        <w:rPr>
          <w:rFonts w:hint="eastAsia" w:ascii="仿宋" w:hAnsi="仿宋" w:eastAsia="仿宋" w:cs="仿宋"/>
          <w:szCs w:val="21"/>
        </w:rPr>
        <w:t>（¥</w:t>
      </w:r>
      <w:r>
        <w:rPr>
          <w:rFonts w:hint="eastAsia" w:ascii="仿宋" w:hAnsi="仿宋" w:eastAsia="仿宋" w:cs="仿宋"/>
          <w:u w:val="single"/>
        </w:rPr>
        <w:t xml:space="preserve">               </w:t>
      </w:r>
      <w:r>
        <w:rPr>
          <w:rFonts w:hint="eastAsia" w:ascii="仿宋" w:hAnsi="仿宋" w:eastAsia="仿宋" w:cs="仿宋"/>
          <w:szCs w:val="21"/>
        </w:rPr>
        <w:t>），质量要求达到</w:t>
      </w:r>
      <w:r>
        <w:rPr>
          <w:rFonts w:hint="eastAsia" w:ascii="仿宋" w:hAnsi="仿宋" w:eastAsia="仿宋" w:cs="仿宋"/>
          <w:szCs w:val="21"/>
          <w:u w:val="single"/>
        </w:rPr>
        <w:t xml:space="preserve">       </w:t>
      </w:r>
      <w:r>
        <w:rPr>
          <w:rFonts w:hint="eastAsia" w:ascii="仿宋" w:hAnsi="仿宋" w:eastAsia="仿宋" w:cs="仿宋"/>
        </w:rPr>
        <w:t>，</w:t>
      </w:r>
      <w:r>
        <w:rPr>
          <w:rFonts w:hint="eastAsia" w:ascii="仿宋" w:hAnsi="仿宋" w:eastAsia="仿宋" w:cs="仿宋"/>
          <w:szCs w:val="21"/>
          <w:lang w:eastAsia="zh-CN"/>
        </w:rPr>
        <w:t>交货安装周期</w:t>
      </w:r>
      <w:r>
        <w:rPr>
          <w:rFonts w:hint="eastAsia" w:ascii="仿宋" w:hAnsi="仿宋" w:eastAsia="仿宋" w:cs="仿宋"/>
          <w:szCs w:val="21"/>
          <w:u w:val="single"/>
        </w:rPr>
        <w:t xml:space="preserve">          </w:t>
      </w:r>
      <w:r>
        <w:rPr>
          <w:rFonts w:hint="eastAsia" w:ascii="仿宋" w:hAnsi="仿宋" w:eastAsia="仿宋" w:cs="仿宋"/>
          <w:szCs w:val="21"/>
        </w:rPr>
        <w:t>完成本项目招标范围内的全部工作内容，并按合同约定履行义务。</w:t>
      </w:r>
    </w:p>
    <w:p w14:paraId="73FB85A0">
      <w:pPr>
        <w:spacing w:line="440" w:lineRule="exact"/>
        <w:ind w:firstLine="420" w:firstLineChars="200"/>
        <w:rPr>
          <w:rFonts w:ascii="仿宋" w:hAnsi="仿宋" w:eastAsia="仿宋" w:cs="仿宋"/>
          <w:szCs w:val="21"/>
        </w:rPr>
      </w:pPr>
      <w:r>
        <w:rPr>
          <w:rFonts w:hint="eastAsia" w:ascii="仿宋" w:hAnsi="仿宋" w:eastAsia="仿宋" w:cs="仿宋"/>
          <w:szCs w:val="21"/>
        </w:rPr>
        <w:t>2. 我方的投标文件包括下列内容：</w:t>
      </w:r>
    </w:p>
    <w:p w14:paraId="1342329B">
      <w:pPr>
        <w:spacing w:line="400" w:lineRule="exact"/>
        <w:ind w:firstLine="405"/>
        <w:rPr>
          <w:rFonts w:ascii="仿宋" w:hAnsi="仿宋" w:eastAsia="仿宋" w:cs="仿宋"/>
        </w:rPr>
      </w:pPr>
      <w:r>
        <w:rPr>
          <w:rFonts w:hint="eastAsia" w:ascii="仿宋" w:hAnsi="仿宋" w:eastAsia="仿宋" w:cs="仿宋"/>
        </w:rPr>
        <w:t>（1）投标函及投标函附录</w:t>
      </w:r>
    </w:p>
    <w:p w14:paraId="6D9C11F0">
      <w:pPr>
        <w:spacing w:line="400" w:lineRule="exact"/>
        <w:ind w:firstLine="405"/>
        <w:rPr>
          <w:rFonts w:ascii="仿宋" w:hAnsi="仿宋" w:eastAsia="仿宋" w:cs="仿宋"/>
        </w:rPr>
      </w:pPr>
      <w:r>
        <w:rPr>
          <w:rFonts w:hint="eastAsia" w:ascii="仿宋" w:hAnsi="仿宋" w:eastAsia="仿宋" w:cs="仿宋"/>
        </w:rPr>
        <w:t>（2）法定代表人身份证明（适用于无委托代理人的情况）</w:t>
      </w:r>
    </w:p>
    <w:p w14:paraId="176915C8">
      <w:pPr>
        <w:spacing w:line="400" w:lineRule="exact"/>
        <w:ind w:firstLine="405"/>
        <w:rPr>
          <w:rFonts w:ascii="仿宋" w:hAnsi="仿宋" w:eastAsia="仿宋" w:cs="仿宋"/>
        </w:rPr>
      </w:pPr>
      <w:r>
        <w:rPr>
          <w:rFonts w:hint="eastAsia" w:ascii="仿宋" w:hAnsi="仿宋" w:eastAsia="仿宋" w:cs="仿宋"/>
        </w:rPr>
        <w:t>（3）授权委托书（适用于有委托代理人的情况）</w:t>
      </w:r>
    </w:p>
    <w:p w14:paraId="35755B38">
      <w:pPr>
        <w:spacing w:line="400" w:lineRule="exact"/>
        <w:ind w:firstLine="405"/>
        <w:rPr>
          <w:rFonts w:ascii="仿宋" w:hAnsi="仿宋" w:eastAsia="仿宋" w:cs="仿宋"/>
        </w:rPr>
      </w:pPr>
      <w:r>
        <w:rPr>
          <w:rFonts w:hint="eastAsia" w:ascii="仿宋" w:hAnsi="仿宋" w:eastAsia="仿宋" w:cs="仿宋"/>
        </w:rPr>
        <w:t>（4）商务和技术偏差表</w:t>
      </w:r>
    </w:p>
    <w:p w14:paraId="72394AB5">
      <w:pPr>
        <w:spacing w:line="400" w:lineRule="exact"/>
        <w:ind w:firstLine="405"/>
        <w:rPr>
          <w:rFonts w:hint="eastAsia" w:ascii="仿宋" w:hAnsi="仿宋" w:eastAsia="仿宋" w:cs="仿宋"/>
          <w:lang w:eastAsia="zh-CN"/>
        </w:rPr>
      </w:pPr>
      <w:r>
        <w:rPr>
          <w:rFonts w:hint="eastAsia" w:ascii="仿宋" w:hAnsi="仿宋" w:eastAsia="仿宋" w:cs="仿宋"/>
        </w:rPr>
        <w:t>（5）</w:t>
      </w:r>
      <w:r>
        <w:rPr>
          <w:rFonts w:hint="eastAsia" w:ascii="仿宋" w:hAnsi="仿宋" w:eastAsia="仿宋" w:cs="仿宋"/>
          <w:lang w:eastAsia="zh-CN"/>
        </w:rPr>
        <w:t>分项报价表</w:t>
      </w:r>
    </w:p>
    <w:p w14:paraId="1AF3FA04">
      <w:pPr>
        <w:spacing w:line="400" w:lineRule="exact"/>
        <w:ind w:firstLine="405"/>
        <w:rPr>
          <w:rFonts w:ascii="仿宋" w:hAnsi="仿宋" w:eastAsia="仿宋" w:cs="仿宋"/>
        </w:rPr>
      </w:pPr>
      <w:r>
        <w:rPr>
          <w:rFonts w:hint="eastAsia" w:ascii="仿宋" w:hAnsi="仿宋" w:eastAsia="仿宋" w:cs="仿宋"/>
        </w:rPr>
        <w:t>（6）投标保证金（投标保证金企业信用承诺函）</w:t>
      </w:r>
    </w:p>
    <w:p w14:paraId="1CCB3376">
      <w:pPr>
        <w:spacing w:line="400" w:lineRule="exact"/>
        <w:ind w:firstLine="405"/>
        <w:rPr>
          <w:rFonts w:ascii="仿宋" w:hAnsi="仿宋" w:eastAsia="仿宋" w:cs="仿宋"/>
        </w:rPr>
      </w:pPr>
      <w:r>
        <w:rPr>
          <w:rFonts w:hint="eastAsia" w:ascii="仿宋" w:hAnsi="仿宋" w:eastAsia="仿宋" w:cs="仿宋"/>
        </w:rPr>
        <w:t>（7）资格审查资料</w:t>
      </w:r>
    </w:p>
    <w:p w14:paraId="3A81FEB3">
      <w:pPr>
        <w:spacing w:line="400" w:lineRule="exact"/>
        <w:ind w:firstLine="405"/>
        <w:rPr>
          <w:rFonts w:ascii="仿宋" w:hAnsi="仿宋" w:eastAsia="仿宋" w:cs="仿宋"/>
        </w:rPr>
      </w:pPr>
      <w:r>
        <w:rPr>
          <w:rFonts w:hint="eastAsia" w:ascii="仿宋" w:hAnsi="仿宋" w:eastAsia="仿宋" w:cs="仿宋"/>
        </w:rPr>
        <w:t>（8）技术性能指标的详细描述</w:t>
      </w:r>
    </w:p>
    <w:p w14:paraId="44269DCF">
      <w:pPr>
        <w:spacing w:line="400" w:lineRule="exact"/>
        <w:ind w:firstLine="405"/>
        <w:rPr>
          <w:rFonts w:ascii="仿宋" w:hAnsi="仿宋" w:eastAsia="仿宋" w:cs="仿宋"/>
        </w:rPr>
      </w:pPr>
      <w:r>
        <w:rPr>
          <w:rFonts w:hint="eastAsia" w:ascii="仿宋" w:hAnsi="仿宋" w:eastAsia="仿宋" w:cs="仿宋"/>
        </w:rPr>
        <w:t>（9）项目实施方案</w:t>
      </w:r>
    </w:p>
    <w:p w14:paraId="7AA617CE">
      <w:pPr>
        <w:spacing w:line="400" w:lineRule="exact"/>
        <w:ind w:firstLine="405"/>
        <w:rPr>
          <w:rFonts w:ascii="仿宋" w:hAnsi="仿宋" w:eastAsia="仿宋" w:cs="仿宋"/>
        </w:rPr>
      </w:pPr>
      <w:r>
        <w:rPr>
          <w:rFonts w:hint="eastAsia" w:ascii="仿宋" w:hAnsi="仿宋" w:eastAsia="仿宋" w:cs="仿宋"/>
        </w:rPr>
        <w:t>（1</w:t>
      </w:r>
      <w:r>
        <w:rPr>
          <w:rFonts w:hint="eastAsia" w:ascii="仿宋" w:hAnsi="仿宋" w:eastAsia="仿宋" w:cs="仿宋"/>
          <w:lang w:val="en-US" w:eastAsia="zh-CN"/>
        </w:rPr>
        <w:t>0</w:t>
      </w:r>
      <w:r>
        <w:rPr>
          <w:rFonts w:hint="eastAsia" w:ascii="仿宋" w:hAnsi="仿宋" w:eastAsia="仿宋" w:cs="仿宋"/>
        </w:rPr>
        <w:t>）其他资料</w:t>
      </w:r>
    </w:p>
    <w:p w14:paraId="120DFCDD">
      <w:pPr>
        <w:spacing w:line="440" w:lineRule="exact"/>
        <w:ind w:firstLine="420" w:firstLineChars="200"/>
        <w:rPr>
          <w:rFonts w:ascii="仿宋" w:hAnsi="仿宋" w:eastAsia="仿宋" w:cs="仿宋"/>
          <w:szCs w:val="21"/>
        </w:rPr>
      </w:pPr>
      <w:r>
        <w:rPr>
          <w:rFonts w:hint="eastAsia" w:ascii="仿宋" w:hAnsi="仿宋" w:eastAsia="仿宋" w:cs="仿宋"/>
          <w:szCs w:val="21"/>
        </w:rPr>
        <w:t>投标文件的上述组成部分如存在内容不一致的，以投标函为准。</w:t>
      </w:r>
    </w:p>
    <w:p w14:paraId="3DAA58E4">
      <w:pPr>
        <w:spacing w:line="440" w:lineRule="exact"/>
        <w:ind w:firstLine="420" w:firstLineChars="200"/>
        <w:rPr>
          <w:rFonts w:ascii="仿宋" w:hAnsi="仿宋" w:eastAsia="仿宋" w:cs="仿宋"/>
          <w:szCs w:val="21"/>
        </w:rPr>
      </w:pPr>
      <w:r>
        <w:rPr>
          <w:rFonts w:hint="eastAsia" w:ascii="仿宋" w:hAnsi="仿宋" w:eastAsia="仿宋" w:cs="仿宋"/>
          <w:szCs w:val="21"/>
        </w:rPr>
        <w:t>3．我方承诺在招标文件规定的投标有效期内不撤销投标文件。</w:t>
      </w:r>
    </w:p>
    <w:p w14:paraId="4B20FBEB">
      <w:pPr>
        <w:spacing w:line="440" w:lineRule="exact"/>
        <w:ind w:firstLine="420" w:firstLineChars="200"/>
        <w:rPr>
          <w:rFonts w:ascii="仿宋" w:hAnsi="仿宋" w:eastAsia="仿宋" w:cs="仿宋"/>
          <w:szCs w:val="21"/>
        </w:rPr>
      </w:pPr>
      <w:r>
        <w:rPr>
          <w:rFonts w:hint="eastAsia" w:ascii="仿宋" w:hAnsi="仿宋" w:eastAsia="仿宋" w:cs="仿宋"/>
          <w:szCs w:val="21"/>
        </w:rPr>
        <w:t>4．如我方中标，我方承诺：</w:t>
      </w:r>
    </w:p>
    <w:p w14:paraId="4B6D3F16">
      <w:pPr>
        <w:spacing w:line="440" w:lineRule="exact"/>
        <w:ind w:left="945" w:leftChars="400" w:hanging="105" w:hangingChars="50"/>
        <w:rPr>
          <w:rFonts w:ascii="仿宋" w:hAnsi="仿宋" w:eastAsia="仿宋" w:cs="仿宋"/>
          <w:szCs w:val="21"/>
        </w:rPr>
      </w:pPr>
      <w:r>
        <w:rPr>
          <w:rFonts w:hint="eastAsia" w:ascii="仿宋" w:hAnsi="仿宋" w:eastAsia="仿宋" w:cs="仿宋"/>
          <w:szCs w:val="21"/>
        </w:rPr>
        <w:t>（1）在收到中标通知书后，在中标通知书规定的期限内与你方签订合同；</w:t>
      </w:r>
    </w:p>
    <w:p w14:paraId="391A0B3B">
      <w:pPr>
        <w:spacing w:line="440" w:lineRule="exact"/>
        <w:ind w:left="945" w:leftChars="400" w:hanging="105" w:hangingChars="50"/>
        <w:rPr>
          <w:rFonts w:ascii="仿宋" w:hAnsi="仿宋" w:eastAsia="仿宋" w:cs="仿宋"/>
          <w:szCs w:val="21"/>
        </w:rPr>
      </w:pPr>
      <w:r>
        <w:rPr>
          <w:rFonts w:hint="eastAsia" w:ascii="仿宋" w:hAnsi="仿宋" w:eastAsia="仿宋" w:cs="仿宋"/>
          <w:szCs w:val="21"/>
        </w:rPr>
        <w:t>（2）在签订合同时不向你方提出附加条件；</w:t>
      </w:r>
    </w:p>
    <w:p w14:paraId="6C82F99C">
      <w:pPr>
        <w:spacing w:line="440" w:lineRule="exact"/>
        <w:ind w:left="945" w:leftChars="400" w:hanging="105" w:hangingChars="50"/>
        <w:rPr>
          <w:rFonts w:ascii="仿宋" w:hAnsi="仿宋" w:eastAsia="仿宋" w:cs="仿宋"/>
          <w:szCs w:val="21"/>
        </w:rPr>
      </w:pPr>
      <w:bookmarkStart w:id="571" w:name="_Toc369531694"/>
      <w:bookmarkStart w:id="572" w:name="_Toc1187"/>
      <w:bookmarkStart w:id="573" w:name="_Toc352691658"/>
      <w:r>
        <w:rPr>
          <w:rFonts w:hint="eastAsia" w:ascii="仿宋" w:hAnsi="仿宋" w:eastAsia="仿宋" w:cs="仿宋"/>
          <w:szCs w:val="21"/>
        </w:rPr>
        <w:t>（</w:t>
      </w:r>
      <w:r>
        <w:rPr>
          <w:rFonts w:hint="eastAsia" w:ascii="仿宋" w:hAnsi="仿宋" w:eastAsia="仿宋" w:cs="仿宋"/>
          <w:szCs w:val="21"/>
          <w:lang w:val="en-US" w:eastAsia="zh-CN"/>
        </w:rPr>
        <w:t>3</w:t>
      </w:r>
      <w:r>
        <w:rPr>
          <w:rFonts w:hint="eastAsia" w:ascii="仿宋" w:hAnsi="仿宋" w:eastAsia="仿宋" w:cs="仿宋"/>
          <w:szCs w:val="21"/>
        </w:rPr>
        <w:t>）在合</w:t>
      </w:r>
      <w:bookmarkEnd w:id="571"/>
      <w:bookmarkEnd w:id="572"/>
      <w:bookmarkEnd w:id="573"/>
      <w:r>
        <w:rPr>
          <w:rFonts w:hint="eastAsia" w:ascii="仿宋" w:hAnsi="仿宋" w:eastAsia="仿宋" w:cs="仿宋"/>
          <w:szCs w:val="21"/>
        </w:rPr>
        <w:t>同约定的期限内完成合同规定的全部义务。</w:t>
      </w:r>
    </w:p>
    <w:p w14:paraId="77AED63F">
      <w:pPr>
        <w:spacing w:line="440" w:lineRule="exact"/>
        <w:ind w:firstLine="420" w:firstLineChars="200"/>
        <w:rPr>
          <w:rFonts w:ascii="仿宋" w:hAnsi="仿宋" w:eastAsia="仿宋" w:cs="仿宋"/>
          <w:szCs w:val="21"/>
        </w:rPr>
      </w:pPr>
      <w:r>
        <w:rPr>
          <w:rFonts w:hint="eastAsia" w:ascii="仿宋" w:hAnsi="仿宋" w:eastAsia="仿宋" w:cs="仿宋"/>
          <w:szCs w:val="21"/>
        </w:rPr>
        <w:t>5．</w:t>
      </w:r>
      <w:r>
        <w:rPr>
          <w:rFonts w:hint="eastAsia" w:ascii="仿宋" w:hAnsi="仿宋" w:eastAsia="仿宋" w:cs="仿宋"/>
        </w:rPr>
        <w:t>我方在此声明，所递交的投标文件及有关资料内容完整、真实和准确，且不存在第二章“投标人须知”第1.4.3项规定的任何一种情形。</w:t>
      </w:r>
    </w:p>
    <w:p w14:paraId="095E2367">
      <w:pPr>
        <w:spacing w:line="440" w:lineRule="exact"/>
        <w:ind w:firstLine="420" w:firstLineChars="200"/>
        <w:rPr>
          <w:rFonts w:ascii="仿宋" w:hAnsi="仿宋" w:eastAsia="仿宋" w:cs="仿宋"/>
          <w:szCs w:val="21"/>
        </w:rPr>
      </w:pPr>
      <w:r>
        <w:rPr>
          <w:rFonts w:hint="eastAsia" w:ascii="仿宋" w:hAnsi="仿宋" w:eastAsia="仿宋" w:cs="仿宋"/>
          <w:szCs w:val="21"/>
        </w:rPr>
        <w:t>6．</w:t>
      </w:r>
      <w:r>
        <w:rPr>
          <w:rFonts w:hint="eastAsia" w:ascii="仿宋" w:hAnsi="仿宋" w:eastAsia="仿宋" w:cs="仿宋"/>
          <w:szCs w:val="21"/>
          <w:u w:val="single"/>
        </w:rPr>
        <w:t xml:space="preserve">                            </w:t>
      </w:r>
      <w:r>
        <w:rPr>
          <w:rFonts w:hint="eastAsia" w:ascii="仿宋" w:hAnsi="仿宋" w:eastAsia="仿宋" w:cs="仿宋"/>
          <w:szCs w:val="21"/>
          <w:u w:val="single"/>
        </w:rPr>
        <w:tab/>
      </w:r>
      <w:r>
        <w:rPr>
          <w:rFonts w:hint="eastAsia" w:ascii="仿宋" w:hAnsi="仿宋" w:eastAsia="仿宋" w:cs="仿宋"/>
          <w:szCs w:val="21"/>
        </w:rPr>
        <w:t>（其他补充说明）。</w:t>
      </w:r>
    </w:p>
    <w:p w14:paraId="7B80EB46">
      <w:pPr>
        <w:spacing w:line="440" w:lineRule="exact"/>
        <w:ind w:firstLine="420" w:firstLineChars="200"/>
        <w:jc w:val="both"/>
        <w:rPr>
          <w:rFonts w:ascii="仿宋" w:hAnsi="仿宋" w:eastAsia="仿宋" w:cs="仿宋"/>
          <w:szCs w:val="21"/>
        </w:rPr>
      </w:pPr>
    </w:p>
    <w:bookmarkEnd w:id="480"/>
    <w:bookmarkEnd w:id="481"/>
    <w:bookmarkEnd w:id="482"/>
    <w:bookmarkEnd w:id="483"/>
    <w:bookmarkEnd w:id="484"/>
    <w:bookmarkEnd w:id="485"/>
    <w:bookmarkEnd w:id="486"/>
    <w:bookmarkEnd w:id="487"/>
    <w:bookmarkEnd w:id="488"/>
    <w:p w14:paraId="1BCED9DD">
      <w:pPr>
        <w:spacing w:line="440" w:lineRule="exact"/>
        <w:ind w:firstLine="2520" w:firstLineChars="1200"/>
        <w:jc w:val="both"/>
        <w:rPr>
          <w:rFonts w:ascii="仿宋" w:hAnsi="仿宋" w:eastAsia="仿宋" w:cs="仿宋"/>
          <w:szCs w:val="21"/>
        </w:rPr>
      </w:pPr>
      <w:bookmarkStart w:id="574" w:name="_Toc352691659"/>
      <w:bookmarkEnd w:id="574"/>
      <w:bookmarkStart w:id="575" w:name="_Toc369531695"/>
      <w:bookmarkEnd w:id="575"/>
      <w:bookmarkStart w:id="576" w:name="_Toc369531696"/>
      <w:bookmarkEnd w:id="576"/>
      <w:bookmarkStart w:id="577" w:name="_Toc16568"/>
      <w:bookmarkEnd w:id="577"/>
      <w:bookmarkStart w:id="578" w:name="_Toc16824"/>
      <w:bookmarkEnd w:id="578"/>
      <w:bookmarkStart w:id="579" w:name="_Toc352691660"/>
      <w:bookmarkEnd w:id="579"/>
      <w:r>
        <w:rPr>
          <w:rFonts w:hint="eastAsia" w:ascii="仿宋" w:hAnsi="仿宋" w:eastAsia="仿宋" w:cs="仿宋"/>
          <w:szCs w:val="21"/>
        </w:rPr>
        <w:t>投 标 人：</w:t>
      </w:r>
      <w:r>
        <w:rPr>
          <w:rFonts w:hint="eastAsia" w:ascii="仿宋" w:hAnsi="仿宋" w:eastAsia="仿宋" w:cs="仿宋"/>
          <w:szCs w:val="21"/>
          <w:u w:val="single"/>
        </w:rPr>
        <w:t xml:space="preserve">                          </w:t>
      </w:r>
      <w:r>
        <w:rPr>
          <w:rFonts w:hint="eastAsia" w:ascii="仿宋" w:hAnsi="仿宋" w:eastAsia="仿宋" w:cs="仿宋"/>
          <w:szCs w:val="21"/>
        </w:rPr>
        <w:t>（企业电子章）</w:t>
      </w:r>
    </w:p>
    <w:p w14:paraId="6988A975">
      <w:pPr>
        <w:spacing w:line="440" w:lineRule="exact"/>
        <w:jc w:val="both"/>
        <w:rPr>
          <w:rFonts w:ascii="仿宋" w:hAnsi="仿宋" w:eastAsia="仿宋" w:cs="仿宋"/>
          <w:szCs w:val="21"/>
        </w:rPr>
      </w:pPr>
      <w:r>
        <w:rPr>
          <w:rFonts w:hint="eastAsia" w:ascii="仿宋" w:hAnsi="仿宋" w:eastAsia="仿宋" w:cs="仿宋"/>
        </w:rPr>
        <w:t xml:space="preserve">                        法定代表人</w:t>
      </w:r>
      <w:r>
        <w:rPr>
          <w:rFonts w:hint="eastAsia" w:ascii="仿宋" w:hAnsi="仿宋" w:eastAsia="仿宋" w:cs="仿宋"/>
          <w:szCs w:val="21"/>
        </w:rPr>
        <w:t>或其委托代理人：</w:t>
      </w:r>
      <w:r>
        <w:rPr>
          <w:rFonts w:hint="eastAsia" w:ascii="仿宋" w:hAnsi="仿宋" w:eastAsia="仿宋" w:cs="仿宋"/>
          <w:szCs w:val="21"/>
          <w:u w:val="single"/>
        </w:rPr>
        <w:t xml:space="preserve">         </w:t>
      </w:r>
      <w:r>
        <w:rPr>
          <w:rFonts w:hint="eastAsia" w:ascii="仿宋" w:hAnsi="仿宋" w:eastAsia="仿宋" w:cs="仿宋"/>
          <w:szCs w:val="21"/>
          <w:u w:val="single"/>
        </w:rPr>
        <w:tab/>
      </w:r>
      <w:r>
        <w:rPr>
          <w:rFonts w:hint="eastAsia" w:ascii="仿宋" w:hAnsi="仿宋" w:eastAsia="仿宋" w:cs="仿宋"/>
          <w:szCs w:val="21"/>
        </w:rPr>
        <w:t>（签字或盖电子章）</w:t>
      </w:r>
    </w:p>
    <w:p w14:paraId="3AD9D3DB">
      <w:pPr>
        <w:spacing w:line="440" w:lineRule="exact"/>
        <w:ind w:firstLine="2520" w:firstLineChars="1200"/>
        <w:jc w:val="both"/>
        <w:rPr>
          <w:rFonts w:ascii="仿宋" w:hAnsi="仿宋" w:eastAsia="仿宋" w:cs="仿宋"/>
          <w:szCs w:val="21"/>
        </w:rPr>
      </w:pPr>
      <w:r>
        <w:rPr>
          <w:rFonts w:hint="eastAsia" w:ascii="仿宋" w:hAnsi="仿宋" w:eastAsia="仿宋" w:cs="仿宋"/>
          <w:szCs w:val="21"/>
        </w:rPr>
        <w:t>地    址：</w:t>
      </w:r>
      <w:r>
        <w:rPr>
          <w:rFonts w:hint="eastAsia" w:ascii="仿宋" w:hAnsi="仿宋" w:eastAsia="仿宋" w:cs="仿宋"/>
          <w:szCs w:val="21"/>
          <w:u w:val="single"/>
        </w:rPr>
        <w:t xml:space="preserve">          </w:t>
      </w:r>
      <w:r>
        <w:rPr>
          <w:rFonts w:hint="eastAsia" w:ascii="仿宋" w:hAnsi="仿宋" w:eastAsia="仿宋" w:cs="仿宋"/>
          <w:szCs w:val="21"/>
          <w:u w:val="single"/>
        </w:rPr>
        <w:tab/>
      </w:r>
      <w:r>
        <w:rPr>
          <w:rFonts w:hint="eastAsia" w:ascii="仿宋" w:hAnsi="仿宋" w:eastAsia="仿宋" w:cs="仿宋"/>
          <w:szCs w:val="21"/>
          <w:u w:val="single"/>
        </w:rPr>
        <w:t xml:space="preserve">                           </w:t>
      </w:r>
      <w:r>
        <w:rPr>
          <w:rFonts w:hint="eastAsia" w:ascii="仿宋" w:hAnsi="仿宋" w:eastAsia="仿宋" w:cs="仿宋"/>
          <w:szCs w:val="21"/>
          <w:u w:val="single"/>
        </w:rPr>
        <w:tab/>
      </w:r>
    </w:p>
    <w:p w14:paraId="51A1570B">
      <w:pPr>
        <w:spacing w:line="440" w:lineRule="exact"/>
        <w:ind w:firstLine="2520" w:firstLineChars="1200"/>
        <w:jc w:val="both"/>
        <w:rPr>
          <w:rFonts w:ascii="仿宋" w:hAnsi="仿宋" w:eastAsia="仿宋" w:cs="仿宋"/>
          <w:szCs w:val="21"/>
        </w:rPr>
      </w:pPr>
      <w:r>
        <w:rPr>
          <w:rFonts w:hint="eastAsia" w:ascii="仿宋" w:hAnsi="仿宋" w:eastAsia="仿宋" w:cs="仿宋"/>
          <w:szCs w:val="21"/>
        </w:rPr>
        <w:t>网    址：</w:t>
      </w:r>
      <w:r>
        <w:rPr>
          <w:rFonts w:hint="eastAsia" w:ascii="仿宋" w:hAnsi="仿宋" w:eastAsia="仿宋" w:cs="仿宋"/>
          <w:szCs w:val="21"/>
          <w:u w:val="single"/>
        </w:rPr>
        <w:t xml:space="preserve">                                       </w:t>
      </w:r>
      <w:r>
        <w:rPr>
          <w:rFonts w:hint="eastAsia" w:ascii="仿宋" w:hAnsi="仿宋" w:eastAsia="仿宋" w:cs="仿宋"/>
          <w:szCs w:val="21"/>
          <w:u w:val="single"/>
        </w:rPr>
        <w:tab/>
      </w:r>
      <w:r>
        <w:rPr>
          <w:rFonts w:hint="eastAsia" w:ascii="仿宋" w:hAnsi="仿宋" w:eastAsia="仿宋" w:cs="仿宋"/>
          <w:szCs w:val="21"/>
          <w:u w:val="single"/>
        </w:rPr>
        <w:t xml:space="preserve">    </w:t>
      </w:r>
    </w:p>
    <w:p w14:paraId="35951CB6">
      <w:pPr>
        <w:spacing w:line="440" w:lineRule="exact"/>
        <w:ind w:firstLine="2520" w:firstLineChars="1200"/>
        <w:jc w:val="both"/>
        <w:rPr>
          <w:rFonts w:ascii="仿宋" w:hAnsi="仿宋" w:eastAsia="仿宋" w:cs="仿宋"/>
          <w:szCs w:val="21"/>
        </w:rPr>
      </w:pPr>
      <w:r>
        <w:rPr>
          <w:rFonts w:hint="eastAsia" w:ascii="仿宋" w:hAnsi="仿宋" w:eastAsia="仿宋" w:cs="仿宋"/>
          <w:szCs w:val="21"/>
        </w:rPr>
        <w:t>电    话：</w:t>
      </w:r>
      <w:r>
        <w:rPr>
          <w:rFonts w:hint="eastAsia" w:ascii="仿宋" w:hAnsi="仿宋" w:eastAsia="仿宋" w:cs="仿宋"/>
          <w:szCs w:val="21"/>
          <w:u w:val="single"/>
        </w:rPr>
        <w:t xml:space="preserve">          </w:t>
      </w:r>
      <w:r>
        <w:rPr>
          <w:rFonts w:hint="eastAsia" w:ascii="仿宋" w:hAnsi="仿宋" w:eastAsia="仿宋" w:cs="仿宋"/>
          <w:szCs w:val="21"/>
          <w:u w:val="single"/>
        </w:rPr>
        <w:tab/>
      </w:r>
      <w:r>
        <w:rPr>
          <w:rFonts w:hint="eastAsia" w:ascii="仿宋" w:hAnsi="仿宋" w:eastAsia="仿宋" w:cs="仿宋"/>
          <w:szCs w:val="21"/>
          <w:u w:val="single"/>
        </w:rPr>
        <w:t xml:space="preserve">                          </w:t>
      </w:r>
      <w:r>
        <w:rPr>
          <w:rFonts w:hint="eastAsia" w:ascii="仿宋" w:hAnsi="仿宋" w:eastAsia="仿宋" w:cs="仿宋"/>
          <w:szCs w:val="21"/>
          <w:u w:val="single"/>
        </w:rPr>
        <w:tab/>
      </w:r>
      <w:r>
        <w:rPr>
          <w:rFonts w:hint="eastAsia" w:ascii="仿宋" w:hAnsi="仿宋" w:eastAsia="仿宋" w:cs="仿宋"/>
          <w:szCs w:val="21"/>
          <w:u w:val="single"/>
        </w:rPr>
        <w:t xml:space="preserve">    </w:t>
      </w:r>
    </w:p>
    <w:p w14:paraId="347B322F">
      <w:pPr>
        <w:spacing w:line="440" w:lineRule="exact"/>
        <w:ind w:firstLine="2520" w:firstLineChars="1200"/>
        <w:jc w:val="both"/>
        <w:rPr>
          <w:rFonts w:ascii="仿宋" w:hAnsi="仿宋" w:eastAsia="仿宋" w:cs="仿宋"/>
          <w:szCs w:val="21"/>
        </w:rPr>
      </w:pPr>
      <w:r>
        <w:rPr>
          <w:rFonts w:hint="eastAsia" w:ascii="仿宋" w:hAnsi="仿宋" w:eastAsia="仿宋" w:cs="仿宋"/>
          <w:szCs w:val="21"/>
        </w:rPr>
        <w:t>传    真：</w:t>
      </w:r>
      <w:r>
        <w:rPr>
          <w:rFonts w:hint="eastAsia" w:ascii="仿宋" w:hAnsi="仿宋" w:eastAsia="仿宋" w:cs="仿宋"/>
          <w:szCs w:val="21"/>
          <w:u w:val="single"/>
        </w:rPr>
        <w:t xml:space="preserve">          </w:t>
      </w:r>
      <w:r>
        <w:rPr>
          <w:rFonts w:hint="eastAsia" w:ascii="仿宋" w:hAnsi="仿宋" w:eastAsia="仿宋" w:cs="仿宋"/>
          <w:szCs w:val="21"/>
          <w:u w:val="single"/>
        </w:rPr>
        <w:tab/>
      </w:r>
      <w:r>
        <w:rPr>
          <w:rFonts w:hint="eastAsia" w:ascii="仿宋" w:hAnsi="仿宋" w:eastAsia="仿宋" w:cs="仿宋"/>
          <w:szCs w:val="21"/>
          <w:u w:val="single"/>
        </w:rPr>
        <w:t xml:space="preserve">                                </w:t>
      </w:r>
    </w:p>
    <w:p w14:paraId="7540F429">
      <w:pPr>
        <w:spacing w:line="440" w:lineRule="exact"/>
        <w:ind w:firstLine="2520" w:firstLineChars="1200"/>
        <w:jc w:val="both"/>
        <w:rPr>
          <w:rFonts w:ascii="仿宋" w:hAnsi="仿宋" w:eastAsia="仿宋" w:cs="仿宋"/>
          <w:szCs w:val="21"/>
        </w:rPr>
      </w:pPr>
      <w:r>
        <w:rPr>
          <w:rFonts w:hint="eastAsia" w:ascii="仿宋" w:hAnsi="仿宋" w:eastAsia="仿宋" w:cs="仿宋"/>
          <w:szCs w:val="21"/>
        </w:rPr>
        <w:t>邮政编码：</w:t>
      </w:r>
      <w:r>
        <w:rPr>
          <w:rFonts w:hint="eastAsia" w:ascii="仿宋" w:hAnsi="仿宋" w:eastAsia="仿宋" w:cs="仿宋"/>
          <w:szCs w:val="21"/>
          <w:u w:val="single"/>
        </w:rPr>
        <w:t xml:space="preserve">          </w:t>
      </w:r>
      <w:r>
        <w:rPr>
          <w:rFonts w:hint="eastAsia" w:ascii="仿宋" w:hAnsi="仿宋" w:eastAsia="仿宋" w:cs="仿宋"/>
          <w:szCs w:val="21"/>
          <w:u w:val="single"/>
        </w:rPr>
        <w:tab/>
      </w:r>
      <w:r>
        <w:rPr>
          <w:rFonts w:hint="eastAsia" w:ascii="仿宋" w:hAnsi="仿宋" w:eastAsia="仿宋" w:cs="仿宋"/>
          <w:szCs w:val="21"/>
          <w:u w:val="single"/>
        </w:rPr>
        <w:t xml:space="preserve">                                </w:t>
      </w:r>
    </w:p>
    <w:p w14:paraId="57E3C6D9">
      <w:pPr>
        <w:spacing w:line="440" w:lineRule="exact"/>
        <w:ind w:firstLine="4725" w:firstLineChars="2250"/>
        <w:jc w:val="both"/>
        <w:rPr>
          <w:rFonts w:ascii="仿宋" w:hAnsi="仿宋" w:eastAsia="仿宋" w:cs="仿宋"/>
          <w:szCs w:val="21"/>
        </w:rPr>
      </w:pPr>
      <w:r>
        <w:rPr>
          <w:rFonts w:hint="eastAsia" w:ascii="仿宋" w:hAnsi="仿宋" w:eastAsia="仿宋" w:cs="仿宋"/>
          <w:u w:val="single"/>
        </w:rPr>
        <w:t xml:space="preserve">      </w:t>
      </w:r>
      <w:r>
        <w:rPr>
          <w:rFonts w:hint="eastAsia" w:ascii="仿宋" w:hAnsi="仿宋" w:eastAsia="仿宋" w:cs="仿宋"/>
          <w:szCs w:val="21"/>
        </w:rPr>
        <w:t>年</w:t>
      </w:r>
      <w:r>
        <w:rPr>
          <w:rFonts w:hint="eastAsia" w:ascii="仿宋" w:hAnsi="仿宋" w:eastAsia="仿宋" w:cs="仿宋"/>
          <w:u w:val="single"/>
        </w:rPr>
        <w:t xml:space="preserve">      </w:t>
      </w:r>
      <w:r>
        <w:rPr>
          <w:rFonts w:hint="eastAsia" w:ascii="仿宋" w:hAnsi="仿宋" w:eastAsia="仿宋" w:cs="仿宋"/>
          <w:szCs w:val="21"/>
        </w:rPr>
        <w:t>月</w:t>
      </w:r>
      <w:r>
        <w:rPr>
          <w:rFonts w:hint="eastAsia" w:ascii="仿宋" w:hAnsi="仿宋" w:eastAsia="仿宋" w:cs="仿宋"/>
          <w:u w:val="single"/>
        </w:rPr>
        <w:t xml:space="preserve">      </w:t>
      </w:r>
      <w:r>
        <w:rPr>
          <w:rFonts w:hint="eastAsia" w:ascii="仿宋" w:hAnsi="仿宋" w:eastAsia="仿宋" w:cs="仿宋"/>
          <w:szCs w:val="21"/>
        </w:rPr>
        <w:t>日</w:t>
      </w:r>
    </w:p>
    <w:p w14:paraId="585059B5">
      <w:pPr>
        <w:spacing w:line="440" w:lineRule="exact"/>
        <w:jc w:val="both"/>
        <w:rPr>
          <w:rFonts w:ascii="仿宋" w:hAnsi="仿宋" w:eastAsia="仿宋" w:cs="仿宋"/>
          <w:szCs w:val="21"/>
        </w:rPr>
      </w:pPr>
    </w:p>
    <w:p w14:paraId="1D8E5DA8">
      <w:pPr>
        <w:spacing w:line="440" w:lineRule="exact"/>
        <w:jc w:val="both"/>
        <w:rPr>
          <w:rFonts w:ascii="仿宋" w:hAnsi="仿宋" w:eastAsia="仿宋" w:cs="仿宋"/>
          <w:szCs w:val="21"/>
        </w:rPr>
      </w:pPr>
    </w:p>
    <w:p w14:paraId="79ABB4E5">
      <w:pPr>
        <w:spacing w:line="440" w:lineRule="exact"/>
        <w:rPr>
          <w:rFonts w:ascii="仿宋" w:hAnsi="仿宋" w:eastAsia="仿宋" w:cs="仿宋"/>
          <w:sz w:val="20"/>
        </w:rPr>
      </w:pPr>
      <w:bookmarkStart w:id="580" w:name="_Toc369531697"/>
      <w:bookmarkStart w:id="581" w:name="_Toc300835209"/>
      <w:bookmarkStart w:id="582" w:name="_Toc247527827"/>
      <w:bookmarkStart w:id="583" w:name="_Toc144974856"/>
      <w:bookmarkStart w:id="584" w:name="_Toc17960"/>
      <w:bookmarkStart w:id="585" w:name="_Toc352691661"/>
      <w:bookmarkStart w:id="586" w:name="_Toc384308375"/>
      <w:bookmarkStart w:id="587" w:name="_Toc361508752"/>
      <w:bookmarkStart w:id="588" w:name="_Toc247514246"/>
      <w:bookmarkStart w:id="589" w:name="_Toc152045787"/>
      <w:bookmarkStart w:id="590" w:name="_Toc152042576"/>
    </w:p>
    <w:p w14:paraId="4B479E3E">
      <w:pPr>
        <w:spacing w:line="440" w:lineRule="exact"/>
        <w:rPr>
          <w:rFonts w:ascii="仿宋" w:hAnsi="仿宋" w:eastAsia="仿宋" w:cs="仿宋"/>
          <w:sz w:val="20"/>
        </w:rPr>
      </w:pPr>
      <w:r>
        <w:rPr>
          <w:rFonts w:hint="eastAsia" w:ascii="仿宋" w:hAnsi="仿宋" w:eastAsia="仿宋" w:cs="仿宋"/>
          <w:szCs w:val="21"/>
        </w:rPr>
        <w:br w:type="page"/>
      </w:r>
    </w:p>
    <w:p w14:paraId="158E7D7A">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t>（二）投标函附录</w:t>
      </w:r>
    </w:p>
    <w:p w14:paraId="167079B4">
      <w:pPr>
        <w:pStyle w:val="40"/>
        <w:rPr>
          <w:rFonts w:ascii="仿宋" w:hAnsi="仿宋" w:eastAsia="仿宋" w:cs="仿宋"/>
          <w:color w:val="auto"/>
        </w:rPr>
      </w:pPr>
      <w:r>
        <w:rPr>
          <w:rFonts w:hint="eastAsia" w:ascii="仿宋" w:hAnsi="仿宋" w:eastAsia="仿宋" w:cs="仿宋"/>
          <w:color w:val="auto"/>
        </w:rPr>
        <w:t xml:space="preserve">项目名称：                           </w:t>
      </w:r>
    </w:p>
    <w:tbl>
      <w:tblPr>
        <w:tblStyle w:val="33"/>
        <w:tblpPr w:leftFromText="180" w:rightFromText="180" w:vertAnchor="text" w:horzAnchor="page" w:tblpXSpec="center" w:tblpY="199"/>
        <w:tblOverlap w:val="never"/>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277"/>
        <w:gridCol w:w="6116"/>
      </w:tblGrid>
      <w:tr w14:paraId="036F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26" w:type="dxa"/>
            <w:vAlign w:val="center"/>
          </w:tcPr>
          <w:p w14:paraId="73F9B3B2">
            <w:pPr>
              <w:spacing w:line="240" w:lineRule="exact"/>
              <w:jc w:val="center"/>
              <w:rPr>
                <w:rFonts w:ascii="仿宋" w:hAnsi="仿宋" w:eastAsia="仿宋" w:cs="仿宋"/>
                <w:b/>
                <w:szCs w:val="21"/>
              </w:rPr>
            </w:pPr>
            <w:bookmarkStart w:id="591" w:name="_Toc221951979"/>
            <w:r>
              <w:rPr>
                <w:rFonts w:hint="eastAsia" w:ascii="仿宋" w:hAnsi="仿宋" w:eastAsia="仿宋" w:cs="仿宋"/>
                <w:b/>
                <w:szCs w:val="21"/>
              </w:rPr>
              <w:t>序号</w:t>
            </w:r>
          </w:p>
        </w:tc>
        <w:tc>
          <w:tcPr>
            <w:tcW w:w="2277" w:type="dxa"/>
            <w:vAlign w:val="center"/>
          </w:tcPr>
          <w:p w14:paraId="4D6FB48A">
            <w:pPr>
              <w:spacing w:line="240" w:lineRule="exact"/>
              <w:jc w:val="center"/>
              <w:rPr>
                <w:rFonts w:ascii="仿宋" w:hAnsi="仿宋" w:eastAsia="仿宋" w:cs="仿宋"/>
                <w:b/>
                <w:szCs w:val="21"/>
              </w:rPr>
            </w:pPr>
            <w:r>
              <w:rPr>
                <w:rFonts w:hint="eastAsia" w:ascii="仿宋" w:hAnsi="仿宋" w:eastAsia="仿宋" w:cs="仿宋"/>
                <w:b/>
                <w:szCs w:val="21"/>
              </w:rPr>
              <w:t>条款名称</w:t>
            </w:r>
          </w:p>
        </w:tc>
        <w:tc>
          <w:tcPr>
            <w:tcW w:w="6116" w:type="dxa"/>
            <w:vAlign w:val="center"/>
          </w:tcPr>
          <w:p w14:paraId="516DFC28">
            <w:pPr>
              <w:spacing w:line="240" w:lineRule="exact"/>
              <w:jc w:val="center"/>
              <w:rPr>
                <w:rFonts w:ascii="仿宋" w:hAnsi="仿宋" w:eastAsia="仿宋" w:cs="仿宋"/>
                <w:b/>
                <w:szCs w:val="21"/>
              </w:rPr>
            </w:pPr>
            <w:r>
              <w:rPr>
                <w:rFonts w:hint="eastAsia" w:ascii="仿宋" w:hAnsi="仿宋" w:eastAsia="仿宋" w:cs="仿宋"/>
                <w:b/>
                <w:szCs w:val="21"/>
              </w:rPr>
              <w:t>约定内容</w:t>
            </w:r>
          </w:p>
        </w:tc>
      </w:tr>
      <w:tr w14:paraId="2BF0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26" w:type="dxa"/>
            <w:vAlign w:val="center"/>
          </w:tcPr>
          <w:p w14:paraId="638A00C2">
            <w:pPr>
              <w:spacing w:line="240" w:lineRule="exact"/>
              <w:jc w:val="center"/>
              <w:rPr>
                <w:rFonts w:ascii="仿宋" w:hAnsi="仿宋" w:eastAsia="仿宋" w:cs="仿宋"/>
                <w:szCs w:val="21"/>
              </w:rPr>
            </w:pPr>
            <w:r>
              <w:rPr>
                <w:rFonts w:hint="eastAsia" w:ascii="仿宋" w:hAnsi="仿宋" w:eastAsia="仿宋" w:cs="仿宋"/>
                <w:szCs w:val="21"/>
              </w:rPr>
              <w:t>1</w:t>
            </w:r>
          </w:p>
        </w:tc>
        <w:tc>
          <w:tcPr>
            <w:tcW w:w="2277" w:type="dxa"/>
            <w:vAlign w:val="center"/>
          </w:tcPr>
          <w:p w14:paraId="404C0B43">
            <w:pPr>
              <w:spacing w:line="24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投标</w:t>
            </w:r>
            <w:r>
              <w:rPr>
                <w:rFonts w:hint="eastAsia" w:ascii="仿宋" w:hAnsi="仿宋" w:eastAsia="仿宋" w:cs="仿宋"/>
                <w:szCs w:val="21"/>
                <w:lang w:eastAsia="zh-CN"/>
              </w:rPr>
              <w:t>范围</w:t>
            </w:r>
          </w:p>
        </w:tc>
        <w:tc>
          <w:tcPr>
            <w:tcW w:w="6116" w:type="dxa"/>
            <w:vAlign w:val="center"/>
          </w:tcPr>
          <w:p w14:paraId="4058DBB0">
            <w:pPr>
              <w:spacing w:line="240" w:lineRule="exact"/>
              <w:rPr>
                <w:rFonts w:ascii="仿宋" w:hAnsi="仿宋" w:eastAsia="仿宋" w:cs="仿宋"/>
                <w:szCs w:val="21"/>
                <w:u w:val="single"/>
              </w:rPr>
            </w:pPr>
          </w:p>
        </w:tc>
      </w:tr>
      <w:tr w14:paraId="3236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26" w:type="dxa"/>
            <w:vAlign w:val="center"/>
          </w:tcPr>
          <w:p w14:paraId="4D2884ED">
            <w:pPr>
              <w:spacing w:line="240" w:lineRule="exact"/>
              <w:jc w:val="center"/>
              <w:rPr>
                <w:rFonts w:ascii="仿宋" w:hAnsi="仿宋" w:eastAsia="仿宋" w:cs="仿宋"/>
                <w:szCs w:val="21"/>
              </w:rPr>
            </w:pPr>
            <w:r>
              <w:rPr>
                <w:rFonts w:hint="eastAsia" w:ascii="仿宋" w:hAnsi="仿宋" w:eastAsia="仿宋" w:cs="仿宋"/>
                <w:szCs w:val="21"/>
              </w:rPr>
              <w:t>2</w:t>
            </w:r>
          </w:p>
        </w:tc>
        <w:tc>
          <w:tcPr>
            <w:tcW w:w="2277" w:type="dxa"/>
            <w:vAlign w:val="center"/>
          </w:tcPr>
          <w:p w14:paraId="09A4E706">
            <w:pPr>
              <w:spacing w:line="240" w:lineRule="exact"/>
              <w:jc w:val="center"/>
              <w:rPr>
                <w:rFonts w:hint="eastAsia" w:ascii="仿宋" w:hAnsi="仿宋" w:eastAsia="仿宋" w:cs="仿宋"/>
                <w:szCs w:val="21"/>
              </w:rPr>
            </w:pPr>
            <w:r>
              <w:rPr>
                <w:rFonts w:hint="eastAsia" w:ascii="仿宋" w:hAnsi="仿宋" w:eastAsia="仿宋" w:cs="仿宋"/>
                <w:szCs w:val="21"/>
              </w:rPr>
              <w:t>投标</w:t>
            </w:r>
            <w:r>
              <w:rPr>
                <w:rFonts w:hint="eastAsia" w:ascii="仿宋" w:hAnsi="仿宋" w:eastAsia="仿宋" w:cs="仿宋"/>
                <w:szCs w:val="21"/>
                <w:lang w:val="en-US" w:eastAsia="zh-CN"/>
              </w:rPr>
              <w:t>总</w:t>
            </w:r>
            <w:r>
              <w:rPr>
                <w:rFonts w:hint="eastAsia" w:ascii="仿宋" w:hAnsi="仿宋" w:eastAsia="仿宋" w:cs="仿宋"/>
                <w:szCs w:val="21"/>
              </w:rPr>
              <w:t>报价</w:t>
            </w:r>
          </w:p>
          <w:p w14:paraId="26804739">
            <w:pPr>
              <w:spacing w:line="240" w:lineRule="exact"/>
              <w:jc w:val="center"/>
              <w:rPr>
                <w:rFonts w:ascii="仿宋" w:hAnsi="仿宋" w:eastAsia="仿宋" w:cs="仿宋"/>
                <w:szCs w:val="21"/>
              </w:rPr>
            </w:pPr>
            <w:r>
              <w:rPr>
                <w:rFonts w:hint="eastAsia" w:ascii="仿宋" w:hAnsi="仿宋" w:eastAsia="仿宋" w:cs="仿宋"/>
                <w:szCs w:val="21"/>
              </w:rPr>
              <w:t>（含增值税）</w:t>
            </w:r>
          </w:p>
        </w:tc>
        <w:tc>
          <w:tcPr>
            <w:tcW w:w="6116" w:type="dxa"/>
            <w:vAlign w:val="center"/>
          </w:tcPr>
          <w:p w14:paraId="4ADC9191">
            <w:pPr>
              <w:spacing w:line="360" w:lineRule="auto"/>
              <w:jc w:val="both"/>
              <w:rPr>
                <w:rFonts w:hint="eastAsia" w:ascii="仿宋" w:hAnsi="仿宋" w:eastAsia="仿宋" w:cs="仿宋"/>
                <w:szCs w:val="21"/>
                <w:lang w:val="en-US" w:eastAsia="zh-CN"/>
              </w:rPr>
            </w:pPr>
          </w:p>
        </w:tc>
      </w:tr>
      <w:tr w14:paraId="325B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26" w:type="dxa"/>
            <w:vAlign w:val="center"/>
          </w:tcPr>
          <w:p w14:paraId="698272A9">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3</w:t>
            </w:r>
          </w:p>
        </w:tc>
        <w:tc>
          <w:tcPr>
            <w:tcW w:w="2277" w:type="dxa"/>
            <w:vAlign w:val="center"/>
          </w:tcPr>
          <w:p w14:paraId="4C759ECD">
            <w:pPr>
              <w:spacing w:line="240" w:lineRule="exact"/>
              <w:jc w:val="center"/>
              <w:rPr>
                <w:rFonts w:hint="eastAsia" w:ascii="仿宋" w:hAnsi="仿宋" w:eastAsia="仿宋" w:cs="仿宋"/>
                <w:szCs w:val="21"/>
                <w:lang w:eastAsia="zh-CN"/>
              </w:rPr>
            </w:pPr>
            <w:r>
              <w:rPr>
                <w:rFonts w:hint="eastAsia" w:ascii="仿宋" w:hAnsi="仿宋" w:eastAsia="仿宋" w:cs="仿宋"/>
                <w:szCs w:val="21"/>
                <w:lang w:eastAsia="zh-CN"/>
              </w:rPr>
              <w:t>交货安装周期</w:t>
            </w:r>
          </w:p>
        </w:tc>
        <w:tc>
          <w:tcPr>
            <w:tcW w:w="6116" w:type="dxa"/>
            <w:vAlign w:val="center"/>
          </w:tcPr>
          <w:p w14:paraId="5759FD68">
            <w:pPr>
              <w:spacing w:line="240" w:lineRule="exact"/>
              <w:rPr>
                <w:rFonts w:ascii="仿宋" w:hAnsi="仿宋" w:eastAsia="仿宋" w:cs="仿宋"/>
                <w:szCs w:val="21"/>
                <w:u w:val="single"/>
              </w:rPr>
            </w:pPr>
          </w:p>
        </w:tc>
      </w:tr>
      <w:tr w14:paraId="1F8B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26" w:type="dxa"/>
            <w:vAlign w:val="center"/>
          </w:tcPr>
          <w:p w14:paraId="762FB440">
            <w:pPr>
              <w:spacing w:line="24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4</w:t>
            </w:r>
          </w:p>
        </w:tc>
        <w:tc>
          <w:tcPr>
            <w:tcW w:w="2277" w:type="dxa"/>
            <w:vAlign w:val="center"/>
          </w:tcPr>
          <w:p w14:paraId="1F22E2F4">
            <w:pPr>
              <w:spacing w:line="240" w:lineRule="exact"/>
              <w:jc w:val="center"/>
              <w:rPr>
                <w:rFonts w:ascii="仿宋" w:hAnsi="仿宋" w:eastAsia="仿宋" w:cs="仿宋"/>
                <w:szCs w:val="21"/>
              </w:rPr>
            </w:pPr>
            <w:r>
              <w:rPr>
                <w:rFonts w:hint="eastAsia" w:ascii="仿宋" w:hAnsi="仿宋" w:eastAsia="仿宋" w:cs="仿宋"/>
                <w:szCs w:val="21"/>
              </w:rPr>
              <w:t>交货地点</w:t>
            </w:r>
          </w:p>
        </w:tc>
        <w:tc>
          <w:tcPr>
            <w:tcW w:w="6116" w:type="dxa"/>
            <w:vAlign w:val="center"/>
          </w:tcPr>
          <w:p w14:paraId="18696D1B">
            <w:pPr>
              <w:spacing w:line="240" w:lineRule="exact"/>
              <w:rPr>
                <w:rFonts w:ascii="仿宋" w:hAnsi="仿宋" w:eastAsia="仿宋" w:cs="仿宋"/>
                <w:szCs w:val="21"/>
                <w:u w:val="single"/>
              </w:rPr>
            </w:pPr>
          </w:p>
        </w:tc>
      </w:tr>
      <w:tr w14:paraId="7E4E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26" w:type="dxa"/>
            <w:vAlign w:val="center"/>
          </w:tcPr>
          <w:p w14:paraId="40705290">
            <w:pPr>
              <w:spacing w:line="2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5</w:t>
            </w:r>
          </w:p>
        </w:tc>
        <w:tc>
          <w:tcPr>
            <w:tcW w:w="2277" w:type="dxa"/>
            <w:vAlign w:val="center"/>
          </w:tcPr>
          <w:p w14:paraId="301C2ABE">
            <w:pPr>
              <w:spacing w:line="240" w:lineRule="exact"/>
              <w:jc w:val="center"/>
              <w:rPr>
                <w:rFonts w:ascii="仿宋" w:hAnsi="仿宋" w:eastAsia="仿宋" w:cs="仿宋"/>
                <w:szCs w:val="21"/>
              </w:rPr>
            </w:pPr>
            <w:r>
              <w:rPr>
                <w:rFonts w:hint="eastAsia" w:ascii="仿宋" w:hAnsi="仿宋" w:eastAsia="仿宋" w:cs="仿宋"/>
                <w:szCs w:val="21"/>
              </w:rPr>
              <w:t>质量要求</w:t>
            </w:r>
          </w:p>
        </w:tc>
        <w:tc>
          <w:tcPr>
            <w:tcW w:w="6116" w:type="dxa"/>
            <w:vAlign w:val="center"/>
          </w:tcPr>
          <w:p w14:paraId="43A078FD">
            <w:pPr>
              <w:spacing w:line="240" w:lineRule="exact"/>
              <w:rPr>
                <w:rFonts w:ascii="仿宋" w:hAnsi="仿宋" w:eastAsia="仿宋" w:cs="仿宋"/>
                <w:szCs w:val="21"/>
              </w:rPr>
            </w:pPr>
          </w:p>
        </w:tc>
      </w:tr>
      <w:tr w14:paraId="6B3B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26" w:type="dxa"/>
            <w:vAlign w:val="center"/>
          </w:tcPr>
          <w:p w14:paraId="2061B812">
            <w:pPr>
              <w:spacing w:line="24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6</w:t>
            </w:r>
          </w:p>
        </w:tc>
        <w:tc>
          <w:tcPr>
            <w:tcW w:w="2277" w:type="dxa"/>
            <w:vAlign w:val="center"/>
          </w:tcPr>
          <w:p w14:paraId="5FDF4090">
            <w:pPr>
              <w:spacing w:line="240" w:lineRule="exact"/>
              <w:jc w:val="center"/>
              <w:rPr>
                <w:rFonts w:ascii="仿宋" w:hAnsi="仿宋" w:eastAsia="仿宋" w:cs="仿宋"/>
                <w:szCs w:val="21"/>
              </w:rPr>
            </w:pPr>
            <w:r>
              <w:rPr>
                <w:rFonts w:hint="eastAsia" w:ascii="仿宋" w:hAnsi="仿宋" w:eastAsia="仿宋" w:cs="仿宋"/>
                <w:szCs w:val="21"/>
              </w:rPr>
              <w:t>投标有效期</w:t>
            </w:r>
          </w:p>
        </w:tc>
        <w:tc>
          <w:tcPr>
            <w:tcW w:w="6116" w:type="dxa"/>
            <w:vAlign w:val="center"/>
          </w:tcPr>
          <w:p w14:paraId="12BCACBB">
            <w:pPr>
              <w:spacing w:line="240" w:lineRule="exact"/>
              <w:rPr>
                <w:rFonts w:ascii="仿宋" w:hAnsi="仿宋" w:eastAsia="仿宋" w:cs="仿宋"/>
                <w:szCs w:val="21"/>
              </w:rPr>
            </w:pPr>
          </w:p>
        </w:tc>
      </w:tr>
      <w:tr w14:paraId="0865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26" w:type="dxa"/>
            <w:vAlign w:val="center"/>
          </w:tcPr>
          <w:p w14:paraId="5B6B3892">
            <w:pPr>
              <w:spacing w:line="24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7</w:t>
            </w:r>
          </w:p>
        </w:tc>
        <w:tc>
          <w:tcPr>
            <w:tcW w:w="2277" w:type="dxa"/>
            <w:vAlign w:val="center"/>
          </w:tcPr>
          <w:p w14:paraId="3B6626A9">
            <w:pPr>
              <w:spacing w:line="240" w:lineRule="exact"/>
              <w:jc w:val="center"/>
              <w:rPr>
                <w:rFonts w:hint="eastAsia" w:ascii="仿宋" w:hAnsi="仿宋" w:eastAsia="仿宋" w:cs="仿宋"/>
                <w:szCs w:val="21"/>
              </w:rPr>
            </w:pPr>
            <w:r>
              <w:rPr>
                <w:rFonts w:hint="eastAsia" w:ascii="仿宋" w:hAnsi="仿宋" w:eastAsia="仿宋" w:cs="仿宋"/>
                <w:szCs w:val="21"/>
              </w:rPr>
              <w:t>安全目标</w:t>
            </w:r>
          </w:p>
        </w:tc>
        <w:tc>
          <w:tcPr>
            <w:tcW w:w="6116" w:type="dxa"/>
            <w:vAlign w:val="center"/>
          </w:tcPr>
          <w:p w14:paraId="58E5F144">
            <w:pPr>
              <w:spacing w:line="240" w:lineRule="exact"/>
              <w:rPr>
                <w:rFonts w:ascii="仿宋" w:hAnsi="仿宋" w:eastAsia="仿宋" w:cs="仿宋"/>
                <w:szCs w:val="21"/>
              </w:rPr>
            </w:pPr>
          </w:p>
        </w:tc>
      </w:tr>
      <w:tr w14:paraId="706C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26" w:type="dxa"/>
            <w:vAlign w:val="center"/>
          </w:tcPr>
          <w:p w14:paraId="40111786">
            <w:pPr>
              <w:spacing w:line="2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8</w:t>
            </w:r>
          </w:p>
        </w:tc>
        <w:tc>
          <w:tcPr>
            <w:tcW w:w="2277" w:type="dxa"/>
            <w:vAlign w:val="center"/>
          </w:tcPr>
          <w:p w14:paraId="6AC058CD">
            <w:pPr>
              <w:spacing w:line="240" w:lineRule="exact"/>
              <w:jc w:val="center"/>
              <w:rPr>
                <w:rFonts w:ascii="仿宋" w:hAnsi="仿宋" w:eastAsia="仿宋" w:cs="仿宋"/>
                <w:szCs w:val="21"/>
              </w:rPr>
            </w:pPr>
            <w:r>
              <w:rPr>
                <w:rFonts w:hint="eastAsia" w:ascii="仿宋" w:hAnsi="仿宋" w:eastAsia="仿宋" w:cs="仿宋"/>
                <w:szCs w:val="21"/>
              </w:rPr>
              <w:t>质保期</w:t>
            </w:r>
          </w:p>
        </w:tc>
        <w:tc>
          <w:tcPr>
            <w:tcW w:w="6116" w:type="dxa"/>
            <w:vAlign w:val="center"/>
          </w:tcPr>
          <w:p w14:paraId="701BAA9A">
            <w:pPr>
              <w:spacing w:line="240" w:lineRule="exact"/>
              <w:rPr>
                <w:rFonts w:ascii="仿宋" w:hAnsi="仿宋" w:eastAsia="仿宋" w:cs="仿宋"/>
                <w:szCs w:val="21"/>
              </w:rPr>
            </w:pPr>
          </w:p>
        </w:tc>
      </w:tr>
      <w:tr w14:paraId="088B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26" w:type="dxa"/>
            <w:vAlign w:val="center"/>
          </w:tcPr>
          <w:p w14:paraId="1ACD7CA4">
            <w:pPr>
              <w:spacing w:line="2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9</w:t>
            </w:r>
          </w:p>
        </w:tc>
        <w:tc>
          <w:tcPr>
            <w:tcW w:w="2277" w:type="dxa"/>
            <w:vAlign w:val="center"/>
          </w:tcPr>
          <w:p w14:paraId="58335680">
            <w:pPr>
              <w:spacing w:line="240" w:lineRule="exact"/>
              <w:jc w:val="center"/>
              <w:rPr>
                <w:rFonts w:ascii="仿宋" w:hAnsi="仿宋" w:eastAsia="仿宋" w:cs="仿宋"/>
                <w:szCs w:val="21"/>
              </w:rPr>
            </w:pPr>
            <w:r>
              <w:rPr>
                <w:rFonts w:hint="eastAsia" w:ascii="仿宋" w:hAnsi="仿宋" w:eastAsia="仿宋" w:cs="仿宋"/>
                <w:szCs w:val="21"/>
              </w:rPr>
              <w:t>付款方式</w:t>
            </w:r>
          </w:p>
        </w:tc>
        <w:tc>
          <w:tcPr>
            <w:tcW w:w="6116" w:type="dxa"/>
            <w:vAlign w:val="center"/>
          </w:tcPr>
          <w:p w14:paraId="448A4BCF">
            <w:pPr>
              <w:spacing w:line="240" w:lineRule="exact"/>
              <w:rPr>
                <w:rFonts w:ascii="仿宋" w:hAnsi="仿宋" w:eastAsia="仿宋" w:cs="仿宋"/>
                <w:szCs w:val="21"/>
              </w:rPr>
            </w:pPr>
          </w:p>
        </w:tc>
      </w:tr>
      <w:bookmarkEnd w:id="591"/>
    </w:tbl>
    <w:p w14:paraId="5CF85770">
      <w:pPr>
        <w:rPr>
          <w:rFonts w:ascii="仿宋" w:hAnsi="仿宋" w:eastAsia="仿宋" w:cs="仿宋"/>
        </w:rPr>
      </w:pPr>
    </w:p>
    <w:p w14:paraId="574D0A4F">
      <w:pPr>
        <w:rPr>
          <w:rFonts w:hint="eastAsia" w:ascii="仿宋" w:hAnsi="仿宋" w:eastAsia="仿宋" w:cs="仿宋"/>
        </w:rPr>
      </w:pPr>
      <w:r>
        <w:rPr>
          <w:rFonts w:hint="eastAsia" w:ascii="仿宋" w:hAnsi="仿宋" w:eastAsia="仿宋" w:cs="仿宋"/>
        </w:rPr>
        <w:br w:type="page"/>
      </w:r>
      <w:bookmarkStart w:id="592" w:name="_Toc22408"/>
      <w:bookmarkStart w:id="593" w:name="_Toc2166"/>
      <w:bookmarkStart w:id="594" w:name="_Toc185327324"/>
      <w:bookmarkStart w:id="595" w:name="_Toc3463"/>
    </w:p>
    <w:p w14:paraId="39C226AA">
      <w:pPr>
        <w:pStyle w:val="3"/>
        <w:jc w:val="center"/>
        <w:rPr>
          <w:rFonts w:ascii="仿宋" w:hAnsi="仿宋" w:eastAsia="仿宋" w:cs="仿宋"/>
        </w:rPr>
      </w:pPr>
      <w:r>
        <w:rPr>
          <w:rFonts w:hint="eastAsia" w:ascii="仿宋" w:hAnsi="仿宋" w:eastAsia="仿宋" w:cs="仿宋"/>
        </w:rPr>
        <w:t>二</w:t>
      </w:r>
      <w:bookmarkEnd w:id="580"/>
      <w:bookmarkEnd w:id="581"/>
      <w:bookmarkEnd w:id="582"/>
      <w:bookmarkEnd w:id="583"/>
      <w:bookmarkEnd w:id="584"/>
      <w:bookmarkEnd w:id="585"/>
      <w:bookmarkEnd w:id="586"/>
      <w:bookmarkEnd w:id="587"/>
      <w:bookmarkEnd w:id="588"/>
      <w:bookmarkEnd w:id="589"/>
      <w:bookmarkEnd w:id="590"/>
      <w:r>
        <w:rPr>
          <w:rFonts w:hint="eastAsia" w:ascii="仿宋" w:hAnsi="仿宋" w:eastAsia="仿宋" w:cs="仿宋"/>
        </w:rPr>
        <w:t>、法定代表人身份证明</w:t>
      </w:r>
      <w:bookmarkEnd w:id="592"/>
      <w:bookmarkEnd w:id="593"/>
      <w:bookmarkEnd w:id="594"/>
      <w:bookmarkEnd w:id="595"/>
    </w:p>
    <w:p w14:paraId="68520BB7">
      <w:pPr>
        <w:spacing w:line="440" w:lineRule="exact"/>
        <w:rPr>
          <w:rFonts w:ascii="仿宋" w:hAnsi="仿宋" w:eastAsia="仿宋" w:cs="仿宋"/>
          <w:sz w:val="20"/>
        </w:rPr>
      </w:pPr>
    </w:p>
    <w:p w14:paraId="2E986205">
      <w:pPr>
        <w:spacing w:line="440" w:lineRule="exact"/>
        <w:rPr>
          <w:rFonts w:ascii="仿宋" w:hAnsi="仿宋" w:eastAsia="仿宋" w:cs="仿宋"/>
        </w:rPr>
      </w:pPr>
    </w:p>
    <w:p w14:paraId="26F51AEE">
      <w:pPr>
        <w:spacing w:line="440" w:lineRule="exact"/>
        <w:rPr>
          <w:rFonts w:ascii="仿宋" w:hAnsi="仿宋" w:eastAsia="仿宋" w:cs="仿宋"/>
          <w:szCs w:val="21"/>
        </w:rPr>
      </w:pPr>
      <w:r>
        <w:rPr>
          <w:rFonts w:hint="eastAsia" w:ascii="仿宋" w:hAnsi="仿宋" w:eastAsia="仿宋" w:cs="仿宋"/>
          <w:szCs w:val="21"/>
        </w:rPr>
        <w:t>投标人名称：</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2416F062">
      <w:pPr>
        <w:spacing w:line="440" w:lineRule="exact"/>
        <w:rPr>
          <w:rFonts w:ascii="仿宋" w:hAnsi="仿宋" w:eastAsia="仿宋" w:cs="仿宋"/>
          <w:szCs w:val="21"/>
        </w:rPr>
      </w:pPr>
      <w:r>
        <w:rPr>
          <w:rFonts w:hint="eastAsia" w:ascii="仿宋" w:hAnsi="仿宋" w:eastAsia="仿宋" w:cs="仿宋"/>
          <w:szCs w:val="21"/>
        </w:rPr>
        <w:t>单位性质：</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1F10A3DD">
      <w:pPr>
        <w:spacing w:line="440" w:lineRule="exact"/>
        <w:rPr>
          <w:rFonts w:ascii="仿宋" w:hAnsi="仿宋" w:eastAsia="仿宋" w:cs="仿宋"/>
          <w:szCs w:val="21"/>
        </w:rPr>
      </w:pPr>
      <w:r>
        <w:rPr>
          <w:rFonts w:hint="eastAsia" w:ascii="仿宋" w:hAnsi="仿宋" w:eastAsia="仿宋" w:cs="仿宋"/>
          <w:szCs w:val="21"/>
        </w:rPr>
        <w:t>地址：</w:t>
      </w:r>
      <w:r>
        <w:rPr>
          <w:rFonts w:hint="eastAsia" w:ascii="仿宋" w:hAnsi="仿宋" w:eastAsia="仿宋" w:cs="仿宋"/>
          <w:szCs w:val="21"/>
          <w:u w:val="single"/>
        </w:rPr>
        <w:t xml:space="preserve">                                   </w:t>
      </w:r>
    </w:p>
    <w:p w14:paraId="5C6B1AF8">
      <w:pPr>
        <w:spacing w:line="440" w:lineRule="exact"/>
        <w:rPr>
          <w:rFonts w:ascii="仿宋" w:hAnsi="仿宋" w:eastAsia="仿宋" w:cs="仿宋"/>
          <w:szCs w:val="21"/>
        </w:rPr>
      </w:pPr>
      <w:r>
        <w:rPr>
          <w:rFonts w:hint="eastAsia" w:ascii="仿宋" w:hAnsi="仿宋" w:eastAsia="仿宋" w:cs="仿宋"/>
          <w:szCs w:val="21"/>
        </w:rPr>
        <w:t>成立时间：</w:t>
      </w:r>
      <w:r>
        <w:rPr>
          <w:rFonts w:hint="eastAsia" w:ascii="仿宋" w:hAnsi="仿宋" w:eastAsia="仿宋" w:cs="仿宋"/>
          <w:szCs w:val="21"/>
          <w:u w:val="single"/>
        </w:rPr>
        <w:t xml:space="preserve">         </w:t>
      </w:r>
      <w:r>
        <w:rPr>
          <w:rFonts w:hint="eastAsia" w:ascii="仿宋" w:hAnsi="仿宋" w:eastAsia="仿宋" w:cs="仿宋"/>
          <w:szCs w:val="21"/>
        </w:rPr>
        <w:t xml:space="preserve"> 年</w:t>
      </w:r>
      <w:r>
        <w:rPr>
          <w:rFonts w:hint="eastAsia" w:ascii="仿宋" w:hAnsi="仿宋" w:eastAsia="仿宋" w:cs="仿宋"/>
          <w:szCs w:val="21"/>
          <w:u w:val="single"/>
        </w:rPr>
        <w:t xml:space="preserve">       </w:t>
      </w:r>
      <w:r>
        <w:rPr>
          <w:rFonts w:hint="eastAsia" w:ascii="仿宋" w:hAnsi="仿宋" w:eastAsia="仿宋" w:cs="仿宋"/>
          <w:szCs w:val="21"/>
        </w:rPr>
        <w:t xml:space="preserve"> 月</w:t>
      </w:r>
      <w:r>
        <w:rPr>
          <w:rFonts w:hint="eastAsia" w:ascii="仿宋" w:hAnsi="仿宋" w:eastAsia="仿宋" w:cs="仿宋"/>
          <w:szCs w:val="21"/>
          <w:u w:val="single"/>
        </w:rPr>
        <w:t xml:space="preserve">       </w:t>
      </w:r>
      <w:r>
        <w:rPr>
          <w:rFonts w:hint="eastAsia" w:ascii="仿宋" w:hAnsi="仿宋" w:eastAsia="仿宋" w:cs="仿宋"/>
          <w:szCs w:val="21"/>
        </w:rPr>
        <w:t xml:space="preserve"> 日</w:t>
      </w:r>
    </w:p>
    <w:p w14:paraId="13F67317">
      <w:pPr>
        <w:spacing w:line="440" w:lineRule="exact"/>
        <w:rPr>
          <w:rFonts w:ascii="仿宋" w:hAnsi="仿宋" w:eastAsia="仿宋" w:cs="仿宋"/>
          <w:szCs w:val="21"/>
        </w:rPr>
      </w:pPr>
      <w:r>
        <w:rPr>
          <w:rFonts w:hint="eastAsia" w:ascii="仿宋" w:hAnsi="仿宋" w:eastAsia="仿宋" w:cs="仿宋"/>
          <w:szCs w:val="21"/>
        </w:rPr>
        <w:t>经营期限：</w:t>
      </w:r>
      <w:r>
        <w:rPr>
          <w:rFonts w:hint="eastAsia" w:ascii="仿宋" w:hAnsi="仿宋" w:eastAsia="仿宋" w:cs="仿宋"/>
          <w:szCs w:val="21"/>
          <w:u w:val="single"/>
        </w:rPr>
        <w:t xml:space="preserve">                               </w:t>
      </w:r>
    </w:p>
    <w:p w14:paraId="70A9E868">
      <w:pPr>
        <w:spacing w:line="440" w:lineRule="exact"/>
        <w:rPr>
          <w:rFonts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rPr>
        <w:t xml:space="preserve"> 性别：</w:t>
      </w:r>
      <w:r>
        <w:rPr>
          <w:rFonts w:hint="eastAsia" w:ascii="仿宋" w:hAnsi="仿宋" w:eastAsia="仿宋" w:cs="仿宋"/>
          <w:szCs w:val="21"/>
          <w:u w:val="single"/>
        </w:rPr>
        <w:t xml:space="preserve">         </w:t>
      </w:r>
      <w:r>
        <w:rPr>
          <w:rFonts w:hint="eastAsia" w:ascii="仿宋" w:hAnsi="仿宋" w:eastAsia="仿宋" w:cs="仿宋"/>
          <w:szCs w:val="21"/>
        </w:rPr>
        <w:t xml:space="preserve"> 年龄：</w:t>
      </w:r>
      <w:r>
        <w:rPr>
          <w:rFonts w:hint="eastAsia" w:ascii="仿宋" w:hAnsi="仿宋" w:eastAsia="仿宋" w:cs="仿宋"/>
          <w:szCs w:val="21"/>
          <w:u w:val="single"/>
        </w:rPr>
        <w:t xml:space="preserve">        </w:t>
      </w:r>
      <w:r>
        <w:rPr>
          <w:rFonts w:hint="eastAsia" w:ascii="仿宋" w:hAnsi="仿宋" w:eastAsia="仿宋" w:cs="仿宋"/>
          <w:szCs w:val="21"/>
        </w:rPr>
        <w:t>职务：</w:t>
      </w:r>
      <w:r>
        <w:rPr>
          <w:rFonts w:hint="eastAsia" w:ascii="仿宋" w:hAnsi="仿宋" w:eastAsia="仿宋" w:cs="仿宋"/>
          <w:szCs w:val="21"/>
          <w:u w:val="single"/>
        </w:rPr>
        <w:t xml:space="preserve">        </w:t>
      </w:r>
    </w:p>
    <w:p w14:paraId="4145E0AE">
      <w:pPr>
        <w:spacing w:line="440" w:lineRule="exact"/>
        <w:rPr>
          <w:rFonts w:ascii="仿宋" w:hAnsi="仿宋" w:eastAsia="仿宋" w:cs="仿宋"/>
          <w:szCs w:val="21"/>
        </w:rPr>
      </w:pPr>
      <w:r>
        <w:rPr>
          <w:rFonts w:hint="eastAsia" w:ascii="仿宋" w:hAnsi="仿宋" w:eastAsia="仿宋" w:cs="仿宋"/>
          <w:szCs w:val="21"/>
        </w:rPr>
        <w:t>系</w:t>
      </w:r>
      <w:r>
        <w:rPr>
          <w:rFonts w:hint="eastAsia" w:ascii="仿宋" w:hAnsi="仿宋" w:eastAsia="仿宋" w:cs="仿宋"/>
          <w:szCs w:val="21"/>
          <w:u w:val="single"/>
        </w:rPr>
        <w:t xml:space="preserve">                             </w:t>
      </w:r>
      <w:r>
        <w:rPr>
          <w:rFonts w:hint="eastAsia" w:ascii="仿宋" w:hAnsi="仿宋" w:eastAsia="仿宋" w:cs="仿宋"/>
          <w:szCs w:val="21"/>
        </w:rPr>
        <w:t xml:space="preserve"> （投标人名称）的法定代表人。</w:t>
      </w:r>
    </w:p>
    <w:p w14:paraId="30C959A4">
      <w:pPr>
        <w:spacing w:line="440" w:lineRule="exact"/>
        <w:ind w:firstLine="420" w:firstLineChars="200"/>
        <w:rPr>
          <w:rFonts w:ascii="仿宋" w:hAnsi="仿宋" w:eastAsia="仿宋" w:cs="仿宋"/>
          <w:szCs w:val="21"/>
        </w:rPr>
      </w:pPr>
      <w:r>
        <w:rPr>
          <w:rFonts w:hint="eastAsia" w:ascii="仿宋" w:hAnsi="仿宋" w:eastAsia="仿宋" w:cs="仿宋"/>
          <w:szCs w:val="21"/>
        </w:rPr>
        <w:t>特此证明。</w:t>
      </w:r>
    </w:p>
    <w:p w14:paraId="3780A7AB">
      <w:pPr>
        <w:spacing w:line="440" w:lineRule="exact"/>
        <w:ind w:firstLine="420" w:firstLineChars="200"/>
        <w:rPr>
          <w:rFonts w:ascii="仿宋" w:hAnsi="仿宋" w:eastAsia="仿宋" w:cs="仿宋"/>
        </w:rPr>
      </w:pPr>
    </w:p>
    <w:p w14:paraId="5DAD22B6">
      <w:pPr>
        <w:spacing w:line="440" w:lineRule="exact"/>
        <w:rPr>
          <w:rFonts w:ascii="仿宋" w:hAnsi="仿宋" w:eastAsia="仿宋" w:cs="仿宋"/>
        </w:rPr>
      </w:pPr>
    </w:p>
    <w:p w14:paraId="561986EB">
      <w:pPr>
        <w:spacing w:line="440" w:lineRule="exact"/>
        <w:rPr>
          <w:rFonts w:ascii="仿宋" w:hAnsi="仿宋" w:eastAsia="仿宋" w:cs="仿宋"/>
        </w:rPr>
      </w:pPr>
      <w:r>
        <w:rPr>
          <w:rFonts w:hint="eastAsia" w:ascii="仿宋" w:hAnsi="仿宋" w:eastAsia="仿宋" w:cs="仿宋"/>
        </w:rPr>
        <w:t>附：法定代表人身份证复印件。</w:t>
      </w:r>
    </w:p>
    <w:p w14:paraId="2C59C74E">
      <w:pPr>
        <w:spacing w:line="440" w:lineRule="exact"/>
        <w:rPr>
          <w:rFonts w:ascii="仿宋" w:hAnsi="仿宋" w:eastAsia="仿宋" w:cs="仿宋"/>
        </w:rPr>
      </w:pPr>
    </w:p>
    <w:p w14:paraId="0B3FBE53">
      <w:pPr>
        <w:spacing w:line="440" w:lineRule="exact"/>
        <w:rPr>
          <w:rFonts w:ascii="仿宋" w:hAnsi="仿宋" w:eastAsia="仿宋" w:cs="仿宋"/>
        </w:rPr>
      </w:pPr>
      <w:r>
        <w:rPr>
          <w:rFonts w:hint="eastAsia" w:ascii="仿宋" w:hAnsi="仿宋" w:eastAsia="仿宋" w:cs="仿宋"/>
        </w:rPr>
        <w:t>注：本身份证明需由投标人加盖单位公章。</w:t>
      </w:r>
    </w:p>
    <w:p w14:paraId="27753877">
      <w:pPr>
        <w:spacing w:line="440" w:lineRule="exact"/>
        <w:rPr>
          <w:rFonts w:ascii="仿宋" w:hAnsi="仿宋" w:eastAsia="仿宋" w:cs="仿宋"/>
        </w:rPr>
      </w:pPr>
    </w:p>
    <w:p w14:paraId="5703FD8D">
      <w:pPr>
        <w:spacing w:line="440" w:lineRule="exact"/>
        <w:rPr>
          <w:rFonts w:ascii="仿宋" w:hAnsi="仿宋" w:eastAsia="仿宋" w:cs="仿宋"/>
        </w:rPr>
      </w:pPr>
    </w:p>
    <w:p w14:paraId="4F22FFA2">
      <w:pPr>
        <w:spacing w:line="440" w:lineRule="exact"/>
        <w:jc w:val="center"/>
        <w:rPr>
          <w:rFonts w:ascii="仿宋" w:hAnsi="仿宋" w:eastAsia="仿宋" w:cs="仿宋"/>
        </w:rPr>
      </w:pPr>
      <w:r>
        <w:rPr>
          <w:rFonts w:hint="eastAsia" w:ascii="仿宋" w:hAnsi="仿宋" w:eastAsia="仿宋" w:cs="仿宋"/>
        </w:rPr>
        <w:t xml:space="preserve">                              投标人：</w:t>
      </w:r>
      <w:r>
        <w:rPr>
          <w:rFonts w:hint="eastAsia" w:ascii="仿宋" w:hAnsi="仿宋" w:eastAsia="仿宋" w:cs="仿宋"/>
          <w:szCs w:val="21"/>
          <w:u w:val="single"/>
        </w:rPr>
        <w:t xml:space="preserve">          </w:t>
      </w:r>
      <w:r>
        <w:rPr>
          <w:rFonts w:hint="eastAsia" w:ascii="仿宋" w:hAnsi="仿宋" w:eastAsia="仿宋" w:cs="仿宋"/>
          <w:szCs w:val="21"/>
          <w:u w:val="single"/>
        </w:rPr>
        <w:tab/>
      </w:r>
      <w:r>
        <w:rPr>
          <w:rFonts w:hint="eastAsia" w:ascii="仿宋" w:hAnsi="仿宋" w:eastAsia="仿宋" w:cs="仿宋"/>
        </w:rPr>
        <w:t>（企业电子章）</w:t>
      </w:r>
    </w:p>
    <w:p w14:paraId="0CB5DBE5">
      <w:pPr>
        <w:spacing w:line="440" w:lineRule="exact"/>
        <w:rPr>
          <w:rFonts w:ascii="仿宋" w:hAnsi="仿宋" w:eastAsia="仿宋" w:cs="仿宋"/>
        </w:rPr>
      </w:pPr>
    </w:p>
    <w:p w14:paraId="37C1A534">
      <w:pPr>
        <w:spacing w:line="440" w:lineRule="exact"/>
        <w:ind w:firstLine="4620" w:firstLineChars="2200"/>
        <w:rPr>
          <w:rFonts w:ascii="仿宋" w:hAnsi="仿宋" w:eastAsia="仿宋" w:cs="仿宋"/>
        </w:rPr>
      </w:pP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1AEB7A89">
      <w:pPr>
        <w:spacing w:line="440" w:lineRule="exact"/>
        <w:rPr>
          <w:rFonts w:ascii="仿宋" w:hAnsi="仿宋" w:eastAsia="仿宋" w:cs="仿宋"/>
          <w:sz w:val="20"/>
        </w:rPr>
      </w:pPr>
    </w:p>
    <w:p w14:paraId="56C8878D">
      <w:pPr>
        <w:spacing w:line="440" w:lineRule="exact"/>
        <w:jc w:val="center"/>
        <w:rPr>
          <w:rFonts w:ascii="仿宋" w:hAnsi="仿宋" w:eastAsia="仿宋" w:cs="仿宋"/>
          <w:sz w:val="20"/>
        </w:rPr>
      </w:pPr>
      <w:r>
        <w:rPr>
          <w:rFonts w:hint="eastAsia" w:ascii="仿宋" w:hAnsi="仿宋" w:eastAsia="仿宋" w:cs="仿宋"/>
          <w:sz w:val="20"/>
        </w:rPr>
        <w:br w:type="page"/>
      </w:r>
    </w:p>
    <w:p w14:paraId="66050563">
      <w:pPr>
        <w:pStyle w:val="3"/>
        <w:jc w:val="center"/>
        <w:rPr>
          <w:rFonts w:ascii="仿宋" w:hAnsi="仿宋" w:eastAsia="仿宋" w:cs="仿宋"/>
        </w:rPr>
      </w:pPr>
      <w:bookmarkStart w:id="596" w:name="_Toc185327325"/>
      <w:bookmarkStart w:id="597" w:name="_Toc23390"/>
      <w:bookmarkStart w:id="598" w:name="_Toc26744"/>
      <w:bookmarkStart w:id="599" w:name="_Toc31907"/>
      <w:r>
        <w:rPr>
          <w:rFonts w:hint="eastAsia" w:ascii="仿宋" w:hAnsi="仿宋" w:eastAsia="仿宋" w:cs="仿宋"/>
        </w:rPr>
        <w:t>三、授权委托书</w:t>
      </w:r>
      <w:bookmarkEnd w:id="596"/>
      <w:bookmarkEnd w:id="597"/>
      <w:bookmarkEnd w:id="598"/>
      <w:bookmarkEnd w:id="599"/>
    </w:p>
    <w:p w14:paraId="69AC86A5">
      <w:pPr>
        <w:spacing w:line="440" w:lineRule="exact"/>
        <w:rPr>
          <w:rFonts w:ascii="仿宋" w:hAnsi="仿宋" w:eastAsia="仿宋" w:cs="仿宋"/>
        </w:rPr>
      </w:pPr>
    </w:p>
    <w:p w14:paraId="1AB6666C">
      <w:pPr>
        <w:topLinePunct/>
        <w:spacing w:line="440" w:lineRule="exact"/>
        <w:ind w:firstLine="420" w:firstLineChars="200"/>
        <w:rPr>
          <w:rFonts w:ascii="仿宋" w:hAnsi="仿宋" w:eastAsia="仿宋" w:cs="仿宋"/>
        </w:rPr>
      </w:pPr>
      <w:r>
        <w:rPr>
          <w:rFonts w:hint="eastAsia" w:ascii="仿宋" w:hAnsi="仿宋" w:eastAsia="仿宋" w:cs="仿宋"/>
        </w:rPr>
        <w:t>本人</w:t>
      </w:r>
      <w:r>
        <w:rPr>
          <w:rFonts w:hint="eastAsia" w:ascii="仿宋" w:hAnsi="仿宋" w:eastAsia="仿宋" w:cs="仿宋"/>
          <w:u w:val="single"/>
        </w:rPr>
        <w:t xml:space="preserve">              </w:t>
      </w:r>
      <w:r>
        <w:rPr>
          <w:rFonts w:hint="eastAsia" w:ascii="仿宋" w:hAnsi="仿宋" w:eastAsia="仿宋" w:cs="仿宋"/>
        </w:rPr>
        <w:t>（姓名）系</w:t>
      </w:r>
      <w:r>
        <w:rPr>
          <w:rFonts w:hint="eastAsia" w:ascii="仿宋" w:hAnsi="仿宋" w:eastAsia="仿宋" w:cs="仿宋"/>
          <w:u w:val="single"/>
        </w:rPr>
        <w:t xml:space="preserve">                    </w:t>
      </w:r>
      <w:r>
        <w:rPr>
          <w:rFonts w:hint="eastAsia" w:ascii="仿宋" w:hAnsi="仿宋" w:eastAsia="仿宋" w:cs="仿宋"/>
        </w:rPr>
        <w:t>（投标人名称）的法定代表人，现委托</w:t>
      </w:r>
      <w:r>
        <w:rPr>
          <w:rFonts w:hint="eastAsia" w:ascii="仿宋" w:hAnsi="仿宋" w:eastAsia="仿宋" w:cs="仿宋"/>
          <w:u w:val="single"/>
        </w:rPr>
        <w:t xml:space="preserve">            </w:t>
      </w:r>
      <w:r>
        <w:rPr>
          <w:rFonts w:hint="eastAsia" w:ascii="仿宋" w:hAnsi="仿宋" w:eastAsia="仿宋" w:cs="仿宋"/>
        </w:rPr>
        <w:t>（姓名、手机号码）为我方代理人。代理人根据授权，以我方名义签署、澄清确认、递交、撤回、修改</w:t>
      </w:r>
      <w:r>
        <w:rPr>
          <w:rFonts w:hint="eastAsia" w:ascii="仿宋" w:hAnsi="仿宋" w:eastAsia="仿宋" w:cs="仿宋"/>
          <w:u w:val="single"/>
        </w:rPr>
        <w:t xml:space="preserve">       （项目名称） </w:t>
      </w:r>
      <w:r>
        <w:rPr>
          <w:rFonts w:hint="eastAsia" w:ascii="仿宋" w:hAnsi="仿宋" w:eastAsia="仿宋" w:cs="仿宋"/>
        </w:rPr>
        <w:t>招标项目投标文件、签订合同和处理有关事宜，其法律后果由我方承担。</w:t>
      </w:r>
    </w:p>
    <w:p w14:paraId="62840816">
      <w:pPr>
        <w:spacing w:line="440" w:lineRule="exact"/>
        <w:rPr>
          <w:rFonts w:ascii="仿宋" w:hAnsi="仿宋" w:eastAsia="仿宋" w:cs="仿宋"/>
        </w:rPr>
      </w:pPr>
      <w:r>
        <w:rPr>
          <w:rFonts w:hint="eastAsia" w:ascii="仿宋" w:hAnsi="仿宋" w:eastAsia="仿宋" w:cs="仿宋"/>
        </w:rPr>
        <w:t>委托期限：</w:t>
      </w:r>
      <w:r>
        <w:rPr>
          <w:rFonts w:hint="eastAsia" w:ascii="仿宋" w:hAnsi="仿宋" w:eastAsia="仿宋" w:cs="仿宋"/>
          <w:u w:val="single"/>
        </w:rPr>
        <w:t xml:space="preserve">                       </w:t>
      </w:r>
      <w:r>
        <w:rPr>
          <w:rFonts w:hint="eastAsia" w:ascii="仿宋" w:hAnsi="仿宋" w:eastAsia="仿宋" w:cs="仿宋"/>
        </w:rPr>
        <w:t>。</w:t>
      </w:r>
    </w:p>
    <w:p w14:paraId="7E371F70">
      <w:pPr>
        <w:spacing w:line="440" w:lineRule="exact"/>
        <w:ind w:firstLine="420" w:firstLineChars="200"/>
        <w:rPr>
          <w:rFonts w:ascii="仿宋" w:hAnsi="仿宋" w:eastAsia="仿宋" w:cs="仿宋"/>
        </w:rPr>
      </w:pPr>
      <w:r>
        <w:rPr>
          <w:rFonts w:hint="eastAsia" w:ascii="仿宋" w:hAnsi="仿宋" w:eastAsia="仿宋" w:cs="仿宋"/>
        </w:rPr>
        <w:t>代理人无转委托权。</w:t>
      </w:r>
    </w:p>
    <w:p w14:paraId="23BDF7A9">
      <w:pPr>
        <w:spacing w:line="440" w:lineRule="exact"/>
        <w:ind w:firstLine="420" w:firstLineChars="200"/>
        <w:rPr>
          <w:rFonts w:ascii="仿宋" w:hAnsi="仿宋" w:eastAsia="仿宋" w:cs="仿宋"/>
        </w:rPr>
      </w:pPr>
    </w:p>
    <w:p w14:paraId="49D2DE7E">
      <w:pPr>
        <w:spacing w:line="440" w:lineRule="exact"/>
        <w:rPr>
          <w:rFonts w:ascii="仿宋" w:hAnsi="仿宋" w:eastAsia="仿宋" w:cs="仿宋"/>
        </w:rPr>
      </w:pPr>
      <w:r>
        <w:rPr>
          <w:rFonts w:hint="eastAsia" w:ascii="仿宋" w:hAnsi="仿宋" w:eastAsia="仿宋" w:cs="仿宋"/>
        </w:rPr>
        <w:t>附：法定代表人身份证原件扫描件、委托代理人身份证原件扫描件</w:t>
      </w:r>
    </w:p>
    <w:p w14:paraId="39AE6848">
      <w:pPr>
        <w:spacing w:line="440" w:lineRule="exact"/>
        <w:rPr>
          <w:rFonts w:ascii="仿宋" w:hAnsi="仿宋" w:eastAsia="仿宋" w:cs="仿宋"/>
        </w:rPr>
      </w:pPr>
    </w:p>
    <w:p w14:paraId="72E36A32">
      <w:pPr>
        <w:spacing w:line="440" w:lineRule="exact"/>
        <w:rPr>
          <w:rFonts w:ascii="仿宋" w:hAnsi="仿宋" w:eastAsia="仿宋" w:cs="仿宋"/>
        </w:rPr>
      </w:pPr>
    </w:p>
    <w:p w14:paraId="196DEA6A">
      <w:pPr>
        <w:spacing w:line="440" w:lineRule="exact"/>
        <w:rPr>
          <w:rFonts w:ascii="仿宋" w:hAnsi="仿宋" w:eastAsia="仿宋" w:cs="仿宋"/>
        </w:rPr>
      </w:pPr>
      <w:r>
        <w:rPr>
          <w:rFonts w:hint="eastAsia" w:ascii="仿宋" w:hAnsi="仿宋" w:eastAsia="仿宋" w:cs="仿宋"/>
        </w:rPr>
        <w:t>投  标  人：</w:t>
      </w:r>
      <w:r>
        <w:rPr>
          <w:rFonts w:hint="eastAsia" w:ascii="仿宋" w:hAnsi="仿宋" w:eastAsia="仿宋" w:cs="仿宋"/>
          <w:szCs w:val="21"/>
          <w:u w:val="single"/>
        </w:rPr>
        <w:tab/>
      </w:r>
      <w:r>
        <w:rPr>
          <w:rFonts w:hint="eastAsia" w:ascii="仿宋" w:hAnsi="仿宋" w:eastAsia="仿宋" w:cs="仿宋"/>
          <w:szCs w:val="21"/>
          <w:u w:val="single"/>
        </w:rPr>
        <w:tab/>
      </w:r>
      <w:r>
        <w:rPr>
          <w:rFonts w:hint="eastAsia" w:ascii="仿宋" w:hAnsi="仿宋" w:eastAsia="仿宋" w:cs="仿宋"/>
          <w:szCs w:val="21"/>
          <w:u w:val="single"/>
        </w:rPr>
        <w:tab/>
      </w:r>
      <w:r>
        <w:rPr>
          <w:rFonts w:hint="eastAsia" w:ascii="仿宋" w:hAnsi="仿宋" w:eastAsia="仿宋" w:cs="仿宋"/>
          <w:szCs w:val="21"/>
          <w:u w:val="single"/>
        </w:rPr>
        <w:t xml:space="preserve">                </w:t>
      </w:r>
      <w:r>
        <w:rPr>
          <w:rFonts w:hint="eastAsia" w:ascii="仿宋" w:hAnsi="仿宋" w:eastAsia="仿宋" w:cs="仿宋"/>
        </w:rPr>
        <w:t>（企业电子章）</w:t>
      </w:r>
    </w:p>
    <w:p w14:paraId="28C6ADDD">
      <w:pPr>
        <w:spacing w:line="440" w:lineRule="exact"/>
        <w:ind w:firstLine="2692" w:firstLineChars="1282"/>
        <w:rPr>
          <w:rFonts w:ascii="仿宋" w:hAnsi="仿宋" w:eastAsia="仿宋" w:cs="仿宋"/>
        </w:rPr>
      </w:pPr>
    </w:p>
    <w:p w14:paraId="6908CA74">
      <w:pPr>
        <w:spacing w:line="440" w:lineRule="exact"/>
        <w:jc w:val="left"/>
        <w:rPr>
          <w:rFonts w:ascii="仿宋" w:hAnsi="仿宋" w:eastAsia="仿宋" w:cs="仿宋"/>
        </w:rPr>
      </w:pPr>
      <w:r>
        <w:rPr>
          <w:rFonts w:hint="eastAsia" w:ascii="仿宋" w:hAnsi="仿宋" w:eastAsia="仿宋" w:cs="仿宋"/>
        </w:rPr>
        <w:t>法定代表人 ：</w:t>
      </w:r>
      <w:r>
        <w:rPr>
          <w:rFonts w:hint="eastAsia" w:ascii="仿宋" w:hAnsi="仿宋" w:eastAsia="仿宋" w:cs="仿宋"/>
          <w:szCs w:val="21"/>
          <w:u w:val="single"/>
        </w:rPr>
        <w:tab/>
      </w:r>
      <w:r>
        <w:rPr>
          <w:rFonts w:hint="eastAsia" w:ascii="仿宋" w:hAnsi="仿宋" w:eastAsia="仿宋" w:cs="仿宋"/>
          <w:szCs w:val="21"/>
          <w:u w:val="single"/>
        </w:rPr>
        <w:tab/>
      </w:r>
      <w:r>
        <w:rPr>
          <w:rFonts w:hint="eastAsia" w:ascii="仿宋" w:hAnsi="仿宋" w:eastAsia="仿宋" w:cs="仿宋"/>
          <w:szCs w:val="21"/>
          <w:u w:val="single"/>
        </w:rPr>
        <w:tab/>
      </w:r>
      <w:r>
        <w:rPr>
          <w:rFonts w:hint="eastAsia" w:ascii="仿宋" w:hAnsi="仿宋" w:eastAsia="仿宋" w:cs="仿宋"/>
          <w:szCs w:val="21"/>
          <w:u w:val="single"/>
        </w:rPr>
        <w:t xml:space="preserve">        </w:t>
      </w:r>
      <w:r>
        <w:rPr>
          <w:rFonts w:hint="eastAsia" w:ascii="仿宋" w:hAnsi="仿宋" w:eastAsia="仿宋" w:cs="仿宋"/>
          <w:szCs w:val="21"/>
          <w:u w:val="single"/>
        </w:rPr>
        <w:tab/>
      </w:r>
      <w:r>
        <w:rPr>
          <w:rFonts w:hint="eastAsia" w:ascii="仿宋" w:hAnsi="仿宋" w:eastAsia="仿宋" w:cs="仿宋"/>
        </w:rPr>
        <w:t>（签字或盖电子章）</w:t>
      </w:r>
    </w:p>
    <w:p w14:paraId="114BB5CF">
      <w:pPr>
        <w:spacing w:line="440" w:lineRule="exact"/>
        <w:rPr>
          <w:rFonts w:ascii="仿宋" w:hAnsi="仿宋" w:eastAsia="仿宋" w:cs="仿宋"/>
        </w:rPr>
      </w:pPr>
    </w:p>
    <w:p w14:paraId="208A8EBB">
      <w:pPr>
        <w:spacing w:line="440" w:lineRule="exact"/>
        <w:rPr>
          <w:rFonts w:ascii="仿宋" w:hAnsi="仿宋" w:eastAsia="仿宋" w:cs="仿宋"/>
        </w:rPr>
      </w:pPr>
      <w:r>
        <w:rPr>
          <w:rFonts w:hint="eastAsia" w:ascii="仿宋" w:hAnsi="仿宋" w:eastAsia="仿宋" w:cs="仿宋"/>
        </w:rPr>
        <w:t>身份证号码：</w:t>
      </w:r>
      <w:r>
        <w:rPr>
          <w:rFonts w:hint="eastAsia" w:ascii="仿宋" w:hAnsi="仿宋" w:eastAsia="仿宋" w:cs="仿宋"/>
          <w:szCs w:val="21"/>
          <w:u w:val="single"/>
        </w:rPr>
        <w:tab/>
      </w:r>
      <w:r>
        <w:rPr>
          <w:rFonts w:hint="eastAsia" w:ascii="仿宋" w:hAnsi="仿宋" w:eastAsia="仿宋" w:cs="仿宋"/>
          <w:szCs w:val="21"/>
          <w:u w:val="single"/>
        </w:rPr>
        <w:tab/>
      </w:r>
      <w:r>
        <w:rPr>
          <w:rFonts w:hint="eastAsia" w:ascii="仿宋" w:hAnsi="仿宋" w:eastAsia="仿宋" w:cs="仿宋"/>
          <w:szCs w:val="21"/>
          <w:u w:val="single"/>
        </w:rPr>
        <w:tab/>
      </w:r>
      <w:r>
        <w:rPr>
          <w:rFonts w:hint="eastAsia" w:ascii="仿宋" w:hAnsi="仿宋" w:eastAsia="仿宋" w:cs="仿宋"/>
          <w:szCs w:val="21"/>
          <w:u w:val="single"/>
        </w:rPr>
        <w:t xml:space="preserve">                         </w:t>
      </w:r>
      <w:r>
        <w:rPr>
          <w:rFonts w:hint="eastAsia" w:ascii="仿宋" w:hAnsi="仿宋" w:eastAsia="仿宋" w:cs="仿宋"/>
          <w:szCs w:val="21"/>
          <w:u w:val="single"/>
        </w:rPr>
        <w:tab/>
      </w:r>
    </w:p>
    <w:p w14:paraId="7E926F2D">
      <w:pPr>
        <w:spacing w:line="440" w:lineRule="exact"/>
        <w:ind w:firstLine="2692" w:firstLineChars="1282"/>
        <w:rPr>
          <w:rFonts w:ascii="仿宋" w:hAnsi="仿宋" w:eastAsia="仿宋" w:cs="仿宋"/>
        </w:rPr>
      </w:pPr>
    </w:p>
    <w:p w14:paraId="52C009FB">
      <w:pPr>
        <w:spacing w:line="440" w:lineRule="exact"/>
        <w:rPr>
          <w:rFonts w:ascii="仿宋" w:hAnsi="仿宋" w:eastAsia="仿宋" w:cs="仿宋"/>
        </w:rPr>
      </w:pPr>
      <w:r>
        <w:rPr>
          <w:rFonts w:hint="eastAsia" w:ascii="仿宋" w:hAnsi="仿宋" w:eastAsia="仿宋" w:cs="仿宋"/>
        </w:rPr>
        <w:t>委托代理人：</w:t>
      </w:r>
      <w:r>
        <w:rPr>
          <w:rFonts w:hint="eastAsia" w:ascii="仿宋" w:hAnsi="仿宋" w:eastAsia="仿宋" w:cs="仿宋"/>
          <w:szCs w:val="21"/>
          <w:u w:val="single"/>
        </w:rPr>
        <w:tab/>
      </w:r>
      <w:r>
        <w:rPr>
          <w:rFonts w:hint="eastAsia" w:ascii="仿宋" w:hAnsi="仿宋" w:eastAsia="仿宋" w:cs="仿宋"/>
          <w:szCs w:val="21"/>
          <w:u w:val="single"/>
        </w:rPr>
        <w:tab/>
      </w:r>
      <w:r>
        <w:rPr>
          <w:rFonts w:hint="eastAsia" w:ascii="仿宋" w:hAnsi="仿宋" w:eastAsia="仿宋" w:cs="仿宋"/>
          <w:szCs w:val="21"/>
          <w:u w:val="single"/>
        </w:rPr>
        <w:tab/>
      </w:r>
      <w:r>
        <w:rPr>
          <w:rFonts w:hint="eastAsia" w:ascii="仿宋" w:hAnsi="仿宋" w:eastAsia="仿宋" w:cs="仿宋"/>
          <w:szCs w:val="21"/>
          <w:u w:val="single"/>
        </w:rPr>
        <w:t xml:space="preserve">                     </w:t>
      </w:r>
      <w:r>
        <w:rPr>
          <w:rFonts w:hint="eastAsia" w:ascii="仿宋" w:hAnsi="仿宋" w:eastAsia="仿宋" w:cs="仿宋"/>
          <w:szCs w:val="21"/>
          <w:u w:val="single"/>
        </w:rPr>
        <w:tab/>
      </w:r>
      <w:r>
        <w:rPr>
          <w:rFonts w:hint="eastAsia" w:ascii="仿宋" w:hAnsi="仿宋" w:eastAsia="仿宋" w:cs="仿宋"/>
        </w:rPr>
        <w:t>（签字或盖电子章）</w:t>
      </w:r>
    </w:p>
    <w:p w14:paraId="2C4BCD1C">
      <w:pPr>
        <w:spacing w:line="440" w:lineRule="exact"/>
        <w:ind w:firstLine="2692" w:firstLineChars="1282"/>
        <w:rPr>
          <w:rFonts w:ascii="仿宋" w:hAnsi="仿宋" w:eastAsia="仿宋" w:cs="仿宋"/>
        </w:rPr>
      </w:pPr>
    </w:p>
    <w:p w14:paraId="7308665D">
      <w:pPr>
        <w:spacing w:line="440" w:lineRule="exact"/>
        <w:rPr>
          <w:rFonts w:ascii="仿宋" w:hAnsi="仿宋" w:eastAsia="仿宋" w:cs="仿宋"/>
        </w:rPr>
      </w:pPr>
      <w:r>
        <w:rPr>
          <w:rFonts w:hint="eastAsia" w:ascii="仿宋" w:hAnsi="仿宋" w:eastAsia="仿宋" w:cs="仿宋"/>
        </w:rPr>
        <w:t>身份证号码：</w:t>
      </w:r>
      <w:r>
        <w:rPr>
          <w:rFonts w:hint="eastAsia" w:ascii="仿宋" w:hAnsi="仿宋" w:eastAsia="仿宋" w:cs="仿宋"/>
          <w:szCs w:val="21"/>
          <w:u w:val="single"/>
        </w:rPr>
        <w:tab/>
      </w:r>
      <w:r>
        <w:rPr>
          <w:rFonts w:hint="eastAsia" w:ascii="仿宋" w:hAnsi="仿宋" w:eastAsia="仿宋" w:cs="仿宋"/>
          <w:szCs w:val="21"/>
          <w:u w:val="single"/>
        </w:rPr>
        <w:tab/>
      </w:r>
      <w:r>
        <w:rPr>
          <w:rFonts w:hint="eastAsia" w:ascii="仿宋" w:hAnsi="仿宋" w:eastAsia="仿宋" w:cs="仿宋"/>
          <w:szCs w:val="21"/>
          <w:u w:val="single"/>
        </w:rPr>
        <w:tab/>
      </w:r>
      <w:r>
        <w:rPr>
          <w:rFonts w:hint="eastAsia" w:ascii="仿宋" w:hAnsi="仿宋" w:eastAsia="仿宋" w:cs="仿宋"/>
          <w:szCs w:val="21"/>
          <w:u w:val="single"/>
        </w:rPr>
        <w:t xml:space="preserve">                          </w:t>
      </w:r>
      <w:r>
        <w:rPr>
          <w:rFonts w:hint="eastAsia" w:ascii="仿宋" w:hAnsi="仿宋" w:eastAsia="仿宋" w:cs="仿宋"/>
          <w:szCs w:val="21"/>
          <w:u w:val="single"/>
        </w:rPr>
        <w:tab/>
      </w:r>
    </w:p>
    <w:p w14:paraId="244BEAA8">
      <w:pPr>
        <w:spacing w:line="440" w:lineRule="exact"/>
        <w:ind w:firstLine="2692" w:firstLineChars="1282"/>
        <w:rPr>
          <w:rFonts w:ascii="仿宋" w:hAnsi="仿宋" w:eastAsia="仿宋" w:cs="仿宋"/>
        </w:rPr>
      </w:pPr>
    </w:p>
    <w:p w14:paraId="0F760607">
      <w:pPr>
        <w:spacing w:line="440" w:lineRule="exact"/>
        <w:ind w:firstLine="2692" w:firstLineChars="1282"/>
        <w:rPr>
          <w:rFonts w:ascii="仿宋" w:hAnsi="仿宋" w:eastAsia="仿宋" w:cs="仿宋"/>
        </w:rPr>
      </w:pPr>
    </w:p>
    <w:p w14:paraId="3DD1E999">
      <w:pPr>
        <w:spacing w:line="440" w:lineRule="exact"/>
        <w:ind w:firstLine="4057" w:firstLineChars="1932"/>
        <w:jc w:val="right"/>
        <w:rPr>
          <w:rFonts w:ascii="仿宋" w:hAnsi="仿宋" w:eastAsia="仿宋" w:cs="仿宋"/>
        </w:rPr>
      </w:pP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38FB6F1F">
      <w:pPr>
        <w:spacing w:line="440" w:lineRule="exact"/>
        <w:ind w:firstLine="4057" w:firstLineChars="1932"/>
        <w:jc w:val="right"/>
        <w:rPr>
          <w:rFonts w:ascii="仿宋" w:hAnsi="仿宋" w:eastAsia="仿宋" w:cs="仿宋"/>
        </w:rPr>
      </w:pPr>
    </w:p>
    <w:p w14:paraId="20E2B841">
      <w:pPr>
        <w:rPr>
          <w:rFonts w:ascii="仿宋" w:hAnsi="仿宋" w:eastAsia="仿宋" w:cs="仿宋"/>
        </w:rPr>
      </w:pPr>
      <w:r>
        <w:rPr>
          <w:rFonts w:hint="eastAsia" w:ascii="仿宋" w:hAnsi="仿宋" w:eastAsia="仿宋" w:cs="仿宋"/>
        </w:rPr>
        <w:br w:type="page"/>
      </w:r>
    </w:p>
    <w:p w14:paraId="34C34DBC">
      <w:pPr>
        <w:pStyle w:val="3"/>
        <w:numPr>
          <w:ilvl w:val="0"/>
          <w:numId w:val="4"/>
        </w:numPr>
        <w:jc w:val="center"/>
        <w:rPr>
          <w:rFonts w:hint="eastAsia" w:ascii="仿宋" w:hAnsi="仿宋" w:eastAsia="仿宋" w:cs="仿宋"/>
        </w:rPr>
      </w:pPr>
      <w:bookmarkStart w:id="600" w:name="_Toc30231"/>
      <w:bookmarkStart w:id="601" w:name="_Toc15306"/>
      <w:bookmarkStart w:id="602" w:name="_Toc17199"/>
      <w:bookmarkStart w:id="603" w:name="_Toc185327326"/>
      <w:r>
        <w:rPr>
          <w:rFonts w:hint="eastAsia" w:ascii="仿宋" w:hAnsi="仿宋" w:eastAsia="仿宋" w:cs="仿宋"/>
        </w:rPr>
        <w:t>商务和技术偏差表</w:t>
      </w:r>
      <w:bookmarkEnd w:id="600"/>
      <w:bookmarkEnd w:id="601"/>
      <w:bookmarkEnd w:id="602"/>
      <w:bookmarkEnd w:id="603"/>
    </w:p>
    <w:p w14:paraId="1740ECB1">
      <w:pPr>
        <w:numPr>
          <w:ilvl w:val="0"/>
          <w:numId w:val="0"/>
        </w:numPr>
        <w:jc w:val="center"/>
        <w:rPr>
          <w:rFonts w:hint="eastAsia" w:ascii="仿宋" w:hAnsi="仿宋" w:eastAsia="仿宋" w:cs="仿宋"/>
          <w:b/>
          <w:bCs/>
          <w:kern w:val="2"/>
          <w:sz w:val="28"/>
          <w:szCs w:val="32"/>
          <w:lang w:val="en-US" w:eastAsia="zh-CN" w:bidi="ar-SA"/>
        </w:rPr>
      </w:pPr>
    </w:p>
    <w:p w14:paraId="5E0D0C5E">
      <w:pPr>
        <w:numPr>
          <w:ilvl w:val="0"/>
          <w:numId w:val="0"/>
        </w:numPr>
        <w:jc w:val="center"/>
        <w:rPr>
          <w:rFonts w:hint="eastAsia" w:ascii="仿宋" w:hAnsi="仿宋" w:eastAsia="仿宋" w:cs="仿宋"/>
          <w:b/>
          <w:bCs/>
          <w:sz w:val="28"/>
          <w:szCs w:val="32"/>
          <w:lang w:val="en-US" w:eastAsia="zh-CN"/>
        </w:rPr>
      </w:pPr>
      <w:r>
        <w:rPr>
          <w:rFonts w:hint="eastAsia" w:ascii="仿宋" w:hAnsi="仿宋" w:eastAsia="仿宋" w:cs="仿宋"/>
          <w:b/>
          <w:bCs/>
          <w:kern w:val="2"/>
          <w:sz w:val="28"/>
          <w:szCs w:val="32"/>
          <w:lang w:val="en-US" w:eastAsia="zh-CN" w:bidi="ar-SA"/>
        </w:rPr>
        <w:t>（一）商务</w:t>
      </w:r>
      <w:r>
        <w:rPr>
          <w:rFonts w:hint="eastAsia" w:ascii="仿宋" w:hAnsi="仿宋" w:eastAsia="仿宋" w:cs="仿宋"/>
          <w:b/>
          <w:bCs/>
          <w:sz w:val="28"/>
          <w:szCs w:val="32"/>
          <w:lang w:val="en-US" w:eastAsia="zh-CN"/>
        </w:rPr>
        <w:t>要求响应与偏差表</w:t>
      </w:r>
    </w:p>
    <w:p w14:paraId="5E9D31E2">
      <w:pPr>
        <w:numPr>
          <w:ilvl w:val="0"/>
          <w:numId w:val="0"/>
        </w:numPr>
        <w:jc w:val="center"/>
        <w:rPr>
          <w:rFonts w:hint="eastAsia" w:ascii="仿宋" w:hAnsi="仿宋" w:eastAsia="仿宋" w:cs="仿宋"/>
          <w:b/>
          <w:bCs/>
          <w:sz w:val="28"/>
          <w:szCs w:val="32"/>
          <w:lang w:val="en-US" w:eastAsia="zh-CN"/>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2962"/>
        <w:gridCol w:w="3275"/>
        <w:gridCol w:w="1785"/>
      </w:tblGrid>
      <w:tr w14:paraId="2D39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016" w:type="dxa"/>
            <w:vAlign w:val="bottom"/>
          </w:tcPr>
          <w:p w14:paraId="438A0102">
            <w:pPr>
              <w:widowControl/>
              <w:snapToGrid w:val="0"/>
              <w:jc w:val="center"/>
              <w:rPr>
                <w:rFonts w:ascii="仿宋" w:hAnsi="仿宋" w:eastAsia="仿宋" w:cs="仿宋"/>
                <w:b/>
                <w:kern w:val="0"/>
                <w:szCs w:val="21"/>
              </w:rPr>
            </w:pPr>
            <w:r>
              <w:rPr>
                <w:rFonts w:hint="eastAsia" w:ascii="仿宋" w:hAnsi="仿宋" w:eastAsia="仿宋" w:cs="仿宋"/>
                <w:b/>
                <w:kern w:val="0"/>
                <w:szCs w:val="21"/>
              </w:rPr>
              <w:t>序号</w:t>
            </w:r>
          </w:p>
        </w:tc>
        <w:tc>
          <w:tcPr>
            <w:tcW w:w="2962" w:type="dxa"/>
            <w:vAlign w:val="bottom"/>
          </w:tcPr>
          <w:p w14:paraId="20559028">
            <w:pPr>
              <w:widowControl/>
              <w:snapToGrid w:val="0"/>
              <w:jc w:val="center"/>
              <w:rPr>
                <w:rFonts w:hint="eastAsia" w:ascii="仿宋" w:hAnsi="仿宋" w:eastAsia="仿宋" w:cs="仿宋"/>
                <w:b/>
                <w:kern w:val="0"/>
                <w:szCs w:val="21"/>
                <w:lang w:eastAsia="zh-CN"/>
              </w:rPr>
            </w:pPr>
            <w:r>
              <w:rPr>
                <w:rFonts w:hint="eastAsia" w:ascii="仿宋" w:hAnsi="仿宋" w:eastAsia="仿宋" w:cs="仿宋"/>
                <w:b/>
                <w:kern w:val="0"/>
                <w:szCs w:val="21"/>
              </w:rPr>
              <w:t>招标文件</w:t>
            </w:r>
            <w:r>
              <w:rPr>
                <w:rFonts w:hint="eastAsia" w:ascii="仿宋" w:hAnsi="仿宋" w:eastAsia="仿宋" w:cs="仿宋"/>
                <w:b/>
                <w:kern w:val="0"/>
                <w:szCs w:val="21"/>
                <w:lang w:eastAsia="zh-CN"/>
              </w:rPr>
              <w:t>规定</w:t>
            </w:r>
          </w:p>
        </w:tc>
        <w:tc>
          <w:tcPr>
            <w:tcW w:w="3275" w:type="dxa"/>
            <w:vAlign w:val="bottom"/>
          </w:tcPr>
          <w:p w14:paraId="0D880DA0">
            <w:pPr>
              <w:widowControl/>
              <w:snapToGrid w:val="0"/>
              <w:jc w:val="center"/>
              <w:rPr>
                <w:rFonts w:hint="eastAsia" w:ascii="仿宋" w:hAnsi="仿宋" w:eastAsia="仿宋" w:cs="仿宋"/>
                <w:b/>
                <w:kern w:val="0"/>
                <w:szCs w:val="21"/>
                <w:lang w:eastAsia="zh-CN"/>
              </w:rPr>
            </w:pPr>
            <w:r>
              <w:rPr>
                <w:rFonts w:hint="eastAsia" w:ascii="仿宋" w:hAnsi="仿宋" w:eastAsia="仿宋" w:cs="仿宋"/>
                <w:b/>
                <w:kern w:val="0"/>
                <w:szCs w:val="21"/>
              </w:rPr>
              <w:t>投标文件</w:t>
            </w:r>
            <w:r>
              <w:rPr>
                <w:rFonts w:hint="eastAsia" w:ascii="仿宋" w:hAnsi="仿宋" w:eastAsia="仿宋" w:cs="仿宋"/>
                <w:b/>
                <w:kern w:val="0"/>
                <w:szCs w:val="21"/>
                <w:lang w:eastAsia="zh-CN"/>
              </w:rPr>
              <w:t>承诺</w:t>
            </w:r>
          </w:p>
        </w:tc>
        <w:tc>
          <w:tcPr>
            <w:tcW w:w="1785" w:type="dxa"/>
            <w:vAlign w:val="bottom"/>
          </w:tcPr>
          <w:p w14:paraId="377F645B">
            <w:pPr>
              <w:widowControl/>
              <w:snapToGrid w:val="0"/>
              <w:jc w:val="center"/>
              <w:rPr>
                <w:rFonts w:ascii="仿宋" w:hAnsi="仿宋" w:eastAsia="仿宋" w:cs="仿宋"/>
                <w:b/>
                <w:kern w:val="0"/>
                <w:szCs w:val="21"/>
              </w:rPr>
            </w:pPr>
            <w:r>
              <w:rPr>
                <w:rFonts w:hint="eastAsia" w:ascii="仿宋" w:hAnsi="仿宋" w:eastAsia="仿宋" w:cs="仿宋"/>
                <w:b/>
                <w:kern w:val="0"/>
                <w:szCs w:val="21"/>
              </w:rPr>
              <w:t>偏差说明</w:t>
            </w:r>
          </w:p>
        </w:tc>
      </w:tr>
      <w:tr w14:paraId="3434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016" w:type="dxa"/>
            <w:vAlign w:val="bottom"/>
          </w:tcPr>
          <w:p w14:paraId="1A416512">
            <w:pPr>
              <w:widowControl/>
              <w:snapToGrid w:val="0"/>
              <w:jc w:val="center"/>
              <w:rPr>
                <w:rFonts w:ascii="仿宋" w:hAnsi="仿宋" w:eastAsia="仿宋" w:cs="仿宋"/>
                <w:kern w:val="0"/>
                <w:szCs w:val="21"/>
              </w:rPr>
            </w:pPr>
            <w:r>
              <w:rPr>
                <w:rFonts w:hint="eastAsia" w:ascii="仿宋" w:hAnsi="仿宋" w:eastAsia="仿宋" w:cs="仿宋"/>
                <w:kern w:val="0"/>
                <w:szCs w:val="21"/>
              </w:rPr>
              <w:t>1</w:t>
            </w:r>
          </w:p>
        </w:tc>
        <w:tc>
          <w:tcPr>
            <w:tcW w:w="2962" w:type="dxa"/>
            <w:vAlign w:val="bottom"/>
          </w:tcPr>
          <w:p w14:paraId="59CF2686">
            <w:pPr>
              <w:widowControl/>
              <w:snapToGrid w:val="0"/>
              <w:jc w:val="center"/>
              <w:rPr>
                <w:rFonts w:ascii="仿宋" w:hAnsi="仿宋" w:eastAsia="仿宋" w:cs="仿宋"/>
                <w:kern w:val="0"/>
                <w:szCs w:val="21"/>
              </w:rPr>
            </w:pPr>
          </w:p>
        </w:tc>
        <w:tc>
          <w:tcPr>
            <w:tcW w:w="3275" w:type="dxa"/>
            <w:vAlign w:val="bottom"/>
          </w:tcPr>
          <w:p w14:paraId="7B05CB5A">
            <w:pPr>
              <w:widowControl/>
              <w:snapToGrid w:val="0"/>
              <w:jc w:val="center"/>
              <w:rPr>
                <w:rFonts w:ascii="仿宋" w:hAnsi="仿宋" w:eastAsia="仿宋" w:cs="仿宋"/>
                <w:kern w:val="0"/>
                <w:szCs w:val="21"/>
              </w:rPr>
            </w:pPr>
          </w:p>
        </w:tc>
        <w:tc>
          <w:tcPr>
            <w:tcW w:w="1785" w:type="dxa"/>
            <w:vAlign w:val="bottom"/>
          </w:tcPr>
          <w:p w14:paraId="28573262">
            <w:pPr>
              <w:widowControl/>
              <w:snapToGrid w:val="0"/>
              <w:jc w:val="center"/>
              <w:rPr>
                <w:rFonts w:ascii="仿宋" w:hAnsi="仿宋" w:eastAsia="仿宋" w:cs="仿宋"/>
                <w:kern w:val="0"/>
                <w:szCs w:val="21"/>
              </w:rPr>
            </w:pPr>
          </w:p>
        </w:tc>
      </w:tr>
      <w:tr w14:paraId="5435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016" w:type="dxa"/>
            <w:vAlign w:val="bottom"/>
          </w:tcPr>
          <w:p w14:paraId="6336DA58">
            <w:pPr>
              <w:widowControl/>
              <w:snapToGrid w:val="0"/>
              <w:jc w:val="center"/>
              <w:rPr>
                <w:rFonts w:ascii="仿宋" w:hAnsi="仿宋" w:eastAsia="仿宋" w:cs="仿宋"/>
                <w:kern w:val="0"/>
                <w:szCs w:val="21"/>
              </w:rPr>
            </w:pPr>
            <w:r>
              <w:rPr>
                <w:rFonts w:hint="eastAsia" w:ascii="仿宋" w:hAnsi="仿宋" w:eastAsia="仿宋" w:cs="仿宋"/>
                <w:kern w:val="0"/>
                <w:szCs w:val="21"/>
              </w:rPr>
              <w:t>2</w:t>
            </w:r>
          </w:p>
        </w:tc>
        <w:tc>
          <w:tcPr>
            <w:tcW w:w="2962" w:type="dxa"/>
            <w:vAlign w:val="bottom"/>
          </w:tcPr>
          <w:p w14:paraId="4A634D57">
            <w:pPr>
              <w:widowControl/>
              <w:snapToGrid w:val="0"/>
              <w:jc w:val="center"/>
              <w:rPr>
                <w:rFonts w:ascii="仿宋" w:hAnsi="仿宋" w:eastAsia="仿宋" w:cs="仿宋"/>
                <w:kern w:val="0"/>
                <w:szCs w:val="21"/>
              </w:rPr>
            </w:pPr>
          </w:p>
        </w:tc>
        <w:tc>
          <w:tcPr>
            <w:tcW w:w="3275" w:type="dxa"/>
            <w:vAlign w:val="bottom"/>
          </w:tcPr>
          <w:p w14:paraId="5E9AE79B">
            <w:pPr>
              <w:widowControl/>
              <w:snapToGrid w:val="0"/>
              <w:jc w:val="center"/>
              <w:rPr>
                <w:rFonts w:ascii="仿宋" w:hAnsi="仿宋" w:eastAsia="仿宋" w:cs="仿宋"/>
                <w:kern w:val="0"/>
                <w:szCs w:val="21"/>
              </w:rPr>
            </w:pPr>
          </w:p>
        </w:tc>
        <w:tc>
          <w:tcPr>
            <w:tcW w:w="1785" w:type="dxa"/>
            <w:vAlign w:val="bottom"/>
          </w:tcPr>
          <w:p w14:paraId="77B41FD0">
            <w:pPr>
              <w:widowControl/>
              <w:snapToGrid w:val="0"/>
              <w:jc w:val="center"/>
              <w:rPr>
                <w:rFonts w:ascii="仿宋" w:hAnsi="仿宋" w:eastAsia="仿宋" w:cs="仿宋"/>
                <w:kern w:val="0"/>
                <w:szCs w:val="21"/>
              </w:rPr>
            </w:pPr>
          </w:p>
        </w:tc>
      </w:tr>
      <w:tr w14:paraId="1F0F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016" w:type="dxa"/>
            <w:vAlign w:val="bottom"/>
          </w:tcPr>
          <w:p w14:paraId="20CD4831">
            <w:pPr>
              <w:widowControl/>
              <w:snapToGrid w:val="0"/>
              <w:jc w:val="center"/>
              <w:rPr>
                <w:rFonts w:ascii="仿宋" w:hAnsi="仿宋" w:eastAsia="仿宋" w:cs="仿宋"/>
                <w:kern w:val="0"/>
                <w:szCs w:val="21"/>
              </w:rPr>
            </w:pPr>
            <w:r>
              <w:rPr>
                <w:rFonts w:hint="eastAsia" w:ascii="仿宋" w:hAnsi="仿宋" w:eastAsia="仿宋" w:cs="仿宋"/>
                <w:kern w:val="0"/>
                <w:szCs w:val="21"/>
              </w:rPr>
              <w:t>3</w:t>
            </w:r>
          </w:p>
        </w:tc>
        <w:tc>
          <w:tcPr>
            <w:tcW w:w="2962" w:type="dxa"/>
            <w:vAlign w:val="bottom"/>
          </w:tcPr>
          <w:p w14:paraId="7E573F7D">
            <w:pPr>
              <w:widowControl/>
              <w:snapToGrid w:val="0"/>
              <w:jc w:val="center"/>
              <w:rPr>
                <w:rFonts w:ascii="仿宋" w:hAnsi="仿宋" w:eastAsia="仿宋" w:cs="仿宋"/>
                <w:kern w:val="0"/>
                <w:szCs w:val="21"/>
              </w:rPr>
            </w:pPr>
          </w:p>
        </w:tc>
        <w:tc>
          <w:tcPr>
            <w:tcW w:w="3275" w:type="dxa"/>
            <w:vAlign w:val="bottom"/>
          </w:tcPr>
          <w:p w14:paraId="742B8762">
            <w:pPr>
              <w:widowControl/>
              <w:snapToGrid w:val="0"/>
              <w:jc w:val="center"/>
              <w:rPr>
                <w:rFonts w:ascii="仿宋" w:hAnsi="仿宋" w:eastAsia="仿宋" w:cs="仿宋"/>
                <w:kern w:val="0"/>
                <w:szCs w:val="21"/>
              </w:rPr>
            </w:pPr>
          </w:p>
        </w:tc>
        <w:tc>
          <w:tcPr>
            <w:tcW w:w="1785" w:type="dxa"/>
            <w:vAlign w:val="bottom"/>
          </w:tcPr>
          <w:p w14:paraId="44F5A6DF">
            <w:pPr>
              <w:widowControl/>
              <w:snapToGrid w:val="0"/>
              <w:jc w:val="center"/>
              <w:rPr>
                <w:rFonts w:ascii="仿宋" w:hAnsi="仿宋" w:eastAsia="仿宋" w:cs="仿宋"/>
                <w:kern w:val="0"/>
                <w:szCs w:val="21"/>
              </w:rPr>
            </w:pPr>
          </w:p>
        </w:tc>
      </w:tr>
      <w:tr w14:paraId="2976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016" w:type="dxa"/>
            <w:vAlign w:val="bottom"/>
          </w:tcPr>
          <w:p w14:paraId="36392792">
            <w:pPr>
              <w:widowControl/>
              <w:snapToGrid w:val="0"/>
              <w:jc w:val="center"/>
              <w:rPr>
                <w:rFonts w:ascii="仿宋" w:hAnsi="仿宋" w:eastAsia="仿宋" w:cs="仿宋"/>
                <w:kern w:val="0"/>
                <w:szCs w:val="21"/>
              </w:rPr>
            </w:pPr>
            <w:r>
              <w:rPr>
                <w:rFonts w:hint="eastAsia" w:ascii="仿宋" w:hAnsi="仿宋" w:eastAsia="仿宋" w:cs="仿宋"/>
                <w:kern w:val="0"/>
                <w:szCs w:val="21"/>
              </w:rPr>
              <w:t>4</w:t>
            </w:r>
          </w:p>
        </w:tc>
        <w:tc>
          <w:tcPr>
            <w:tcW w:w="2962" w:type="dxa"/>
            <w:vAlign w:val="bottom"/>
          </w:tcPr>
          <w:p w14:paraId="49AFE594">
            <w:pPr>
              <w:widowControl/>
              <w:snapToGrid w:val="0"/>
              <w:jc w:val="center"/>
              <w:rPr>
                <w:rFonts w:ascii="仿宋" w:hAnsi="仿宋" w:eastAsia="仿宋" w:cs="仿宋"/>
                <w:kern w:val="0"/>
                <w:szCs w:val="21"/>
              </w:rPr>
            </w:pPr>
          </w:p>
        </w:tc>
        <w:tc>
          <w:tcPr>
            <w:tcW w:w="3275" w:type="dxa"/>
            <w:vAlign w:val="bottom"/>
          </w:tcPr>
          <w:p w14:paraId="7C073AED">
            <w:pPr>
              <w:widowControl/>
              <w:snapToGrid w:val="0"/>
              <w:jc w:val="center"/>
              <w:rPr>
                <w:rFonts w:ascii="仿宋" w:hAnsi="仿宋" w:eastAsia="仿宋" w:cs="仿宋"/>
                <w:kern w:val="0"/>
                <w:szCs w:val="21"/>
              </w:rPr>
            </w:pPr>
          </w:p>
        </w:tc>
        <w:tc>
          <w:tcPr>
            <w:tcW w:w="1785" w:type="dxa"/>
            <w:vAlign w:val="bottom"/>
          </w:tcPr>
          <w:p w14:paraId="3C6C7FF9">
            <w:pPr>
              <w:widowControl/>
              <w:snapToGrid w:val="0"/>
              <w:jc w:val="center"/>
              <w:rPr>
                <w:rFonts w:ascii="仿宋" w:hAnsi="仿宋" w:eastAsia="仿宋" w:cs="仿宋"/>
                <w:kern w:val="0"/>
                <w:szCs w:val="21"/>
              </w:rPr>
            </w:pPr>
          </w:p>
        </w:tc>
      </w:tr>
      <w:tr w14:paraId="40D1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016" w:type="dxa"/>
            <w:vAlign w:val="bottom"/>
          </w:tcPr>
          <w:p w14:paraId="388C04C9">
            <w:pPr>
              <w:widowControl/>
              <w:snapToGrid w:val="0"/>
              <w:jc w:val="center"/>
              <w:rPr>
                <w:rFonts w:ascii="仿宋" w:hAnsi="仿宋" w:eastAsia="仿宋" w:cs="仿宋"/>
                <w:kern w:val="0"/>
                <w:szCs w:val="21"/>
              </w:rPr>
            </w:pPr>
            <w:r>
              <w:rPr>
                <w:rFonts w:hint="eastAsia" w:ascii="仿宋" w:hAnsi="仿宋" w:eastAsia="仿宋" w:cs="仿宋"/>
                <w:kern w:val="0"/>
                <w:szCs w:val="21"/>
              </w:rPr>
              <w:t>5</w:t>
            </w:r>
          </w:p>
        </w:tc>
        <w:tc>
          <w:tcPr>
            <w:tcW w:w="2962" w:type="dxa"/>
            <w:vAlign w:val="bottom"/>
          </w:tcPr>
          <w:p w14:paraId="6EA06091">
            <w:pPr>
              <w:widowControl/>
              <w:snapToGrid w:val="0"/>
              <w:jc w:val="center"/>
              <w:rPr>
                <w:rFonts w:ascii="仿宋" w:hAnsi="仿宋" w:eastAsia="仿宋" w:cs="仿宋"/>
                <w:kern w:val="0"/>
                <w:szCs w:val="21"/>
              </w:rPr>
            </w:pPr>
          </w:p>
        </w:tc>
        <w:tc>
          <w:tcPr>
            <w:tcW w:w="3275" w:type="dxa"/>
            <w:vAlign w:val="bottom"/>
          </w:tcPr>
          <w:p w14:paraId="19A59ACE">
            <w:pPr>
              <w:widowControl/>
              <w:snapToGrid w:val="0"/>
              <w:jc w:val="center"/>
              <w:rPr>
                <w:rFonts w:ascii="仿宋" w:hAnsi="仿宋" w:eastAsia="仿宋" w:cs="仿宋"/>
                <w:kern w:val="0"/>
                <w:szCs w:val="21"/>
              </w:rPr>
            </w:pPr>
          </w:p>
        </w:tc>
        <w:tc>
          <w:tcPr>
            <w:tcW w:w="1785" w:type="dxa"/>
            <w:vAlign w:val="bottom"/>
          </w:tcPr>
          <w:p w14:paraId="01309BB2">
            <w:pPr>
              <w:widowControl/>
              <w:snapToGrid w:val="0"/>
              <w:jc w:val="center"/>
              <w:rPr>
                <w:rFonts w:ascii="仿宋" w:hAnsi="仿宋" w:eastAsia="仿宋" w:cs="仿宋"/>
                <w:kern w:val="0"/>
                <w:szCs w:val="21"/>
              </w:rPr>
            </w:pPr>
          </w:p>
        </w:tc>
      </w:tr>
      <w:tr w14:paraId="2C87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1016" w:type="dxa"/>
            <w:vAlign w:val="bottom"/>
          </w:tcPr>
          <w:p w14:paraId="441C8D93">
            <w:pPr>
              <w:widowControl/>
              <w:snapToGrid w:val="0"/>
              <w:jc w:val="center"/>
              <w:rPr>
                <w:rFonts w:ascii="仿宋" w:hAnsi="仿宋" w:eastAsia="仿宋" w:cs="仿宋"/>
                <w:kern w:val="0"/>
                <w:szCs w:val="21"/>
              </w:rPr>
            </w:pPr>
            <w:r>
              <w:rPr>
                <w:rFonts w:hint="eastAsia" w:ascii="仿宋" w:hAnsi="仿宋" w:eastAsia="仿宋" w:cs="仿宋"/>
                <w:kern w:val="0"/>
                <w:szCs w:val="21"/>
              </w:rPr>
              <w:t>……</w:t>
            </w:r>
          </w:p>
        </w:tc>
        <w:tc>
          <w:tcPr>
            <w:tcW w:w="2962" w:type="dxa"/>
            <w:vAlign w:val="bottom"/>
          </w:tcPr>
          <w:p w14:paraId="16701BE5">
            <w:pPr>
              <w:widowControl/>
              <w:snapToGrid w:val="0"/>
              <w:jc w:val="center"/>
              <w:rPr>
                <w:rFonts w:ascii="仿宋" w:hAnsi="仿宋" w:eastAsia="仿宋" w:cs="仿宋"/>
                <w:kern w:val="0"/>
                <w:szCs w:val="21"/>
              </w:rPr>
            </w:pPr>
          </w:p>
        </w:tc>
        <w:tc>
          <w:tcPr>
            <w:tcW w:w="3275" w:type="dxa"/>
            <w:vAlign w:val="bottom"/>
          </w:tcPr>
          <w:p w14:paraId="65EACB59">
            <w:pPr>
              <w:widowControl/>
              <w:snapToGrid w:val="0"/>
              <w:jc w:val="center"/>
              <w:rPr>
                <w:rFonts w:ascii="仿宋" w:hAnsi="仿宋" w:eastAsia="仿宋" w:cs="仿宋"/>
                <w:kern w:val="0"/>
                <w:szCs w:val="21"/>
              </w:rPr>
            </w:pPr>
          </w:p>
        </w:tc>
        <w:tc>
          <w:tcPr>
            <w:tcW w:w="1785" w:type="dxa"/>
            <w:vAlign w:val="bottom"/>
          </w:tcPr>
          <w:p w14:paraId="7B880725">
            <w:pPr>
              <w:widowControl/>
              <w:snapToGrid w:val="0"/>
              <w:jc w:val="center"/>
              <w:rPr>
                <w:rFonts w:ascii="仿宋" w:hAnsi="仿宋" w:eastAsia="仿宋" w:cs="仿宋"/>
                <w:kern w:val="0"/>
                <w:szCs w:val="21"/>
              </w:rPr>
            </w:pPr>
          </w:p>
        </w:tc>
      </w:tr>
    </w:tbl>
    <w:p w14:paraId="435D4816">
      <w:pPr>
        <w:pStyle w:val="12"/>
        <w:spacing w:before="71"/>
        <w:ind w:left="820"/>
        <w:rPr>
          <w:rFonts w:ascii="仿宋" w:hAnsi="仿宋" w:eastAsia="仿宋" w:cs="仿宋"/>
          <w:szCs w:val="21"/>
        </w:rPr>
      </w:pPr>
    </w:p>
    <w:p w14:paraId="6CA34F7A">
      <w:pPr>
        <w:pStyle w:val="12"/>
        <w:spacing w:before="71"/>
        <w:ind w:firstLine="420" w:firstLineChars="200"/>
        <w:rPr>
          <w:rFonts w:ascii="仿宋" w:hAnsi="仿宋" w:eastAsia="仿宋" w:cs="仿宋"/>
          <w:szCs w:val="21"/>
        </w:rPr>
      </w:pPr>
      <w:r>
        <w:rPr>
          <w:rFonts w:hint="eastAsia" w:ascii="仿宋" w:hAnsi="仿宋" w:eastAsia="仿宋" w:cs="仿宋"/>
          <w:szCs w:val="21"/>
        </w:rPr>
        <w:t>投标人（盖单位电子章）：</w:t>
      </w:r>
    </w:p>
    <w:p w14:paraId="502CF334">
      <w:pPr>
        <w:pStyle w:val="12"/>
        <w:spacing w:before="71"/>
        <w:ind w:left="820"/>
        <w:rPr>
          <w:rFonts w:ascii="仿宋" w:hAnsi="仿宋" w:eastAsia="仿宋" w:cs="仿宋"/>
          <w:szCs w:val="21"/>
        </w:rPr>
      </w:pPr>
    </w:p>
    <w:p w14:paraId="677B03B4">
      <w:pPr>
        <w:pStyle w:val="12"/>
        <w:spacing w:before="71"/>
        <w:ind w:firstLine="420" w:firstLineChars="200"/>
        <w:rPr>
          <w:rFonts w:ascii="仿宋" w:hAnsi="仿宋" w:eastAsia="仿宋" w:cs="仿宋"/>
          <w:szCs w:val="21"/>
        </w:rPr>
      </w:pPr>
      <w:r>
        <w:rPr>
          <w:rFonts w:hint="eastAsia" w:ascii="仿宋" w:hAnsi="仿宋" w:eastAsia="仿宋" w:cs="仿宋"/>
          <w:szCs w:val="21"/>
        </w:rPr>
        <w:t>法定代表人或授权委托人（签字或盖电子章）：</w:t>
      </w:r>
    </w:p>
    <w:p w14:paraId="754A0D38">
      <w:pPr>
        <w:pStyle w:val="12"/>
        <w:spacing w:before="71"/>
        <w:ind w:left="820"/>
        <w:rPr>
          <w:rFonts w:ascii="仿宋" w:hAnsi="仿宋" w:eastAsia="仿宋" w:cs="仿宋"/>
          <w:szCs w:val="21"/>
        </w:rPr>
      </w:pPr>
    </w:p>
    <w:p w14:paraId="34EA0EB6">
      <w:pPr>
        <w:pStyle w:val="12"/>
        <w:spacing w:before="71"/>
        <w:ind w:firstLine="420" w:firstLineChars="200"/>
        <w:rPr>
          <w:rFonts w:ascii="仿宋" w:hAnsi="仿宋" w:eastAsia="仿宋" w:cs="仿宋"/>
          <w:szCs w:val="21"/>
        </w:rPr>
      </w:pPr>
      <w:r>
        <w:rPr>
          <w:rFonts w:hint="eastAsia" w:ascii="仿宋" w:hAnsi="仿宋" w:eastAsia="仿宋" w:cs="仿宋"/>
          <w:szCs w:val="21"/>
        </w:rPr>
        <w:t>日期：</w:t>
      </w:r>
    </w:p>
    <w:p w14:paraId="2D1D02AF">
      <w:pPr>
        <w:rPr>
          <w:rFonts w:hint="eastAsia" w:ascii="仿宋" w:hAnsi="仿宋" w:eastAsia="仿宋" w:cs="仿宋"/>
          <w:sz w:val="20"/>
        </w:rPr>
      </w:pPr>
      <w:r>
        <w:rPr>
          <w:rFonts w:hint="eastAsia" w:ascii="仿宋" w:hAnsi="仿宋" w:eastAsia="仿宋" w:cs="仿宋"/>
          <w:sz w:val="20"/>
        </w:rPr>
        <w:br w:type="page"/>
      </w:r>
    </w:p>
    <w:p w14:paraId="155BEE33">
      <w:pPr>
        <w:jc w:val="center"/>
        <w:rPr>
          <w:rFonts w:hint="eastAsia" w:ascii="仿宋" w:hAnsi="仿宋" w:eastAsia="仿宋" w:cs="仿宋"/>
          <w:b/>
          <w:bCs/>
          <w:sz w:val="28"/>
          <w:szCs w:val="32"/>
        </w:rPr>
      </w:pPr>
      <w:r>
        <w:rPr>
          <w:rFonts w:hint="eastAsia" w:ascii="仿宋" w:hAnsi="仿宋" w:eastAsia="仿宋" w:cs="仿宋"/>
          <w:b/>
          <w:bCs/>
          <w:sz w:val="28"/>
          <w:szCs w:val="32"/>
          <w:lang w:val="en-US" w:eastAsia="zh-CN"/>
        </w:rPr>
        <w:t>（二）技术要求响应与</w:t>
      </w:r>
      <w:r>
        <w:rPr>
          <w:rFonts w:hint="eastAsia" w:ascii="仿宋" w:hAnsi="仿宋" w:eastAsia="仿宋" w:cs="仿宋"/>
          <w:b/>
          <w:bCs/>
          <w:sz w:val="28"/>
          <w:szCs w:val="32"/>
        </w:rPr>
        <w:t>偏差表</w:t>
      </w:r>
    </w:p>
    <w:p w14:paraId="13EE5953">
      <w:pPr>
        <w:widowControl w:val="0"/>
        <w:spacing w:before="71" w:after="120"/>
        <w:ind w:left="820"/>
        <w:jc w:val="both"/>
        <w:rPr>
          <w:rFonts w:ascii="仿宋" w:hAnsi="仿宋" w:eastAsia="仿宋" w:cs="仿宋"/>
          <w:kern w:val="2"/>
          <w:sz w:val="21"/>
          <w:szCs w:val="21"/>
          <w:lang w:val="en-US" w:eastAsia="zh-CN" w:bidi="ar-SA"/>
        </w:rPr>
      </w:pPr>
    </w:p>
    <w:tbl>
      <w:tblPr>
        <w:tblStyle w:val="33"/>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096"/>
        <w:gridCol w:w="1388"/>
        <w:gridCol w:w="1087"/>
        <w:gridCol w:w="1103"/>
        <w:gridCol w:w="1073"/>
        <w:gridCol w:w="1279"/>
        <w:gridCol w:w="959"/>
      </w:tblGrid>
      <w:tr w14:paraId="4D90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93" w:type="dxa"/>
            <w:vMerge w:val="restart"/>
            <w:noWrap w:val="0"/>
            <w:vAlign w:val="center"/>
          </w:tcPr>
          <w:p w14:paraId="144B03F7">
            <w:pPr>
              <w:widowControl w:val="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序号</w:t>
            </w:r>
          </w:p>
        </w:tc>
        <w:tc>
          <w:tcPr>
            <w:tcW w:w="1096" w:type="dxa"/>
            <w:vMerge w:val="restart"/>
            <w:noWrap w:val="0"/>
            <w:vAlign w:val="center"/>
          </w:tcPr>
          <w:p w14:paraId="36A6C858">
            <w:pPr>
              <w:widowControl w:val="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货物</w:t>
            </w:r>
          </w:p>
          <w:p w14:paraId="0151719B">
            <w:pPr>
              <w:widowControl w:val="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名称</w:t>
            </w:r>
          </w:p>
        </w:tc>
        <w:tc>
          <w:tcPr>
            <w:tcW w:w="1388" w:type="dxa"/>
            <w:vMerge w:val="restart"/>
            <w:noWrap w:val="0"/>
            <w:vAlign w:val="center"/>
          </w:tcPr>
          <w:p w14:paraId="24436211">
            <w:pPr>
              <w:widowControl w:val="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招标文件设备参数</w:t>
            </w:r>
          </w:p>
        </w:tc>
        <w:tc>
          <w:tcPr>
            <w:tcW w:w="3263" w:type="dxa"/>
            <w:gridSpan w:val="3"/>
            <w:noWrap w:val="0"/>
            <w:vAlign w:val="center"/>
          </w:tcPr>
          <w:p w14:paraId="33DE5ED4">
            <w:pPr>
              <w:widowControl w:val="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投标产品</w:t>
            </w:r>
          </w:p>
        </w:tc>
        <w:tc>
          <w:tcPr>
            <w:tcW w:w="1279" w:type="dxa"/>
            <w:vMerge w:val="restart"/>
            <w:noWrap w:val="0"/>
            <w:vAlign w:val="center"/>
          </w:tcPr>
          <w:p w14:paraId="0EC17569">
            <w:pPr>
              <w:widowControl w:val="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偏差描述</w:t>
            </w:r>
          </w:p>
        </w:tc>
        <w:tc>
          <w:tcPr>
            <w:tcW w:w="959" w:type="dxa"/>
            <w:vMerge w:val="restart"/>
            <w:noWrap w:val="0"/>
            <w:vAlign w:val="center"/>
          </w:tcPr>
          <w:p w14:paraId="7EBAB4F9">
            <w:pPr>
              <w:widowControl w:val="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结论</w:t>
            </w:r>
          </w:p>
        </w:tc>
      </w:tr>
      <w:tr w14:paraId="3ECA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593" w:type="dxa"/>
            <w:vMerge w:val="continue"/>
            <w:noWrap w:val="0"/>
            <w:vAlign w:val="center"/>
          </w:tcPr>
          <w:p w14:paraId="511D7AA4">
            <w:pPr>
              <w:widowControl w:val="0"/>
              <w:jc w:val="center"/>
              <w:rPr>
                <w:rFonts w:hint="eastAsia" w:ascii="仿宋" w:hAnsi="仿宋" w:eastAsia="仿宋"/>
                <w:kern w:val="0"/>
                <w:sz w:val="24"/>
                <w:szCs w:val="24"/>
                <w:lang w:val="en-US" w:eastAsia="zh-CN" w:bidi="ar-SA"/>
              </w:rPr>
            </w:pPr>
          </w:p>
        </w:tc>
        <w:tc>
          <w:tcPr>
            <w:tcW w:w="1096" w:type="dxa"/>
            <w:vMerge w:val="continue"/>
            <w:noWrap w:val="0"/>
            <w:vAlign w:val="center"/>
          </w:tcPr>
          <w:p w14:paraId="454B71D9">
            <w:pPr>
              <w:widowControl w:val="0"/>
              <w:jc w:val="center"/>
              <w:rPr>
                <w:rFonts w:hint="eastAsia" w:ascii="仿宋" w:hAnsi="仿宋" w:eastAsia="仿宋"/>
                <w:kern w:val="0"/>
                <w:sz w:val="24"/>
                <w:szCs w:val="24"/>
                <w:lang w:val="en-US" w:eastAsia="zh-CN" w:bidi="ar-SA"/>
              </w:rPr>
            </w:pPr>
          </w:p>
        </w:tc>
        <w:tc>
          <w:tcPr>
            <w:tcW w:w="1388" w:type="dxa"/>
            <w:vMerge w:val="continue"/>
            <w:noWrap w:val="0"/>
            <w:vAlign w:val="center"/>
          </w:tcPr>
          <w:p w14:paraId="6C97E90E">
            <w:pPr>
              <w:widowControl w:val="0"/>
              <w:jc w:val="center"/>
              <w:rPr>
                <w:rFonts w:hint="eastAsia" w:ascii="仿宋" w:hAnsi="仿宋" w:eastAsia="仿宋"/>
                <w:kern w:val="0"/>
                <w:sz w:val="24"/>
                <w:szCs w:val="24"/>
                <w:lang w:val="en-US" w:eastAsia="zh-CN" w:bidi="ar-SA"/>
              </w:rPr>
            </w:pPr>
          </w:p>
        </w:tc>
        <w:tc>
          <w:tcPr>
            <w:tcW w:w="1087" w:type="dxa"/>
            <w:noWrap w:val="0"/>
            <w:vAlign w:val="center"/>
          </w:tcPr>
          <w:p w14:paraId="2727D466">
            <w:pPr>
              <w:widowControl w:val="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制造商名称</w:t>
            </w:r>
          </w:p>
        </w:tc>
        <w:tc>
          <w:tcPr>
            <w:tcW w:w="1103" w:type="dxa"/>
            <w:noWrap w:val="0"/>
            <w:vAlign w:val="center"/>
          </w:tcPr>
          <w:p w14:paraId="7FA87156">
            <w:pPr>
              <w:widowControl w:val="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品牌</w:t>
            </w:r>
          </w:p>
          <w:p w14:paraId="0EF37233">
            <w:pPr>
              <w:widowControl w:val="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型号</w:t>
            </w:r>
          </w:p>
        </w:tc>
        <w:tc>
          <w:tcPr>
            <w:tcW w:w="1073" w:type="dxa"/>
            <w:noWrap w:val="0"/>
            <w:vAlign w:val="center"/>
          </w:tcPr>
          <w:p w14:paraId="4B5C16FB">
            <w:pPr>
              <w:widowControl w:val="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产品实际技术参数</w:t>
            </w:r>
          </w:p>
        </w:tc>
        <w:tc>
          <w:tcPr>
            <w:tcW w:w="1279" w:type="dxa"/>
            <w:vMerge w:val="continue"/>
            <w:noWrap w:val="0"/>
            <w:vAlign w:val="center"/>
          </w:tcPr>
          <w:p w14:paraId="4A5259E0">
            <w:pPr>
              <w:widowControl w:val="0"/>
              <w:jc w:val="center"/>
              <w:rPr>
                <w:rFonts w:hint="eastAsia" w:ascii="仿宋" w:hAnsi="仿宋" w:eastAsia="仿宋"/>
                <w:kern w:val="0"/>
                <w:sz w:val="24"/>
                <w:szCs w:val="24"/>
                <w:lang w:val="en-US" w:eastAsia="zh-CN" w:bidi="ar-SA"/>
              </w:rPr>
            </w:pPr>
          </w:p>
        </w:tc>
        <w:tc>
          <w:tcPr>
            <w:tcW w:w="959" w:type="dxa"/>
            <w:vMerge w:val="continue"/>
            <w:noWrap w:val="0"/>
            <w:vAlign w:val="center"/>
          </w:tcPr>
          <w:p w14:paraId="520F50B3">
            <w:pPr>
              <w:widowControl w:val="0"/>
              <w:jc w:val="center"/>
              <w:rPr>
                <w:rFonts w:hint="eastAsia" w:ascii="仿宋" w:hAnsi="仿宋" w:eastAsia="仿宋"/>
                <w:kern w:val="0"/>
                <w:sz w:val="24"/>
                <w:szCs w:val="24"/>
                <w:lang w:val="en-US" w:eastAsia="zh-CN" w:bidi="ar-SA"/>
              </w:rPr>
            </w:pPr>
          </w:p>
        </w:tc>
      </w:tr>
      <w:tr w14:paraId="45B5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93" w:type="dxa"/>
            <w:noWrap w:val="0"/>
            <w:vAlign w:val="top"/>
          </w:tcPr>
          <w:p w14:paraId="19F1C877">
            <w:pPr>
              <w:widowControl w:val="0"/>
              <w:jc w:val="both"/>
              <w:rPr>
                <w:rFonts w:hint="eastAsia" w:ascii="仿宋" w:hAnsi="仿宋" w:eastAsia="仿宋"/>
                <w:kern w:val="0"/>
                <w:sz w:val="24"/>
                <w:szCs w:val="24"/>
                <w:lang w:val="en-US" w:eastAsia="zh-CN" w:bidi="ar-SA"/>
              </w:rPr>
            </w:pPr>
          </w:p>
        </w:tc>
        <w:tc>
          <w:tcPr>
            <w:tcW w:w="1096" w:type="dxa"/>
            <w:noWrap w:val="0"/>
            <w:vAlign w:val="top"/>
          </w:tcPr>
          <w:p w14:paraId="3F60F3B0">
            <w:pPr>
              <w:widowControl w:val="0"/>
              <w:jc w:val="both"/>
              <w:rPr>
                <w:rFonts w:hint="eastAsia" w:ascii="仿宋" w:hAnsi="仿宋" w:eastAsia="仿宋"/>
                <w:kern w:val="0"/>
                <w:sz w:val="24"/>
                <w:szCs w:val="24"/>
                <w:lang w:val="en-US" w:eastAsia="zh-CN" w:bidi="ar-SA"/>
              </w:rPr>
            </w:pPr>
          </w:p>
        </w:tc>
        <w:tc>
          <w:tcPr>
            <w:tcW w:w="1388" w:type="dxa"/>
            <w:noWrap w:val="0"/>
            <w:vAlign w:val="top"/>
          </w:tcPr>
          <w:p w14:paraId="1C217294">
            <w:pPr>
              <w:widowControl w:val="0"/>
              <w:jc w:val="both"/>
              <w:rPr>
                <w:rFonts w:hint="eastAsia" w:ascii="仿宋" w:hAnsi="仿宋" w:eastAsia="仿宋"/>
                <w:kern w:val="0"/>
                <w:sz w:val="24"/>
                <w:szCs w:val="24"/>
                <w:lang w:val="en-US" w:eastAsia="zh-CN" w:bidi="ar-SA"/>
              </w:rPr>
            </w:pPr>
          </w:p>
        </w:tc>
        <w:tc>
          <w:tcPr>
            <w:tcW w:w="1087" w:type="dxa"/>
            <w:noWrap w:val="0"/>
            <w:vAlign w:val="top"/>
          </w:tcPr>
          <w:p w14:paraId="181AEBFB">
            <w:pPr>
              <w:widowControl w:val="0"/>
              <w:jc w:val="both"/>
              <w:rPr>
                <w:rFonts w:hint="eastAsia" w:ascii="仿宋" w:hAnsi="仿宋" w:eastAsia="仿宋"/>
                <w:kern w:val="0"/>
                <w:sz w:val="24"/>
                <w:szCs w:val="24"/>
                <w:lang w:val="en-US" w:eastAsia="zh-CN" w:bidi="ar-SA"/>
              </w:rPr>
            </w:pPr>
          </w:p>
        </w:tc>
        <w:tc>
          <w:tcPr>
            <w:tcW w:w="1103" w:type="dxa"/>
            <w:noWrap w:val="0"/>
            <w:vAlign w:val="top"/>
          </w:tcPr>
          <w:p w14:paraId="4DCF7D1A">
            <w:pPr>
              <w:widowControl w:val="0"/>
              <w:jc w:val="both"/>
              <w:rPr>
                <w:rFonts w:hint="eastAsia" w:ascii="仿宋" w:hAnsi="仿宋" w:eastAsia="仿宋"/>
                <w:kern w:val="0"/>
                <w:sz w:val="24"/>
                <w:szCs w:val="24"/>
                <w:lang w:val="en-US" w:eastAsia="zh-CN" w:bidi="ar-SA"/>
              </w:rPr>
            </w:pPr>
          </w:p>
        </w:tc>
        <w:tc>
          <w:tcPr>
            <w:tcW w:w="1073" w:type="dxa"/>
            <w:noWrap w:val="0"/>
            <w:vAlign w:val="top"/>
          </w:tcPr>
          <w:p w14:paraId="1A6C2A2D">
            <w:pPr>
              <w:widowControl w:val="0"/>
              <w:jc w:val="both"/>
              <w:rPr>
                <w:rFonts w:hint="eastAsia" w:ascii="仿宋" w:hAnsi="仿宋" w:eastAsia="仿宋"/>
                <w:kern w:val="0"/>
                <w:sz w:val="24"/>
                <w:szCs w:val="24"/>
                <w:lang w:val="en-US" w:eastAsia="zh-CN" w:bidi="ar-SA"/>
              </w:rPr>
            </w:pPr>
          </w:p>
        </w:tc>
        <w:tc>
          <w:tcPr>
            <w:tcW w:w="1279" w:type="dxa"/>
            <w:noWrap w:val="0"/>
            <w:vAlign w:val="top"/>
          </w:tcPr>
          <w:p w14:paraId="5F9DBCDA">
            <w:pPr>
              <w:widowControl w:val="0"/>
              <w:jc w:val="both"/>
              <w:rPr>
                <w:rFonts w:hint="eastAsia" w:ascii="仿宋" w:hAnsi="仿宋" w:eastAsia="仿宋"/>
                <w:kern w:val="0"/>
                <w:sz w:val="24"/>
                <w:szCs w:val="24"/>
                <w:lang w:val="en-US" w:eastAsia="zh-CN" w:bidi="ar-SA"/>
              </w:rPr>
            </w:pPr>
          </w:p>
        </w:tc>
        <w:tc>
          <w:tcPr>
            <w:tcW w:w="959" w:type="dxa"/>
            <w:noWrap w:val="0"/>
            <w:vAlign w:val="top"/>
          </w:tcPr>
          <w:p w14:paraId="2638DD5D">
            <w:pPr>
              <w:widowControl w:val="0"/>
              <w:jc w:val="both"/>
              <w:rPr>
                <w:rFonts w:hint="eastAsia" w:ascii="仿宋" w:hAnsi="仿宋" w:eastAsia="仿宋"/>
                <w:kern w:val="0"/>
                <w:sz w:val="24"/>
                <w:szCs w:val="24"/>
                <w:lang w:val="en-US" w:eastAsia="zh-CN" w:bidi="ar-SA"/>
              </w:rPr>
            </w:pPr>
          </w:p>
        </w:tc>
      </w:tr>
      <w:tr w14:paraId="0BFB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93" w:type="dxa"/>
            <w:noWrap w:val="0"/>
            <w:vAlign w:val="top"/>
          </w:tcPr>
          <w:p w14:paraId="5E740F30">
            <w:pPr>
              <w:widowControl w:val="0"/>
              <w:jc w:val="both"/>
              <w:rPr>
                <w:rFonts w:hint="eastAsia" w:ascii="仿宋" w:hAnsi="仿宋" w:eastAsia="仿宋"/>
                <w:kern w:val="0"/>
                <w:sz w:val="24"/>
                <w:szCs w:val="24"/>
                <w:lang w:val="en-US" w:eastAsia="zh-CN" w:bidi="ar-SA"/>
              </w:rPr>
            </w:pPr>
          </w:p>
        </w:tc>
        <w:tc>
          <w:tcPr>
            <w:tcW w:w="1096" w:type="dxa"/>
            <w:noWrap w:val="0"/>
            <w:vAlign w:val="top"/>
          </w:tcPr>
          <w:p w14:paraId="5CE52D52">
            <w:pPr>
              <w:widowControl w:val="0"/>
              <w:jc w:val="both"/>
              <w:rPr>
                <w:rFonts w:hint="eastAsia" w:ascii="仿宋" w:hAnsi="仿宋" w:eastAsia="仿宋"/>
                <w:kern w:val="0"/>
                <w:sz w:val="24"/>
                <w:szCs w:val="24"/>
                <w:lang w:val="en-US" w:eastAsia="zh-CN" w:bidi="ar-SA"/>
              </w:rPr>
            </w:pPr>
          </w:p>
        </w:tc>
        <w:tc>
          <w:tcPr>
            <w:tcW w:w="1388" w:type="dxa"/>
            <w:noWrap w:val="0"/>
            <w:vAlign w:val="top"/>
          </w:tcPr>
          <w:p w14:paraId="5FDBC4F7">
            <w:pPr>
              <w:widowControl w:val="0"/>
              <w:jc w:val="both"/>
              <w:rPr>
                <w:rFonts w:hint="eastAsia" w:ascii="仿宋" w:hAnsi="仿宋" w:eastAsia="仿宋"/>
                <w:kern w:val="0"/>
                <w:sz w:val="24"/>
                <w:szCs w:val="24"/>
                <w:lang w:val="en-US" w:eastAsia="zh-CN" w:bidi="ar-SA"/>
              </w:rPr>
            </w:pPr>
          </w:p>
        </w:tc>
        <w:tc>
          <w:tcPr>
            <w:tcW w:w="1087" w:type="dxa"/>
            <w:noWrap w:val="0"/>
            <w:vAlign w:val="top"/>
          </w:tcPr>
          <w:p w14:paraId="23C1E70F">
            <w:pPr>
              <w:widowControl w:val="0"/>
              <w:jc w:val="both"/>
              <w:rPr>
                <w:rFonts w:hint="eastAsia" w:ascii="仿宋" w:hAnsi="仿宋" w:eastAsia="仿宋"/>
                <w:kern w:val="0"/>
                <w:sz w:val="24"/>
                <w:szCs w:val="24"/>
                <w:lang w:val="en-US" w:eastAsia="zh-CN" w:bidi="ar-SA"/>
              </w:rPr>
            </w:pPr>
          </w:p>
        </w:tc>
        <w:tc>
          <w:tcPr>
            <w:tcW w:w="1103" w:type="dxa"/>
            <w:noWrap w:val="0"/>
            <w:vAlign w:val="top"/>
          </w:tcPr>
          <w:p w14:paraId="4D82A6A9">
            <w:pPr>
              <w:widowControl w:val="0"/>
              <w:jc w:val="both"/>
              <w:rPr>
                <w:rFonts w:hint="eastAsia" w:ascii="仿宋" w:hAnsi="仿宋" w:eastAsia="仿宋"/>
                <w:kern w:val="0"/>
                <w:sz w:val="24"/>
                <w:szCs w:val="24"/>
                <w:lang w:val="en-US" w:eastAsia="zh-CN" w:bidi="ar-SA"/>
              </w:rPr>
            </w:pPr>
          </w:p>
        </w:tc>
        <w:tc>
          <w:tcPr>
            <w:tcW w:w="1073" w:type="dxa"/>
            <w:noWrap w:val="0"/>
            <w:vAlign w:val="top"/>
          </w:tcPr>
          <w:p w14:paraId="22CD7652">
            <w:pPr>
              <w:widowControl w:val="0"/>
              <w:jc w:val="both"/>
              <w:rPr>
                <w:rFonts w:hint="eastAsia" w:ascii="仿宋" w:hAnsi="仿宋" w:eastAsia="仿宋"/>
                <w:kern w:val="0"/>
                <w:sz w:val="24"/>
                <w:szCs w:val="24"/>
                <w:lang w:val="en-US" w:eastAsia="zh-CN" w:bidi="ar-SA"/>
              </w:rPr>
            </w:pPr>
          </w:p>
        </w:tc>
        <w:tc>
          <w:tcPr>
            <w:tcW w:w="1279" w:type="dxa"/>
            <w:noWrap w:val="0"/>
            <w:vAlign w:val="top"/>
          </w:tcPr>
          <w:p w14:paraId="6D670CED">
            <w:pPr>
              <w:widowControl w:val="0"/>
              <w:jc w:val="both"/>
              <w:rPr>
                <w:rFonts w:hint="eastAsia" w:ascii="仿宋" w:hAnsi="仿宋" w:eastAsia="仿宋"/>
                <w:kern w:val="0"/>
                <w:sz w:val="24"/>
                <w:szCs w:val="24"/>
                <w:lang w:val="en-US" w:eastAsia="zh-CN" w:bidi="ar-SA"/>
              </w:rPr>
            </w:pPr>
          </w:p>
        </w:tc>
        <w:tc>
          <w:tcPr>
            <w:tcW w:w="959" w:type="dxa"/>
            <w:noWrap w:val="0"/>
            <w:vAlign w:val="top"/>
          </w:tcPr>
          <w:p w14:paraId="2463396A">
            <w:pPr>
              <w:widowControl w:val="0"/>
              <w:jc w:val="both"/>
              <w:rPr>
                <w:rFonts w:hint="eastAsia" w:ascii="仿宋" w:hAnsi="仿宋" w:eastAsia="仿宋"/>
                <w:kern w:val="0"/>
                <w:sz w:val="24"/>
                <w:szCs w:val="24"/>
                <w:lang w:val="en-US" w:eastAsia="zh-CN" w:bidi="ar-SA"/>
              </w:rPr>
            </w:pPr>
          </w:p>
        </w:tc>
      </w:tr>
      <w:tr w14:paraId="27B1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93" w:type="dxa"/>
            <w:noWrap w:val="0"/>
            <w:vAlign w:val="top"/>
          </w:tcPr>
          <w:p w14:paraId="4DA5E018">
            <w:pPr>
              <w:widowControl w:val="0"/>
              <w:jc w:val="both"/>
              <w:rPr>
                <w:rFonts w:hint="eastAsia" w:ascii="仿宋" w:hAnsi="仿宋" w:eastAsia="仿宋"/>
                <w:kern w:val="0"/>
                <w:sz w:val="24"/>
                <w:szCs w:val="24"/>
                <w:lang w:val="en-US" w:eastAsia="zh-CN" w:bidi="ar-SA"/>
              </w:rPr>
            </w:pPr>
          </w:p>
        </w:tc>
        <w:tc>
          <w:tcPr>
            <w:tcW w:w="1096" w:type="dxa"/>
            <w:noWrap w:val="0"/>
            <w:vAlign w:val="top"/>
          </w:tcPr>
          <w:p w14:paraId="3C96BAC4">
            <w:pPr>
              <w:widowControl w:val="0"/>
              <w:jc w:val="both"/>
              <w:rPr>
                <w:rFonts w:hint="eastAsia" w:ascii="仿宋" w:hAnsi="仿宋" w:eastAsia="仿宋"/>
                <w:kern w:val="0"/>
                <w:sz w:val="24"/>
                <w:szCs w:val="24"/>
                <w:lang w:val="en-US" w:eastAsia="zh-CN" w:bidi="ar-SA"/>
              </w:rPr>
            </w:pPr>
          </w:p>
        </w:tc>
        <w:tc>
          <w:tcPr>
            <w:tcW w:w="1388" w:type="dxa"/>
            <w:noWrap w:val="0"/>
            <w:vAlign w:val="top"/>
          </w:tcPr>
          <w:p w14:paraId="2B166ECF">
            <w:pPr>
              <w:widowControl w:val="0"/>
              <w:jc w:val="both"/>
              <w:rPr>
                <w:rFonts w:hint="eastAsia" w:ascii="仿宋" w:hAnsi="仿宋" w:eastAsia="仿宋"/>
                <w:kern w:val="0"/>
                <w:sz w:val="24"/>
                <w:szCs w:val="24"/>
                <w:lang w:val="en-US" w:eastAsia="zh-CN" w:bidi="ar-SA"/>
              </w:rPr>
            </w:pPr>
          </w:p>
        </w:tc>
        <w:tc>
          <w:tcPr>
            <w:tcW w:w="1087" w:type="dxa"/>
            <w:noWrap w:val="0"/>
            <w:vAlign w:val="top"/>
          </w:tcPr>
          <w:p w14:paraId="0D70D857">
            <w:pPr>
              <w:widowControl w:val="0"/>
              <w:jc w:val="both"/>
              <w:rPr>
                <w:rFonts w:hint="eastAsia" w:ascii="仿宋" w:hAnsi="仿宋" w:eastAsia="仿宋"/>
                <w:kern w:val="0"/>
                <w:sz w:val="24"/>
                <w:szCs w:val="24"/>
                <w:lang w:val="en-US" w:eastAsia="zh-CN" w:bidi="ar-SA"/>
              </w:rPr>
            </w:pPr>
          </w:p>
        </w:tc>
        <w:tc>
          <w:tcPr>
            <w:tcW w:w="1103" w:type="dxa"/>
            <w:noWrap w:val="0"/>
            <w:vAlign w:val="top"/>
          </w:tcPr>
          <w:p w14:paraId="1434DC55">
            <w:pPr>
              <w:widowControl w:val="0"/>
              <w:jc w:val="both"/>
              <w:rPr>
                <w:rFonts w:hint="eastAsia" w:ascii="仿宋" w:hAnsi="仿宋" w:eastAsia="仿宋"/>
                <w:kern w:val="0"/>
                <w:sz w:val="24"/>
                <w:szCs w:val="24"/>
                <w:lang w:val="en-US" w:eastAsia="zh-CN" w:bidi="ar-SA"/>
              </w:rPr>
            </w:pPr>
          </w:p>
        </w:tc>
        <w:tc>
          <w:tcPr>
            <w:tcW w:w="1073" w:type="dxa"/>
            <w:noWrap w:val="0"/>
            <w:vAlign w:val="top"/>
          </w:tcPr>
          <w:p w14:paraId="0E2AA8D1">
            <w:pPr>
              <w:widowControl w:val="0"/>
              <w:jc w:val="both"/>
              <w:rPr>
                <w:rFonts w:hint="eastAsia" w:ascii="仿宋" w:hAnsi="仿宋" w:eastAsia="仿宋"/>
                <w:kern w:val="0"/>
                <w:sz w:val="24"/>
                <w:szCs w:val="24"/>
                <w:lang w:val="en-US" w:eastAsia="zh-CN" w:bidi="ar-SA"/>
              </w:rPr>
            </w:pPr>
          </w:p>
        </w:tc>
        <w:tc>
          <w:tcPr>
            <w:tcW w:w="1279" w:type="dxa"/>
            <w:noWrap w:val="0"/>
            <w:vAlign w:val="top"/>
          </w:tcPr>
          <w:p w14:paraId="655ED6D9">
            <w:pPr>
              <w:widowControl w:val="0"/>
              <w:jc w:val="both"/>
              <w:rPr>
                <w:rFonts w:hint="eastAsia" w:ascii="仿宋" w:hAnsi="仿宋" w:eastAsia="仿宋"/>
                <w:kern w:val="0"/>
                <w:sz w:val="24"/>
                <w:szCs w:val="24"/>
                <w:lang w:val="en-US" w:eastAsia="zh-CN" w:bidi="ar-SA"/>
              </w:rPr>
            </w:pPr>
          </w:p>
        </w:tc>
        <w:tc>
          <w:tcPr>
            <w:tcW w:w="959" w:type="dxa"/>
            <w:noWrap w:val="0"/>
            <w:vAlign w:val="top"/>
          </w:tcPr>
          <w:p w14:paraId="5136B3F3">
            <w:pPr>
              <w:widowControl w:val="0"/>
              <w:jc w:val="both"/>
              <w:rPr>
                <w:rFonts w:hint="eastAsia" w:ascii="仿宋" w:hAnsi="仿宋" w:eastAsia="仿宋"/>
                <w:kern w:val="0"/>
                <w:sz w:val="24"/>
                <w:szCs w:val="24"/>
                <w:lang w:val="en-US" w:eastAsia="zh-CN" w:bidi="ar-SA"/>
              </w:rPr>
            </w:pPr>
          </w:p>
        </w:tc>
      </w:tr>
      <w:tr w14:paraId="694D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93" w:type="dxa"/>
            <w:noWrap w:val="0"/>
            <w:vAlign w:val="top"/>
          </w:tcPr>
          <w:p w14:paraId="0AE5EAEE">
            <w:pPr>
              <w:widowControl w:val="0"/>
              <w:jc w:val="both"/>
              <w:rPr>
                <w:rFonts w:hint="eastAsia" w:ascii="仿宋" w:hAnsi="仿宋" w:eastAsia="仿宋"/>
                <w:kern w:val="0"/>
                <w:sz w:val="24"/>
                <w:szCs w:val="24"/>
                <w:lang w:val="en-US" w:eastAsia="zh-CN" w:bidi="ar-SA"/>
              </w:rPr>
            </w:pPr>
          </w:p>
        </w:tc>
        <w:tc>
          <w:tcPr>
            <w:tcW w:w="1096" w:type="dxa"/>
            <w:noWrap w:val="0"/>
            <w:vAlign w:val="top"/>
          </w:tcPr>
          <w:p w14:paraId="3558036D">
            <w:pPr>
              <w:widowControl w:val="0"/>
              <w:jc w:val="both"/>
              <w:rPr>
                <w:rFonts w:hint="eastAsia" w:ascii="仿宋" w:hAnsi="仿宋" w:eastAsia="仿宋"/>
                <w:kern w:val="0"/>
                <w:sz w:val="24"/>
                <w:szCs w:val="24"/>
                <w:lang w:val="en-US" w:eastAsia="zh-CN" w:bidi="ar-SA"/>
              </w:rPr>
            </w:pPr>
          </w:p>
        </w:tc>
        <w:tc>
          <w:tcPr>
            <w:tcW w:w="1388" w:type="dxa"/>
            <w:noWrap w:val="0"/>
            <w:vAlign w:val="top"/>
          </w:tcPr>
          <w:p w14:paraId="3D70CBC6">
            <w:pPr>
              <w:widowControl w:val="0"/>
              <w:jc w:val="both"/>
              <w:rPr>
                <w:rFonts w:hint="eastAsia" w:ascii="仿宋" w:hAnsi="仿宋" w:eastAsia="仿宋"/>
                <w:kern w:val="0"/>
                <w:sz w:val="24"/>
                <w:szCs w:val="24"/>
                <w:lang w:val="en-US" w:eastAsia="zh-CN" w:bidi="ar-SA"/>
              </w:rPr>
            </w:pPr>
          </w:p>
        </w:tc>
        <w:tc>
          <w:tcPr>
            <w:tcW w:w="1087" w:type="dxa"/>
            <w:noWrap w:val="0"/>
            <w:vAlign w:val="top"/>
          </w:tcPr>
          <w:p w14:paraId="0C151E7B">
            <w:pPr>
              <w:widowControl w:val="0"/>
              <w:jc w:val="both"/>
              <w:rPr>
                <w:rFonts w:hint="eastAsia" w:ascii="仿宋" w:hAnsi="仿宋" w:eastAsia="仿宋"/>
                <w:kern w:val="0"/>
                <w:sz w:val="24"/>
                <w:szCs w:val="24"/>
                <w:lang w:val="en-US" w:eastAsia="zh-CN" w:bidi="ar-SA"/>
              </w:rPr>
            </w:pPr>
          </w:p>
        </w:tc>
        <w:tc>
          <w:tcPr>
            <w:tcW w:w="1103" w:type="dxa"/>
            <w:noWrap w:val="0"/>
            <w:vAlign w:val="top"/>
          </w:tcPr>
          <w:p w14:paraId="3E21DA5D">
            <w:pPr>
              <w:widowControl w:val="0"/>
              <w:jc w:val="both"/>
              <w:rPr>
                <w:rFonts w:hint="eastAsia" w:ascii="仿宋" w:hAnsi="仿宋" w:eastAsia="仿宋"/>
                <w:kern w:val="0"/>
                <w:sz w:val="24"/>
                <w:szCs w:val="24"/>
                <w:lang w:val="en-US" w:eastAsia="zh-CN" w:bidi="ar-SA"/>
              </w:rPr>
            </w:pPr>
          </w:p>
        </w:tc>
        <w:tc>
          <w:tcPr>
            <w:tcW w:w="1073" w:type="dxa"/>
            <w:noWrap w:val="0"/>
            <w:vAlign w:val="top"/>
          </w:tcPr>
          <w:p w14:paraId="575ECAA4">
            <w:pPr>
              <w:widowControl w:val="0"/>
              <w:jc w:val="both"/>
              <w:rPr>
                <w:rFonts w:hint="eastAsia" w:ascii="仿宋" w:hAnsi="仿宋" w:eastAsia="仿宋"/>
                <w:kern w:val="0"/>
                <w:sz w:val="24"/>
                <w:szCs w:val="24"/>
                <w:lang w:val="en-US" w:eastAsia="zh-CN" w:bidi="ar-SA"/>
              </w:rPr>
            </w:pPr>
          </w:p>
        </w:tc>
        <w:tc>
          <w:tcPr>
            <w:tcW w:w="1279" w:type="dxa"/>
            <w:noWrap w:val="0"/>
            <w:vAlign w:val="top"/>
          </w:tcPr>
          <w:p w14:paraId="2E2A441A">
            <w:pPr>
              <w:widowControl w:val="0"/>
              <w:jc w:val="both"/>
              <w:rPr>
                <w:rFonts w:hint="eastAsia" w:ascii="仿宋" w:hAnsi="仿宋" w:eastAsia="仿宋"/>
                <w:kern w:val="0"/>
                <w:sz w:val="24"/>
                <w:szCs w:val="24"/>
                <w:lang w:val="en-US" w:eastAsia="zh-CN" w:bidi="ar-SA"/>
              </w:rPr>
            </w:pPr>
          </w:p>
        </w:tc>
        <w:tc>
          <w:tcPr>
            <w:tcW w:w="959" w:type="dxa"/>
            <w:noWrap w:val="0"/>
            <w:vAlign w:val="top"/>
          </w:tcPr>
          <w:p w14:paraId="5FDB940E">
            <w:pPr>
              <w:widowControl w:val="0"/>
              <w:jc w:val="both"/>
              <w:rPr>
                <w:rFonts w:hint="eastAsia" w:ascii="仿宋" w:hAnsi="仿宋" w:eastAsia="仿宋"/>
                <w:kern w:val="0"/>
                <w:sz w:val="24"/>
                <w:szCs w:val="24"/>
                <w:lang w:val="en-US" w:eastAsia="zh-CN" w:bidi="ar-SA"/>
              </w:rPr>
            </w:pPr>
          </w:p>
        </w:tc>
      </w:tr>
    </w:tbl>
    <w:p w14:paraId="26E7DC37">
      <w:pPr>
        <w:widowControl/>
        <w:rPr>
          <w:rFonts w:hint="eastAsia" w:ascii="仿宋" w:hAnsi="仿宋" w:eastAsia="仿宋"/>
          <w:spacing w:val="14"/>
          <w:kern w:val="0"/>
          <w:szCs w:val="21"/>
        </w:rPr>
      </w:pPr>
    </w:p>
    <w:p w14:paraId="5153EF3B">
      <w:pPr>
        <w:widowControl/>
        <w:rPr>
          <w:rFonts w:hint="eastAsia" w:ascii="仿宋" w:hAnsi="仿宋" w:eastAsia="仿宋"/>
          <w:spacing w:val="14"/>
          <w:kern w:val="0"/>
          <w:szCs w:val="21"/>
        </w:rPr>
      </w:pPr>
    </w:p>
    <w:p w14:paraId="0741F20F">
      <w:pPr>
        <w:widowControl/>
        <w:rPr>
          <w:rFonts w:hint="eastAsia" w:ascii="仿宋" w:hAnsi="仿宋" w:eastAsia="仿宋"/>
          <w:spacing w:val="14"/>
          <w:kern w:val="0"/>
          <w:szCs w:val="21"/>
        </w:rPr>
      </w:pPr>
      <w:r>
        <w:rPr>
          <w:rFonts w:hint="eastAsia" w:ascii="仿宋" w:hAnsi="仿宋" w:eastAsia="仿宋"/>
          <w:spacing w:val="14"/>
          <w:kern w:val="0"/>
          <w:szCs w:val="21"/>
        </w:rPr>
        <w:t xml:space="preserve">投标人（企业电子章）：                                           </w:t>
      </w:r>
    </w:p>
    <w:p w14:paraId="26DBB349">
      <w:pPr>
        <w:widowControl/>
        <w:rPr>
          <w:rFonts w:ascii="仿宋" w:hAnsi="仿宋" w:eastAsia="仿宋"/>
          <w:spacing w:val="14"/>
          <w:kern w:val="0"/>
          <w:szCs w:val="21"/>
        </w:rPr>
      </w:pPr>
    </w:p>
    <w:p w14:paraId="436C6EA4">
      <w:pPr>
        <w:widowControl/>
        <w:rPr>
          <w:rFonts w:hint="eastAsia" w:ascii="仿宋" w:hAnsi="仿宋" w:eastAsia="仿宋"/>
          <w:spacing w:val="14"/>
          <w:kern w:val="0"/>
          <w:szCs w:val="21"/>
        </w:rPr>
      </w:pPr>
      <w:r>
        <w:rPr>
          <w:rFonts w:hint="eastAsia" w:ascii="仿宋" w:hAnsi="仿宋" w:eastAsia="仿宋"/>
          <w:spacing w:val="14"/>
          <w:kern w:val="0"/>
          <w:szCs w:val="21"/>
        </w:rPr>
        <w:t>注：</w:t>
      </w:r>
    </w:p>
    <w:p w14:paraId="6F174357">
      <w:pPr>
        <w:widowControl/>
        <w:ind w:firstLine="482"/>
        <w:rPr>
          <w:rFonts w:hint="eastAsia" w:ascii="仿宋" w:hAnsi="仿宋" w:eastAsia="仿宋"/>
          <w:spacing w:val="14"/>
          <w:kern w:val="0"/>
          <w:szCs w:val="21"/>
        </w:rPr>
      </w:pPr>
      <w:r>
        <w:rPr>
          <w:rFonts w:hint="eastAsia" w:ascii="仿宋" w:hAnsi="仿宋" w:eastAsia="仿宋"/>
          <w:spacing w:val="14"/>
          <w:kern w:val="0"/>
          <w:szCs w:val="21"/>
        </w:rPr>
        <w:t>1、投标人应根据招标要求逐条逐项表述说明投标响应情况。</w:t>
      </w:r>
    </w:p>
    <w:p w14:paraId="0A0FAFCC">
      <w:pPr>
        <w:widowControl/>
        <w:ind w:firstLine="476" w:firstLineChars="200"/>
        <w:rPr>
          <w:rFonts w:hint="eastAsia" w:ascii="仿宋" w:hAnsi="仿宋" w:eastAsia="仿宋"/>
          <w:b/>
          <w:bCs/>
          <w:kern w:val="0"/>
          <w:sz w:val="28"/>
          <w:szCs w:val="28"/>
        </w:rPr>
      </w:pPr>
      <w:r>
        <w:rPr>
          <w:rFonts w:hint="eastAsia" w:ascii="仿宋" w:hAnsi="仿宋" w:eastAsia="仿宋"/>
          <w:spacing w:val="14"/>
          <w:kern w:val="0"/>
          <w:szCs w:val="21"/>
        </w:rPr>
        <w:t>2、投标人可根据需要自行增减表格行数。</w:t>
      </w:r>
    </w:p>
    <w:p w14:paraId="6E8886A7">
      <w:pPr>
        <w:widowControl w:val="0"/>
        <w:spacing w:before="71" w:after="120"/>
        <w:ind w:left="820"/>
        <w:jc w:val="both"/>
        <w:rPr>
          <w:rFonts w:ascii="仿宋" w:hAnsi="仿宋" w:eastAsia="仿宋" w:cs="仿宋"/>
          <w:kern w:val="2"/>
          <w:sz w:val="21"/>
          <w:szCs w:val="21"/>
          <w:lang w:val="en-US" w:eastAsia="zh-CN" w:bidi="ar-SA"/>
        </w:rPr>
      </w:pPr>
    </w:p>
    <w:p w14:paraId="082CAB3A">
      <w:pPr>
        <w:widowControl w:val="0"/>
        <w:spacing w:before="71" w:after="120"/>
        <w:ind w:left="820"/>
        <w:jc w:val="both"/>
        <w:rPr>
          <w:rFonts w:ascii="仿宋" w:hAnsi="仿宋" w:eastAsia="仿宋" w:cs="仿宋"/>
          <w:kern w:val="2"/>
          <w:sz w:val="21"/>
          <w:szCs w:val="21"/>
          <w:lang w:val="en-US" w:eastAsia="zh-CN" w:bidi="ar-SA"/>
        </w:rPr>
      </w:pPr>
    </w:p>
    <w:p w14:paraId="79D51826">
      <w:pPr>
        <w:widowControl w:val="0"/>
        <w:spacing w:before="71" w:after="120"/>
        <w:ind w:left="820"/>
        <w:jc w:val="both"/>
        <w:rPr>
          <w:rFonts w:ascii="仿宋" w:hAnsi="仿宋" w:eastAsia="仿宋" w:cs="仿宋"/>
          <w:kern w:val="2"/>
          <w:sz w:val="21"/>
          <w:szCs w:val="21"/>
          <w:lang w:val="en-US" w:eastAsia="zh-CN" w:bidi="ar-SA"/>
        </w:rPr>
      </w:pPr>
    </w:p>
    <w:p w14:paraId="7491C9B6">
      <w:pPr>
        <w:widowControl w:val="0"/>
        <w:spacing w:before="71" w:after="120"/>
        <w:ind w:left="820"/>
        <w:jc w:val="both"/>
        <w:rPr>
          <w:rFonts w:ascii="仿宋" w:hAnsi="仿宋" w:eastAsia="仿宋" w:cs="仿宋"/>
          <w:kern w:val="2"/>
          <w:sz w:val="21"/>
          <w:szCs w:val="21"/>
          <w:lang w:val="en-US" w:eastAsia="zh-CN" w:bidi="ar-SA"/>
        </w:rPr>
      </w:pPr>
    </w:p>
    <w:p w14:paraId="68DB95E3">
      <w:pPr>
        <w:widowControl w:val="0"/>
        <w:spacing w:before="71" w:after="120"/>
        <w:ind w:firstLine="420" w:firstLineChars="200"/>
        <w:jc w:val="both"/>
        <w:rPr>
          <w:rFonts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投标人（盖单位电子章）：</w:t>
      </w:r>
    </w:p>
    <w:p w14:paraId="098E5F36">
      <w:pPr>
        <w:widowControl w:val="0"/>
        <w:spacing w:before="71" w:after="120"/>
        <w:ind w:left="820"/>
        <w:jc w:val="both"/>
        <w:rPr>
          <w:rFonts w:ascii="仿宋" w:hAnsi="仿宋" w:eastAsia="仿宋" w:cs="仿宋"/>
          <w:kern w:val="2"/>
          <w:sz w:val="21"/>
          <w:szCs w:val="21"/>
          <w:lang w:val="en-US" w:eastAsia="zh-CN" w:bidi="ar-SA"/>
        </w:rPr>
      </w:pPr>
    </w:p>
    <w:p w14:paraId="31E9C9D8">
      <w:pPr>
        <w:widowControl w:val="0"/>
        <w:spacing w:before="71" w:after="120"/>
        <w:ind w:firstLine="420" w:firstLineChars="200"/>
        <w:jc w:val="both"/>
        <w:rPr>
          <w:rFonts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法定代表人或授权委托人（签字或盖电子章）：</w:t>
      </w:r>
    </w:p>
    <w:p w14:paraId="5E08C7A1">
      <w:pPr>
        <w:widowControl w:val="0"/>
        <w:spacing w:before="71" w:after="120"/>
        <w:ind w:left="820"/>
        <w:jc w:val="both"/>
        <w:rPr>
          <w:rFonts w:ascii="仿宋" w:hAnsi="仿宋" w:eastAsia="仿宋" w:cs="仿宋"/>
          <w:kern w:val="2"/>
          <w:sz w:val="21"/>
          <w:szCs w:val="21"/>
          <w:lang w:val="en-US" w:eastAsia="zh-CN" w:bidi="ar-SA"/>
        </w:rPr>
      </w:pPr>
    </w:p>
    <w:p w14:paraId="4342A0B2">
      <w:pPr>
        <w:widowControl w:val="0"/>
        <w:spacing w:before="71" w:after="120"/>
        <w:ind w:firstLine="420" w:firstLineChars="200"/>
        <w:jc w:val="both"/>
        <w:rPr>
          <w:rFonts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日期：</w:t>
      </w:r>
    </w:p>
    <w:p w14:paraId="12432F37">
      <w:pPr>
        <w:rPr>
          <w:rFonts w:ascii="仿宋" w:hAnsi="仿宋" w:eastAsia="仿宋" w:cs="仿宋"/>
          <w:sz w:val="20"/>
        </w:rPr>
      </w:pPr>
      <w:r>
        <w:rPr>
          <w:rFonts w:hint="eastAsia" w:ascii="仿宋" w:hAnsi="仿宋" w:eastAsia="仿宋" w:cs="仿宋"/>
          <w:sz w:val="20"/>
        </w:rPr>
        <w:br w:type="page"/>
      </w:r>
    </w:p>
    <w:p w14:paraId="36771551">
      <w:pPr>
        <w:pStyle w:val="3"/>
        <w:jc w:val="center"/>
        <w:rPr>
          <w:rFonts w:hint="eastAsia" w:ascii="仿宋" w:hAnsi="仿宋" w:eastAsia="仿宋" w:cs="仿宋"/>
          <w:b/>
          <w:bCs/>
          <w:kern w:val="2"/>
          <w:sz w:val="28"/>
          <w:szCs w:val="32"/>
          <w:lang w:val="en-US" w:eastAsia="zh-CN" w:bidi="ar-SA"/>
        </w:rPr>
      </w:pPr>
      <w:bookmarkStart w:id="604" w:name="_Toc10531"/>
      <w:bookmarkStart w:id="605" w:name="_Toc185327327"/>
      <w:bookmarkStart w:id="606" w:name="_Toc485218079"/>
      <w:bookmarkStart w:id="607" w:name="_Toc8804"/>
      <w:bookmarkStart w:id="608" w:name="_Toc6751"/>
      <w:bookmarkStart w:id="609" w:name="_Toc361508760"/>
      <w:r>
        <w:rPr>
          <w:rFonts w:hint="eastAsia" w:ascii="仿宋" w:hAnsi="仿宋" w:eastAsia="仿宋" w:cs="仿宋"/>
          <w:b/>
          <w:bCs/>
          <w:kern w:val="2"/>
          <w:sz w:val="28"/>
          <w:szCs w:val="32"/>
          <w:lang w:val="en-US" w:eastAsia="zh-CN" w:bidi="ar-SA"/>
        </w:rPr>
        <w:t>五、</w:t>
      </w:r>
      <w:bookmarkEnd w:id="604"/>
      <w:bookmarkEnd w:id="605"/>
      <w:bookmarkEnd w:id="606"/>
      <w:bookmarkEnd w:id="607"/>
      <w:bookmarkEnd w:id="608"/>
      <w:r>
        <w:rPr>
          <w:rFonts w:hint="eastAsia" w:ascii="仿宋" w:hAnsi="仿宋" w:eastAsia="仿宋" w:cs="仿宋"/>
          <w:b/>
          <w:bCs/>
          <w:kern w:val="2"/>
          <w:sz w:val="28"/>
          <w:szCs w:val="32"/>
          <w:lang w:val="en-US" w:eastAsia="zh-CN" w:bidi="ar-SA"/>
        </w:rPr>
        <w:t>分项报价表</w:t>
      </w:r>
    </w:p>
    <w:p w14:paraId="2CCFC7F6">
      <w:pPr>
        <w:autoSpaceDE w:val="0"/>
        <w:autoSpaceDN w:val="0"/>
        <w:jc w:val="left"/>
        <w:rPr>
          <w:rFonts w:ascii="仿宋" w:hAnsi="仿宋" w:eastAsia="仿宋" w:cs="仿宋"/>
          <w:b/>
          <w:kern w:val="0"/>
          <w:sz w:val="20"/>
          <w:szCs w:val="21"/>
          <w:lang w:val="zh-CN" w:bidi="zh-CN"/>
        </w:rPr>
      </w:pPr>
    </w:p>
    <w:p w14:paraId="7C2A7A49">
      <w:pPr>
        <w:autoSpaceDE w:val="0"/>
        <w:autoSpaceDN w:val="0"/>
        <w:jc w:val="left"/>
        <w:rPr>
          <w:rFonts w:ascii="仿宋" w:hAnsi="仿宋" w:eastAsia="仿宋" w:cs="仿宋"/>
          <w:b/>
          <w:kern w:val="0"/>
          <w:sz w:val="20"/>
          <w:szCs w:val="21"/>
          <w:lang w:val="zh-CN" w:bidi="zh-CN"/>
        </w:rPr>
      </w:pPr>
    </w:p>
    <w:tbl>
      <w:tblPr>
        <w:tblStyle w:val="33"/>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858"/>
        <w:gridCol w:w="1382"/>
        <w:gridCol w:w="1555"/>
        <w:gridCol w:w="988"/>
        <w:gridCol w:w="856"/>
        <w:gridCol w:w="1072"/>
        <w:gridCol w:w="1073"/>
      </w:tblGrid>
      <w:tr w14:paraId="0487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731" w:type="dxa"/>
            <w:noWrap w:val="0"/>
            <w:vAlign w:val="center"/>
          </w:tcPr>
          <w:p w14:paraId="16C228FD">
            <w:pPr>
              <w:widowControl/>
              <w:jc w:val="both"/>
              <w:rPr>
                <w:rFonts w:hint="eastAsia" w:ascii="仿宋" w:hAnsi="仿宋" w:eastAsia="仿宋"/>
                <w:spacing w:val="14"/>
                <w:kern w:val="0"/>
                <w:sz w:val="21"/>
                <w:szCs w:val="21"/>
                <w:lang w:val="en-US" w:eastAsia="zh-CN" w:bidi="ar-SA"/>
              </w:rPr>
            </w:pPr>
            <w:r>
              <w:rPr>
                <w:rFonts w:hint="eastAsia" w:ascii="仿宋" w:hAnsi="仿宋" w:eastAsia="仿宋"/>
                <w:spacing w:val="14"/>
                <w:kern w:val="0"/>
                <w:sz w:val="21"/>
                <w:szCs w:val="21"/>
                <w:lang w:val="en-US" w:eastAsia="zh-CN" w:bidi="ar-SA"/>
              </w:rPr>
              <w:t>序号</w:t>
            </w:r>
          </w:p>
        </w:tc>
        <w:tc>
          <w:tcPr>
            <w:tcW w:w="1858" w:type="dxa"/>
            <w:noWrap w:val="0"/>
            <w:vAlign w:val="center"/>
          </w:tcPr>
          <w:p w14:paraId="02143C78">
            <w:pPr>
              <w:widowControl/>
              <w:jc w:val="center"/>
              <w:rPr>
                <w:rFonts w:hint="eastAsia" w:ascii="仿宋" w:hAnsi="仿宋" w:eastAsia="仿宋"/>
                <w:spacing w:val="14"/>
                <w:kern w:val="0"/>
                <w:sz w:val="21"/>
                <w:szCs w:val="21"/>
                <w:lang w:val="en-US" w:eastAsia="zh-CN" w:bidi="ar-SA"/>
              </w:rPr>
            </w:pPr>
            <w:r>
              <w:rPr>
                <w:rFonts w:hint="eastAsia" w:ascii="仿宋" w:hAnsi="仿宋" w:eastAsia="仿宋"/>
                <w:spacing w:val="14"/>
                <w:kern w:val="0"/>
                <w:sz w:val="21"/>
                <w:szCs w:val="21"/>
                <w:lang w:val="en-US" w:eastAsia="zh-CN" w:bidi="ar-SA"/>
              </w:rPr>
              <w:t>货物名称</w:t>
            </w:r>
          </w:p>
        </w:tc>
        <w:tc>
          <w:tcPr>
            <w:tcW w:w="1382" w:type="dxa"/>
            <w:noWrap w:val="0"/>
            <w:vAlign w:val="center"/>
          </w:tcPr>
          <w:p w14:paraId="4F855B58">
            <w:pPr>
              <w:widowControl/>
              <w:jc w:val="both"/>
              <w:rPr>
                <w:rFonts w:hint="eastAsia" w:ascii="仿宋" w:hAnsi="仿宋" w:eastAsia="仿宋"/>
                <w:spacing w:val="14"/>
                <w:kern w:val="0"/>
                <w:sz w:val="21"/>
                <w:szCs w:val="21"/>
                <w:lang w:val="en-US" w:eastAsia="zh-CN" w:bidi="ar-SA"/>
              </w:rPr>
            </w:pPr>
            <w:r>
              <w:rPr>
                <w:rFonts w:hint="eastAsia" w:ascii="仿宋" w:hAnsi="仿宋" w:eastAsia="仿宋"/>
                <w:spacing w:val="14"/>
                <w:kern w:val="0"/>
                <w:sz w:val="21"/>
                <w:szCs w:val="21"/>
                <w:lang w:val="en-US" w:eastAsia="zh-CN" w:bidi="ar-SA"/>
              </w:rPr>
              <w:t>品牌及</w:t>
            </w:r>
          </w:p>
          <w:p w14:paraId="1F04AF81">
            <w:pPr>
              <w:widowControl/>
              <w:jc w:val="both"/>
              <w:rPr>
                <w:rFonts w:hint="eastAsia" w:ascii="仿宋" w:hAnsi="仿宋" w:eastAsia="仿宋"/>
                <w:spacing w:val="14"/>
                <w:kern w:val="0"/>
                <w:sz w:val="21"/>
                <w:szCs w:val="21"/>
                <w:lang w:val="en-US" w:eastAsia="zh-CN" w:bidi="ar-SA"/>
              </w:rPr>
            </w:pPr>
            <w:r>
              <w:rPr>
                <w:rFonts w:hint="eastAsia" w:ascii="仿宋" w:hAnsi="仿宋" w:eastAsia="仿宋"/>
                <w:spacing w:val="14"/>
                <w:kern w:val="0"/>
                <w:sz w:val="21"/>
                <w:szCs w:val="21"/>
                <w:lang w:val="en-US" w:eastAsia="zh-CN" w:bidi="ar-SA"/>
              </w:rPr>
              <w:t>制造商</w:t>
            </w:r>
          </w:p>
        </w:tc>
        <w:tc>
          <w:tcPr>
            <w:tcW w:w="1555" w:type="dxa"/>
            <w:noWrap w:val="0"/>
            <w:vAlign w:val="center"/>
          </w:tcPr>
          <w:p w14:paraId="63F36978">
            <w:pPr>
              <w:widowControl/>
              <w:jc w:val="both"/>
              <w:rPr>
                <w:rFonts w:hint="eastAsia" w:ascii="仿宋" w:hAnsi="仿宋" w:eastAsia="仿宋"/>
                <w:spacing w:val="14"/>
                <w:kern w:val="0"/>
                <w:sz w:val="21"/>
                <w:szCs w:val="21"/>
                <w:lang w:val="en-US" w:eastAsia="zh-CN" w:bidi="ar-SA"/>
              </w:rPr>
            </w:pPr>
            <w:r>
              <w:rPr>
                <w:rFonts w:hint="eastAsia" w:ascii="仿宋" w:hAnsi="仿宋" w:eastAsia="仿宋"/>
                <w:spacing w:val="14"/>
                <w:kern w:val="0"/>
                <w:sz w:val="21"/>
                <w:szCs w:val="21"/>
                <w:lang w:val="en-US" w:eastAsia="zh-CN" w:bidi="ar-SA"/>
              </w:rPr>
              <w:t>是否属于小型微型（监狱、残疾人福利性单位）企业生产的产品</w:t>
            </w:r>
          </w:p>
        </w:tc>
        <w:tc>
          <w:tcPr>
            <w:tcW w:w="988" w:type="dxa"/>
            <w:noWrap w:val="0"/>
            <w:vAlign w:val="center"/>
          </w:tcPr>
          <w:p w14:paraId="268BF79C">
            <w:pPr>
              <w:widowControl/>
              <w:jc w:val="both"/>
              <w:rPr>
                <w:rFonts w:hint="eastAsia" w:ascii="仿宋" w:hAnsi="仿宋" w:eastAsia="仿宋"/>
                <w:spacing w:val="14"/>
                <w:kern w:val="0"/>
                <w:sz w:val="21"/>
                <w:szCs w:val="21"/>
                <w:lang w:val="en-US" w:eastAsia="zh-CN" w:bidi="ar-SA"/>
              </w:rPr>
            </w:pPr>
          </w:p>
          <w:p w14:paraId="4D0CED86">
            <w:pPr>
              <w:widowControl/>
              <w:jc w:val="both"/>
              <w:rPr>
                <w:rFonts w:hint="eastAsia" w:ascii="仿宋" w:hAnsi="仿宋" w:eastAsia="仿宋"/>
                <w:spacing w:val="14"/>
                <w:kern w:val="0"/>
                <w:sz w:val="21"/>
                <w:szCs w:val="21"/>
                <w:lang w:val="en-US" w:eastAsia="zh-CN" w:bidi="ar-SA"/>
              </w:rPr>
            </w:pPr>
            <w:r>
              <w:rPr>
                <w:rFonts w:hint="eastAsia" w:ascii="仿宋" w:hAnsi="仿宋" w:eastAsia="仿宋"/>
                <w:spacing w:val="14"/>
                <w:kern w:val="0"/>
                <w:sz w:val="21"/>
                <w:szCs w:val="21"/>
                <w:lang w:val="en-US" w:eastAsia="zh-CN" w:bidi="ar-SA"/>
              </w:rPr>
              <w:t>型号</w:t>
            </w:r>
          </w:p>
        </w:tc>
        <w:tc>
          <w:tcPr>
            <w:tcW w:w="856" w:type="dxa"/>
            <w:noWrap w:val="0"/>
            <w:vAlign w:val="center"/>
          </w:tcPr>
          <w:p w14:paraId="34BDFC94">
            <w:pPr>
              <w:widowControl/>
              <w:jc w:val="both"/>
              <w:rPr>
                <w:rFonts w:hint="eastAsia" w:ascii="仿宋" w:hAnsi="仿宋" w:eastAsia="仿宋"/>
                <w:spacing w:val="14"/>
                <w:kern w:val="0"/>
                <w:sz w:val="21"/>
                <w:szCs w:val="21"/>
                <w:lang w:val="en-US" w:eastAsia="zh-CN" w:bidi="ar-SA"/>
              </w:rPr>
            </w:pPr>
            <w:r>
              <w:rPr>
                <w:rFonts w:hint="eastAsia" w:ascii="仿宋" w:hAnsi="仿宋" w:eastAsia="仿宋"/>
                <w:spacing w:val="14"/>
                <w:kern w:val="0"/>
                <w:sz w:val="21"/>
                <w:szCs w:val="21"/>
                <w:lang w:val="en-US" w:eastAsia="zh-CN" w:bidi="ar-SA"/>
              </w:rPr>
              <w:t>数量</w:t>
            </w:r>
          </w:p>
        </w:tc>
        <w:tc>
          <w:tcPr>
            <w:tcW w:w="1072" w:type="dxa"/>
            <w:noWrap w:val="0"/>
            <w:vAlign w:val="center"/>
          </w:tcPr>
          <w:p w14:paraId="21CC5D64">
            <w:pPr>
              <w:widowControl/>
              <w:jc w:val="both"/>
              <w:rPr>
                <w:rFonts w:ascii="仿宋" w:hAnsi="仿宋" w:eastAsia="仿宋"/>
                <w:spacing w:val="14"/>
                <w:kern w:val="0"/>
                <w:sz w:val="21"/>
                <w:szCs w:val="21"/>
                <w:lang w:val="en-US" w:eastAsia="zh-CN" w:bidi="ar-SA"/>
              </w:rPr>
            </w:pPr>
            <w:r>
              <w:rPr>
                <w:rFonts w:hint="eastAsia" w:ascii="仿宋" w:hAnsi="仿宋" w:eastAsia="仿宋"/>
                <w:spacing w:val="14"/>
                <w:kern w:val="0"/>
                <w:sz w:val="21"/>
                <w:szCs w:val="21"/>
                <w:lang w:val="en-US" w:eastAsia="zh-CN" w:bidi="ar-SA"/>
              </w:rPr>
              <w:t>单价</w:t>
            </w:r>
          </w:p>
          <w:p w14:paraId="3E693C8D">
            <w:pPr>
              <w:widowControl w:val="0"/>
              <w:jc w:val="both"/>
              <w:rPr>
                <w:rFonts w:hint="eastAsia" w:ascii="仿宋" w:hAnsi="仿宋" w:eastAsia="仿宋"/>
                <w:kern w:val="0"/>
                <w:sz w:val="21"/>
                <w:szCs w:val="21"/>
                <w:lang w:val="en-US" w:eastAsia="zh-CN" w:bidi="ar-SA"/>
              </w:rPr>
            </w:pPr>
            <w:r>
              <w:rPr>
                <w:rFonts w:hint="eastAsia" w:ascii="仿宋" w:hAnsi="仿宋" w:eastAsia="仿宋"/>
                <w:kern w:val="0"/>
                <w:sz w:val="21"/>
                <w:szCs w:val="21"/>
                <w:lang w:val="en-US" w:eastAsia="zh-CN" w:bidi="ar-SA"/>
              </w:rPr>
              <w:t>（元）</w:t>
            </w:r>
          </w:p>
        </w:tc>
        <w:tc>
          <w:tcPr>
            <w:tcW w:w="1073" w:type="dxa"/>
            <w:noWrap w:val="0"/>
            <w:vAlign w:val="center"/>
          </w:tcPr>
          <w:p w14:paraId="4B1E8035">
            <w:pPr>
              <w:widowControl/>
              <w:jc w:val="both"/>
              <w:rPr>
                <w:rFonts w:ascii="仿宋" w:hAnsi="仿宋" w:eastAsia="仿宋"/>
                <w:spacing w:val="14"/>
                <w:kern w:val="0"/>
                <w:sz w:val="21"/>
                <w:szCs w:val="21"/>
                <w:lang w:val="en-US" w:eastAsia="zh-CN" w:bidi="ar-SA"/>
              </w:rPr>
            </w:pPr>
            <w:r>
              <w:rPr>
                <w:rFonts w:hint="eastAsia" w:ascii="仿宋" w:hAnsi="仿宋" w:eastAsia="仿宋"/>
                <w:spacing w:val="14"/>
                <w:kern w:val="0"/>
                <w:sz w:val="21"/>
                <w:szCs w:val="21"/>
                <w:lang w:val="en-US" w:eastAsia="zh-CN" w:bidi="ar-SA"/>
              </w:rPr>
              <w:t>总价</w:t>
            </w:r>
          </w:p>
          <w:p w14:paraId="42378A73">
            <w:pPr>
              <w:widowControl w:val="0"/>
              <w:jc w:val="both"/>
              <w:rPr>
                <w:rFonts w:hint="eastAsia" w:ascii="仿宋" w:hAnsi="仿宋" w:eastAsia="仿宋"/>
                <w:kern w:val="0"/>
                <w:sz w:val="21"/>
                <w:szCs w:val="21"/>
                <w:lang w:val="en-US" w:eastAsia="zh-CN" w:bidi="ar-SA"/>
              </w:rPr>
            </w:pPr>
            <w:r>
              <w:rPr>
                <w:rFonts w:hint="eastAsia" w:ascii="仿宋" w:hAnsi="仿宋" w:eastAsia="仿宋"/>
                <w:kern w:val="0"/>
                <w:sz w:val="21"/>
                <w:szCs w:val="21"/>
                <w:lang w:val="en-US" w:eastAsia="zh-CN" w:bidi="ar-SA"/>
              </w:rPr>
              <w:t>（元）</w:t>
            </w:r>
          </w:p>
        </w:tc>
      </w:tr>
      <w:tr w14:paraId="7195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31" w:type="dxa"/>
            <w:noWrap w:val="0"/>
            <w:vAlign w:val="center"/>
          </w:tcPr>
          <w:p w14:paraId="2F9698BB">
            <w:pPr>
              <w:widowControl/>
              <w:jc w:val="center"/>
              <w:rPr>
                <w:rFonts w:hint="eastAsia" w:ascii="仿宋" w:hAnsi="仿宋" w:eastAsia="仿宋"/>
                <w:spacing w:val="14"/>
                <w:kern w:val="0"/>
                <w:sz w:val="21"/>
                <w:szCs w:val="21"/>
                <w:lang w:val="en-US" w:eastAsia="zh-CN" w:bidi="ar-SA"/>
              </w:rPr>
            </w:pPr>
            <w:r>
              <w:rPr>
                <w:rFonts w:hint="eastAsia" w:ascii="仿宋" w:hAnsi="仿宋" w:eastAsia="仿宋"/>
                <w:spacing w:val="14"/>
                <w:kern w:val="0"/>
                <w:sz w:val="21"/>
                <w:szCs w:val="21"/>
                <w:lang w:val="en-US" w:eastAsia="zh-CN" w:bidi="ar-SA"/>
              </w:rPr>
              <w:t>1</w:t>
            </w:r>
          </w:p>
        </w:tc>
        <w:tc>
          <w:tcPr>
            <w:tcW w:w="1858" w:type="dxa"/>
            <w:noWrap w:val="0"/>
            <w:vAlign w:val="center"/>
          </w:tcPr>
          <w:p w14:paraId="26BE1C50">
            <w:pPr>
              <w:widowControl/>
              <w:jc w:val="both"/>
              <w:rPr>
                <w:rFonts w:hint="eastAsia" w:ascii="仿宋" w:hAnsi="仿宋" w:eastAsia="仿宋"/>
                <w:spacing w:val="14"/>
                <w:kern w:val="0"/>
                <w:sz w:val="21"/>
                <w:szCs w:val="21"/>
                <w:lang w:val="en-US" w:eastAsia="zh-CN" w:bidi="ar-SA"/>
              </w:rPr>
            </w:pPr>
          </w:p>
        </w:tc>
        <w:tc>
          <w:tcPr>
            <w:tcW w:w="1382" w:type="dxa"/>
            <w:noWrap w:val="0"/>
            <w:vAlign w:val="center"/>
          </w:tcPr>
          <w:p w14:paraId="2D0D071A">
            <w:pPr>
              <w:widowControl/>
              <w:ind w:firstLine="482"/>
              <w:jc w:val="center"/>
              <w:rPr>
                <w:rFonts w:hint="eastAsia" w:ascii="仿宋" w:hAnsi="仿宋" w:eastAsia="仿宋"/>
                <w:spacing w:val="14"/>
                <w:kern w:val="0"/>
                <w:sz w:val="21"/>
                <w:szCs w:val="21"/>
                <w:lang w:val="en-US" w:eastAsia="zh-CN" w:bidi="ar-SA"/>
              </w:rPr>
            </w:pPr>
          </w:p>
        </w:tc>
        <w:tc>
          <w:tcPr>
            <w:tcW w:w="1555" w:type="dxa"/>
            <w:noWrap w:val="0"/>
            <w:vAlign w:val="center"/>
          </w:tcPr>
          <w:p w14:paraId="0C02553A">
            <w:pPr>
              <w:widowControl/>
              <w:ind w:firstLine="482"/>
              <w:jc w:val="center"/>
              <w:rPr>
                <w:rFonts w:hint="eastAsia" w:ascii="仿宋" w:hAnsi="仿宋" w:eastAsia="仿宋"/>
                <w:spacing w:val="14"/>
                <w:kern w:val="0"/>
                <w:sz w:val="21"/>
                <w:szCs w:val="21"/>
                <w:lang w:val="en-US" w:eastAsia="zh-CN" w:bidi="ar-SA"/>
              </w:rPr>
            </w:pPr>
          </w:p>
        </w:tc>
        <w:tc>
          <w:tcPr>
            <w:tcW w:w="988" w:type="dxa"/>
            <w:noWrap w:val="0"/>
            <w:vAlign w:val="center"/>
          </w:tcPr>
          <w:p w14:paraId="25DC5061">
            <w:pPr>
              <w:widowControl/>
              <w:ind w:firstLine="482"/>
              <w:jc w:val="center"/>
              <w:rPr>
                <w:rFonts w:hint="eastAsia" w:ascii="仿宋" w:hAnsi="仿宋" w:eastAsia="仿宋"/>
                <w:spacing w:val="14"/>
                <w:kern w:val="0"/>
                <w:sz w:val="21"/>
                <w:szCs w:val="21"/>
                <w:lang w:val="en-US" w:eastAsia="zh-CN" w:bidi="ar-SA"/>
              </w:rPr>
            </w:pPr>
          </w:p>
        </w:tc>
        <w:tc>
          <w:tcPr>
            <w:tcW w:w="856" w:type="dxa"/>
            <w:noWrap w:val="0"/>
            <w:vAlign w:val="center"/>
          </w:tcPr>
          <w:p w14:paraId="5785E587">
            <w:pPr>
              <w:widowControl w:val="0"/>
              <w:jc w:val="center"/>
              <w:rPr>
                <w:rFonts w:hint="eastAsia" w:ascii="仿宋" w:hAnsi="仿宋" w:eastAsia="仿宋"/>
                <w:spacing w:val="14"/>
                <w:kern w:val="0"/>
                <w:sz w:val="20"/>
                <w:szCs w:val="21"/>
                <w:lang w:val="en-US" w:eastAsia="zh-CN" w:bidi="ar-SA"/>
              </w:rPr>
            </w:pPr>
          </w:p>
        </w:tc>
        <w:tc>
          <w:tcPr>
            <w:tcW w:w="1072" w:type="dxa"/>
            <w:noWrap w:val="0"/>
            <w:vAlign w:val="center"/>
          </w:tcPr>
          <w:p w14:paraId="60EFC9F3">
            <w:pPr>
              <w:widowControl/>
              <w:ind w:firstLine="482"/>
              <w:jc w:val="center"/>
              <w:rPr>
                <w:rFonts w:hint="eastAsia" w:ascii="仿宋" w:hAnsi="仿宋" w:eastAsia="仿宋"/>
                <w:spacing w:val="14"/>
                <w:kern w:val="0"/>
                <w:sz w:val="21"/>
                <w:szCs w:val="21"/>
                <w:lang w:val="en-US" w:eastAsia="zh-CN" w:bidi="ar-SA"/>
              </w:rPr>
            </w:pPr>
          </w:p>
        </w:tc>
        <w:tc>
          <w:tcPr>
            <w:tcW w:w="1073" w:type="dxa"/>
            <w:noWrap w:val="0"/>
            <w:vAlign w:val="center"/>
          </w:tcPr>
          <w:p w14:paraId="00AD9EC0">
            <w:pPr>
              <w:widowControl/>
              <w:ind w:firstLine="482"/>
              <w:jc w:val="center"/>
              <w:rPr>
                <w:rFonts w:hint="eastAsia" w:ascii="仿宋" w:hAnsi="仿宋" w:eastAsia="仿宋"/>
                <w:spacing w:val="14"/>
                <w:kern w:val="0"/>
                <w:sz w:val="21"/>
                <w:szCs w:val="21"/>
                <w:lang w:val="en-US" w:eastAsia="zh-CN" w:bidi="ar-SA"/>
              </w:rPr>
            </w:pPr>
          </w:p>
        </w:tc>
      </w:tr>
      <w:tr w14:paraId="250B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31" w:type="dxa"/>
            <w:noWrap w:val="0"/>
            <w:vAlign w:val="center"/>
          </w:tcPr>
          <w:p w14:paraId="170312F4">
            <w:pPr>
              <w:widowControl/>
              <w:jc w:val="center"/>
              <w:rPr>
                <w:rFonts w:hint="eastAsia" w:ascii="仿宋" w:hAnsi="仿宋" w:eastAsia="仿宋"/>
                <w:spacing w:val="14"/>
                <w:kern w:val="0"/>
                <w:sz w:val="21"/>
                <w:szCs w:val="21"/>
                <w:lang w:val="en-US" w:eastAsia="zh-CN" w:bidi="ar-SA"/>
              </w:rPr>
            </w:pPr>
            <w:r>
              <w:rPr>
                <w:rFonts w:hint="eastAsia" w:ascii="仿宋" w:hAnsi="仿宋" w:eastAsia="仿宋"/>
                <w:spacing w:val="14"/>
                <w:kern w:val="0"/>
                <w:sz w:val="21"/>
                <w:szCs w:val="21"/>
                <w:lang w:val="en-US" w:eastAsia="zh-CN" w:bidi="ar-SA"/>
              </w:rPr>
              <w:t>2</w:t>
            </w:r>
          </w:p>
        </w:tc>
        <w:tc>
          <w:tcPr>
            <w:tcW w:w="1858" w:type="dxa"/>
            <w:noWrap w:val="0"/>
            <w:vAlign w:val="center"/>
          </w:tcPr>
          <w:p w14:paraId="1CBF0558">
            <w:pPr>
              <w:widowControl w:val="0"/>
              <w:jc w:val="left"/>
              <w:rPr>
                <w:rFonts w:hint="eastAsia" w:ascii="仿宋" w:hAnsi="仿宋" w:eastAsia="仿宋"/>
                <w:spacing w:val="14"/>
                <w:kern w:val="0"/>
                <w:sz w:val="21"/>
                <w:szCs w:val="21"/>
                <w:lang w:val="en-US" w:eastAsia="zh-CN" w:bidi="ar-SA"/>
              </w:rPr>
            </w:pPr>
          </w:p>
        </w:tc>
        <w:tc>
          <w:tcPr>
            <w:tcW w:w="1382" w:type="dxa"/>
            <w:noWrap w:val="0"/>
            <w:vAlign w:val="center"/>
          </w:tcPr>
          <w:p w14:paraId="3750A4A7">
            <w:pPr>
              <w:widowControl/>
              <w:ind w:firstLine="482"/>
              <w:jc w:val="center"/>
              <w:rPr>
                <w:rFonts w:hint="eastAsia" w:ascii="仿宋" w:hAnsi="仿宋" w:eastAsia="仿宋"/>
                <w:spacing w:val="14"/>
                <w:kern w:val="0"/>
                <w:sz w:val="21"/>
                <w:szCs w:val="21"/>
                <w:lang w:val="en-US" w:eastAsia="zh-CN" w:bidi="ar-SA"/>
              </w:rPr>
            </w:pPr>
          </w:p>
        </w:tc>
        <w:tc>
          <w:tcPr>
            <w:tcW w:w="1555" w:type="dxa"/>
            <w:noWrap w:val="0"/>
            <w:vAlign w:val="center"/>
          </w:tcPr>
          <w:p w14:paraId="60AFC9C3">
            <w:pPr>
              <w:widowControl/>
              <w:ind w:firstLine="482"/>
              <w:jc w:val="center"/>
              <w:rPr>
                <w:rFonts w:hint="eastAsia" w:ascii="仿宋" w:hAnsi="仿宋" w:eastAsia="仿宋"/>
                <w:spacing w:val="14"/>
                <w:kern w:val="0"/>
                <w:sz w:val="21"/>
                <w:szCs w:val="21"/>
                <w:lang w:val="en-US" w:eastAsia="zh-CN" w:bidi="ar-SA"/>
              </w:rPr>
            </w:pPr>
          </w:p>
        </w:tc>
        <w:tc>
          <w:tcPr>
            <w:tcW w:w="988" w:type="dxa"/>
            <w:noWrap w:val="0"/>
            <w:vAlign w:val="center"/>
          </w:tcPr>
          <w:p w14:paraId="3B878DC1">
            <w:pPr>
              <w:widowControl/>
              <w:ind w:firstLine="482"/>
              <w:jc w:val="center"/>
              <w:rPr>
                <w:rFonts w:hint="eastAsia" w:ascii="仿宋" w:hAnsi="仿宋" w:eastAsia="仿宋"/>
                <w:spacing w:val="14"/>
                <w:kern w:val="0"/>
                <w:sz w:val="21"/>
                <w:szCs w:val="21"/>
                <w:lang w:val="en-US" w:eastAsia="zh-CN" w:bidi="ar-SA"/>
              </w:rPr>
            </w:pPr>
          </w:p>
        </w:tc>
        <w:tc>
          <w:tcPr>
            <w:tcW w:w="856" w:type="dxa"/>
            <w:noWrap w:val="0"/>
            <w:vAlign w:val="center"/>
          </w:tcPr>
          <w:p w14:paraId="04FFCC46">
            <w:pPr>
              <w:widowControl w:val="0"/>
              <w:jc w:val="center"/>
              <w:rPr>
                <w:rFonts w:hint="eastAsia" w:ascii="仿宋" w:hAnsi="仿宋" w:eastAsia="仿宋"/>
                <w:spacing w:val="14"/>
                <w:kern w:val="0"/>
                <w:sz w:val="21"/>
                <w:szCs w:val="21"/>
                <w:lang w:val="en-US" w:eastAsia="zh-CN" w:bidi="ar-SA"/>
              </w:rPr>
            </w:pPr>
          </w:p>
        </w:tc>
        <w:tc>
          <w:tcPr>
            <w:tcW w:w="1072" w:type="dxa"/>
            <w:noWrap w:val="0"/>
            <w:vAlign w:val="center"/>
          </w:tcPr>
          <w:p w14:paraId="680EB62B">
            <w:pPr>
              <w:widowControl/>
              <w:ind w:firstLine="482"/>
              <w:jc w:val="center"/>
              <w:rPr>
                <w:rFonts w:hint="eastAsia" w:ascii="仿宋" w:hAnsi="仿宋" w:eastAsia="仿宋"/>
                <w:spacing w:val="14"/>
                <w:kern w:val="0"/>
                <w:sz w:val="21"/>
                <w:szCs w:val="21"/>
                <w:lang w:val="en-US" w:eastAsia="zh-CN" w:bidi="ar-SA"/>
              </w:rPr>
            </w:pPr>
          </w:p>
        </w:tc>
        <w:tc>
          <w:tcPr>
            <w:tcW w:w="1073" w:type="dxa"/>
            <w:noWrap w:val="0"/>
            <w:vAlign w:val="center"/>
          </w:tcPr>
          <w:p w14:paraId="5E071500">
            <w:pPr>
              <w:widowControl/>
              <w:ind w:firstLine="482"/>
              <w:jc w:val="center"/>
              <w:rPr>
                <w:rFonts w:hint="eastAsia" w:ascii="仿宋" w:hAnsi="仿宋" w:eastAsia="仿宋"/>
                <w:spacing w:val="14"/>
                <w:kern w:val="0"/>
                <w:sz w:val="21"/>
                <w:szCs w:val="21"/>
                <w:lang w:val="en-US" w:eastAsia="zh-CN" w:bidi="ar-SA"/>
              </w:rPr>
            </w:pPr>
          </w:p>
        </w:tc>
      </w:tr>
      <w:tr w14:paraId="35FF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31" w:type="dxa"/>
            <w:noWrap w:val="0"/>
            <w:vAlign w:val="center"/>
          </w:tcPr>
          <w:p w14:paraId="1E84FF2D">
            <w:pPr>
              <w:widowControl/>
              <w:jc w:val="center"/>
              <w:rPr>
                <w:rFonts w:hint="eastAsia" w:ascii="仿宋" w:hAnsi="仿宋" w:eastAsia="仿宋"/>
                <w:spacing w:val="14"/>
                <w:kern w:val="0"/>
                <w:sz w:val="21"/>
                <w:szCs w:val="21"/>
                <w:lang w:val="en-US" w:eastAsia="zh-CN" w:bidi="ar-SA"/>
              </w:rPr>
            </w:pPr>
            <w:r>
              <w:rPr>
                <w:rFonts w:hint="eastAsia" w:ascii="仿宋" w:hAnsi="仿宋" w:eastAsia="仿宋"/>
                <w:spacing w:val="14"/>
                <w:kern w:val="0"/>
                <w:sz w:val="21"/>
                <w:szCs w:val="21"/>
                <w:lang w:val="en-US" w:eastAsia="zh-CN" w:bidi="ar-SA"/>
              </w:rPr>
              <w:t>3</w:t>
            </w:r>
          </w:p>
        </w:tc>
        <w:tc>
          <w:tcPr>
            <w:tcW w:w="1858" w:type="dxa"/>
            <w:noWrap w:val="0"/>
            <w:vAlign w:val="center"/>
          </w:tcPr>
          <w:p w14:paraId="164D7AEC">
            <w:pPr>
              <w:widowControl w:val="0"/>
              <w:jc w:val="left"/>
              <w:rPr>
                <w:rFonts w:hint="eastAsia" w:ascii="仿宋" w:hAnsi="仿宋" w:eastAsia="仿宋"/>
                <w:spacing w:val="14"/>
                <w:kern w:val="0"/>
                <w:sz w:val="21"/>
                <w:szCs w:val="21"/>
                <w:lang w:val="en-US" w:eastAsia="zh-CN" w:bidi="ar-SA"/>
              </w:rPr>
            </w:pPr>
          </w:p>
        </w:tc>
        <w:tc>
          <w:tcPr>
            <w:tcW w:w="1382" w:type="dxa"/>
            <w:noWrap w:val="0"/>
            <w:vAlign w:val="center"/>
          </w:tcPr>
          <w:p w14:paraId="3D3967D3">
            <w:pPr>
              <w:widowControl/>
              <w:ind w:firstLine="482"/>
              <w:jc w:val="center"/>
              <w:rPr>
                <w:rFonts w:hint="eastAsia" w:ascii="仿宋" w:hAnsi="仿宋" w:eastAsia="仿宋"/>
                <w:spacing w:val="14"/>
                <w:kern w:val="0"/>
                <w:sz w:val="21"/>
                <w:szCs w:val="21"/>
                <w:lang w:val="en-US" w:eastAsia="zh-CN" w:bidi="ar-SA"/>
              </w:rPr>
            </w:pPr>
          </w:p>
        </w:tc>
        <w:tc>
          <w:tcPr>
            <w:tcW w:w="1555" w:type="dxa"/>
            <w:noWrap w:val="0"/>
            <w:vAlign w:val="center"/>
          </w:tcPr>
          <w:p w14:paraId="5D150782">
            <w:pPr>
              <w:widowControl/>
              <w:ind w:firstLine="482"/>
              <w:jc w:val="center"/>
              <w:rPr>
                <w:rFonts w:hint="eastAsia" w:ascii="仿宋" w:hAnsi="仿宋" w:eastAsia="仿宋"/>
                <w:spacing w:val="14"/>
                <w:kern w:val="0"/>
                <w:sz w:val="21"/>
                <w:szCs w:val="21"/>
                <w:lang w:val="en-US" w:eastAsia="zh-CN" w:bidi="ar-SA"/>
              </w:rPr>
            </w:pPr>
          </w:p>
        </w:tc>
        <w:tc>
          <w:tcPr>
            <w:tcW w:w="988" w:type="dxa"/>
            <w:noWrap w:val="0"/>
            <w:vAlign w:val="center"/>
          </w:tcPr>
          <w:p w14:paraId="5F1B47BB">
            <w:pPr>
              <w:widowControl/>
              <w:ind w:firstLine="482"/>
              <w:jc w:val="center"/>
              <w:rPr>
                <w:rFonts w:hint="eastAsia" w:ascii="仿宋" w:hAnsi="仿宋" w:eastAsia="仿宋"/>
                <w:spacing w:val="14"/>
                <w:kern w:val="0"/>
                <w:sz w:val="21"/>
                <w:szCs w:val="21"/>
                <w:lang w:val="en-US" w:eastAsia="zh-CN" w:bidi="ar-SA"/>
              </w:rPr>
            </w:pPr>
          </w:p>
        </w:tc>
        <w:tc>
          <w:tcPr>
            <w:tcW w:w="856" w:type="dxa"/>
            <w:noWrap w:val="0"/>
            <w:vAlign w:val="center"/>
          </w:tcPr>
          <w:p w14:paraId="05D2D87D">
            <w:pPr>
              <w:widowControl w:val="0"/>
              <w:jc w:val="center"/>
              <w:rPr>
                <w:rFonts w:hint="eastAsia" w:ascii="仿宋" w:hAnsi="仿宋" w:eastAsia="仿宋"/>
                <w:spacing w:val="14"/>
                <w:kern w:val="0"/>
                <w:sz w:val="21"/>
                <w:szCs w:val="21"/>
                <w:lang w:val="en-US" w:eastAsia="zh-CN" w:bidi="ar-SA"/>
              </w:rPr>
            </w:pPr>
          </w:p>
        </w:tc>
        <w:tc>
          <w:tcPr>
            <w:tcW w:w="1072" w:type="dxa"/>
            <w:noWrap w:val="0"/>
            <w:vAlign w:val="center"/>
          </w:tcPr>
          <w:p w14:paraId="4362230F">
            <w:pPr>
              <w:widowControl/>
              <w:ind w:firstLine="482"/>
              <w:jc w:val="center"/>
              <w:rPr>
                <w:rFonts w:hint="eastAsia" w:ascii="仿宋" w:hAnsi="仿宋" w:eastAsia="仿宋"/>
                <w:spacing w:val="14"/>
                <w:kern w:val="0"/>
                <w:sz w:val="21"/>
                <w:szCs w:val="21"/>
                <w:lang w:val="en-US" w:eastAsia="zh-CN" w:bidi="ar-SA"/>
              </w:rPr>
            </w:pPr>
          </w:p>
        </w:tc>
        <w:tc>
          <w:tcPr>
            <w:tcW w:w="1073" w:type="dxa"/>
            <w:noWrap w:val="0"/>
            <w:vAlign w:val="center"/>
          </w:tcPr>
          <w:p w14:paraId="2F2402E3">
            <w:pPr>
              <w:widowControl/>
              <w:ind w:firstLine="482"/>
              <w:jc w:val="center"/>
              <w:rPr>
                <w:rFonts w:hint="eastAsia" w:ascii="仿宋" w:hAnsi="仿宋" w:eastAsia="仿宋"/>
                <w:spacing w:val="14"/>
                <w:kern w:val="0"/>
                <w:sz w:val="21"/>
                <w:szCs w:val="21"/>
                <w:lang w:val="en-US" w:eastAsia="zh-CN" w:bidi="ar-SA"/>
              </w:rPr>
            </w:pPr>
          </w:p>
        </w:tc>
      </w:tr>
      <w:tr w14:paraId="174D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31" w:type="dxa"/>
            <w:noWrap w:val="0"/>
            <w:vAlign w:val="center"/>
          </w:tcPr>
          <w:p w14:paraId="5A853D4F">
            <w:pPr>
              <w:widowControl/>
              <w:jc w:val="center"/>
              <w:rPr>
                <w:rFonts w:hint="eastAsia" w:ascii="仿宋" w:hAnsi="仿宋" w:eastAsia="仿宋"/>
                <w:spacing w:val="14"/>
                <w:kern w:val="0"/>
                <w:sz w:val="21"/>
                <w:szCs w:val="21"/>
                <w:lang w:val="en-US" w:eastAsia="zh-CN" w:bidi="ar-SA"/>
              </w:rPr>
            </w:pPr>
            <w:r>
              <w:rPr>
                <w:rFonts w:hint="eastAsia" w:ascii="仿宋" w:hAnsi="仿宋" w:eastAsia="仿宋"/>
                <w:spacing w:val="14"/>
                <w:kern w:val="0"/>
                <w:sz w:val="21"/>
                <w:szCs w:val="21"/>
                <w:lang w:val="en-US" w:eastAsia="zh-CN" w:bidi="ar-SA"/>
              </w:rPr>
              <w:t>4</w:t>
            </w:r>
          </w:p>
        </w:tc>
        <w:tc>
          <w:tcPr>
            <w:tcW w:w="1858" w:type="dxa"/>
            <w:noWrap w:val="0"/>
            <w:vAlign w:val="center"/>
          </w:tcPr>
          <w:p w14:paraId="0160CA39">
            <w:pPr>
              <w:widowControl w:val="0"/>
              <w:jc w:val="left"/>
              <w:rPr>
                <w:rFonts w:hint="eastAsia" w:ascii="仿宋" w:hAnsi="仿宋" w:eastAsia="仿宋"/>
                <w:spacing w:val="14"/>
                <w:kern w:val="0"/>
                <w:sz w:val="21"/>
                <w:szCs w:val="21"/>
                <w:lang w:val="en-US" w:eastAsia="zh-CN" w:bidi="ar-SA"/>
              </w:rPr>
            </w:pPr>
          </w:p>
        </w:tc>
        <w:tc>
          <w:tcPr>
            <w:tcW w:w="1382" w:type="dxa"/>
            <w:noWrap w:val="0"/>
            <w:vAlign w:val="center"/>
          </w:tcPr>
          <w:p w14:paraId="432DCF87">
            <w:pPr>
              <w:widowControl/>
              <w:ind w:firstLine="482"/>
              <w:jc w:val="center"/>
              <w:rPr>
                <w:rFonts w:hint="eastAsia" w:ascii="仿宋" w:hAnsi="仿宋" w:eastAsia="仿宋"/>
                <w:spacing w:val="14"/>
                <w:kern w:val="0"/>
                <w:sz w:val="21"/>
                <w:szCs w:val="21"/>
                <w:lang w:val="en-US" w:eastAsia="zh-CN" w:bidi="ar-SA"/>
              </w:rPr>
            </w:pPr>
          </w:p>
        </w:tc>
        <w:tc>
          <w:tcPr>
            <w:tcW w:w="1555" w:type="dxa"/>
            <w:noWrap w:val="0"/>
            <w:vAlign w:val="center"/>
          </w:tcPr>
          <w:p w14:paraId="6C31DA71">
            <w:pPr>
              <w:widowControl/>
              <w:ind w:firstLine="482"/>
              <w:jc w:val="center"/>
              <w:rPr>
                <w:rFonts w:hint="eastAsia" w:ascii="仿宋" w:hAnsi="仿宋" w:eastAsia="仿宋"/>
                <w:spacing w:val="14"/>
                <w:kern w:val="0"/>
                <w:sz w:val="21"/>
                <w:szCs w:val="21"/>
                <w:lang w:val="en-US" w:eastAsia="zh-CN" w:bidi="ar-SA"/>
              </w:rPr>
            </w:pPr>
          </w:p>
        </w:tc>
        <w:tc>
          <w:tcPr>
            <w:tcW w:w="988" w:type="dxa"/>
            <w:noWrap w:val="0"/>
            <w:vAlign w:val="center"/>
          </w:tcPr>
          <w:p w14:paraId="2F24F31E">
            <w:pPr>
              <w:widowControl/>
              <w:ind w:firstLine="482"/>
              <w:jc w:val="center"/>
              <w:rPr>
                <w:rFonts w:hint="eastAsia" w:ascii="仿宋" w:hAnsi="仿宋" w:eastAsia="仿宋"/>
                <w:spacing w:val="14"/>
                <w:kern w:val="0"/>
                <w:sz w:val="21"/>
                <w:szCs w:val="21"/>
                <w:lang w:val="en-US" w:eastAsia="zh-CN" w:bidi="ar-SA"/>
              </w:rPr>
            </w:pPr>
          </w:p>
        </w:tc>
        <w:tc>
          <w:tcPr>
            <w:tcW w:w="856" w:type="dxa"/>
            <w:noWrap w:val="0"/>
            <w:vAlign w:val="center"/>
          </w:tcPr>
          <w:p w14:paraId="75DDCAFF">
            <w:pPr>
              <w:widowControl w:val="0"/>
              <w:jc w:val="center"/>
              <w:rPr>
                <w:rFonts w:hint="eastAsia" w:ascii="仿宋" w:hAnsi="仿宋" w:eastAsia="仿宋"/>
                <w:spacing w:val="14"/>
                <w:kern w:val="0"/>
                <w:sz w:val="21"/>
                <w:szCs w:val="21"/>
                <w:lang w:val="en-US" w:eastAsia="zh-CN" w:bidi="ar-SA"/>
              </w:rPr>
            </w:pPr>
          </w:p>
        </w:tc>
        <w:tc>
          <w:tcPr>
            <w:tcW w:w="1072" w:type="dxa"/>
            <w:noWrap w:val="0"/>
            <w:vAlign w:val="center"/>
          </w:tcPr>
          <w:p w14:paraId="7A060717">
            <w:pPr>
              <w:widowControl/>
              <w:ind w:firstLine="482"/>
              <w:jc w:val="center"/>
              <w:rPr>
                <w:rFonts w:hint="eastAsia" w:ascii="仿宋" w:hAnsi="仿宋" w:eastAsia="仿宋"/>
                <w:spacing w:val="14"/>
                <w:kern w:val="0"/>
                <w:sz w:val="21"/>
                <w:szCs w:val="21"/>
                <w:lang w:val="en-US" w:eastAsia="zh-CN" w:bidi="ar-SA"/>
              </w:rPr>
            </w:pPr>
          </w:p>
        </w:tc>
        <w:tc>
          <w:tcPr>
            <w:tcW w:w="1073" w:type="dxa"/>
            <w:noWrap w:val="0"/>
            <w:vAlign w:val="center"/>
          </w:tcPr>
          <w:p w14:paraId="6CF66B5B">
            <w:pPr>
              <w:widowControl/>
              <w:ind w:firstLine="482"/>
              <w:jc w:val="center"/>
              <w:rPr>
                <w:rFonts w:hint="eastAsia" w:ascii="仿宋" w:hAnsi="仿宋" w:eastAsia="仿宋"/>
                <w:spacing w:val="14"/>
                <w:kern w:val="0"/>
                <w:sz w:val="21"/>
                <w:szCs w:val="21"/>
                <w:lang w:val="en-US" w:eastAsia="zh-CN" w:bidi="ar-SA"/>
              </w:rPr>
            </w:pPr>
          </w:p>
        </w:tc>
      </w:tr>
      <w:tr w14:paraId="0D88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31" w:type="dxa"/>
            <w:noWrap w:val="0"/>
            <w:vAlign w:val="center"/>
          </w:tcPr>
          <w:p w14:paraId="4964B900">
            <w:pPr>
              <w:widowControl/>
              <w:jc w:val="center"/>
              <w:rPr>
                <w:rFonts w:hint="eastAsia" w:ascii="仿宋" w:hAnsi="仿宋" w:eastAsia="仿宋"/>
                <w:spacing w:val="14"/>
                <w:kern w:val="0"/>
                <w:sz w:val="21"/>
                <w:szCs w:val="21"/>
                <w:lang w:val="en-US" w:eastAsia="zh-CN" w:bidi="ar-SA"/>
              </w:rPr>
            </w:pPr>
            <w:r>
              <w:rPr>
                <w:rFonts w:hint="eastAsia" w:ascii="仿宋" w:hAnsi="仿宋" w:eastAsia="仿宋"/>
                <w:spacing w:val="14"/>
                <w:kern w:val="0"/>
                <w:sz w:val="21"/>
                <w:szCs w:val="21"/>
                <w:lang w:val="en-US" w:eastAsia="zh-CN" w:bidi="ar-SA"/>
              </w:rPr>
              <w:t>5</w:t>
            </w:r>
          </w:p>
        </w:tc>
        <w:tc>
          <w:tcPr>
            <w:tcW w:w="1858" w:type="dxa"/>
            <w:noWrap w:val="0"/>
            <w:vAlign w:val="center"/>
          </w:tcPr>
          <w:p w14:paraId="090671BB">
            <w:pPr>
              <w:widowControl w:val="0"/>
              <w:jc w:val="left"/>
              <w:rPr>
                <w:rFonts w:hint="eastAsia" w:ascii="仿宋" w:hAnsi="仿宋" w:eastAsia="仿宋"/>
                <w:spacing w:val="14"/>
                <w:kern w:val="0"/>
                <w:sz w:val="21"/>
                <w:szCs w:val="21"/>
                <w:lang w:val="en-US" w:eastAsia="zh-CN" w:bidi="ar-SA"/>
              </w:rPr>
            </w:pPr>
          </w:p>
        </w:tc>
        <w:tc>
          <w:tcPr>
            <w:tcW w:w="1382" w:type="dxa"/>
            <w:noWrap w:val="0"/>
            <w:vAlign w:val="center"/>
          </w:tcPr>
          <w:p w14:paraId="6217B0B8">
            <w:pPr>
              <w:widowControl/>
              <w:ind w:firstLine="482"/>
              <w:jc w:val="center"/>
              <w:rPr>
                <w:rFonts w:hint="eastAsia" w:ascii="仿宋" w:hAnsi="仿宋" w:eastAsia="仿宋"/>
                <w:spacing w:val="14"/>
                <w:kern w:val="0"/>
                <w:sz w:val="21"/>
                <w:szCs w:val="21"/>
                <w:lang w:val="en-US" w:eastAsia="zh-CN" w:bidi="ar-SA"/>
              </w:rPr>
            </w:pPr>
          </w:p>
        </w:tc>
        <w:tc>
          <w:tcPr>
            <w:tcW w:w="1555" w:type="dxa"/>
            <w:noWrap w:val="0"/>
            <w:vAlign w:val="center"/>
          </w:tcPr>
          <w:p w14:paraId="1B504EEF">
            <w:pPr>
              <w:widowControl/>
              <w:ind w:firstLine="482"/>
              <w:jc w:val="center"/>
              <w:rPr>
                <w:rFonts w:hint="eastAsia" w:ascii="仿宋" w:hAnsi="仿宋" w:eastAsia="仿宋"/>
                <w:spacing w:val="14"/>
                <w:kern w:val="0"/>
                <w:sz w:val="21"/>
                <w:szCs w:val="21"/>
                <w:lang w:val="en-US" w:eastAsia="zh-CN" w:bidi="ar-SA"/>
              </w:rPr>
            </w:pPr>
          </w:p>
        </w:tc>
        <w:tc>
          <w:tcPr>
            <w:tcW w:w="988" w:type="dxa"/>
            <w:noWrap w:val="0"/>
            <w:vAlign w:val="center"/>
          </w:tcPr>
          <w:p w14:paraId="18F4583C">
            <w:pPr>
              <w:widowControl/>
              <w:ind w:firstLine="482"/>
              <w:jc w:val="center"/>
              <w:rPr>
                <w:rFonts w:hint="eastAsia" w:ascii="仿宋" w:hAnsi="仿宋" w:eastAsia="仿宋"/>
                <w:spacing w:val="14"/>
                <w:kern w:val="0"/>
                <w:sz w:val="21"/>
                <w:szCs w:val="21"/>
                <w:lang w:val="en-US" w:eastAsia="zh-CN" w:bidi="ar-SA"/>
              </w:rPr>
            </w:pPr>
          </w:p>
        </w:tc>
        <w:tc>
          <w:tcPr>
            <w:tcW w:w="856" w:type="dxa"/>
            <w:noWrap w:val="0"/>
            <w:vAlign w:val="center"/>
          </w:tcPr>
          <w:p w14:paraId="12158A3E">
            <w:pPr>
              <w:widowControl w:val="0"/>
              <w:jc w:val="center"/>
              <w:rPr>
                <w:rFonts w:hint="eastAsia" w:ascii="仿宋" w:hAnsi="仿宋" w:eastAsia="仿宋"/>
                <w:spacing w:val="14"/>
                <w:kern w:val="0"/>
                <w:sz w:val="21"/>
                <w:szCs w:val="21"/>
                <w:lang w:val="en-US" w:eastAsia="zh-CN" w:bidi="ar-SA"/>
              </w:rPr>
            </w:pPr>
          </w:p>
        </w:tc>
        <w:tc>
          <w:tcPr>
            <w:tcW w:w="1072" w:type="dxa"/>
            <w:noWrap w:val="0"/>
            <w:vAlign w:val="center"/>
          </w:tcPr>
          <w:p w14:paraId="0FB5D7B8">
            <w:pPr>
              <w:widowControl/>
              <w:ind w:firstLine="482"/>
              <w:jc w:val="center"/>
              <w:rPr>
                <w:rFonts w:hint="eastAsia" w:ascii="仿宋" w:hAnsi="仿宋" w:eastAsia="仿宋"/>
                <w:spacing w:val="14"/>
                <w:kern w:val="0"/>
                <w:sz w:val="21"/>
                <w:szCs w:val="21"/>
                <w:lang w:val="en-US" w:eastAsia="zh-CN" w:bidi="ar-SA"/>
              </w:rPr>
            </w:pPr>
          </w:p>
        </w:tc>
        <w:tc>
          <w:tcPr>
            <w:tcW w:w="1073" w:type="dxa"/>
            <w:noWrap w:val="0"/>
            <w:vAlign w:val="center"/>
          </w:tcPr>
          <w:p w14:paraId="2FF6FBCD">
            <w:pPr>
              <w:widowControl/>
              <w:ind w:firstLine="482"/>
              <w:jc w:val="center"/>
              <w:rPr>
                <w:rFonts w:hint="eastAsia" w:ascii="仿宋" w:hAnsi="仿宋" w:eastAsia="仿宋"/>
                <w:spacing w:val="14"/>
                <w:kern w:val="0"/>
                <w:sz w:val="21"/>
                <w:szCs w:val="21"/>
                <w:lang w:val="en-US" w:eastAsia="zh-CN" w:bidi="ar-SA"/>
              </w:rPr>
            </w:pPr>
          </w:p>
        </w:tc>
      </w:tr>
      <w:tr w14:paraId="4025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31" w:type="dxa"/>
            <w:noWrap w:val="0"/>
            <w:vAlign w:val="center"/>
          </w:tcPr>
          <w:p w14:paraId="70D4571F">
            <w:pPr>
              <w:widowControl/>
              <w:jc w:val="center"/>
              <w:rPr>
                <w:rFonts w:hint="eastAsia" w:ascii="仿宋" w:hAnsi="仿宋" w:eastAsia="仿宋"/>
                <w:spacing w:val="14"/>
                <w:kern w:val="0"/>
                <w:sz w:val="21"/>
                <w:szCs w:val="21"/>
                <w:lang w:val="en-US" w:eastAsia="zh-CN" w:bidi="ar-SA"/>
              </w:rPr>
            </w:pPr>
            <w:r>
              <w:rPr>
                <w:rFonts w:hint="eastAsia" w:ascii="仿宋" w:hAnsi="仿宋" w:eastAsia="仿宋"/>
                <w:spacing w:val="14"/>
                <w:kern w:val="0"/>
                <w:sz w:val="21"/>
                <w:szCs w:val="21"/>
                <w:lang w:val="en-US" w:eastAsia="zh-CN" w:bidi="ar-SA"/>
              </w:rPr>
              <w:t>6</w:t>
            </w:r>
          </w:p>
        </w:tc>
        <w:tc>
          <w:tcPr>
            <w:tcW w:w="1858" w:type="dxa"/>
            <w:noWrap w:val="0"/>
            <w:vAlign w:val="center"/>
          </w:tcPr>
          <w:p w14:paraId="711D974B">
            <w:pPr>
              <w:widowControl w:val="0"/>
              <w:jc w:val="left"/>
              <w:rPr>
                <w:rFonts w:hint="eastAsia" w:ascii="仿宋" w:hAnsi="仿宋" w:eastAsia="仿宋"/>
                <w:spacing w:val="14"/>
                <w:kern w:val="0"/>
                <w:sz w:val="21"/>
                <w:szCs w:val="21"/>
                <w:lang w:val="en-US" w:eastAsia="zh-CN" w:bidi="ar-SA"/>
              </w:rPr>
            </w:pPr>
          </w:p>
        </w:tc>
        <w:tc>
          <w:tcPr>
            <w:tcW w:w="1382" w:type="dxa"/>
            <w:noWrap w:val="0"/>
            <w:vAlign w:val="center"/>
          </w:tcPr>
          <w:p w14:paraId="0D31E2D3">
            <w:pPr>
              <w:widowControl/>
              <w:ind w:firstLine="482"/>
              <w:jc w:val="center"/>
              <w:rPr>
                <w:rFonts w:hint="eastAsia" w:ascii="仿宋" w:hAnsi="仿宋" w:eastAsia="仿宋"/>
                <w:spacing w:val="14"/>
                <w:kern w:val="0"/>
                <w:sz w:val="21"/>
                <w:szCs w:val="21"/>
                <w:lang w:val="en-US" w:eastAsia="zh-CN" w:bidi="ar-SA"/>
              </w:rPr>
            </w:pPr>
          </w:p>
        </w:tc>
        <w:tc>
          <w:tcPr>
            <w:tcW w:w="1555" w:type="dxa"/>
            <w:noWrap w:val="0"/>
            <w:vAlign w:val="center"/>
          </w:tcPr>
          <w:p w14:paraId="54379583">
            <w:pPr>
              <w:widowControl/>
              <w:ind w:firstLine="482"/>
              <w:jc w:val="center"/>
              <w:rPr>
                <w:rFonts w:hint="eastAsia" w:ascii="仿宋" w:hAnsi="仿宋" w:eastAsia="仿宋"/>
                <w:spacing w:val="14"/>
                <w:kern w:val="0"/>
                <w:sz w:val="21"/>
                <w:szCs w:val="21"/>
                <w:lang w:val="en-US" w:eastAsia="zh-CN" w:bidi="ar-SA"/>
              </w:rPr>
            </w:pPr>
          </w:p>
        </w:tc>
        <w:tc>
          <w:tcPr>
            <w:tcW w:w="988" w:type="dxa"/>
            <w:noWrap w:val="0"/>
            <w:vAlign w:val="center"/>
          </w:tcPr>
          <w:p w14:paraId="63EB64C3">
            <w:pPr>
              <w:widowControl/>
              <w:ind w:firstLine="482"/>
              <w:jc w:val="center"/>
              <w:rPr>
                <w:rFonts w:hint="eastAsia" w:ascii="仿宋" w:hAnsi="仿宋" w:eastAsia="仿宋"/>
                <w:spacing w:val="14"/>
                <w:kern w:val="0"/>
                <w:sz w:val="21"/>
                <w:szCs w:val="21"/>
                <w:lang w:val="en-US" w:eastAsia="zh-CN" w:bidi="ar-SA"/>
              </w:rPr>
            </w:pPr>
          </w:p>
        </w:tc>
        <w:tc>
          <w:tcPr>
            <w:tcW w:w="856" w:type="dxa"/>
            <w:noWrap w:val="0"/>
            <w:vAlign w:val="center"/>
          </w:tcPr>
          <w:p w14:paraId="48C34E2F">
            <w:pPr>
              <w:widowControl w:val="0"/>
              <w:jc w:val="center"/>
              <w:rPr>
                <w:rFonts w:hint="eastAsia" w:ascii="仿宋" w:hAnsi="仿宋" w:eastAsia="仿宋"/>
                <w:spacing w:val="14"/>
                <w:kern w:val="0"/>
                <w:sz w:val="21"/>
                <w:szCs w:val="21"/>
                <w:lang w:val="en-US" w:eastAsia="zh-CN" w:bidi="ar-SA"/>
              </w:rPr>
            </w:pPr>
          </w:p>
        </w:tc>
        <w:tc>
          <w:tcPr>
            <w:tcW w:w="1072" w:type="dxa"/>
            <w:noWrap w:val="0"/>
            <w:vAlign w:val="center"/>
          </w:tcPr>
          <w:p w14:paraId="57132260">
            <w:pPr>
              <w:widowControl/>
              <w:ind w:firstLine="482"/>
              <w:jc w:val="center"/>
              <w:rPr>
                <w:rFonts w:hint="eastAsia" w:ascii="仿宋" w:hAnsi="仿宋" w:eastAsia="仿宋"/>
                <w:spacing w:val="14"/>
                <w:kern w:val="0"/>
                <w:sz w:val="21"/>
                <w:szCs w:val="21"/>
                <w:lang w:val="en-US" w:eastAsia="zh-CN" w:bidi="ar-SA"/>
              </w:rPr>
            </w:pPr>
          </w:p>
        </w:tc>
        <w:tc>
          <w:tcPr>
            <w:tcW w:w="1073" w:type="dxa"/>
            <w:noWrap w:val="0"/>
            <w:vAlign w:val="center"/>
          </w:tcPr>
          <w:p w14:paraId="3EA7789E">
            <w:pPr>
              <w:widowControl/>
              <w:ind w:firstLine="482"/>
              <w:jc w:val="center"/>
              <w:rPr>
                <w:rFonts w:hint="eastAsia" w:ascii="仿宋" w:hAnsi="仿宋" w:eastAsia="仿宋"/>
                <w:spacing w:val="14"/>
                <w:kern w:val="0"/>
                <w:sz w:val="21"/>
                <w:szCs w:val="21"/>
                <w:lang w:val="en-US" w:eastAsia="zh-CN" w:bidi="ar-SA"/>
              </w:rPr>
            </w:pPr>
          </w:p>
        </w:tc>
      </w:tr>
      <w:tr w14:paraId="2342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31" w:type="dxa"/>
            <w:noWrap w:val="0"/>
            <w:vAlign w:val="center"/>
          </w:tcPr>
          <w:p w14:paraId="1F7A3BD1">
            <w:pPr>
              <w:widowControl/>
              <w:jc w:val="center"/>
              <w:rPr>
                <w:rFonts w:ascii="仿宋" w:hAnsi="仿宋" w:eastAsia="仿宋"/>
                <w:spacing w:val="14"/>
                <w:kern w:val="0"/>
                <w:sz w:val="21"/>
                <w:szCs w:val="21"/>
                <w:lang w:val="en-US" w:eastAsia="zh-CN" w:bidi="ar-SA"/>
              </w:rPr>
            </w:pPr>
            <w:r>
              <w:rPr>
                <w:rFonts w:hint="eastAsia" w:ascii="仿宋" w:hAnsi="仿宋" w:eastAsia="仿宋"/>
                <w:spacing w:val="14"/>
                <w:kern w:val="0"/>
                <w:sz w:val="21"/>
                <w:szCs w:val="21"/>
                <w:lang w:val="en-US" w:eastAsia="zh-CN" w:bidi="ar-SA"/>
              </w:rPr>
              <w:t>...</w:t>
            </w:r>
          </w:p>
        </w:tc>
        <w:tc>
          <w:tcPr>
            <w:tcW w:w="1858" w:type="dxa"/>
            <w:noWrap w:val="0"/>
            <w:vAlign w:val="center"/>
          </w:tcPr>
          <w:p w14:paraId="29BE4F17">
            <w:pPr>
              <w:widowControl w:val="0"/>
              <w:jc w:val="left"/>
              <w:rPr>
                <w:rFonts w:hint="eastAsia" w:ascii="仿宋" w:hAnsi="仿宋" w:eastAsia="仿宋"/>
                <w:spacing w:val="14"/>
                <w:kern w:val="0"/>
                <w:sz w:val="21"/>
                <w:szCs w:val="21"/>
                <w:lang w:val="en-US" w:eastAsia="zh-CN" w:bidi="ar-SA"/>
              </w:rPr>
            </w:pPr>
          </w:p>
        </w:tc>
        <w:tc>
          <w:tcPr>
            <w:tcW w:w="1382" w:type="dxa"/>
            <w:noWrap w:val="0"/>
            <w:vAlign w:val="center"/>
          </w:tcPr>
          <w:p w14:paraId="61DBA35E">
            <w:pPr>
              <w:widowControl/>
              <w:ind w:firstLine="482"/>
              <w:jc w:val="center"/>
              <w:rPr>
                <w:rFonts w:hint="eastAsia" w:ascii="仿宋" w:hAnsi="仿宋" w:eastAsia="仿宋"/>
                <w:spacing w:val="14"/>
                <w:kern w:val="0"/>
                <w:sz w:val="21"/>
                <w:szCs w:val="21"/>
                <w:lang w:val="en-US" w:eastAsia="zh-CN" w:bidi="ar-SA"/>
              </w:rPr>
            </w:pPr>
          </w:p>
        </w:tc>
        <w:tc>
          <w:tcPr>
            <w:tcW w:w="1555" w:type="dxa"/>
            <w:noWrap w:val="0"/>
            <w:vAlign w:val="center"/>
          </w:tcPr>
          <w:p w14:paraId="4E8C9C83">
            <w:pPr>
              <w:widowControl/>
              <w:ind w:firstLine="482"/>
              <w:jc w:val="center"/>
              <w:rPr>
                <w:rFonts w:hint="eastAsia" w:ascii="仿宋" w:hAnsi="仿宋" w:eastAsia="仿宋"/>
                <w:spacing w:val="14"/>
                <w:kern w:val="0"/>
                <w:sz w:val="21"/>
                <w:szCs w:val="21"/>
                <w:lang w:val="en-US" w:eastAsia="zh-CN" w:bidi="ar-SA"/>
              </w:rPr>
            </w:pPr>
          </w:p>
        </w:tc>
        <w:tc>
          <w:tcPr>
            <w:tcW w:w="988" w:type="dxa"/>
            <w:noWrap w:val="0"/>
            <w:vAlign w:val="center"/>
          </w:tcPr>
          <w:p w14:paraId="5E70C92A">
            <w:pPr>
              <w:widowControl/>
              <w:ind w:firstLine="482"/>
              <w:jc w:val="center"/>
              <w:rPr>
                <w:rFonts w:hint="eastAsia" w:ascii="仿宋" w:hAnsi="仿宋" w:eastAsia="仿宋"/>
                <w:spacing w:val="14"/>
                <w:kern w:val="0"/>
                <w:sz w:val="21"/>
                <w:szCs w:val="21"/>
                <w:lang w:val="en-US" w:eastAsia="zh-CN" w:bidi="ar-SA"/>
              </w:rPr>
            </w:pPr>
          </w:p>
        </w:tc>
        <w:tc>
          <w:tcPr>
            <w:tcW w:w="856" w:type="dxa"/>
            <w:noWrap w:val="0"/>
            <w:vAlign w:val="center"/>
          </w:tcPr>
          <w:p w14:paraId="67CD27B8">
            <w:pPr>
              <w:widowControl w:val="0"/>
              <w:jc w:val="center"/>
              <w:rPr>
                <w:rFonts w:hint="eastAsia" w:ascii="仿宋" w:hAnsi="仿宋" w:eastAsia="仿宋"/>
                <w:spacing w:val="14"/>
                <w:kern w:val="0"/>
                <w:sz w:val="21"/>
                <w:szCs w:val="21"/>
                <w:lang w:val="en-US" w:eastAsia="zh-CN" w:bidi="ar-SA"/>
              </w:rPr>
            </w:pPr>
          </w:p>
        </w:tc>
        <w:tc>
          <w:tcPr>
            <w:tcW w:w="1072" w:type="dxa"/>
            <w:noWrap w:val="0"/>
            <w:vAlign w:val="center"/>
          </w:tcPr>
          <w:p w14:paraId="7234364D">
            <w:pPr>
              <w:widowControl/>
              <w:ind w:firstLine="482"/>
              <w:jc w:val="center"/>
              <w:rPr>
                <w:rFonts w:hint="eastAsia" w:ascii="仿宋" w:hAnsi="仿宋" w:eastAsia="仿宋"/>
                <w:spacing w:val="14"/>
                <w:kern w:val="0"/>
                <w:sz w:val="21"/>
                <w:szCs w:val="21"/>
                <w:lang w:val="en-US" w:eastAsia="zh-CN" w:bidi="ar-SA"/>
              </w:rPr>
            </w:pPr>
          </w:p>
        </w:tc>
        <w:tc>
          <w:tcPr>
            <w:tcW w:w="1073" w:type="dxa"/>
            <w:noWrap w:val="0"/>
            <w:vAlign w:val="center"/>
          </w:tcPr>
          <w:p w14:paraId="5B35B478">
            <w:pPr>
              <w:widowControl/>
              <w:ind w:firstLine="482"/>
              <w:jc w:val="center"/>
              <w:rPr>
                <w:rFonts w:hint="eastAsia" w:ascii="仿宋" w:hAnsi="仿宋" w:eastAsia="仿宋"/>
                <w:spacing w:val="14"/>
                <w:kern w:val="0"/>
                <w:sz w:val="21"/>
                <w:szCs w:val="21"/>
                <w:lang w:val="en-US" w:eastAsia="zh-CN" w:bidi="ar-SA"/>
              </w:rPr>
            </w:pPr>
          </w:p>
        </w:tc>
      </w:tr>
      <w:tr w14:paraId="0EE4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15" w:type="dxa"/>
            <w:gridSpan w:val="8"/>
            <w:noWrap w:val="0"/>
            <w:vAlign w:val="top"/>
          </w:tcPr>
          <w:p w14:paraId="33348B0C">
            <w:pPr>
              <w:widowControl/>
              <w:ind w:firstLine="482"/>
              <w:jc w:val="both"/>
              <w:rPr>
                <w:rFonts w:ascii="仿宋" w:hAnsi="仿宋" w:eastAsia="仿宋"/>
                <w:spacing w:val="14"/>
                <w:kern w:val="0"/>
                <w:sz w:val="21"/>
                <w:szCs w:val="21"/>
                <w:lang w:val="en-US" w:eastAsia="zh-CN" w:bidi="ar-SA"/>
              </w:rPr>
            </w:pPr>
            <w:r>
              <w:rPr>
                <w:rFonts w:hint="eastAsia" w:ascii="仿宋" w:hAnsi="仿宋" w:eastAsia="仿宋"/>
                <w:spacing w:val="14"/>
                <w:kern w:val="0"/>
                <w:sz w:val="21"/>
                <w:szCs w:val="21"/>
                <w:lang w:val="en-US" w:eastAsia="zh-CN" w:bidi="ar-SA"/>
              </w:rPr>
              <w:t>投标报价人民币小写：</w:t>
            </w:r>
          </w:p>
          <w:p w14:paraId="1DBA5069">
            <w:pPr>
              <w:widowControl/>
              <w:ind w:firstLine="482"/>
              <w:jc w:val="both"/>
              <w:rPr>
                <w:rFonts w:hint="eastAsia" w:ascii="仿宋" w:hAnsi="仿宋" w:eastAsia="仿宋"/>
                <w:spacing w:val="14"/>
                <w:kern w:val="0"/>
                <w:sz w:val="21"/>
                <w:szCs w:val="21"/>
                <w:lang w:val="en-US" w:eastAsia="zh-CN" w:bidi="ar-SA"/>
              </w:rPr>
            </w:pPr>
            <w:r>
              <w:rPr>
                <w:rFonts w:hint="eastAsia" w:ascii="仿宋" w:hAnsi="仿宋" w:eastAsia="仿宋"/>
                <w:spacing w:val="14"/>
                <w:kern w:val="0"/>
                <w:sz w:val="21"/>
                <w:szCs w:val="21"/>
                <w:lang w:val="en-US" w:eastAsia="zh-CN" w:bidi="ar-SA"/>
              </w:rPr>
              <w:t>投标报价人民币大写：</w:t>
            </w:r>
          </w:p>
        </w:tc>
      </w:tr>
    </w:tbl>
    <w:p w14:paraId="1ACA9365">
      <w:pPr>
        <w:widowControl/>
        <w:ind w:firstLine="482"/>
        <w:rPr>
          <w:rFonts w:hint="eastAsia" w:ascii="仿宋" w:hAnsi="仿宋" w:eastAsia="仿宋"/>
          <w:spacing w:val="14"/>
          <w:kern w:val="0"/>
          <w:szCs w:val="21"/>
        </w:rPr>
      </w:pPr>
    </w:p>
    <w:p w14:paraId="62A6E949">
      <w:pPr>
        <w:autoSpaceDE w:val="0"/>
        <w:autoSpaceDN w:val="0"/>
        <w:jc w:val="left"/>
        <w:rPr>
          <w:rFonts w:hint="eastAsia" w:ascii="仿宋" w:hAnsi="仿宋" w:eastAsia="仿宋"/>
          <w:spacing w:val="14"/>
          <w:kern w:val="0"/>
          <w:szCs w:val="21"/>
        </w:rPr>
      </w:pPr>
    </w:p>
    <w:p w14:paraId="3DB8627C">
      <w:pPr>
        <w:autoSpaceDE w:val="0"/>
        <w:autoSpaceDN w:val="0"/>
        <w:jc w:val="left"/>
        <w:rPr>
          <w:rFonts w:ascii="仿宋" w:hAnsi="仿宋" w:eastAsia="仿宋" w:cs="仿宋"/>
          <w:b/>
          <w:kern w:val="0"/>
          <w:sz w:val="20"/>
          <w:szCs w:val="21"/>
          <w:lang w:val="zh-CN" w:bidi="zh-CN"/>
        </w:rPr>
      </w:pPr>
      <w:r>
        <w:rPr>
          <w:rFonts w:hint="eastAsia" w:ascii="仿宋" w:hAnsi="仿宋" w:eastAsia="仿宋"/>
          <w:spacing w:val="14"/>
          <w:kern w:val="0"/>
          <w:szCs w:val="21"/>
        </w:rPr>
        <w:t xml:space="preserve">投标人（企业电子章）： </w:t>
      </w:r>
    </w:p>
    <w:p w14:paraId="49AD64BA">
      <w:pPr>
        <w:autoSpaceDE w:val="0"/>
        <w:autoSpaceDN w:val="0"/>
        <w:jc w:val="left"/>
        <w:rPr>
          <w:rFonts w:ascii="仿宋" w:hAnsi="仿宋" w:eastAsia="仿宋" w:cs="仿宋"/>
          <w:b/>
          <w:kern w:val="0"/>
          <w:sz w:val="20"/>
          <w:szCs w:val="21"/>
          <w:lang w:val="zh-CN" w:bidi="zh-CN"/>
        </w:rPr>
      </w:pPr>
    </w:p>
    <w:p w14:paraId="261EFAFE">
      <w:pPr>
        <w:autoSpaceDE w:val="0"/>
        <w:autoSpaceDN w:val="0"/>
        <w:jc w:val="left"/>
        <w:rPr>
          <w:rFonts w:hint="eastAsia" w:ascii="仿宋" w:hAnsi="仿宋" w:eastAsia="仿宋" w:cs="仿宋"/>
          <w:b w:val="0"/>
          <w:bCs/>
          <w:kern w:val="0"/>
          <w:sz w:val="22"/>
          <w:szCs w:val="48"/>
          <w:lang w:val="zh-CN" w:bidi="zh-CN"/>
        </w:rPr>
      </w:pPr>
    </w:p>
    <w:p w14:paraId="721FBAB7">
      <w:pPr>
        <w:autoSpaceDE w:val="0"/>
        <w:autoSpaceDN w:val="0"/>
        <w:jc w:val="left"/>
        <w:rPr>
          <w:rFonts w:hint="eastAsia" w:ascii="仿宋" w:hAnsi="仿宋" w:eastAsia="仿宋" w:cs="仿宋"/>
          <w:b w:val="0"/>
          <w:bCs/>
          <w:kern w:val="0"/>
          <w:sz w:val="22"/>
          <w:szCs w:val="48"/>
          <w:lang w:val="zh-CN" w:bidi="zh-CN"/>
        </w:rPr>
      </w:pPr>
    </w:p>
    <w:p w14:paraId="7FBF7F22">
      <w:pPr>
        <w:autoSpaceDE w:val="0"/>
        <w:autoSpaceDN w:val="0"/>
        <w:jc w:val="left"/>
        <w:rPr>
          <w:rFonts w:ascii="仿宋" w:hAnsi="仿宋" w:eastAsia="仿宋" w:cs="仿宋"/>
          <w:b w:val="0"/>
          <w:bCs/>
          <w:kern w:val="0"/>
          <w:sz w:val="22"/>
          <w:szCs w:val="48"/>
          <w:lang w:val="zh-CN" w:bidi="zh-CN"/>
        </w:rPr>
      </w:pPr>
      <w:r>
        <w:rPr>
          <w:rFonts w:hint="eastAsia" w:ascii="仿宋" w:hAnsi="仿宋" w:eastAsia="仿宋" w:cs="仿宋"/>
          <w:b w:val="0"/>
          <w:bCs/>
          <w:kern w:val="0"/>
          <w:sz w:val="22"/>
          <w:szCs w:val="48"/>
          <w:lang w:val="zh-CN" w:bidi="zh-CN"/>
        </w:rPr>
        <w:t>注:投标人可根据需要自行增减表格行数。</w:t>
      </w:r>
    </w:p>
    <w:p w14:paraId="6D4DA82D">
      <w:pPr>
        <w:rPr>
          <w:rFonts w:hint="eastAsia" w:ascii="仿宋" w:hAnsi="仿宋" w:eastAsia="仿宋" w:cs="仿宋"/>
          <w:b w:val="0"/>
          <w:bCs/>
        </w:rPr>
      </w:pPr>
      <w:bookmarkStart w:id="610" w:name="_Toc30958"/>
      <w:bookmarkStart w:id="611" w:name="_Toc185327328"/>
      <w:bookmarkStart w:id="612" w:name="_Toc23486"/>
      <w:bookmarkStart w:id="613" w:name="_Toc19016"/>
      <w:r>
        <w:rPr>
          <w:rFonts w:hint="eastAsia" w:ascii="仿宋" w:hAnsi="仿宋" w:eastAsia="仿宋" w:cs="仿宋"/>
          <w:b w:val="0"/>
          <w:bCs/>
        </w:rPr>
        <w:br w:type="page"/>
      </w:r>
    </w:p>
    <w:p w14:paraId="121D7FD6">
      <w:pPr>
        <w:pStyle w:val="3"/>
        <w:jc w:val="center"/>
        <w:rPr>
          <w:rFonts w:ascii="仿宋" w:hAnsi="仿宋" w:eastAsia="仿宋" w:cs="仿宋"/>
        </w:rPr>
      </w:pPr>
      <w:r>
        <w:rPr>
          <w:rFonts w:hint="eastAsia" w:ascii="仿宋" w:hAnsi="仿宋" w:eastAsia="仿宋" w:cs="仿宋"/>
        </w:rPr>
        <w:t>六、投标保证金（投标保证金企业信用承诺函）</w:t>
      </w:r>
      <w:bookmarkEnd w:id="610"/>
      <w:bookmarkEnd w:id="611"/>
    </w:p>
    <w:p w14:paraId="63C138A3">
      <w:pPr>
        <w:spacing w:line="336" w:lineRule="auto"/>
        <w:ind w:firstLine="420" w:firstLineChars="200"/>
        <w:jc w:val="left"/>
        <w:rPr>
          <w:rFonts w:ascii="仿宋" w:hAnsi="仿宋" w:eastAsia="仿宋" w:cs="仿宋"/>
          <w:snapToGrid w:val="0"/>
          <w:kern w:val="0"/>
          <w:szCs w:val="21"/>
        </w:rPr>
      </w:pPr>
      <w:r>
        <w:rPr>
          <w:rFonts w:hint="eastAsia" w:ascii="仿宋" w:hAnsi="仿宋" w:eastAsia="仿宋" w:cs="仿宋"/>
          <w:snapToGrid w:val="0"/>
          <w:kern w:val="0"/>
          <w:szCs w:val="21"/>
          <w:u w:val="single"/>
        </w:rPr>
        <w:t>（招标单位名称）</w:t>
      </w:r>
      <w:r>
        <w:rPr>
          <w:rFonts w:hint="eastAsia" w:ascii="仿宋" w:hAnsi="仿宋" w:eastAsia="仿宋" w:cs="仿宋"/>
          <w:snapToGrid w:val="0"/>
          <w:kern w:val="0"/>
          <w:szCs w:val="21"/>
        </w:rPr>
        <w:t>：</w:t>
      </w:r>
    </w:p>
    <w:p w14:paraId="06A6C340">
      <w:pPr>
        <w:spacing w:line="336" w:lineRule="auto"/>
        <w:ind w:firstLine="420" w:firstLineChars="200"/>
        <w:jc w:val="left"/>
        <w:rPr>
          <w:rFonts w:ascii="仿宋" w:hAnsi="仿宋" w:eastAsia="仿宋" w:cs="仿宋"/>
          <w:snapToGrid w:val="0"/>
          <w:kern w:val="0"/>
          <w:szCs w:val="21"/>
        </w:rPr>
      </w:pPr>
      <w:r>
        <w:rPr>
          <w:rFonts w:hint="eastAsia" w:ascii="仿宋" w:hAnsi="仿宋" w:eastAsia="仿宋" w:cs="仿宋"/>
          <w:snapToGrid w:val="0"/>
          <w:kern w:val="0"/>
          <w:szCs w:val="21"/>
        </w:rPr>
        <w:t>为维护公平、公正、公开的政府投资市场秩序，树立诚实守信的投标人形象，我单位自愿作出以下承诺：</w:t>
      </w:r>
    </w:p>
    <w:p w14:paraId="469D0F4B">
      <w:pPr>
        <w:spacing w:line="336" w:lineRule="auto"/>
        <w:ind w:firstLine="420" w:firstLineChars="200"/>
        <w:jc w:val="left"/>
        <w:rPr>
          <w:rFonts w:ascii="仿宋" w:hAnsi="仿宋" w:eastAsia="仿宋" w:cs="仿宋"/>
          <w:snapToGrid w:val="0"/>
          <w:kern w:val="0"/>
          <w:szCs w:val="21"/>
          <w:u w:val="single"/>
        </w:rPr>
      </w:pPr>
      <w:r>
        <w:rPr>
          <w:rFonts w:hint="eastAsia" w:ascii="仿宋" w:hAnsi="仿宋" w:eastAsia="仿宋" w:cs="仿宋"/>
          <w:snapToGrid w:val="0"/>
          <w:kern w:val="0"/>
          <w:szCs w:val="21"/>
        </w:rPr>
        <w:t>单位名称：</w:t>
      </w:r>
      <w:r>
        <w:rPr>
          <w:rFonts w:hint="eastAsia" w:ascii="仿宋" w:hAnsi="仿宋" w:eastAsia="仿宋" w:cs="仿宋"/>
          <w:snapToGrid w:val="0"/>
          <w:kern w:val="0"/>
          <w:szCs w:val="21"/>
          <w:u w:val="single"/>
        </w:rPr>
        <w:t xml:space="preserve">                                           </w:t>
      </w:r>
    </w:p>
    <w:p w14:paraId="12608E0F">
      <w:pPr>
        <w:spacing w:line="336" w:lineRule="auto"/>
        <w:ind w:firstLine="420" w:firstLineChars="200"/>
        <w:jc w:val="left"/>
        <w:rPr>
          <w:rFonts w:ascii="仿宋" w:hAnsi="仿宋" w:eastAsia="仿宋" w:cs="仿宋"/>
          <w:snapToGrid w:val="0"/>
          <w:kern w:val="0"/>
          <w:szCs w:val="21"/>
          <w:u w:val="single"/>
        </w:rPr>
      </w:pPr>
      <w:r>
        <w:rPr>
          <w:rFonts w:hint="eastAsia" w:ascii="仿宋" w:hAnsi="仿宋" w:eastAsia="仿宋" w:cs="仿宋"/>
          <w:snapToGrid w:val="0"/>
          <w:kern w:val="0"/>
          <w:szCs w:val="21"/>
        </w:rPr>
        <w:t>统一社会信用代码：</w:t>
      </w:r>
      <w:r>
        <w:rPr>
          <w:rFonts w:hint="eastAsia" w:ascii="仿宋" w:hAnsi="仿宋" w:eastAsia="仿宋" w:cs="仿宋"/>
          <w:snapToGrid w:val="0"/>
          <w:kern w:val="0"/>
          <w:szCs w:val="21"/>
          <w:u w:val="single"/>
        </w:rPr>
        <w:t xml:space="preserve">                                   </w:t>
      </w:r>
    </w:p>
    <w:p w14:paraId="1D3698D0">
      <w:pPr>
        <w:spacing w:line="336" w:lineRule="auto"/>
        <w:ind w:firstLine="420" w:firstLineChars="200"/>
        <w:jc w:val="left"/>
        <w:rPr>
          <w:rFonts w:ascii="仿宋" w:hAnsi="仿宋" w:eastAsia="仿宋" w:cs="仿宋"/>
          <w:snapToGrid w:val="0"/>
          <w:kern w:val="0"/>
          <w:szCs w:val="21"/>
          <w:u w:val="single"/>
        </w:rPr>
      </w:pPr>
      <w:r>
        <w:rPr>
          <w:rFonts w:hint="eastAsia" w:ascii="仿宋" w:hAnsi="仿宋" w:eastAsia="仿宋" w:cs="仿宋"/>
          <w:snapToGrid w:val="0"/>
          <w:kern w:val="0"/>
          <w:szCs w:val="21"/>
        </w:rPr>
        <w:t>法定代表人：</w:t>
      </w:r>
      <w:r>
        <w:rPr>
          <w:rFonts w:hint="eastAsia" w:ascii="仿宋" w:hAnsi="仿宋" w:eastAsia="仿宋" w:cs="仿宋"/>
          <w:snapToGrid w:val="0"/>
          <w:kern w:val="0"/>
          <w:szCs w:val="21"/>
          <w:u w:val="single"/>
        </w:rPr>
        <w:t xml:space="preserve">                                         </w:t>
      </w:r>
    </w:p>
    <w:p w14:paraId="5291225A">
      <w:pPr>
        <w:spacing w:line="336" w:lineRule="auto"/>
        <w:ind w:firstLine="420" w:firstLineChars="200"/>
        <w:jc w:val="left"/>
        <w:rPr>
          <w:rFonts w:ascii="仿宋" w:hAnsi="仿宋" w:eastAsia="仿宋" w:cs="仿宋"/>
          <w:snapToGrid w:val="0"/>
          <w:kern w:val="0"/>
          <w:szCs w:val="21"/>
          <w:u w:val="single"/>
        </w:rPr>
      </w:pPr>
      <w:r>
        <w:rPr>
          <w:rFonts w:hint="eastAsia" w:ascii="仿宋" w:hAnsi="仿宋" w:eastAsia="仿宋" w:cs="仿宋"/>
          <w:snapToGrid w:val="0"/>
          <w:kern w:val="0"/>
          <w:szCs w:val="21"/>
        </w:rPr>
        <w:t>地址和联系电话：</w:t>
      </w:r>
      <w:r>
        <w:rPr>
          <w:rFonts w:hint="eastAsia" w:ascii="仿宋" w:hAnsi="仿宋" w:eastAsia="仿宋" w:cs="仿宋"/>
          <w:snapToGrid w:val="0"/>
          <w:kern w:val="0"/>
          <w:szCs w:val="21"/>
          <w:u w:val="single"/>
        </w:rPr>
        <w:t xml:space="preserve">                                     </w:t>
      </w:r>
    </w:p>
    <w:p w14:paraId="24DFB8C7">
      <w:pPr>
        <w:spacing w:line="336" w:lineRule="auto"/>
        <w:ind w:firstLine="420" w:firstLineChars="200"/>
        <w:jc w:val="left"/>
        <w:rPr>
          <w:rFonts w:ascii="仿宋" w:hAnsi="仿宋" w:eastAsia="仿宋" w:cs="仿宋"/>
          <w:snapToGrid w:val="0"/>
          <w:kern w:val="0"/>
          <w:szCs w:val="21"/>
        </w:rPr>
      </w:pPr>
      <w:r>
        <w:rPr>
          <w:rFonts w:hint="eastAsia" w:ascii="仿宋" w:hAnsi="仿宋" w:eastAsia="仿宋" w:cs="仿宋"/>
          <w:snapToGrid w:val="0"/>
          <w:kern w:val="0"/>
          <w:szCs w:val="21"/>
        </w:rPr>
        <w:t>一、我单位具备承担招标项目的能力，自愿参加</w:t>
      </w:r>
      <w:r>
        <w:rPr>
          <w:rFonts w:hint="eastAsia" w:ascii="仿宋" w:hAnsi="仿宋" w:eastAsia="仿宋" w:cs="仿宋"/>
          <w:snapToGrid w:val="0"/>
          <w:kern w:val="0"/>
          <w:szCs w:val="21"/>
          <w:u w:val="single"/>
          <w:lang w:val="en-US" w:eastAsia="zh-CN"/>
        </w:rPr>
        <w:t xml:space="preserve">       </w:t>
      </w:r>
      <w:r>
        <w:rPr>
          <w:rFonts w:hint="eastAsia" w:ascii="仿宋" w:hAnsi="仿宋" w:eastAsia="仿宋" w:cs="仿宋"/>
          <w:snapToGrid w:val="0"/>
          <w:kern w:val="0"/>
          <w:szCs w:val="21"/>
          <w:u w:val="single"/>
        </w:rPr>
        <w:t>（项目名称）</w:t>
      </w:r>
      <w:r>
        <w:rPr>
          <w:rFonts w:hint="eastAsia" w:ascii="仿宋" w:hAnsi="仿宋" w:eastAsia="仿宋" w:cs="仿宋"/>
          <w:snapToGrid w:val="0"/>
          <w:kern w:val="0"/>
          <w:szCs w:val="21"/>
        </w:rPr>
        <w:t>投标活动，严格遵守《中华人民共和国招标投标法》及相关法律法规，依法诚信经营，无条件遵守招标投标活动的各项规定。</w:t>
      </w:r>
    </w:p>
    <w:p w14:paraId="35C07B37">
      <w:pPr>
        <w:spacing w:line="336" w:lineRule="auto"/>
        <w:ind w:firstLine="420" w:firstLineChars="200"/>
        <w:jc w:val="left"/>
        <w:rPr>
          <w:rFonts w:ascii="仿宋" w:hAnsi="仿宋" w:eastAsia="仿宋" w:cs="仿宋"/>
          <w:snapToGrid w:val="0"/>
          <w:kern w:val="0"/>
          <w:szCs w:val="21"/>
        </w:rPr>
      </w:pPr>
      <w:r>
        <w:rPr>
          <w:rFonts w:hint="eastAsia" w:ascii="仿宋" w:hAnsi="仿宋" w:eastAsia="仿宋" w:cs="仿宋"/>
          <w:snapToGrid w:val="0"/>
          <w:kern w:val="0"/>
          <w:szCs w:val="21"/>
        </w:rPr>
        <w:t>二、我单位在“信用中国”中未被列入“严重失信主体名单”、没有因招标投标违法行为被行政处罚的记录、“信用承诺”中没有“部分履行”或者“全部未履行”的有关记录，在“中国执行信息公开网”中企业及法定代表人没有被列入“失信被执行人”，在“中国政府采购网”未被列入“政府采购严重违法失信行为记录名单”，在“国家企业信用信息公示系统”中没有因招标投标违法行为被行政处罚的记录、未被列入“经营异常名录”及“严重违法失信名单”。</w:t>
      </w:r>
    </w:p>
    <w:p w14:paraId="3443CD6A">
      <w:pPr>
        <w:spacing w:line="336" w:lineRule="auto"/>
        <w:ind w:firstLine="420" w:firstLineChars="200"/>
        <w:jc w:val="left"/>
        <w:rPr>
          <w:rFonts w:ascii="仿宋" w:hAnsi="仿宋" w:eastAsia="仿宋" w:cs="仿宋"/>
          <w:snapToGrid w:val="0"/>
          <w:kern w:val="0"/>
          <w:szCs w:val="21"/>
        </w:rPr>
      </w:pPr>
      <w:r>
        <w:rPr>
          <w:rFonts w:hint="eastAsia" w:ascii="仿宋" w:hAnsi="仿宋" w:eastAsia="仿宋" w:cs="仿宋"/>
          <w:snapToGrid w:val="0"/>
          <w:kern w:val="0"/>
          <w:szCs w:val="21"/>
        </w:rPr>
        <w:t>三、我单位如有发生下述任何一种违约行为，自愿承担相关法律责任，1年内自动放弃在洛阳市工程建设项目招投标中使用“投标保证金企业信用承诺函”资格。</w:t>
      </w:r>
    </w:p>
    <w:p w14:paraId="282C2C95">
      <w:pPr>
        <w:spacing w:line="336" w:lineRule="auto"/>
        <w:ind w:firstLine="420" w:firstLineChars="200"/>
        <w:jc w:val="left"/>
        <w:rPr>
          <w:rFonts w:ascii="仿宋" w:hAnsi="仿宋" w:eastAsia="仿宋" w:cs="仿宋"/>
          <w:snapToGrid w:val="0"/>
          <w:kern w:val="0"/>
          <w:szCs w:val="21"/>
        </w:rPr>
      </w:pPr>
      <w:r>
        <w:rPr>
          <w:rFonts w:hint="eastAsia" w:ascii="仿宋" w:hAnsi="仿宋" w:eastAsia="仿宋" w:cs="仿宋"/>
          <w:snapToGrid w:val="0"/>
          <w:kern w:val="0"/>
          <w:szCs w:val="21"/>
        </w:rPr>
        <w:t>（一）在招标文件中规定的投标有效期内撤销投标文件；</w:t>
      </w:r>
    </w:p>
    <w:p w14:paraId="41B71823">
      <w:pPr>
        <w:spacing w:line="336" w:lineRule="auto"/>
        <w:ind w:firstLine="420" w:firstLineChars="200"/>
        <w:jc w:val="left"/>
        <w:rPr>
          <w:rFonts w:ascii="仿宋" w:hAnsi="仿宋" w:eastAsia="仿宋" w:cs="仿宋"/>
          <w:snapToGrid w:val="0"/>
          <w:kern w:val="0"/>
          <w:szCs w:val="21"/>
        </w:rPr>
      </w:pPr>
      <w:r>
        <w:rPr>
          <w:rFonts w:hint="eastAsia" w:ascii="仿宋" w:hAnsi="仿宋" w:eastAsia="仿宋" w:cs="仿宋"/>
          <w:snapToGrid w:val="0"/>
          <w:kern w:val="0"/>
          <w:szCs w:val="21"/>
        </w:rPr>
        <w:t>（二）中标后在规定期限内无正当理由不与招标人签订合同、或者未按招标文件规定提交履约保证金；</w:t>
      </w:r>
    </w:p>
    <w:p w14:paraId="2825BF8C">
      <w:pPr>
        <w:spacing w:line="336" w:lineRule="auto"/>
        <w:ind w:firstLine="420" w:firstLineChars="200"/>
        <w:jc w:val="left"/>
        <w:rPr>
          <w:rFonts w:ascii="仿宋" w:hAnsi="仿宋" w:eastAsia="仿宋" w:cs="仿宋"/>
          <w:snapToGrid w:val="0"/>
          <w:kern w:val="0"/>
          <w:szCs w:val="21"/>
        </w:rPr>
      </w:pPr>
      <w:r>
        <w:rPr>
          <w:rFonts w:hint="eastAsia" w:ascii="仿宋" w:hAnsi="仿宋" w:eastAsia="仿宋" w:cs="仿宋"/>
          <w:snapToGrid w:val="0"/>
          <w:kern w:val="0"/>
          <w:szCs w:val="21"/>
        </w:rPr>
        <w:t>（三）评标委员会认定投标人串通投标或弄虚作假等违法行为；</w:t>
      </w:r>
    </w:p>
    <w:p w14:paraId="4B32269D">
      <w:pPr>
        <w:spacing w:line="336" w:lineRule="auto"/>
        <w:ind w:firstLine="420" w:firstLineChars="200"/>
        <w:jc w:val="left"/>
        <w:rPr>
          <w:rFonts w:ascii="仿宋" w:hAnsi="仿宋" w:eastAsia="仿宋" w:cs="仿宋"/>
          <w:snapToGrid w:val="0"/>
          <w:kern w:val="0"/>
          <w:szCs w:val="21"/>
        </w:rPr>
      </w:pPr>
      <w:r>
        <w:rPr>
          <w:rFonts w:hint="eastAsia" w:ascii="仿宋" w:hAnsi="仿宋" w:eastAsia="仿宋" w:cs="仿宋"/>
          <w:snapToGrid w:val="0"/>
          <w:kern w:val="0"/>
          <w:szCs w:val="21"/>
        </w:rPr>
        <w:t>（四）法律、法规规定的其他情形。</w:t>
      </w:r>
    </w:p>
    <w:p w14:paraId="5E003D2F">
      <w:pPr>
        <w:spacing w:line="336" w:lineRule="auto"/>
        <w:ind w:firstLine="420" w:firstLineChars="200"/>
        <w:jc w:val="left"/>
        <w:rPr>
          <w:rFonts w:ascii="仿宋" w:hAnsi="仿宋" w:eastAsia="仿宋" w:cs="仿宋"/>
          <w:snapToGrid w:val="0"/>
          <w:kern w:val="0"/>
          <w:szCs w:val="21"/>
        </w:rPr>
      </w:pPr>
      <w:r>
        <w:rPr>
          <w:rFonts w:hint="eastAsia" w:ascii="仿宋" w:hAnsi="仿宋" w:eastAsia="仿宋" w:cs="仿宋"/>
          <w:snapToGrid w:val="0"/>
          <w:kern w:val="0"/>
          <w:szCs w:val="21"/>
        </w:rPr>
        <w:t>四、同意将承诺和践诺信息作为我单位信用记录由“信用洛阳”网站归集并合规应用。特此承诺。</w:t>
      </w:r>
    </w:p>
    <w:p w14:paraId="1DB393F5">
      <w:pPr>
        <w:spacing w:line="336"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 xml:space="preserve">                     </w:t>
      </w:r>
    </w:p>
    <w:p w14:paraId="4A382058">
      <w:pPr>
        <w:spacing w:line="336" w:lineRule="auto"/>
        <w:ind w:firstLine="420" w:firstLineChars="200"/>
        <w:jc w:val="left"/>
        <w:rPr>
          <w:rFonts w:ascii="仿宋" w:hAnsi="仿宋" w:eastAsia="仿宋" w:cs="仿宋"/>
          <w:snapToGrid w:val="0"/>
          <w:kern w:val="0"/>
          <w:szCs w:val="21"/>
        </w:rPr>
      </w:pPr>
      <w:r>
        <w:rPr>
          <w:rFonts w:hint="eastAsia" w:ascii="仿宋" w:hAnsi="仿宋" w:eastAsia="仿宋" w:cs="仿宋"/>
          <w:snapToGrid w:val="0"/>
          <w:kern w:val="0"/>
          <w:szCs w:val="21"/>
        </w:rPr>
        <w:t xml:space="preserve">  投标人单位名称：（盖单位电子章）</w:t>
      </w:r>
    </w:p>
    <w:p w14:paraId="1F6695EC">
      <w:pPr>
        <w:spacing w:line="336"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 xml:space="preserve">                  </w:t>
      </w:r>
    </w:p>
    <w:p w14:paraId="663DBBDD">
      <w:pPr>
        <w:spacing w:line="336" w:lineRule="auto"/>
        <w:ind w:firstLine="420" w:firstLineChars="200"/>
        <w:jc w:val="left"/>
        <w:rPr>
          <w:rFonts w:ascii="仿宋" w:hAnsi="仿宋" w:eastAsia="仿宋" w:cs="仿宋"/>
          <w:snapToGrid w:val="0"/>
          <w:kern w:val="0"/>
          <w:szCs w:val="21"/>
        </w:rPr>
      </w:pPr>
      <w:r>
        <w:rPr>
          <w:rFonts w:hint="eastAsia" w:ascii="仿宋" w:hAnsi="仿宋" w:eastAsia="仿宋" w:cs="仿宋"/>
          <w:snapToGrid w:val="0"/>
          <w:kern w:val="0"/>
          <w:szCs w:val="21"/>
        </w:rPr>
        <w:t xml:space="preserve"> 法定代表人或委托代理人：（签字或盖电子章）</w:t>
      </w:r>
    </w:p>
    <w:p w14:paraId="6AA97982">
      <w:pPr>
        <w:spacing w:line="336" w:lineRule="auto"/>
        <w:ind w:firstLine="4410" w:firstLineChars="2100"/>
        <w:jc w:val="left"/>
        <w:rPr>
          <w:rFonts w:hint="eastAsia" w:ascii="仿宋" w:hAnsi="仿宋" w:eastAsia="仿宋" w:cs="仿宋"/>
          <w:snapToGrid w:val="0"/>
          <w:kern w:val="0"/>
          <w:szCs w:val="21"/>
        </w:rPr>
      </w:pPr>
    </w:p>
    <w:p w14:paraId="695CFCB4">
      <w:pPr>
        <w:spacing w:line="336" w:lineRule="auto"/>
        <w:ind w:firstLine="630" w:firstLineChars="300"/>
        <w:jc w:val="left"/>
        <w:rPr>
          <w:rFonts w:ascii="仿宋" w:hAnsi="仿宋" w:eastAsia="仿宋" w:cs="仿宋"/>
          <w:snapToGrid w:val="0"/>
          <w:kern w:val="0"/>
          <w:szCs w:val="21"/>
        </w:rPr>
      </w:pPr>
      <w:r>
        <w:rPr>
          <w:rFonts w:hint="eastAsia" w:ascii="仿宋" w:hAnsi="仿宋" w:eastAsia="仿宋" w:cs="仿宋"/>
          <w:snapToGrid w:val="0"/>
          <w:kern w:val="0"/>
          <w:szCs w:val="21"/>
        </w:rPr>
        <w:t xml:space="preserve">年 </w:t>
      </w:r>
      <w:r>
        <w:rPr>
          <w:rFonts w:hint="eastAsia" w:ascii="仿宋" w:hAnsi="仿宋" w:eastAsia="仿宋" w:cs="仿宋"/>
          <w:snapToGrid w:val="0"/>
          <w:kern w:val="0"/>
          <w:szCs w:val="21"/>
          <w:lang w:val="en-US" w:eastAsia="zh-CN"/>
        </w:rPr>
        <w:t xml:space="preserve">  </w:t>
      </w:r>
      <w:r>
        <w:rPr>
          <w:rFonts w:hint="eastAsia" w:ascii="仿宋" w:hAnsi="仿宋" w:eastAsia="仿宋" w:cs="仿宋"/>
          <w:snapToGrid w:val="0"/>
          <w:kern w:val="0"/>
          <w:szCs w:val="21"/>
        </w:rPr>
        <w:t xml:space="preserve"> 月   日</w:t>
      </w:r>
    </w:p>
    <w:p w14:paraId="2F57630D">
      <w:pPr>
        <w:spacing w:line="336" w:lineRule="auto"/>
        <w:ind w:firstLine="422" w:firstLineChars="200"/>
        <w:jc w:val="left"/>
        <w:rPr>
          <w:rFonts w:ascii="仿宋" w:hAnsi="仿宋" w:eastAsia="仿宋" w:cs="仿宋"/>
          <w:b/>
          <w:snapToGrid w:val="0"/>
          <w:kern w:val="0"/>
          <w:szCs w:val="21"/>
        </w:rPr>
      </w:pPr>
      <w:r>
        <w:rPr>
          <w:rFonts w:hint="eastAsia" w:ascii="仿宋" w:hAnsi="仿宋" w:eastAsia="仿宋" w:cs="仿宋"/>
          <w:b/>
          <w:snapToGrid w:val="0"/>
          <w:kern w:val="0"/>
          <w:szCs w:val="21"/>
        </w:rPr>
        <w:t>注：1.投标人须在投标文件中按此模板提供承诺函，未提供视为未实质性响应招标文件要求，按无效投标处理。</w:t>
      </w:r>
    </w:p>
    <w:p w14:paraId="2EC8F9A0">
      <w:pPr>
        <w:spacing w:line="336" w:lineRule="auto"/>
        <w:ind w:firstLine="422" w:firstLineChars="200"/>
        <w:jc w:val="left"/>
        <w:rPr>
          <w:rFonts w:ascii="仿宋" w:hAnsi="仿宋" w:eastAsia="仿宋" w:cs="仿宋"/>
          <w:szCs w:val="21"/>
        </w:rPr>
      </w:pPr>
      <w:r>
        <w:rPr>
          <w:rFonts w:hint="eastAsia" w:ascii="仿宋" w:hAnsi="仿宋" w:eastAsia="仿宋" w:cs="仿宋"/>
          <w:b/>
          <w:snapToGrid w:val="0"/>
          <w:kern w:val="0"/>
          <w:szCs w:val="21"/>
        </w:rPr>
        <w:t>2.投标人的法定代表人或者授权代表的签字或盖章应真实、有效，如由授权代表签字或盖章的，应提供“法定代表人授权书”。</w:t>
      </w:r>
    </w:p>
    <w:p w14:paraId="6F1D2A17">
      <w:pPr>
        <w:rPr>
          <w:rFonts w:ascii="仿宋" w:hAnsi="仿宋" w:eastAsia="仿宋" w:cs="仿宋"/>
        </w:rPr>
      </w:pPr>
      <w:bookmarkStart w:id="614" w:name="_Toc185327331"/>
      <w:bookmarkStart w:id="615" w:name="_Toc14399"/>
      <w:r>
        <w:rPr>
          <w:rFonts w:hint="eastAsia" w:ascii="仿宋" w:hAnsi="仿宋" w:eastAsia="仿宋" w:cs="仿宋"/>
        </w:rPr>
        <w:br w:type="page"/>
      </w:r>
    </w:p>
    <w:p w14:paraId="4CE4B2AF">
      <w:pPr>
        <w:pStyle w:val="3"/>
        <w:jc w:val="center"/>
        <w:rPr>
          <w:rFonts w:ascii="仿宋" w:hAnsi="仿宋" w:eastAsia="仿宋" w:cs="仿宋"/>
        </w:rPr>
      </w:pPr>
      <w:r>
        <w:rPr>
          <w:rFonts w:hint="eastAsia" w:ascii="仿宋" w:hAnsi="仿宋" w:eastAsia="仿宋" w:cs="仿宋"/>
        </w:rPr>
        <w:t>七、资格审查资料</w:t>
      </w:r>
      <w:bookmarkEnd w:id="612"/>
      <w:bookmarkEnd w:id="613"/>
      <w:bookmarkEnd w:id="614"/>
      <w:bookmarkEnd w:id="615"/>
    </w:p>
    <w:p w14:paraId="7CA7C700">
      <w:pPr>
        <w:pStyle w:val="4"/>
        <w:spacing w:before="20"/>
        <w:ind w:firstLine="105"/>
        <w:rPr>
          <w:rFonts w:ascii="仿宋" w:hAnsi="仿宋" w:eastAsia="仿宋" w:cs="仿宋"/>
        </w:rPr>
      </w:pPr>
      <w:bookmarkStart w:id="616" w:name="_Toc7758"/>
      <w:bookmarkStart w:id="617" w:name="_Toc22076"/>
      <w:r>
        <w:rPr>
          <w:rFonts w:hint="eastAsia" w:ascii="仿宋" w:hAnsi="仿宋" w:eastAsia="仿宋" w:cs="仿宋"/>
        </w:rPr>
        <w:t>（一）基本情况表</w:t>
      </w:r>
      <w:bookmarkEnd w:id="616"/>
      <w:bookmarkEnd w:id="617"/>
    </w:p>
    <w:tbl>
      <w:tblPr>
        <w:tblStyle w:val="33"/>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77"/>
        <w:gridCol w:w="944"/>
        <w:gridCol w:w="2412"/>
        <w:gridCol w:w="1135"/>
        <w:gridCol w:w="2271"/>
      </w:tblGrid>
      <w:tr w14:paraId="0DFA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2177" w:type="dxa"/>
          </w:tcPr>
          <w:p w14:paraId="4B8A4CA0">
            <w:pPr>
              <w:pStyle w:val="55"/>
              <w:spacing w:before="142"/>
              <w:ind w:left="123" w:right="111"/>
              <w:jc w:val="center"/>
              <w:rPr>
                <w:rFonts w:ascii="仿宋" w:hAnsi="仿宋" w:eastAsia="仿宋" w:cs="仿宋"/>
                <w:szCs w:val="21"/>
              </w:rPr>
            </w:pPr>
            <w:r>
              <w:rPr>
                <w:rFonts w:hint="eastAsia" w:ascii="仿宋" w:hAnsi="仿宋" w:eastAsia="仿宋" w:cs="仿宋"/>
                <w:szCs w:val="21"/>
              </w:rPr>
              <w:t>投标人名称</w:t>
            </w:r>
          </w:p>
        </w:tc>
        <w:tc>
          <w:tcPr>
            <w:tcW w:w="6762" w:type="dxa"/>
            <w:gridSpan w:val="4"/>
          </w:tcPr>
          <w:p w14:paraId="13AA7942">
            <w:pPr>
              <w:pStyle w:val="55"/>
              <w:rPr>
                <w:rFonts w:ascii="仿宋" w:hAnsi="仿宋" w:eastAsia="仿宋" w:cs="仿宋"/>
                <w:szCs w:val="21"/>
              </w:rPr>
            </w:pPr>
          </w:p>
        </w:tc>
      </w:tr>
      <w:tr w14:paraId="2FD0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2177" w:type="dxa"/>
          </w:tcPr>
          <w:p w14:paraId="61B41B3F">
            <w:pPr>
              <w:pStyle w:val="55"/>
              <w:spacing w:before="142"/>
              <w:ind w:left="120" w:right="111"/>
              <w:jc w:val="center"/>
              <w:rPr>
                <w:rFonts w:ascii="仿宋" w:hAnsi="仿宋" w:eastAsia="仿宋" w:cs="仿宋"/>
                <w:szCs w:val="21"/>
              </w:rPr>
            </w:pPr>
            <w:r>
              <w:rPr>
                <w:rFonts w:hint="eastAsia" w:ascii="仿宋" w:hAnsi="仿宋" w:eastAsia="仿宋" w:cs="仿宋"/>
                <w:szCs w:val="21"/>
              </w:rPr>
              <w:t>注册资金</w:t>
            </w:r>
          </w:p>
        </w:tc>
        <w:tc>
          <w:tcPr>
            <w:tcW w:w="3356" w:type="dxa"/>
            <w:gridSpan w:val="2"/>
          </w:tcPr>
          <w:p w14:paraId="55863C91">
            <w:pPr>
              <w:pStyle w:val="55"/>
              <w:rPr>
                <w:rFonts w:ascii="仿宋" w:hAnsi="仿宋" w:eastAsia="仿宋" w:cs="仿宋"/>
                <w:szCs w:val="21"/>
              </w:rPr>
            </w:pPr>
          </w:p>
        </w:tc>
        <w:tc>
          <w:tcPr>
            <w:tcW w:w="1135" w:type="dxa"/>
          </w:tcPr>
          <w:p w14:paraId="19CE6A1C">
            <w:pPr>
              <w:pStyle w:val="55"/>
              <w:spacing w:before="142"/>
              <w:ind w:left="129" w:right="114"/>
              <w:jc w:val="center"/>
              <w:rPr>
                <w:rFonts w:ascii="仿宋" w:hAnsi="仿宋" w:eastAsia="仿宋" w:cs="仿宋"/>
                <w:szCs w:val="21"/>
              </w:rPr>
            </w:pPr>
            <w:r>
              <w:rPr>
                <w:rFonts w:hint="eastAsia" w:ascii="仿宋" w:hAnsi="仿宋" w:eastAsia="仿宋" w:cs="仿宋"/>
                <w:szCs w:val="21"/>
              </w:rPr>
              <w:t>成立时间</w:t>
            </w:r>
          </w:p>
        </w:tc>
        <w:tc>
          <w:tcPr>
            <w:tcW w:w="2271" w:type="dxa"/>
          </w:tcPr>
          <w:p w14:paraId="1EC96913">
            <w:pPr>
              <w:pStyle w:val="55"/>
              <w:rPr>
                <w:rFonts w:ascii="仿宋" w:hAnsi="仿宋" w:eastAsia="仿宋" w:cs="仿宋"/>
                <w:szCs w:val="21"/>
              </w:rPr>
            </w:pPr>
          </w:p>
        </w:tc>
      </w:tr>
      <w:tr w14:paraId="2125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2177" w:type="dxa"/>
          </w:tcPr>
          <w:p w14:paraId="75905821">
            <w:pPr>
              <w:pStyle w:val="55"/>
              <w:spacing w:before="142"/>
              <w:ind w:left="123" w:right="111"/>
              <w:jc w:val="center"/>
              <w:rPr>
                <w:rFonts w:ascii="仿宋" w:hAnsi="仿宋" w:eastAsia="仿宋" w:cs="仿宋"/>
                <w:szCs w:val="21"/>
              </w:rPr>
            </w:pPr>
            <w:r>
              <w:rPr>
                <w:rFonts w:hint="eastAsia" w:ascii="仿宋" w:hAnsi="仿宋" w:eastAsia="仿宋" w:cs="仿宋"/>
                <w:szCs w:val="21"/>
              </w:rPr>
              <w:t>注册地址</w:t>
            </w:r>
          </w:p>
        </w:tc>
        <w:tc>
          <w:tcPr>
            <w:tcW w:w="6762" w:type="dxa"/>
            <w:gridSpan w:val="4"/>
          </w:tcPr>
          <w:p w14:paraId="3D91E5B2">
            <w:pPr>
              <w:pStyle w:val="55"/>
              <w:rPr>
                <w:rFonts w:ascii="仿宋" w:hAnsi="仿宋" w:eastAsia="仿宋" w:cs="仿宋"/>
                <w:szCs w:val="21"/>
              </w:rPr>
            </w:pPr>
          </w:p>
        </w:tc>
      </w:tr>
      <w:tr w14:paraId="6458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trPr>
        <w:tc>
          <w:tcPr>
            <w:tcW w:w="2177" w:type="dxa"/>
          </w:tcPr>
          <w:p w14:paraId="3E5CA8C7">
            <w:pPr>
              <w:pStyle w:val="55"/>
              <w:spacing w:before="143"/>
              <w:ind w:left="123" w:right="111"/>
              <w:jc w:val="center"/>
              <w:rPr>
                <w:rFonts w:ascii="仿宋" w:hAnsi="仿宋" w:eastAsia="仿宋" w:cs="仿宋"/>
                <w:szCs w:val="21"/>
              </w:rPr>
            </w:pPr>
            <w:r>
              <w:rPr>
                <w:rFonts w:hint="eastAsia" w:ascii="仿宋" w:hAnsi="仿宋" w:eastAsia="仿宋" w:cs="仿宋"/>
                <w:szCs w:val="21"/>
              </w:rPr>
              <w:t>邮政编码</w:t>
            </w:r>
          </w:p>
        </w:tc>
        <w:tc>
          <w:tcPr>
            <w:tcW w:w="3356" w:type="dxa"/>
            <w:gridSpan w:val="2"/>
          </w:tcPr>
          <w:p w14:paraId="03C3B449">
            <w:pPr>
              <w:pStyle w:val="55"/>
              <w:rPr>
                <w:rFonts w:ascii="仿宋" w:hAnsi="仿宋" w:eastAsia="仿宋" w:cs="仿宋"/>
                <w:szCs w:val="21"/>
              </w:rPr>
            </w:pPr>
          </w:p>
        </w:tc>
        <w:tc>
          <w:tcPr>
            <w:tcW w:w="1135" w:type="dxa"/>
          </w:tcPr>
          <w:p w14:paraId="05E80DC5">
            <w:pPr>
              <w:pStyle w:val="55"/>
              <w:spacing w:before="143"/>
              <w:ind w:left="129" w:right="114"/>
              <w:jc w:val="center"/>
              <w:rPr>
                <w:rFonts w:ascii="仿宋" w:hAnsi="仿宋" w:eastAsia="仿宋" w:cs="仿宋"/>
                <w:szCs w:val="21"/>
              </w:rPr>
            </w:pPr>
            <w:r>
              <w:rPr>
                <w:rFonts w:hint="eastAsia" w:ascii="仿宋" w:hAnsi="仿宋" w:eastAsia="仿宋" w:cs="仿宋"/>
                <w:szCs w:val="21"/>
              </w:rPr>
              <w:t>员工总数</w:t>
            </w:r>
          </w:p>
        </w:tc>
        <w:tc>
          <w:tcPr>
            <w:tcW w:w="2271" w:type="dxa"/>
          </w:tcPr>
          <w:p w14:paraId="3264E95A">
            <w:pPr>
              <w:pStyle w:val="55"/>
              <w:rPr>
                <w:rFonts w:ascii="仿宋" w:hAnsi="仿宋" w:eastAsia="仿宋" w:cs="仿宋"/>
                <w:szCs w:val="21"/>
              </w:rPr>
            </w:pPr>
          </w:p>
        </w:tc>
      </w:tr>
      <w:tr w14:paraId="684F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2177" w:type="dxa"/>
            <w:vMerge w:val="restart"/>
            <w:vAlign w:val="center"/>
          </w:tcPr>
          <w:p w14:paraId="4315BB32">
            <w:pPr>
              <w:pStyle w:val="55"/>
              <w:ind w:left="666"/>
              <w:rPr>
                <w:rFonts w:ascii="仿宋" w:hAnsi="仿宋" w:eastAsia="仿宋" w:cs="仿宋"/>
                <w:szCs w:val="21"/>
              </w:rPr>
            </w:pPr>
            <w:r>
              <w:rPr>
                <w:rFonts w:hint="eastAsia" w:ascii="仿宋" w:hAnsi="仿宋" w:eastAsia="仿宋" w:cs="仿宋"/>
                <w:szCs w:val="21"/>
              </w:rPr>
              <w:t>联系方式</w:t>
            </w:r>
          </w:p>
        </w:tc>
        <w:tc>
          <w:tcPr>
            <w:tcW w:w="944" w:type="dxa"/>
          </w:tcPr>
          <w:p w14:paraId="33BB364C">
            <w:pPr>
              <w:pStyle w:val="55"/>
              <w:spacing w:before="142"/>
              <w:ind w:left="153"/>
              <w:rPr>
                <w:rFonts w:ascii="仿宋" w:hAnsi="仿宋" w:eastAsia="仿宋" w:cs="仿宋"/>
                <w:szCs w:val="21"/>
              </w:rPr>
            </w:pPr>
            <w:r>
              <w:rPr>
                <w:rFonts w:hint="eastAsia" w:ascii="仿宋" w:hAnsi="仿宋" w:eastAsia="仿宋" w:cs="仿宋"/>
                <w:szCs w:val="21"/>
              </w:rPr>
              <w:t>联系人</w:t>
            </w:r>
          </w:p>
        </w:tc>
        <w:tc>
          <w:tcPr>
            <w:tcW w:w="2412" w:type="dxa"/>
          </w:tcPr>
          <w:p w14:paraId="301EBFE0">
            <w:pPr>
              <w:pStyle w:val="55"/>
              <w:rPr>
                <w:rFonts w:ascii="仿宋" w:hAnsi="仿宋" w:eastAsia="仿宋" w:cs="仿宋"/>
                <w:szCs w:val="21"/>
              </w:rPr>
            </w:pPr>
          </w:p>
        </w:tc>
        <w:tc>
          <w:tcPr>
            <w:tcW w:w="1135" w:type="dxa"/>
          </w:tcPr>
          <w:p w14:paraId="26B3CC0B">
            <w:pPr>
              <w:pStyle w:val="55"/>
              <w:spacing w:before="142"/>
              <w:ind w:left="129" w:right="112"/>
              <w:jc w:val="center"/>
              <w:rPr>
                <w:rFonts w:ascii="仿宋" w:hAnsi="仿宋" w:eastAsia="仿宋" w:cs="仿宋"/>
                <w:szCs w:val="21"/>
              </w:rPr>
            </w:pPr>
            <w:r>
              <w:rPr>
                <w:rFonts w:hint="eastAsia" w:ascii="仿宋" w:hAnsi="仿宋" w:eastAsia="仿宋" w:cs="仿宋"/>
                <w:szCs w:val="21"/>
              </w:rPr>
              <w:t>电话</w:t>
            </w:r>
          </w:p>
        </w:tc>
        <w:tc>
          <w:tcPr>
            <w:tcW w:w="2271" w:type="dxa"/>
          </w:tcPr>
          <w:p w14:paraId="5AA78967">
            <w:pPr>
              <w:pStyle w:val="55"/>
              <w:rPr>
                <w:rFonts w:ascii="仿宋" w:hAnsi="仿宋" w:eastAsia="仿宋" w:cs="仿宋"/>
                <w:szCs w:val="21"/>
              </w:rPr>
            </w:pPr>
          </w:p>
        </w:tc>
      </w:tr>
      <w:tr w14:paraId="12B6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2177" w:type="dxa"/>
            <w:vMerge w:val="continue"/>
          </w:tcPr>
          <w:p w14:paraId="3C7B24CB">
            <w:pPr>
              <w:rPr>
                <w:rFonts w:ascii="仿宋" w:hAnsi="仿宋" w:eastAsia="仿宋" w:cs="仿宋"/>
                <w:szCs w:val="21"/>
              </w:rPr>
            </w:pPr>
          </w:p>
        </w:tc>
        <w:tc>
          <w:tcPr>
            <w:tcW w:w="944" w:type="dxa"/>
          </w:tcPr>
          <w:p w14:paraId="5B3F64E6">
            <w:pPr>
              <w:pStyle w:val="55"/>
              <w:spacing w:before="142"/>
              <w:ind w:left="259"/>
              <w:rPr>
                <w:rFonts w:ascii="仿宋" w:hAnsi="仿宋" w:eastAsia="仿宋" w:cs="仿宋"/>
                <w:szCs w:val="21"/>
              </w:rPr>
            </w:pPr>
            <w:r>
              <w:rPr>
                <w:rFonts w:hint="eastAsia" w:ascii="仿宋" w:hAnsi="仿宋" w:eastAsia="仿宋" w:cs="仿宋"/>
                <w:szCs w:val="21"/>
              </w:rPr>
              <w:t>网址</w:t>
            </w:r>
          </w:p>
        </w:tc>
        <w:tc>
          <w:tcPr>
            <w:tcW w:w="2412" w:type="dxa"/>
          </w:tcPr>
          <w:p w14:paraId="2A0EADA3">
            <w:pPr>
              <w:pStyle w:val="55"/>
              <w:rPr>
                <w:rFonts w:ascii="仿宋" w:hAnsi="仿宋" w:eastAsia="仿宋" w:cs="仿宋"/>
                <w:szCs w:val="21"/>
              </w:rPr>
            </w:pPr>
          </w:p>
        </w:tc>
        <w:tc>
          <w:tcPr>
            <w:tcW w:w="1135" w:type="dxa"/>
          </w:tcPr>
          <w:p w14:paraId="10281724">
            <w:pPr>
              <w:pStyle w:val="55"/>
              <w:spacing w:before="142"/>
              <w:ind w:left="129" w:right="112"/>
              <w:jc w:val="center"/>
              <w:rPr>
                <w:rFonts w:ascii="仿宋" w:hAnsi="仿宋" w:eastAsia="仿宋" w:cs="仿宋"/>
                <w:szCs w:val="21"/>
              </w:rPr>
            </w:pPr>
            <w:r>
              <w:rPr>
                <w:rFonts w:hint="eastAsia" w:ascii="仿宋" w:hAnsi="仿宋" w:eastAsia="仿宋" w:cs="仿宋"/>
                <w:szCs w:val="21"/>
              </w:rPr>
              <w:t>传真</w:t>
            </w:r>
          </w:p>
        </w:tc>
        <w:tc>
          <w:tcPr>
            <w:tcW w:w="2271" w:type="dxa"/>
          </w:tcPr>
          <w:p w14:paraId="6D0C7A25">
            <w:pPr>
              <w:pStyle w:val="55"/>
              <w:rPr>
                <w:rFonts w:ascii="仿宋" w:hAnsi="仿宋" w:eastAsia="仿宋" w:cs="仿宋"/>
                <w:szCs w:val="21"/>
              </w:rPr>
            </w:pPr>
          </w:p>
        </w:tc>
      </w:tr>
      <w:tr w14:paraId="22B1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2177" w:type="dxa"/>
          </w:tcPr>
          <w:p w14:paraId="0B1183E6">
            <w:pPr>
              <w:pStyle w:val="55"/>
              <w:spacing w:before="142"/>
              <w:ind w:left="123" w:right="111"/>
              <w:jc w:val="center"/>
              <w:rPr>
                <w:rFonts w:ascii="仿宋" w:hAnsi="仿宋" w:eastAsia="仿宋" w:cs="仿宋"/>
                <w:szCs w:val="21"/>
              </w:rPr>
            </w:pPr>
            <w:r>
              <w:rPr>
                <w:rFonts w:hint="eastAsia" w:ascii="仿宋" w:hAnsi="仿宋" w:eastAsia="仿宋" w:cs="仿宋"/>
                <w:szCs w:val="21"/>
              </w:rPr>
              <w:t>法定代表人</w:t>
            </w:r>
          </w:p>
          <w:p w14:paraId="39FDBEF6">
            <w:pPr>
              <w:pStyle w:val="55"/>
              <w:spacing w:before="173"/>
              <w:ind w:left="18" w:right="111"/>
              <w:jc w:val="center"/>
              <w:rPr>
                <w:rFonts w:ascii="仿宋" w:hAnsi="仿宋" w:eastAsia="仿宋" w:cs="仿宋"/>
                <w:szCs w:val="21"/>
              </w:rPr>
            </w:pPr>
            <w:r>
              <w:rPr>
                <w:rFonts w:hint="eastAsia" w:ascii="仿宋" w:hAnsi="仿宋" w:eastAsia="仿宋" w:cs="仿宋"/>
                <w:szCs w:val="21"/>
              </w:rPr>
              <w:t>（单位负责人）</w:t>
            </w:r>
          </w:p>
        </w:tc>
        <w:tc>
          <w:tcPr>
            <w:tcW w:w="944" w:type="dxa"/>
          </w:tcPr>
          <w:p w14:paraId="5693A3E1">
            <w:pPr>
              <w:pStyle w:val="55"/>
              <w:spacing w:before="4"/>
              <w:rPr>
                <w:rFonts w:ascii="仿宋" w:hAnsi="仿宋" w:eastAsia="仿宋" w:cs="仿宋"/>
                <w:szCs w:val="21"/>
              </w:rPr>
            </w:pPr>
          </w:p>
          <w:p w14:paraId="7902D7A2">
            <w:pPr>
              <w:pStyle w:val="55"/>
              <w:ind w:left="259"/>
              <w:rPr>
                <w:rFonts w:ascii="仿宋" w:hAnsi="仿宋" w:eastAsia="仿宋" w:cs="仿宋"/>
                <w:szCs w:val="21"/>
              </w:rPr>
            </w:pPr>
            <w:r>
              <w:rPr>
                <w:rFonts w:hint="eastAsia" w:ascii="仿宋" w:hAnsi="仿宋" w:eastAsia="仿宋" w:cs="仿宋"/>
                <w:szCs w:val="21"/>
              </w:rPr>
              <w:t>姓名</w:t>
            </w:r>
          </w:p>
        </w:tc>
        <w:tc>
          <w:tcPr>
            <w:tcW w:w="2412" w:type="dxa"/>
          </w:tcPr>
          <w:p w14:paraId="7D176D71">
            <w:pPr>
              <w:pStyle w:val="55"/>
              <w:rPr>
                <w:rFonts w:ascii="仿宋" w:hAnsi="仿宋" w:eastAsia="仿宋" w:cs="仿宋"/>
                <w:szCs w:val="21"/>
              </w:rPr>
            </w:pPr>
          </w:p>
        </w:tc>
        <w:tc>
          <w:tcPr>
            <w:tcW w:w="1135" w:type="dxa"/>
          </w:tcPr>
          <w:p w14:paraId="06CE712E">
            <w:pPr>
              <w:pStyle w:val="55"/>
              <w:spacing w:before="4"/>
              <w:rPr>
                <w:rFonts w:ascii="仿宋" w:hAnsi="仿宋" w:eastAsia="仿宋" w:cs="仿宋"/>
                <w:szCs w:val="21"/>
              </w:rPr>
            </w:pPr>
          </w:p>
          <w:p w14:paraId="38D89F31">
            <w:pPr>
              <w:pStyle w:val="55"/>
              <w:ind w:left="129" w:right="112"/>
              <w:jc w:val="center"/>
              <w:rPr>
                <w:rFonts w:ascii="仿宋" w:hAnsi="仿宋" w:eastAsia="仿宋" w:cs="仿宋"/>
                <w:szCs w:val="21"/>
              </w:rPr>
            </w:pPr>
            <w:r>
              <w:rPr>
                <w:rFonts w:hint="eastAsia" w:ascii="仿宋" w:hAnsi="仿宋" w:eastAsia="仿宋" w:cs="仿宋"/>
                <w:szCs w:val="21"/>
              </w:rPr>
              <w:t>电话</w:t>
            </w:r>
          </w:p>
        </w:tc>
        <w:tc>
          <w:tcPr>
            <w:tcW w:w="2271" w:type="dxa"/>
          </w:tcPr>
          <w:p w14:paraId="695FFE74">
            <w:pPr>
              <w:pStyle w:val="55"/>
              <w:rPr>
                <w:rFonts w:ascii="仿宋" w:hAnsi="仿宋" w:eastAsia="仿宋" w:cs="仿宋"/>
                <w:szCs w:val="21"/>
              </w:rPr>
            </w:pPr>
          </w:p>
        </w:tc>
      </w:tr>
      <w:tr w14:paraId="7702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2177" w:type="dxa"/>
          </w:tcPr>
          <w:p w14:paraId="795D5BDF">
            <w:pPr>
              <w:pStyle w:val="55"/>
              <w:spacing w:before="142"/>
              <w:ind w:left="123" w:right="111"/>
              <w:jc w:val="center"/>
              <w:rPr>
                <w:rFonts w:ascii="仿宋" w:hAnsi="仿宋" w:eastAsia="仿宋" w:cs="仿宋"/>
                <w:szCs w:val="21"/>
              </w:rPr>
            </w:pPr>
            <w:r>
              <w:rPr>
                <w:rFonts w:hint="eastAsia" w:ascii="仿宋" w:hAnsi="仿宋" w:eastAsia="仿宋" w:cs="仿宋"/>
                <w:szCs w:val="21"/>
              </w:rPr>
              <w:t>基本账户开户银行</w:t>
            </w:r>
          </w:p>
        </w:tc>
        <w:tc>
          <w:tcPr>
            <w:tcW w:w="6762" w:type="dxa"/>
            <w:gridSpan w:val="4"/>
          </w:tcPr>
          <w:p w14:paraId="0D9A6430">
            <w:pPr>
              <w:pStyle w:val="55"/>
              <w:rPr>
                <w:rFonts w:ascii="仿宋" w:hAnsi="仿宋" w:eastAsia="仿宋" w:cs="仿宋"/>
                <w:szCs w:val="21"/>
              </w:rPr>
            </w:pPr>
          </w:p>
        </w:tc>
      </w:tr>
      <w:tr w14:paraId="5393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2177" w:type="dxa"/>
          </w:tcPr>
          <w:p w14:paraId="2D876113">
            <w:pPr>
              <w:pStyle w:val="55"/>
              <w:spacing w:before="142"/>
              <w:ind w:left="123" w:right="111"/>
              <w:jc w:val="center"/>
              <w:rPr>
                <w:rFonts w:ascii="仿宋" w:hAnsi="仿宋" w:eastAsia="仿宋" w:cs="仿宋"/>
                <w:szCs w:val="21"/>
              </w:rPr>
            </w:pPr>
            <w:r>
              <w:rPr>
                <w:rFonts w:hint="eastAsia" w:ascii="仿宋" w:hAnsi="仿宋" w:eastAsia="仿宋" w:cs="仿宋"/>
                <w:szCs w:val="21"/>
              </w:rPr>
              <w:t>基本账户银行账号</w:t>
            </w:r>
          </w:p>
        </w:tc>
        <w:tc>
          <w:tcPr>
            <w:tcW w:w="6762" w:type="dxa"/>
            <w:gridSpan w:val="4"/>
          </w:tcPr>
          <w:p w14:paraId="3DA3E4F4">
            <w:pPr>
              <w:pStyle w:val="55"/>
              <w:rPr>
                <w:rFonts w:ascii="仿宋" w:hAnsi="仿宋" w:eastAsia="仿宋" w:cs="仿宋"/>
                <w:szCs w:val="21"/>
              </w:rPr>
            </w:pPr>
          </w:p>
        </w:tc>
      </w:tr>
      <w:tr w14:paraId="5B8A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9" w:hRule="atLeast"/>
        </w:trPr>
        <w:tc>
          <w:tcPr>
            <w:tcW w:w="2177" w:type="dxa"/>
          </w:tcPr>
          <w:p w14:paraId="49CECD60">
            <w:pPr>
              <w:pStyle w:val="55"/>
              <w:spacing w:before="142"/>
              <w:ind w:left="141"/>
              <w:rPr>
                <w:rFonts w:ascii="仿宋" w:hAnsi="仿宋" w:eastAsia="仿宋" w:cs="仿宋"/>
                <w:szCs w:val="21"/>
              </w:rPr>
            </w:pPr>
            <w:r>
              <w:rPr>
                <w:rFonts w:hint="eastAsia" w:ascii="仿宋" w:hAnsi="仿宋" w:eastAsia="仿宋" w:cs="仿宋"/>
                <w:spacing w:val="-3"/>
                <w:szCs w:val="21"/>
              </w:rPr>
              <w:t>投标人关联企业情况</w:t>
            </w:r>
          </w:p>
          <w:p w14:paraId="1DA9BB90">
            <w:pPr>
              <w:pStyle w:val="55"/>
              <w:spacing w:before="170" w:line="393" w:lineRule="auto"/>
              <w:ind w:left="141" w:right="126" w:hanging="53"/>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pacing w:val="-3"/>
                <w:szCs w:val="21"/>
              </w:rPr>
              <w:t>包括但不限于与投标人法定代表人</w:t>
            </w:r>
            <w:r>
              <w:rPr>
                <w:rFonts w:hint="eastAsia" w:ascii="仿宋" w:hAnsi="仿宋" w:eastAsia="仿宋" w:cs="仿宋"/>
                <w:szCs w:val="21"/>
              </w:rPr>
              <w:t>（</w:t>
            </w:r>
            <w:r>
              <w:rPr>
                <w:rFonts w:hint="eastAsia" w:ascii="仿宋" w:hAnsi="仿宋" w:eastAsia="仿宋" w:cs="仿宋"/>
                <w:spacing w:val="-15"/>
                <w:szCs w:val="21"/>
              </w:rPr>
              <w:t>单</w:t>
            </w:r>
            <w:r>
              <w:rPr>
                <w:rFonts w:hint="eastAsia" w:ascii="仿宋" w:hAnsi="仿宋" w:eastAsia="仿宋" w:cs="仿宋"/>
                <w:spacing w:val="-1"/>
                <w:szCs w:val="21"/>
              </w:rPr>
              <w:t>位负责人</w:t>
            </w:r>
            <w:r>
              <w:rPr>
                <w:rFonts w:hint="eastAsia" w:ascii="仿宋" w:hAnsi="仿宋" w:eastAsia="仿宋" w:cs="仿宋"/>
                <w:spacing w:val="-3"/>
                <w:szCs w:val="21"/>
              </w:rPr>
              <w:t>）</w:t>
            </w:r>
            <w:r>
              <w:rPr>
                <w:rFonts w:hint="eastAsia" w:ascii="仿宋" w:hAnsi="仿宋" w:eastAsia="仿宋" w:cs="仿宋"/>
                <w:spacing w:val="-6"/>
                <w:szCs w:val="21"/>
              </w:rPr>
              <w:t>为同一人</w:t>
            </w:r>
            <w:r>
              <w:rPr>
                <w:rFonts w:hint="eastAsia" w:ascii="仿宋" w:hAnsi="仿宋" w:eastAsia="仿宋" w:cs="仿宋"/>
                <w:spacing w:val="-5"/>
                <w:szCs w:val="21"/>
              </w:rPr>
              <w:t>或者存在控股、管理</w:t>
            </w:r>
          </w:p>
          <w:p w14:paraId="138D3511">
            <w:pPr>
              <w:pStyle w:val="55"/>
              <w:spacing w:line="266" w:lineRule="exact"/>
              <w:ind w:left="123" w:right="111"/>
              <w:jc w:val="center"/>
              <w:rPr>
                <w:rFonts w:ascii="仿宋" w:hAnsi="仿宋" w:eastAsia="仿宋" w:cs="仿宋"/>
                <w:szCs w:val="21"/>
              </w:rPr>
            </w:pPr>
            <w:r>
              <w:rPr>
                <w:rFonts w:hint="eastAsia" w:ascii="仿宋" w:hAnsi="仿宋" w:eastAsia="仿宋" w:cs="仿宋"/>
                <w:spacing w:val="-3"/>
                <w:szCs w:val="21"/>
              </w:rPr>
              <w:t>关系的不同单位</w:t>
            </w:r>
            <w:r>
              <w:rPr>
                <w:rFonts w:hint="eastAsia" w:ascii="仿宋" w:hAnsi="仿宋" w:eastAsia="仿宋" w:cs="仿宋"/>
                <w:szCs w:val="21"/>
              </w:rPr>
              <w:t>）</w:t>
            </w:r>
          </w:p>
        </w:tc>
        <w:tc>
          <w:tcPr>
            <w:tcW w:w="6762" w:type="dxa"/>
            <w:gridSpan w:val="4"/>
          </w:tcPr>
          <w:p w14:paraId="2B399808">
            <w:pPr>
              <w:pStyle w:val="55"/>
              <w:rPr>
                <w:rFonts w:ascii="仿宋" w:hAnsi="仿宋" w:eastAsia="仿宋" w:cs="仿宋"/>
                <w:szCs w:val="21"/>
              </w:rPr>
            </w:pPr>
          </w:p>
        </w:tc>
      </w:tr>
      <w:tr w14:paraId="1288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177" w:type="dxa"/>
          </w:tcPr>
          <w:p w14:paraId="5B8459EA">
            <w:pPr>
              <w:pStyle w:val="55"/>
              <w:spacing w:before="142"/>
              <w:ind w:left="120" w:right="111"/>
              <w:jc w:val="center"/>
              <w:rPr>
                <w:rFonts w:ascii="仿宋" w:hAnsi="仿宋" w:eastAsia="仿宋" w:cs="仿宋"/>
                <w:szCs w:val="21"/>
              </w:rPr>
            </w:pPr>
            <w:r>
              <w:rPr>
                <w:rFonts w:hint="eastAsia" w:ascii="仿宋" w:hAnsi="仿宋" w:eastAsia="仿宋" w:cs="仿宋"/>
                <w:szCs w:val="21"/>
              </w:rPr>
              <w:t>备注</w:t>
            </w:r>
          </w:p>
        </w:tc>
        <w:tc>
          <w:tcPr>
            <w:tcW w:w="6762" w:type="dxa"/>
            <w:gridSpan w:val="4"/>
          </w:tcPr>
          <w:p w14:paraId="7F7A5127">
            <w:pPr>
              <w:pStyle w:val="55"/>
              <w:rPr>
                <w:rFonts w:ascii="仿宋" w:hAnsi="仿宋" w:eastAsia="仿宋" w:cs="仿宋"/>
                <w:szCs w:val="21"/>
              </w:rPr>
            </w:pPr>
          </w:p>
        </w:tc>
      </w:tr>
    </w:tbl>
    <w:p w14:paraId="0F647013">
      <w:pPr>
        <w:spacing w:line="440" w:lineRule="exact"/>
        <w:rPr>
          <w:rFonts w:ascii="仿宋" w:hAnsi="仿宋" w:eastAsia="仿宋" w:cs="仿宋"/>
        </w:rPr>
      </w:pPr>
    </w:p>
    <w:p w14:paraId="1B2C418D">
      <w:pPr>
        <w:spacing w:line="440" w:lineRule="exact"/>
        <w:rPr>
          <w:rFonts w:ascii="仿宋" w:hAnsi="仿宋" w:eastAsia="仿宋" w:cs="仿宋"/>
          <w:sz w:val="20"/>
        </w:rPr>
      </w:pPr>
      <w:r>
        <w:rPr>
          <w:rFonts w:hint="eastAsia" w:ascii="仿宋" w:hAnsi="仿宋" w:eastAsia="仿宋" w:cs="仿宋"/>
        </w:rPr>
        <w:br w:type="page"/>
      </w:r>
    </w:p>
    <w:p w14:paraId="0BDB7DFD">
      <w:pPr>
        <w:pStyle w:val="4"/>
        <w:ind w:firstLine="105"/>
        <w:rPr>
          <w:rFonts w:ascii="仿宋" w:hAnsi="仿宋" w:eastAsia="仿宋" w:cs="仿宋"/>
        </w:rPr>
      </w:pPr>
      <w:bookmarkStart w:id="618" w:name="_Toc26915"/>
      <w:bookmarkStart w:id="619" w:name="_Toc2281"/>
      <w:r>
        <w:rPr>
          <w:rFonts w:hint="eastAsia" w:ascii="仿宋" w:hAnsi="仿宋" w:eastAsia="仿宋" w:cs="仿宋"/>
        </w:rPr>
        <w:t>（二）</w:t>
      </w:r>
      <w:bookmarkEnd w:id="618"/>
      <w:bookmarkEnd w:id="619"/>
      <w:r>
        <w:rPr>
          <w:rFonts w:hint="eastAsia" w:ascii="仿宋" w:hAnsi="仿宋" w:eastAsia="仿宋" w:cs="仿宋"/>
        </w:rPr>
        <w:t>信用承诺函</w:t>
      </w:r>
    </w:p>
    <w:p w14:paraId="20BACF7D">
      <w:pPr>
        <w:topLinePunct/>
        <w:spacing w:line="440" w:lineRule="exact"/>
        <w:ind w:firstLine="420" w:firstLineChars="200"/>
        <w:rPr>
          <w:rFonts w:ascii="仿宋" w:hAnsi="仿宋" w:eastAsia="仿宋" w:cs="仿宋"/>
          <w:u w:val="single"/>
        </w:rPr>
      </w:pPr>
    </w:p>
    <w:p w14:paraId="39B6AD6D">
      <w:pPr>
        <w:spacing w:line="360" w:lineRule="auto"/>
        <w:jc w:val="left"/>
        <w:rPr>
          <w:rFonts w:ascii="仿宋" w:hAnsi="仿宋" w:eastAsia="仿宋" w:cs="仿宋"/>
          <w:szCs w:val="21"/>
        </w:rPr>
      </w:pPr>
      <w:r>
        <w:rPr>
          <w:rFonts w:hint="eastAsia" w:ascii="仿宋" w:hAnsi="仿宋" w:eastAsia="仿宋" w:cs="仿宋"/>
          <w:szCs w:val="21"/>
        </w:rPr>
        <w:t>致</w:t>
      </w:r>
      <w:r>
        <w:rPr>
          <w:rFonts w:hint="eastAsia" w:ascii="仿宋" w:hAnsi="仿宋" w:eastAsia="仿宋" w:cs="仿宋"/>
          <w:szCs w:val="21"/>
          <w:u w:val="single"/>
        </w:rPr>
        <w:t xml:space="preserve"> (招标人)     </w:t>
      </w:r>
      <w:r>
        <w:rPr>
          <w:rFonts w:hint="eastAsia" w:ascii="仿宋" w:hAnsi="仿宋" w:eastAsia="仿宋" w:cs="仿宋"/>
          <w:szCs w:val="21"/>
        </w:rPr>
        <w:t xml:space="preserve"> ： </w:t>
      </w:r>
    </w:p>
    <w:p w14:paraId="3027FF39">
      <w:pPr>
        <w:spacing w:line="360" w:lineRule="auto"/>
        <w:ind w:firstLine="420" w:firstLineChars="200"/>
        <w:jc w:val="left"/>
        <w:rPr>
          <w:rFonts w:ascii="仿宋" w:hAnsi="仿宋" w:eastAsia="仿宋" w:cs="仿宋"/>
          <w:szCs w:val="21"/>
        </w:rPr>
      </w:pPr>
      <w:r>
        <w:rPr>
          <w:rFonts w:hint="eastAsia" w:ascii="仿宋" w:hAnsi="仿宋" w:eastAsia="仿宋" w:cs="仿宋"/>
          <w:szCs w:val="21"/>
        </w:rPr>
        <w:t xml:space="preserve">单位名称： </w:t>
      </w:r>
      <w:r>
        <w:rPr>
          <w:rFonts w:hint="eastAsia" w:ascii="仿宋" w:hAnsi="仿宋" w:eastAsia="仿宋" w:cs="仿宋"/>
          <w:szCs w:val="21"/>
          <w:u w:val="single"/>
        </w:rPr>
        <w:t xml:space="preserve">                  </w:t>
      </w:r>
      <w:r>
        <w:rPr>
          <w:rFonts w:hint="eastAsia" w:ascii="仿宋" w:hAnsi="仿宋" w:eastAsia="仿宋" w:cs="仿宋"/>
          <w:szCs w:val="21"/>
        </w:rPr>
        <w:t xml:space="preserve">        法定代表人：</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0976F245">
      <w:pPr>
        <w:spacing w:line="360" w:lineRule="auto"/>
        <w:ind w:firstLine="420" w:firstLineChars="200"/>
        <w:jc w:val="left"/>
        <w:rPr>
          <w:rFonts w:ascii="仿宋" w:hAnsi="仿宋" w:eastAsia="仿宋" w:cs="仿宋"/>
          <w:szCs w:val="21"/>
        </w:rPr>
      </w:pPr>
      <w:r>
        <w:rPr>
          <w:rFonts w:hint="eastAsia" w:ascii="仿宋" w:hAnsi="仿宋" w:eastAsia="仿宋" w:cs="仿宋"/>
          <w:szCs w:val="21"/>
        </w:rPr>
        <w:t>统一社会信用代码：</w:t>
      </w:r>
      <w:r>
        <w:rPr>
          <w:rFonts w:hint="eastAsia" w:ascii="仿宋" w:hAnsi="仿宋" w:eastAsia="仿宋" w:cs="仿宋"/>
          <w:szCs w:val="21"/>
          <w:u w:val="single"/>
        </w:rPr>
        <w:t xml:space="preserve">                  </w:t>
      </w:r>
      <w:r>
        <w:rPr>
          <w:rFonts w:hint="eastAsia" w:ascii="仿宋" w:hAnsi="仿宋" w:eastAsia="仿宋" w:cs="仿宋"/>
          <w:szCs w:val="21"/>
        </w:rPr>
        <w:t xml:space="preserve"> 联系地址和电话：</w:t>
      </w:r>
      <w:r>
        <w:rPr>
          <w:rFonts w:hint="eastAsia" w:ascii="仿宋" w:hAnsi="仿宋" w:eastAsia="仿宋" w:cs="仿宋"/>
          <w:szCs w:val="21"/>
          <w:u w:val="single"/>
        </w:rPr>
        <w:t xml:space="preserve">              </w:t>
      </w:r>
    </w:p>
    <w:p w14:paraId="3338FC43">
      <w:pPr>
        <w:spacing w:line="360" w:lineRule="auto"/>
        <w:jc w:val="left"/>
        <w:rPr>
          <w:rFonts w:ascii="仿宋" w:hAnsi="仿宋" w:eastAsia="仿宋" w:cs="仿宋"/>
          <w:szCs w:val="21"/>
        </w:rPr>
      </w:pPr>
      <w:r>
        <w:rPr>
          <w:rFonts w:hint="eastAsia" w:ascii="仿宋" w:hAnsi="仿宋" w:eastAsia="仿宋" w:cs="仿宋"/>
          <w:szCs w:val="21"/>
        </w:rPr>
        <w:t xml:space="preserve">我单位自愿作出以下承诺： </w:t>
      </w:r>
    </w:p>
    <w:p w14:paraId="2C325CD9">
      <w:pPr>
        <w:spacing w:line="360" w:lineRule="auto"/>
        <w:ind w:firstLine="420" w:firstLineChars="200"/>
        <w:jc w:val="left"/>
        <w:rPr>
          <w:rFonts w:ascii="仿宋" w:hAnsi="仿宋" w:eastAsia="仿宋" w:cs="仿宋"/>
          <w:szCs w:val="21"/>
        </w:rPr>
      </w:pPr>
      <w:r>
        <w:rPr>
          <w:rFonts w:hint="eastAsia" w:ascii="仿宋" w:hAnsi="仿宋" w:eastAsia="仿宋" w:cs="仿宋"/>
          <w:szCs w:val="21"/>
        </w:rPr>
        <w:t xml:space="preserve">一、我单位自愿参加本次招标活动，严格遵守《中华人民共和国招标投标法》及相关法律 </w:t>
      </w:r>
    </w:p>
    <w:p w14:paraId="2320C7C0">
      <w:pPr>
        <w:spacing w:line="360" w:lineRule="auto"/>
        <w:jc w:val="left"/>
        <w:rPr>
          <w:rFonts w:ascii="仿宋" w:hAnsi="仿宋" w:eastAsia="仿宋" w:cs="仿宋"/>
          <w:szCs w:val="21"/>
        </w:rPr>
      </w:pPr>
      <w:r>
        <w:rPr>
          <w:rFonts w:hint="eastAsia" w:ascii="仿宋" w:hAnsi="仿宋" w:eastAsia="仿宋" w:cs="仿宋"/>
          <w:szCs w:val="21"/>
        </w:rPr>
        <w:t xml:space="preserve">法规，依法诚信经营，无条件遵守本次招标活动的各项规定。我单位郑重承诺： </w:t>
      </w:r>
    </w:p>
    <w:p w14:paraId="3B9BDF33">
      <w:pPr>
        <w:spacing w:line="360" w:lineRule="auto"/>
        <w:ind w:firstLine="420" w:firstLineChars="200"/>
        <w:jc w:val="left"/>
        <w:rPr>
          <w:rFonts w:ascii="仿宋" w:hAnsi="仿宋" w:eastAsia="仿宋" w:cs="仿宋"/>
          <w:szCs w:val="21"/>
        </w:rPr>
      </w:pPr>
      <w:r>
        <w:rPr>
          <w:rFonts w:hint="eastAsia" w:ascii="仿宋" w:hAnsi="仿宋" w:eastAsia="仿宋" w:cs="仿宋"/>
          <w:szCs w:val="21"/>
        </w:rPr>
        <w:t>（1）符合国家相关规定的财务状况报告；</w:t>
      </w:r>
    </w:p>
    <w:p w14:paraId="65CE882F">
      <w:pPr>
        <w:spacing w:line="360" w:lineRule="auto"/>
        <w:ind w:firstLine="420" w:firstLineChars="200"/>
        <w:jc w:val="left"/>
        <w:rPr>
          <w:rFonts w:ascii="仿宋" w:hAnsi="仿宋" w:eastAsia="仿宋" w:cs="仿宋"/>
          <w:szCs w:val="21"/>
        </w:rPr>
      </w:pPr>
      <w:r>
        <w:rPr>
          <w:rFonts w:hint="eastAsia" w:ascii="仿宋" w:hAnsi="仿宋" w:eastAsia="仿宋" w:cs="仿宋"/>
          <w:szCs w:val="21"/>
        </w:rPr>
        <w:t>（2）依法缴纳税收的证明材料；</w:t>
      </w:r>
    </w:p>
    <w:p w14:paraId="3F4B590D">
      <w:pPr>
        <w:spacing w:line="360" w:lineRule="auto"/>
        <w:ind w:firstLine="420" w:firstLineChars="200"/>
        <w:jc w:val="left"/>
        <w:rPr>
          <w:rFonts w:ascii="仿宋" w:hAnsi="仿宋" w:eastAsia="仿宋" w:cs="仿宋"/>
          <w:szCs w:val="21"/>
        </w:rPr>
      </w:pPr>
      <w:r>
        <w:rPr>
          <w:rFonts w:hint="eastAsia" w:ascii="仿宋" w:hAnsi="仿宋" w:eastAsia="仿宋" w:cs="仿宋"/>
          <w:szCs w:val="21"/>
        </w:rPr>
        <w:t>（3）依法缴纳社会保障资金的证明材料；</w:t>
      </w:r>
    </w:p>
    <w:p w14:paraId="48A429BB">
      <w:pPr>
        <w:spacing w:line="360" w:lineRule="auto"/>
        <w:ind w:firstLine="420" w:firstLineChars="200"/>
        <w:jc w:val="left"/>
        <w:rPr>
          <w:rFonts w:ascii="仿宋" w:hAnsi="仿宋" w:eastAsia="仿宋" w:cs="仿宋"/>
          <w:szCs w:val="21"/>
        </w:rPr>
      </w:pPr>
      <w:r>
        <w:rPr>
          <w:rFonts w:hint="eastAsia" w:ascii="仿宋" w:hAnsi="仿宋" w:eastAsia="仿宋" w:cs="仿宋"/>
          <w:szCs w:val="21"/>
        </w:rPr>
        <w:t>（4）具备履行合同所必需的设备和专业技术能力的证明材料；</w:t>
      </w:r>
    </w:p>
    <w:p w14:paraId="5CE1B4E3">
      <w:pPr>
        <w:spacing w:line="360" w:lineRule="auto"/>
        <w:ind w:firstLine="420" w:firstLineChars="200"/>
        <w:jc w:val="left"/>
        <w:rPr>
          <w:rFonts w:ascii="仿宋" w:hAnsi="仿宋" w:eastAsia="仿宋" w:cs="仿宋"/>
          <w:szCs w:val="21"/>
        </w:rPr>
      </w:pPr>
      <w:r>
        <w:rPr>
          <w:rFonts w:hint="eastAsia" w:ascii="仿宋" w:hAnsi="仿宋" w:eastAsia="仿宋" w:cs="仿宋"/>
          <w:szCs w:val="21"/>
        </w:rPr>
        <w:t>（5）参加招标活动前三年内在经营活动中没有重大违法记录的证明材料；</w:t>
      </w:r>
    </w:p>
    <w:p w14:paraId="59E54D04">
      <w:pPr>
        <w:spacing w:line="360" w:lineRule="auto"/>
        <w:ind w:firstLine="420" w:firstLineChars="200"/>
        <w:jc w:val="left"/>
        <w:rPr>
          <w:rFonts w:ascii="仿宋" w:hAnsi="仿宋" w:eastAsia="仿宋" w:cs="仿宋"/>
          <w:szCs w:val="21"/>
        </w:rPr>
      </w:pPr>
      <w:r>
        <w:rPr>
          <w:rFonts w:hint="eastAsia" w:ascii="仿宋" w:hAnsi="仿宋" w:eastAsia="仿宋" w:cs="仿宋"/>
          <w:szCs w:val="21"/>
        </w:rPr>
        <w:t>（6）未被列入失信被执行人、重大税收违法案件当事人名单、政府采购严重违法失信行为记录名单的证明材料。</w:t>
      </w:r>
    </w:p>
    <w:p w14:paraId="4CC88984">
      <w:pPr>
        <w:spacing w:line="360" w:lineRule="auto"/>
        <w:jc w:val="left"/>
        <w:rPr>
          <w:rFonts w:ascii="仿宋" w:hAnsi="仿宋" w:eastAsia="仿宋" w:cs="仿宋"/>
          <w:szCs w:val="21"/>
        </w:rPr>
      </w:pPr>
      <w:r>
        <w:rPr>
          <w:rFonts w:hint="eastAsia" w:ascii="仿宋" w:hAnsi="仿宋" w:eastAsia="仿宋" w:cs="仿宋"/>
          <w:szCs w:val="21"/>
        </w:rPr>
        <w:t xml:space="preserve">录名单的证明材料。 </w:t>
      </w:r>
    </w:p>
    <w:p w14:paraId="4450587B">
      <w:pPr>
        <w:spacing w:line="360" w:lineRule="auto"/>
        <w:ind w:firstLine="420" w:firstLineChars="200"/>
        <w:jc w:val="left"/>
        <w:rPr>
          <w:rFonts w:ascii="仿宋" w:hAnsi="仿宋" w:eastAsia="仿宋" w:cs="仿宋"/>
          <w:szCs w:val="21"/>
        </w:rPr>
      </w:pPr>
      <w:r>
        <w:rPr>
          <w:rFonts w:hint="eastAsia" w:ascii="仿宋" w:hAnsi="仿宋" w:eastAsia="仿宋" w:cs="仿宋"/>
          <w:szCs w:val="21"/>
        </w:rPr>
        <w:t xml:space="preserve">二、我单位保证上述承诺事项的真实性。如有弄虚作假或其他违法违规行为，自愿放弃中 </w:t>
      </w:r>
    </w:p>
    <w:p w14:paraId="595F441E">
      <w:pPr>
        <w:spacing w:line="360" w:lineRule="auto"/>
        <w:jc w:val="left"/>
        <w:rPr>
          <w:rFonts w:ascii="仿宋" w:hAnsi="仿宋" w:eastAsia="仿宋" w:cs="仿宋"/>
          <w:szCs w:val="21"/>
        </w:rPr>
      </w:pPr>
      <w:r>
        <w:rPr>
          <w:rFonts w:hint="eastAsia" w:ascii="仿宋" w:hAnsi="仿宋" w:eastAsia="仿宋" w:cs="仿宋"/>
          <w:szCs w:val="21"/>
        </w:rPr>
        <w:t xml:space="preserve">标资格并按照规定将违背承诺行为作为失信行为记录到社会信用信 息平台，并视同为“提供 </w:t>
      </w:r>
    </w:p>
    <w:p w14:paraId="36C52025">
      <w:pPr>
        <w:spacing w:line="360" w:lineRule="auto"/>
        <w:jc w:val="left"/>
        <w:rPr>
          <w:rFonts w:ascii="仿宋" w:hAnsi="仿宋" w:eastAsia="仿宋" w:cs="仿宋"/>
          <w:szCs w:val="21"/>
        </w:rPr>
      </w:pPr>
      <w:r>
        <w:rPr>
          <w:rFonts w:hint="eastAsia" w:ascii="仿宋" w:hAnsi="仿宋" w:eastAsia="仿宋" w:cs="仿宋"/>
          <w:szCs w:val="21"/>
        </w:rPr>
        <w:t xml:space="preserve">虚假材料谋取中标”。 </w:t>
      </w:r>
    </w:p>
    <w:p w14:paraId="436EFED6">
      <w:pPr>
        <w:spacing w:line="360" w:lineRule="auto"/>
        <w:ind w:firstLine="420" w:firstLineChars="200"/>
        <w:jc w:val="left"/>
        <w:rPr>
          <w:rFonts w:ascii="仿宋" w:hAnsi="仿宋" w:eastAsia="仿宋" w:cs="仿宋"/>
          <w:szCs w:val="21"/>
        </w:rPr>
      </w:pPr>
      <w:r>
        <w:rPr>
          <w:rFonts w:hint="eastAsia" w:ascii="仿宋" w:hAnsi="仿宋" w:eastAsia="仿宋" w:cs="仿宋"/>
          <w:szCs w:val="21"/>
        </w:rPr>
        <w:t xml:space="preserve">三、在签订合同前招标人要求提供相关证明材料的， 积极配合招标人提供证 明材料。 </w:t>
      </w:r>
    </w:p>
    <w:p w14:paraId="143337F4">
      <w:pPr>
        <w:spacing w:line="360" w:lineRule="auto"/>
        <w:jc w:val="left"/>
        <w:rPr>
          <w:rFonts w:ascii="仿宋" w:hAnsi="仿宋" w:eastAsia="仿宋" w:cs="仿宋"/>
          <w:szCs w:val="21"/>
        </w:rPr>
      </w:pPr>
    </w:p>
    <w:p w14:paraId="0BF647D0">
      <w:pPr>
        <w:spacing w:line="360" w:lineRule="auto"/>
        <w:jc w:val="left"/>
        <w:rPr>
          <w:rFonts w:ascii="仿宋" w:hAnsi="仿宋" w:eastAsia="仿宋" w:cs="仿宋"/>
          <w:szCs w:val="21"/>
        </w:rPr>
      </w:pPr>
      <w:r>
        <w:rPr>
          <w:rFonts w:hint="eastAsia" w:ascii="仿宋" w:hAnsi="仿宋" w:eastAsia="仿宋" w:cs="仿宋"/>
          <w:szCs w:val="21"/>
        </w:rPr>
        <w:t xml:space="preserve">投 标 人：   </w:t>
      </w:r>
      <w:r>
        <w:rPr>
          <w:rFonts w:hint="eastAsia" w:ascii="仿宋" w:hAnsi="仿宋" w:eastAsia="仿宋" w:cs="仿宋"/>
          <w:szCs w:val="21"/>
          <w:u w:val="single"/>
        </w:rPr>
        <w:t xml:space="preserve">                  </w:t>
      </w:r>
      <w:r>
        <w:rPr>
          <w:rFonts w:hint="eastAsia" w:ascii="仿宋" w:hAnsi="仿宋" w:eastAsia="仿宋" w:cs="仿宋"/>
          <w:szCs w:val="21"/>
        </w:rPr>
        <w:t xml:space="preserve"> (盖单位电子章) </w:t>
      </w:r>
    </w:p>
    <w:p w14:paraId="022DA493">
      <w:pPr>
        <w:spacing w:line="360" w:lineRule="auto"/>
        <w:jc w:val="left"/>
        <w:rPr>
          <w:rFonts w:ascii="仿宋" w:hAnsi="仿宋" w:eastAsia="仿宋" w:cs="仿宋"/>
          <w:szCs w:val="21"/>
        </w:rPr>
      </w:pPr>
      <w:r>
        <w:rPr>
          <w:rFonts w:hint="eastAsia" w:ascii="仿宋" w:hAnsi="仿宋" w:eastAsia="仿宋" w:cs="仿宋"/>
          <w:szCs w:val="21"/>
        </w:rPr>
        <w:t>法定代表人或其委托代理人：</w:t>
      </w:r>
      <w:r>
        <w:rPr>
          <w:rFonts w:hint="eastAsia" w:ascii="仿宋" w:hAnsi="仿宋" w:eastAsia="仿宋" w:cs="仿宋"/>
          <w:szCs w:val="21"/>
          <w:u w:val="single"/>
        </w:rPr>
        <w:t xml:space="preserve">                  </w:t>
      </w:r>
      <w:r>
        <w:rPr>
          <w:rFonts w:hint="eastAsia" w:ascii="仿宋" w:hAnsi="仿宋" w:eastAsia="仿宋" w:cs="仿宋"/>
          <w:szCs w:val="21"/>
        </w:rPr>
        <w:t xml:space="preserve"> (签字或盖电子章) </w:t>
      </w:r>
    </w:p>
    <w:p w14:paraId="2C0F3CBF">
      <w:pPr>
        <w:spacing w:line="360" w:lineRule="auto"/>
        <w:jc w:val="left"/>
        <w:rPr>
          <w:rFonts w:ascii="仿宋" w:hAnsi="仿宋" w:eastAsia="仿宋" w:cs="仿宋"/>
          <w:szCs w:val="21"/>
        </w:rPr>
      </w:pPr>
      <w:r>
        <w:rPr>
          <w:rFonts w:hint="eastAsia" w:ascii="仿宋" w:hAnsi="仿宋" w:eastAsia="仿宋" w:cs="仿宋"/>
          <w:szCs w:val="21"/>
        </w:rPr>
        <w:t xml:space="preserve">日期： 年   月   日 </w:t>
      </w:r>
    </w:p>
    <w:p w14:paraId="5F9A3EB5">
      <w:pPr>
        <w:spacing w:line="360" w:lineRule="auto"/>
        <w:jc w:val="left"/>
        <w:rPr>
          <w:rFonts w:ascii="仿宋" w:hAnsi="仿宋" w:eastAsia="仿宋" w:cs="仿宋"/>
          <w:szCs w:val="21"/>
        </w:rPr>
      </w:pPr>
    </w:p>
    <w:p w14:paraId="3B6495FF">
      <w:pPr>
        <w:spacing w:line="360" w:lineRule="auto"/>
        <w:jc w:val="left"/>
        <w:rPr>
          <w:rFonts w:ascii="仿宋" w:hAnsi="仿宋" w:eastAsia="仿宋" w:cs="仿宋"/>
          <w:szCs w:val="21"/>
        </w:rPr>
      </w:pPr>
      <w:r>
        <w:rPr>
          <w:rFonts w:hint="eastAsia" w:ascii="仿宋" w:hAnsi="仿宋" w:eastAsia="仿宋" w:cs="仿宋"/>
          <w:szCs w:val="21"/>
        </w:rPr>
        <w:t>注：投标人须在投标文件中按此模板提供承诺函，未提供视为未实质性响应招标文件要求，按无效投标处理。</w:t>
      </w:r>
    </w:p>
    <w:p w14:paraId="1CDB353A">
      <w:pPr>
        <w:spacing w:line="360" w:lineRule="auto"/>
        <w:jc w:val="left"/>
        <w:rPr>
          <w:rFonts w:ascii="仿宋" w:hAnsi="仿宋" w:eastAsia="仿宋" w:cs="仿宋"/>
          <w:szCs w:val="21"/>
        </w:rPr>
      </w:pPr>
    </w:p>
    <w:p w14:paraId="2095A087">
      <w:pPr>
        <w:rPr>
          <w:rFonts w:ascii="仿宋" w:hAnsi="仿宋" w:eastAsia="仿宋" w:cs="仿宋"/>
        </w:rPr>
      </w:pPr>
      <w:r>
        <w:rPr>
          <w:rFonts w:hint="eastAsia" w:ascii="仿宋" w:hAnsi="仿宋" w:eastAsia="仿宋" w:cs="仿宋"/>
        </w:rPr>
        <w:br w:type="page"/>
      </w:r>
    </w:p>
    <w:p w14:paraId="273C2633">
      <w:pPr>
        <w:pStyle w:val="4"/>
        <w:spacing w:after="120" w:afterLines="50"/>
        <w:ind w:firstLine="105"/>
        <w:rPr>
          <w:rFonts w:ascii="仿宋" w:hAnsi="仿宋" w:eastAsia="仿宋" w:cs="仿宋"/>
        </w:rPr>
      </w:pPr>
      <w:bookmarkStart w:id="620" w:name="_Toc8901"/>
      <w:bookmarkStart w:id="621" w:name="_Toc28869"/>
      <w:bookmarkStart w:id="622" w:name="_Toc3650"/>
      <w:bookmarkStart w:id="623" w:name="_Toc11959"/>
      <w:r>
        <w:rPr>
          <w:rFonts w:hint="eastAsia" w:ascii="仿宋" w:hAnsi="仿宋" w:eastAsia="仿宋" w:cs="仿宋"/>
        </w:rPr>
        <w:t>（三）近年完成的类似项目情况表</w:t>
      </w:r>
      <w:bookmarkEnd w:id="620"/>
      <w:bookmarkEnd w:id="621"/>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14:paraId="0BDD8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2269" w:type="dxa"/>
          </w:tcPr>
          <w:p w14:paraId="49922D1F">
            <w:pPr>
              <w:pStyle w:val="55"/>
              <w:spacing w:before="1"/>
              <w:rPr>
                <w:rFonts w:ascii="仿宋" w:hAnsi="仿宋" w:eastAsia="仿宋" w:cs="仿宋"/>
                <w:szCs w:val="21"/>
              </w:rPr>
            </w:pPr>
          </w:p>
          <w:p w14:paraId="07D9D9C1">
            <w:pPr>
              <w:pStyle w:val="55"/>
              <w:ind w:left="271" w:right="265"/>
              <w:jc w:val="center"/>
              <w:rPr>
                <w:rFonts w:ascii="仿宋" w:hAnsi="仿宋" w:eastAsia="仿宋" w:cs="仿宋"/>
                <w:szCs w:val="21"/>
              </w:rPr>
            </w:pPr>
            <w:r>
              <w:rPr>
                <w:rFonts w:hint="eastAsia" w:ascii="仿宋" w:hAnsi="仿宋" w:eastAsia="仿宋" w:cs="仿宋"/>
                <w:szCs w:val="21"/>
              </w:rPr>
              <w:t>设备名称</w:t>
            </w:r>
          </w:p>
        </w:tc>
        <w:tc>
          <w:tcPr>
            <w:tcW w:w="6253" w:type="dxa"/>
          </w:tcPr>
          <w:p w14:paraId="4B836C46">
            <w:pPr>
              <w:pStyle w:val="55"/>
              <w:rPr>
                <w:rFonts w:ascii="仿宋" w:hAnsi="仿宋" w:eastAsia="仿宋" w:cs="仿宋"/>
                <w:szCs w:val="21"/>
              </w:rPr>
            </w:pPr>
          </w:p>
        </w:tc>
      </w:tr>
      <w:tr w14:paraId="22AF0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2269" w:type="dxa"/>
          </w:tcPr>
          <w:p w14:paraId="62D7C9D8">
            <w:pPr>
              <w:pStyle w:val="55"/>
              <w:spacing w:before="11"/>
              <w:rPr>
                <w:rFonts w:ascii="仿宋" w:hAnsi="仿宋" w:eastAsia="仿宋" w:cs="仿宋"/>
                <w:szCs w:val="21"/>
              </w:rPr>
            </w:pPr>
          </w:p>
          <w:p w14:paraId="0B675C55">
            <w:pPr>
              <w:pStyle w:val="55"/>
              <w:ind w:left="273" w:right="265"/>
              <w:jc w:val="center"/>
              <w:rPr>
                <w:rFonts w:ascii="仿宋" w:hAnsi="仿宋" w:eastAsia="仿宋" w:cs="仿宋"/>
                <w:szCs w:val="21"/>
              </w:rPr>
            </w:pPr>
            <w:r>
              <w:rPr>
                <w:rFonts w:hint="eastAsia" w:ascii="仿宋" w:hAnsi="仿宋" w:eastAsia="仿宋" w:cs="仿宋"/>
                <w:szCs w:val="21"/>
              </w:rPr>
              <w:t>项目名称</w:t>
            </w:r>
          </w:p>
        </w:tc>
        <w:tc>
          <w:tcPr>
            <w:tcW w:w="6253" w:type="dxa"/>
          </w:tcPr>
          <w:p w14:paraId="174DE74C">
            <w:pPr>
              <w:pStyle w:val="55"/>
              <w:rPr>
                <w:rFonts w:ascii="仿宋" w:hAnsi="仿宋" w:eastAsia="仿宋" w:cs="仿宋"/>
                <w:szCs w:val="21"/>
              </w:rPr>
            </w:pPr>
          </w:p>
        </w:tc>
      </w:tr>
      <w:tr w14:paraId="496FF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2269" w:type="dxa"/>
          </w:tcPr>
          <w:p w14:paraId="30B3235C">
            <w:pPr>
              <w:pStyle w:val="55"/>
              <w:spacing w:before="9"/>
              <w:rPr>
                <w:rFonts w:ascii="仿宋" w:hAnsi="仿宋" w:eastAsia="仿宋" w:cs="仿宋"/>
                <w:szCs w:val="21"/>
              </w:rPr>
            </w:pPr>
          </w:p>
          <w:p w14:paraId="63605EFB">
            <w:pPr>
              <w:pStyle w:val="55"/>
              <w:ind w:left="273" w:right="265"/>
              <w:jc w:val="center"/>
              <w:rPr>
                <w:rFonts w:ascii="仿宋" w:hAnsi="仿宋" w:eastAsia="仿宋" w:cs="仿宋"/>
                <w:szCs w:val="21"/>
              </w:rPr>
            </w:pPr>
            <w:r>
              <w:rPr>
                <w:rFonts w:hint="eastAsia" w:ascii="仿宋" w:hAnsi="仿宋" w:eastAsia="仿宋" w:cs="仿宋"/>
                <w:szCs w:val="21"/>
              </w:rPr>
              <w:t>买方名称</w:t>
            </w:r>
          </w:p>
        </w:tc>
        <w:tc>
          <w:tcPr>
            <w:tcW w:w="6253" w:type="dxa"/>
          </w:tcPr>
          <w:p w14:paraId="0328A5DE">
            <w:pPr>
              <w:pStyle w:val="55"/>
              <w:rPr>
                <w:rFonts w:ascii="仿宋" w:hAnsi="仿宋" w:eastAsia="仿宋" w:cs="仿宋"/>
                <w:szCs w:val="21"/>
              </w:rPr>
            </w:pPr>
          </w:p>
        </w:tc>
      </w:tr>
      <w:tr w14:paraId="7AED8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2269" w:type="dxa"/>
          </w:tcPr>
          <w:p w14:paraId="669413AF">
            <w:pPr>
              <w:pStyle w:val="55"/>
              <w:spacing w:before="11"/>
              <w:rPr>
                <w:rFonts w:ascii="仿宋" w:hAnsi="仿宋" w:eastAsia="仿宋" w:cs="仿宋"/>
                <w:szCs w:val="21"/>
              </w:rPr>
            </w:pPr>
          </w:p>
          <w:p w14:paraId="59C40BA5">
            <w:pPr>
              <w:pStyle w:val="55"/>
              <w:ind w:left="273" w:right="265"/>
              <w:jc w:val="center"/>
              <w:rPr>
                <w:rFonts w:ascii="仿宋" w:hAnsi="仿宋" w:eastAsia="仿宋" w:cs="仿宋"/>
                <w:szCs w:val="21"/>
              </w:rPr>
            </w:pPr>
            <w:r>
              <w:rPr>
                <w:rFonts w:hint="eastAsia" w:ascii="仿宋" w:hAnsi="仿宋" w:eastAsia="仿宋" w:cs="仿宋"/>
                <w:szCs w:val="21"/>
              </w:rPr>
              <w:t>买方联系人及电话</w:t>
            </w:r>
          </w:p>
        </w:tc>
        <w:tc>
          <w:tcPr>
            <w:tcW w:w="6253" w:type="dxa"/>
          </w:tcPr>
          <w:p w14:paraId="50FFA86F">
            <w:pPr>
              <w:pStyle w:val="55"/>
              <w:rPr>
                <w:rFonts w:ascii="仿宋" w:hAnsi="仿宋" w:eastAsia="仿宋" w:cs="仿宋"/>
                <w:szCs w:val="21"/>
              </w:rPr>
            </w:pPr>
          </w:p>
        </w:tc>
      </w:tr>
      <w:tr w14:paraId="2DB01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2269" w:type="dxa"/>
          </w:tcPr>
          <w:p w14:paraId="0691FE50">
            <w:pPr>
              <w:pStyle w:val="55"/>
              <w:spacing w:before="11"/>
              <w:rPr>
                <w:rFonts w:ascii="仿宋" w:hAnsi="仿宋" w:eastAsia="仿宋" w:cs="仿宋"/>
                <w:szCs w:val="21"/>
              </w:rPr>
            </w:pPr>
          </w:p>
          <w:p w14:paraId="29D5E442">
            <w:pPr>
              <w:pStyle w:val="55"/>
              <w:ind w:left="273" w:right="265"/>
              <w:jc w:val="center"/>
              <w:rPr>
                <w:rFonts w:ascii="仿宋" w:hAnsi="仿宋" w:eastAsia="仿宋" w:cs="仿宋"/>
                <w:szCs w:val="21"/>
              </w:rPr>
            </w:pPr>
            <w:r>
              <w:rPr>
                <w:rFonts w:hint="eastAsia" w:ascii="仿宋" w:hAnsi="仿宋" w:eastAsia="仿宋" w:cs="仿宋"/>
                <w:szCs w:val="21"/>
              </w:rPr>
              <w:t>合同价格</w:t>
            </w:r>
          </w:p>
        </w:tc>
        <w:tc>
          <w:tcPr>
            <w:tcW w:w="6253" w:type="dxa"/>
          </w:tcPr>
          <w:p w14:paraId="0DA27D5D">
            <w:pPr>
              <w:pStyle w:val="55"/>
              <w:rPr>
                <w:rFonts w:ascii="仿宋" w:hAnsi="仿宋" w:eastAsia="仿宋" w:cs="仿宋"/>
                <w:szCs w:val="21"/>
              </w:rPr>
            </w:pPr>
          </w:p>
        </w:tc>
      </w:tr>
      <w:tr w14:paraId="49699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9" w:hRule="atLeast"/>
          <w:jc w:val="center"/>
        </w:trPr>
        <w:tc>
          <w:tcPr>
            <w:tcW w:w="2269" w:type="dxa"/>
          </w:tcPr>
          <w:p w14:paraId="56F86AD2">
            <w:pPr>
              <w:pStyle w:val="55"/>
              <w:rPr>
                <w:rFonts w:ascii="仿宋" w:hAnsi="仿宋" w:eastAsia="仿宋" w:cs="仿宋"/>
                <w:szCs w:val="21"/>
              </w:rPr>
            </w:pPr>
          </w:p>
          <w:p w14:paraId="1326D554">
            <w:pPr>
              <w:pStyle w:val="55"/>
              <w:rPr>
                <w:rFonts w:ascii="仿宋" w:hAnsi="仿宋" w:eastAsia="仿宋" w:cs="仿宋"/>
                <w:szCs w:val="21"/>
              </w:rPr>
            </w:pPr>
          </w:p>
          <w:p w14:paraId="53D2C597">
            <w:pPr>
              <w:pStyle w:val="55"/>
              <w:rPr>
                <w:rFonts w:ascii="仿宋" w:hAnsi="仿宋" w:eastAsia="仿宋" w:cs="仿宋"/>
                <w:szCs w:val="21"/>
              </w:rPr>
            </w:pPr>
          </w:p>
          <w:p w14:paraId="57F31609">
            <w:pPr>
              <w:pStyle w:val="55"/>
              <w:rPr>
                <w:rFonts w:ascii="仿宋" w:hAnsi="仿宋" w:eastAsia="仿宋" w:cs="仿宋"/>
                <w:szCs w:val="21"/>
              </w:rPr>
            </w:pPr>
          </w:p>
          <w:p w14:paraId="23A12B7E">
            <w:pPr>
              <w:pStyle w:val="55"/>
              <w:spacing w:before="12"/>
              <w:rPr>
                <w:rFonts w:ascii="仿宋" w:hAnsi="仿宋" w:eastAsia="仿宋" w:cs="仿宋"/>
                <w:szCs w:val="21"/>
              </w:rPr>
            </w:pPr>
          </w:p>
          <w:p w14:paraId="109DA492">
            <w:pPr>
              <w:pStyle w:val="55"/>
              <w:spacing w:line="393" w:lineRule="auto"/>
              <w:ind w:left="818" w:right="176" w:hanging="632"/>
              <w:rPr>
                <w:rFonts w:hint="eastAsia" w:ascii="仿宋" w:hAnsi="仿宋" w:eastAsia="仿宋" w:cs="仿宋"/>
                <w:szCs w:val="21"/>
              </w:rPr>
            </w:pPr>
            <w:r>
              <w:rPr>
                <w:rFonts w:hint="eastAsia" w:ascii="仿宋" w:hAnsi="仿宋" w:eastAsia="仿宋" w:cs="仿宋"/>
                <w:szCs w:val="21"/>
              </w:rPr>
              <w:t>项目概况及投标人</w:t>
            </w:r>
          </w:p>
          <w:p w14:paraId="790E3A8A">
            <w:pPr>
              <w:pStyle w:val="55"/>
              <w:spacing w:line="393" w:lineRule="auto"/>
              <w:ind w:left="818" w:right="176" w:hanging="632"/>
              <w:rPr>
                <w:rFonts w:ascii="仿宋" w:hAnsi="仿宋" w:eastAsia="仿宋" w:cs="仿宋"/>
                <w:szCs w:val="21"/>
              </w:rPr>
            </w:pPr>
            <w:r>
              <w:rPr>
                <w:rFonts w:hint="eastAsia" w:ascii="仿宋" w:hAnsi="仿宋" w:eastAsia="仿宋" w:cs="仿宋"/>
                <w:szCs w:val="21"/>
              </w:rPr>
              <w:t>履约情况</w:t>
            </w:r>
          </w:p>
        </w:tc>
        <w:tc>
          <w:tcPr>
            <w:tcW w:w="6253" w:type="dxa"/>
          </w:tcPr>
          <w:p w14:paraId="31E8C20F">
            <w:pPr>
              <w:pStyle w:val="55"/>
              <w:rPr>
                <w:rFonts w:ascii="仿宋" w:hAnsi="仿宋" w:eastAsia="仿宋" w:cs="仿宋"/>
                <w:szCs w:val="21"/>
              </w:rPr>
            </w:pPr>
          </w:p>
        </w:tc>
      </w:tr>
      <w:tr w14:paraId="1DFDB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2269" w:type="dxa"/>
          </w:tcPr>
          <w:p w14:paraId="7216519F">
            <w:pPr>
              <w:pStyle w:val="55"/>
              <w:spacing w:before="5"/>
              <w:rPr>
                <w:rFonts w:ascii="仿宋" w:hAnsi="仿宋" w:eastAsia="仿宋" w:cs="仿宋"/>
                <w:szCs w:val="21"/>
              </w:rPr>
            </w:pPr>
          </w:p>
          <w:p w14:paraId="5D4635B9">
            <w:pPr>
              <w:pStyle w:val="55"/>
              <w:ind w:left="273" w:right="263"/>
              <w:jc w:val="center"/>
              <w:rPr>
                <w:rFonts w:ascii="仿宋" w:hAnsi="仿宋" w:eastAsia="仿宋" w:cs="仿宋"/>
                <w:szCs w:val="21"/>
              </w:rPr>
            </w:pPr>
            <w:r>
              <w:rPr>
                <w:rFonts w:hint="eastAsia" w:ascii="仿宋" w:hAnsi="仿宋" w:eastAsia="仿宋" w:cs="仿宋"/>
                <w:szCs w:val="21"/>
              </w:rPr>
              <w:t>备注</w:t>
            </w:r>
          </w:p>
        </w:tc>
        <w:tc>
          <w:tcPr>
            <w:tcW w:w="6253" w:type="dxa"/>
          </w:tcPr>
          <w:p w14:paraId="6987E8E0">
            <w:pPr>
              <w:pStyle w:val="55"/>
              <w:rPr>
                <w:rFonts w:ascii="仿宋" w:hAnsi="仿宋" w:eastAsia="仿宋" w:cs="仿宋"/>
                <w:szCs w:val="21"/>
              </w:rPr>
            </w:pPr>
          </w:p>
        </w:tc>
      </w:tr>
    </w:tbl>
    <w:p w14:paraId="2A71E3E7">
      <w:pPr>
        <w:pStyle w:val="12"/>
        <w:spacing w:before="143"/>
        <w:ind w:left="400"/>
        <w:rPr>
          <w:rFonts w:ascii="仿宋" w:hAnsi="仿宋" w:eastAsia="仿宋" w:cs="仿宋"/>
          <w:szCs w:val="21"/>
        </w:rPr>
      </w:pPr>
      <w:r>
        <w:rPr>
          <w:rFonts w:hint="eastAsia" w:ascii="仿宋" w:hAnsi="仿宋" w:eastAsia="仿宋" w:cs="仿宋"/>
          <w:szCs w:val="21"/>
        </w:rPr>
        <w:t>注：</w:t>
      </w:r>
      <w:r>
        <w:rPr>
          <w:rFonts w:hint="eastAsia" w:ascii="仿宋" w:hAnsi="仿宋" w:eastAsia="仿宋" w:cs="仿宋"/>
          <w:spacing w:val="-7"/>
          <w:szCs w:val="21"/>
        </w:rPr>
        <w:t>投标人</w:t>
      </w:r>
      <w:r>
        <w:rPr>
          <w:rFonts w:hint="eastAsia" w:ascii="仿宋" w:hAnsi="仿宋" w:eastAsia="仿宋" w:cs="仿宋"/>
          <w:spacing w:val="-3"/>
          <w:szCs w:val="21"/>
        </w:rPr>
        <w:t>在本表后附</w:t>
      </w:r>
      <w:r>
        <w:rPr>
          <w:rFonts w:hint="eastAsia" w:ascii="仿宋" w:hAnsi="仿宋" w:eastAsia="仿宋" w:cs="仿宋"/>
          <w:spacing w:val="-3"/>
          <w:szCs w:val="21"/>
          <w:lang w:eastAsia="zh-CN"/>
        </w:rPr>
        <w:t>合同原件扫描件</w:t>
      </w:r>
      <w:r>
        <w:rPr>
          <w:rFonts w:hint="eastAsia" w:ascii="仿宋" w:hAnsi="仿宋" w:eastAsia="仿宋" w:cs="仿宋"/>
          <w:spacing w:val="-3"/>
          <w:szCs w:val="21"/>
        </w:rPr>
        <w:t>。</w:t>
      </w:r>
    </w:p>
    <w:p w14:paraId="6E40D833">
      <w:pPr>
        <w:rPr>
          <w:rFonts w:ascii="仿宋" w:hAnsi="仿宋" w:eastAsia="仿宋" w:cs="仿宋"/>
        </w:rPr>
      </w:pPr>
      <w:r>
        <w:rPr>
          <w:rFonts w:hint="eastAsia" w:ascii="仿宋" w:hAnsi="仿宋" w:eastAsia="仿宋" w:cs="仿宋"/>
        </w:rPr>
        <w:br w:type="page"/>
      </w:r>
    </w:p>
    <w:p w14:paraId="40FDD7F1">
      <w:pPr>
        <w:pStyle w:val="4"/>
        <w:ind w:firstLine="105"/>
        <w:rPr>
          <w:rFonts w:ascii="仿宋" w:hAnsi="仿宋" w:eastAsia="仿宋" w:cs="仿宋"/>
        </w:rPr>
      </w:pPr>
      <w:r>
        <w:rPr>
          <w:rFonts w:hint="eastAsia" w:ascii="仿宋" w:hAnsi="仿宋" w:eastAsia="仿宋" w:cs="仿宋"/>
        </w:rPr>
        <w:t>（</w:t>
      </w:r>
      <w:r>
        <w:rPr>
          <w:rFonts w:hint="eastAsia" w:ascii="仿宋" w:hAnsi="仿宋" w:eastAsia="仿宋" w:cs="仿宋"/>
          <w:lang w:eastAsia="zh-CN"/>
        </w:rPr>
        <w:t>四</w:t>
      </w:r>
      <w:r>
        <w:rPr>
          <w:rFonts w:hint="eastAsia" w:ascii="仿宋" w:hAnsi="仿宋" w:eastAsia="仿宋" w:cs="仿宋"/>
        </w:rPr>
        <w:t>）</w:t>
      </w:r>
      <w:bookmarkEnd w:id="622"/>
      <w:bookmarkEnd w:id="623"/>
      <w:r>
        <w:rPr>
          <w:rFonts w:hint="eastAsia" w:ascii="仿宋" w:hAnsi="仿宋" w:eastAsia="仿宋" w:cs="仿宋"/>
        </w:rPr>
        <w:t>其他资格审查资料</w:t>
      </w:r>
    </w:p>
    <w:p w14:paraId="65521C94">
      <w:pPr>
        <w:spacing w:line="440" w:lineRule="exact"/>
        <w:rPr>
          <w:rFonts w:ascii="仿宋" w:hAnsi="仿宋" w:eastAsia="仿宋" w:cs="仿宋"/>
        </w:rPr>
      </w:pPr>
      <w:r>
        <w:rPr>
          <w:rFonts w:hint="eastAsia" w:ascii="仿宋" w:hAnsi="仿宋" w:eastAsia="仿宋" w:cs="仿宋"/>
        </w:rPr>
        <w:t>注：投标人应根据投标人须知第1.4.1项的要求在本表后附相关证明材料。</w:t>
      </w:r>
    </w:p>
    <w:p w14:paraId="1A1F466A">
      <w:pPr>
        <w:spacing w:line="440" w:lineRule="exact"/>
        <w:rPr>
          <w:rFonts w:ascii="仿宋" w:hAnsi="仿宋" w:eastAsia="仿宋" w:cs="仿宋"/>
        </w:rPr>
      </w:pPr>
    </w:p>
    <w:p w14:paraId="3CDD1285">
      <w:pPr>
        <w:spacing w:line="440" w:lineRule="exact"/>
        <w:rPr>
          <w:rFonts w:ascii="仿宋" w:hAnsi="仿宋" w:eastAsia="仿宋" w:cs="仿宋"/>
        </w:rPr>
      </w:pPr>
    </w:p>
    <w:p w14:paraId="081C5322">
      <w:pPr>
        <w:topLinePunct/>
        <w:spacing w:line="440" w:lineRule="exact"/>
        <w:rPr>
          <w:rFonts w:ascii="仿宋" w:hAnsi="仿宋" w:eastAsia="仿宋" w:cs="仿宋"/>
        </w:rPr>
      </w:pPr>
      <w:r>
        <w:rPr>
          <w:rFonts w:hint="eastAsia" w:ascii="仿宋" w:hAnsi="仿宋" w:eastAsia="仿宋" w:cs="仿宋"/>
        </w:rPr>
        <w:br w:type="page"/>
      </w:r>
    </w:p>
    <w:bookmarkEnd w:id="609"/>
    <w:p w14:paraId="41ADF886">
      <w:pPr>
        <w:pStyle w:val="3"/>
        <w:spacing w:line="400" w:lineRule="exact"/>
        <w:jc w:val="center"/>
        <w:rPr>
          <w:rFonts w:ascii="仿宋" w:hAnsi="仿宋" w:eastAsia="仿宋" w:cs="仿宋"/>
        </w:rPr>
      </w:pPr>
      <w:bookmarkStart w:id="624" w:name="_Toc65925628"/>
      <w:bookmarkStart w:id="625" w:name="_Toc14452"/>
      <w:bookmarkStart w:id="626" w:name="_Toc185327332"/>
      <w:bookmarkStart w:id="627" w:name="_Toc31549"/>
      <w:r>
        <w:rPr>
          <w:rFonts w:hint="eastAsia" w:ascii="仿宋" w:hAnsi="仿宋" w:eastAsia="仿宋" w:cs="仿宋"/>
        </w:rPr>
        <w:t>八、技术性能指标的详细描述</w:t>
      </w:r>
      <w:bookmarkEnd w:id="624"/>
      <w:bookmarkEnd w:id="625"/>
      <w:bookmarkEnd w:id="626"/>
      <w:bookmarkEnd w:id="627"/>
    </w:p>
    <w:p w14:paraId="7C66997F">
      <w:pPr>
        <w:adjustRightInd w:val="0"/>
        <w:snapToGrid w:val="0"/>
        <w:spacing w:line="360" w:lineRule="auto"/>
        <w:rPr>
          <w:rFonts w:ascii="仿宋" w:hAnsi="仿宋" w:eastAsia="仿宋" w:cs="仿宋"/>
          <w:szCs w:val="21"/>
        </w:rPr>
      </w:pPr>
    </w:p>
    <w:p w14:paraId="5242FA4C">
      <w:pPr>
        <w:spacing w:line="360" w:lineRule="auto"/>
        <w:ind w:firstLine="420" w:firstLineChars="200"/>
        <w:jc w:val="left"/>
        <w:rPr>
          <w:rFonts w:hint="eastAsia" w:ascii="仿宋" w:hAnsi="仿宋" w:eastAsia="仿宋" w:cs="仿宋"/>
          <w:szCs w:val="21"/>
          <w:lang w:val="en-US" w:eastAsia="zh-CN"/>
        </w:rPr>
      </w:pPr>
      <w:bookmarkStart w:id="628" w:name="_Toc65925629"/>
      <w:bookmarkStart w:id="629" w:name="_Toc10913"/>
      <w:bookmarkStart w:id="630" w:name="_Toc31917"/>
      <w:r>
        <w:rPr>
          <w:rFonts w:hint="eastAsia" w:ascii="仿宋" w:hAnsi="仿宋" w:eastAsia="仿宋" w:cs="仿宋"/>
          <w:szCs w:val="21"/>
          <w:lang w:val="en-US" w:eastAsia="zh-CN"/>
        </w:rPr>
        <w:t>投标单位要对以下设备的指标进行详细描述作为评标打分的依据。</w:t>
      </w:r>
    </w:p>
    <w:p w14:paraId="5741912E">
      <w:pPr>
        <w:spacing w:line="360" w:lineRule="auto"/>
        <w:ind w:firstLine="420" w:firstLineChars="200"/>
        <w:jc w:val="left"/>
        <w:rPr>
          <w:rFonts w:hint="eastAsia" w:ascii="仿宋" w:hAnsi="仿宋" w:eastAsia="仿宋" w:cs="仿宋"/>
          <w:szCs w:val="21"/>
          <w:lang w:val="en-US" w:eastAsia="zh-CN"/>
        </w:rPr>
      </w:pPr>
      <w:r>
        <w:rPr>
          <w:rFonts w:hint="eastAsia" w:ascii="仿宋" w:hAnsi="仿宋" w:eastAsia="仿宋" w:cs="仿宋"/>
          <w:szCs w:val="21"/>
          <w:lang w:val="en-US" w:eastAsia="zh-CN"/>
        </w:rPr>
        <w:t>潜水排污泵、污泥回流泵、剩余污泥泵、内进流网板格栅除污机、罗茨鼓风机、缺氧池潜水推进器、低速潜水推进器、潜水搅拌器、潜水立式搅拌器、高速潜水搅拌器、</w:t>
      </w:r>
      <w:r>
        <w:rPr>
          <w:rFonts w:hint="eastAsia" w:ascii="仿宋" w:hAnsi="仿宋" w:eastAsia="仿宋" w:cs="仿宋"/>
          <w:szCs w:val="21"/>
          <w:lang w:val="da-DK" w:eastAsia="zh-CN"/>
        </w:rPr>
        <w:t>管式微孔曝气器、</w:t>
      </w:r>
      <w:r>
        <w:rPr>
          <w:rFonts w:hint="eastAsia" w:ascii="仿宋" w:hAnsi="仿宋" w:eastAsia="仿宋" w:cs="仿宋"/>
          <w:szCs w:val="21"/>
          <w:lang w:val="en-US" w:eastAsia="zh-CN"/>
        </w:rPr>
        <w:t>内回流泵、纤维转盘过滤器、慢速搅拌器、快速搅拌器、立式排污泵、立式污泥泵、叠螺脱水机、一体化PAM制备装置。</w:t>
      </w:r>
    </w:p>
    <w:p w14:paraId="631C25DA">
      <w:pPr>
        <w:spacing w:line="360" w:lineRule="auto"/>
        <w:ind w:firstLine="420" w:firstLineChars="200"/>
        <w:jc w:val="left"/>
        <w:rPr>
          <w:rFonts w:hint="eastAsia" w:ascii="仿宋" w:hAnsi="仿宋" w:eastAsia="仿宋" w:cs="仿宋"/>
          <w:szCs w:val="21"/>
          <w:highlight w:val="yellow"/>
          <w:lang w:val="en-US" w:eastAsia="zh-CN"/>
        </w:rPr>
      </w:pPr>
    </w:p>
    <w:p w14:paraId="6D7276E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宋体" w:hAnsi="宋体" w:eastAsia="宋体" w:cs="宋体"/>
          <w:b/>
          <w:bCs/>
          <w:i w:val="0"/>
          <w:iCs w:val="0"/>
          <w:caps w:val="0"/>
          <w:color w:val="auto"/>
          <w:spacing w:val="0"/>
          <w:sz w:val="24"/>
          <w:szCs w:val="24"/>
          <w:highlight w:val="yellow"/>
          <w:shd w:val="clear" w:fill="FFFFFF"/>
          <w:lang w:val="en-US" w:eastAsia="zh-CN"/>
        </w:rPr>
      </w:pPr>
      <w:bookmarkStart w:id="631" w:name="_Toc185327333"/>
    </w:p>
    <w:p w14:paraId="4252694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宋体" w:hAnsi="宋体" w:eastAsia="宋体" w:cs="宋体"/>
          <w:b w:val="0"/>
          <w:bCs w:val="0"/>
          <w:i w:val="0"/>
          <w:iCs w:val="0"/>
          <w:caps w:val="0"/>
          <w:color w:val="auto"/>
          <w:spacing w:val="0"/>
          <w:sz w:val="24"/>
          <w:szCs w:val="24"/>
          <w:highlight w:val="none"/>
          <w:shd w:val="clear" w:fill="FFFFFF"/>
          <w:lang w:val="en-US" w:eastAsia="zh-CN"/>
        </w:rPr>
      </w:pPr>
      <w:r>
        <w:rPr>
          <w:rFonts w:hint="default" w:ascii="宋体" w:hAnsi="宋体" w:eastAsia="宋体" w:cs="宋体"/>
          <w:b w:val="0"/>
          <w:bCs w:val="0"/>
          <w:i w:val="0"/>
          <w:iCs w:val="0"/>
          <w:caps w:val="0"/>
          <w:color w:val="auto"/>
          <w:spacing w:val="0"/>
          <w:sz w:val="24"/>
          <w:szCs w:val="24"/>
          <w:highlight w:val="none"/>
          <w:shd w:val="clear" w:fill="FFFFFF"/>
          <w:lang w:val="en-US" w:eastAsia="zh-CN"/>
        </w:rPr>
        <w:t>投标人在“项目实施方案中的设备综合性能”中详细描述</w:t>
      </w:r>
      <w:r>
        <w:rPr>
          <w:rFonts w:hint="eastAsia" w:ascii="宋体" w:hAnsi="宋体" w:eastAsia="宋体" w:cs="宋体"/>
          <w:b w:val="0"/>
          <w:bCs w:val="0"/>
          <w:i w:val="0"/>
          <w:iCs w:val="0"/>
          <w:caps w:val="0"/>
          <w:color w:val="auto"/>
          <w:spacing w:val="0"/>
          <w:sz w:val="24"/>
          <w:szCs w:val="24"/>
          <w:highlight w:val="none"/>
          <w:shd w:val="clear" w:fill="FFFFFF"/>
          <w:lang w:val="en-US" w:eastAsia="zh-CN"/>
        </w:rPr>
        <w:t>即可，本章节</w:t>
      </w:r>
      <w:r>
        <w:rPr>
          <w:rFonts w:hint="default" w:ascii="宋体" w:hAnsi="宋体" w:eastAsia="宋体" w:cs="宋体"/>
          <w:b w:val="0"/>
          <w:bCs w:val="0"/>
          <w:i w:val="0"/>
          <w:iCs w:val="0"/>
          <w:caps w:val="0"/>
          <w:color w:val="auto"/>
          <w:spacing w:val="0"/>
          <w:sz w:val="24"/>
          <w:szCs w:val="24"/>
          <w:highlight w:val="none"/>
          <w:shd w:val="clear" w:fill="FFFFFF"/>
          <w:lang w:val="en-US" w:eastAsia="zh-CN"/>
        </w:rPr>
        <w:t>不再编制。</w:t>
      </w:r>
    </w:p>
    <w:p w14:paraId="580876E5">
      <w:pPr>
        <w:spacing w:line="360" w:lineRule="auto"/>
        <w:ind w:firstLine="420" w:firstLineChars="200"/>
        <w:jc w:val="left"/>
        <w:rPr>
          <w:rFonts w:ascii="仿宋" w:hAnsi="仿宋" w:eastAsia="仿宋" w:cs="仿宋"/>
        </w:rPr>
      </w:pPr>
    </w:p>
    <w:bookmarkEnd w:id="628"/>
    <w:bookmarkEnd w:id="629"/>
    <w:bookmarkEnd w:id="630"/>
    <w:bookmarkEnd w:id="631"/>
    <w:p w14:paraId="0895346D">
      <w:pPr>
        <w:rPr>
          <w:rFonts w:hint="eastAsia" w:ascii="仿宋" w:hAnsi="仿宋" w:eastAsia="仿宋" w:cs="仿宋"/>
          <w:lang w:eastAsia="zh-CN"/>
        </w:rPr>
      </w:pPr>
      <w:bookmarkStart w:id="632" w:name="_Toc65925630"/>
      <w:bookmarkStart w:id="633" w:name="_Toc22236"/>
      <w:bookmarkStart w:id="634" w:name="_Toc22031"/>
      <w:bookmarkStart w:id="635" w:name="_Toc185327334"/>
      <w:r>
        <w:rPr>
          <w:rFonts w:hint="eastAsia" w:ascii="仿宋" w:hAnsi="仿宋" w:eastAsia="仿宋" w:cs="仿宋"/>
          <w:lang w:eastAsia="zh-CN"/>
        </w:rPr>
        <w:br w:type="page"/>
      </w:r>
    </w:p>
    <w:p w14:paraId="549B9463">
      <w:pPr>
        <w:pStyle w:val="3"/>
        <w:spacing w:line="400" w:lineRule="exact"/>
        <w:jc w:val="center"/>
        <w:rPr>
          <w:rFonts w:ascii="仿宋" w:hAnsi="仿宋" w:eastAsia="仿宋" w:cs="仿宋"/>
          <w:b w:val="0"/>
        </w:rPr>
      </w:pPr>
      <w:r>
        <w:rPr>
          <w:rFonts w:hint="eastAsia" w:ascii="仿宋" w:hAnsi="仿宋" w:eastAsia="仿宋" w:cs="仿宋"/>
          <w:lang w:eastAsia="zh-CN"/>
        </w:rPr>
        <w:t>九</w:t>
      </w:r>
      <w:r>
        <w:rPr>
          <w:rFonts w:hint="eastAsia" w:ascii="仿宋" w:hAnsi="仿宋" w:eastAsia="仿宋" w:cs="仿宋"/>
        </w:rPr>
        <w:t>、</w:t>
      </w:r>
      <w:bookmarkEnd w:id="632"/>
      <w:bookmarkEnd w:id="633"/>
      <w:r>
        <w:rPr>
          <w:rFonts w:hint="eastAsia" w:ascii="仿宋" w:hAnsi="仿宋" w:eastAsia="仿宋" w:cs="仿宋"/>
        </w:rPr>
        <w:t>项目实施方案</w:t>
      </w:r>
      <w:bookmarkEnd w:id="634"/>
      <w:bookmarkEnd w:id="635"/>
    </w:p>
    <w:p w14:paraId="6F987A52">
      <w:pPr>
        <w:adjustRightInd w:val="0"/>
        <w:snapToGrid w:val="0"/>
        <w:spacing w:line="360" w:lineRule="auto"/>
        <w:ind w:firstLine="420" w:firstLineChars="200"/>
        <w:rPr>
          <w:rFonts w:ascii="仿宋" w:hAnsi="仿宋" w:eastAsia="仿宋" w:cs="仿宋"/>
          <w:szCs w:val="21"/>
        </w:rPr>
      </w:pPr>
    </w:p>
    <w:p w14:paraId="268C99A3">
      <w:pPr>
        <w:adjustRightInd w:val="0"/>
        <w:snapToGrid w:val="0"/>
        <w:spacing w:line="360" w:lineRule="auto"/>
        <w:ind w:firstLine="420" w:firstLineChars="200"/>
        <w:rPr>
          <w:rFonts w:hint="eastAsia" w:ascii="仿宋" w:hAnsi="仿宋" w:eastAsia="仿宋" w:cs="仿宋"/>
          <w:b w:val="0"/>
          <w:bCs w:val="0"/>
          <w:color w:val="auto"/>
          <w:highlight w:val="none"/>
          <w:lang w:val="en-US"/>
        </w:rPr>
      </w:pPr>
      <w:r>
        <w:rPr>
          <w:rFonts w:hint="eastAsia" w:ascii="仿宋" w:hAnsi="仿宋" w:eastAsia="仿宋" w:cs="仿宋"/>
          <w:b w:val="0"/>
          <w:bCs w:val="0"/>
          <w:color w:val="auto"/>
          <w:highlight w:val="none"/>
          <w:lang w:val="en-US"/>
        </w:rPr>
        <w:t>投标人根据招标项目要求及自身情况自行填报。</w:t>
      </w:r>
    </w:p>
    <w:p w14:paraId="6083DBED">
      <w:pPr>
        <w:adjustRightInd w:val="0"/>
        <w:snapToGrid w:val="0"/>
        <w:spacing w:line="360" w:lineRule="auto"/>
        <w:ind w:firstLine="420" w:firstLineChars="200"/>
        <w:rPr>
          <w:rFonts w:ascii="仿宋" w:hAnsi="仿宋" w:eastAsia="仿宋" w:cs="仿宋"/>
          <w:szCs w:val="21"/>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b w:val="0"/>
          <w:bCs w:val="0"/>
          <w:color w:val="auto"/>
          <w:highlight w:val="none"/>
          <w:lang w:val="en-US"/>
        </w:rPr>
        <w:t>如本项目为暗标，则投标人需要严格按照暗标规则填报，具体的暗标规则详见：https://lyggzyjy.ly.gov.cn/bszn/005002/005002001/20240725/be3be1b7-8ffc-4ee1-aa3f-f82f3b5cc33b.html。</w:t>
      </w:r>
    </w:p>
    <w:p w14:paraId="79AA3138">
      <w:pPr>
        <w:pStyle w:val="3"/>
        <w:spacing w:line="400" w:lineRule="exact"/>
        <w:jc w:val="center"/>
        <w:rPr>
          <w:rFonts w:ascii="仿宋" w:hAnsi="仿宋" w:eastAsia="仿宋" w:cs="仿宋"/>
        </w:rPr>
      </w:pPr>
      <w:bookmarkStart w:id="636" w:name="_Toc185327335"/>
      <w:bookmarkStart w:id="637" w:name="_Toc14857"/>
      <w:bookmarkStart w:id="638" w:name="_Toc65925631"/>
      <w:bookmarkStart w:id="639" w:name="_Toc9561"/>
      <w:r>
        <w:rPr>
          <w:rFonts w:hint="eastAsia" w:ascii="仿宋" w:hAnsi="仿宋" w:eastAsia="仿宋" w:cs="仿宋"/>
        </w:rPr>
        <w:t>十、其他资料</w:t>
      </w:r>
      <w:bookmarkEnd w:id="636"/>
      <w:bookmarkEnd w:id="637"/>
      <w:bookmarkEnd w:id="638"/>
      <w:bookmarkEnd w:id="639"/>
    </w:p>
    <w:p w14:paraId="112F3A3E">
      <w:pPr>
        <w:rPr>
          <w:rFonts w:ascii="仿宋" w:hAnsi="仿宋" w:eastAsia="仿宋" w:cs="仿宋"/>
        </w:rPr>
      </w:pPr>
    </w:p>
    <w:p w14:paraId="56D5AAFB">
      <w:pPr>
        <w:jc w:val="center"/>
        <w:rPr>
          <w:rFonts w:ascii="仿宋" w:hAnsi="仿宋" w:eastAsia="仿宋" w:cs="仿宋"/>
        </w:rPr>
      </w:pPr>
    </w:p>
    <w:p w14:paraId="5E0D54BF">
      <w:pPr>
        <w:adjustRightInd w:val="0"/>
        <w:snapToGrid w:val="0"/>
        <w:spacing w:line="360" w:lineRule="auto"/>
        <w:ind w:firstLine="420" w:firstLineChars="200"/>
        <w:jc w:val="center"/>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投标人根据自身情况进行填报。</w:t>
      </w:r>
    </w:p>
    <w:p w14:paraId="4078FD00">
      <w:pPr>
        <w:pStyle w:val="40"/>
        <w:rPr>
          <w:rFonts w:ascii="仿宋" w:hAnsi="仿宋" w:eastAsia="仿宋" w:cs="仿宋"/>
          <w:color w:val="auto"/>
        </w:rPr>
      </w:pPr>
    </w:p>
    <w:p w14:paraId="7C8ECC20">
      <w:pPr>
        <w:pStyle w:val="40"/>
        <w:rPr>
          <w:rFonts w:ascii="仿宋" w:hAnsi="仿宋" w:eastAsia="仿宋" w:cs="仿宋"/>
          <w:color w:val="auto"/>
        </w:rPr>
      </w:pPr>
    </w:p>
    <w:p w14:paraId="0D39F3BF">
      <w:pPr>
        <w:pStyle w:val="40"/>
        <w:rPr>
          <w:rFonts w:ascii="仿宋" w:hAnsi="仿宋" w:eastAsia="仿宋" w:cs="仿宋"/>
          <w:color w:val="auto"/>
        </w:rPr>
      </w:pPr>
    </w:p>
    <w:p w14:paraId="03488D47">
      <w:pPr>
        <w:pStyle w:val="40"/>
        <w:rPr>
          <w:rFonts w:ascii="仿宋" w:hAnsi="仿宋" w:eastAsia="仿宋" w:cs="仿宋"/>
          <w:color w:val="auto"/>
        </w:rPr>
      </w:pPr>
    </w:p>
    <w:p w14:paraId="11609AB0">
      <w:pPr>
        <w:pStyle w:val="40"/>
        <w:rPr>
          <w:rFonts w:ascii="仿宋" w:hAnsi="仿宋" w:eastAsia="仿宋" w:cs="仿宋"/>
          <w:color w:val="auto"/>
        </w:rPr>
      </w:pPr>
    </w:p>
    <w:p w14:paraId="421B06C4">
      <w:pPr>
        <w:pStyle w:val="40"/>
        <w:rPr>
          <w:rFonts w:ascii="仿宋" w:hAnsi="仿宋" w:eastAsia="仿宋" w:cs="仿宋"/>
          <w:color w:val="auto"/>
        </w:rPr>
      </w:pPr>
    </w:p>
    <w:p w14:paraId="21DF59DB">
      <w:pPr>
        <w:pStyle w:val="40"/>
        <w:rPr>
          <w:rFonts w:ascii="仿宋" w:hAnsi="仿宋" w:eastAsia="仿宋" w:cs="仿宋"/>
          <w:color w:val="auto"/>
        </w:rPr>
      </w:pPr>
    </w:p>
    <w:p w14:paraId="767D019E">
      <w:pPr>
        <w:pStyle w:val="41"/>
        <w:rPr>
          <w:rFonts w:ascii="仿宋" w:hAnsi="仿宋" w:eastAsia="仿宋" w:cs="仿宋"/>
          <w:color w:val="auto"/>
        </w:rPr>
      </w:pPr>
    </w:p>
    <w:p w14:paraId="2923E5DB">
      <w:pPr>
        <w:pStyle w:val="41"/>
        <w:rPr>
          <w:rFonts w:ascii="仿宋" w:hAnsi="仿宋" w:eastAsia="仿宋" w:cs="仿宋"/>
          <w:color w:val="auto"/>
        </w:rPr>
      </w:pPr>
    </w:p>
    <w:p w14:paraId="61CFCA35">
      <w:pPr>
        <w:pStyle w:val="41"/>
        <w:rPr>
          <w:rFonts w:ascii="仿宋" w:hAnsi="仿宋" w:eastAsia="仿宋" w:cs="仿宋"/>
          <w:color w:val="auto"/>
        </w:rPr>
      </w:pPr>
    </w:p>
    <w:p w14:paraId="59A41FB6">
      <w:pPr>
        <w:pStyle w:val="41"/>
        <w:rPr>
          <w:rFonts w:ascii="仿宋" w:hAnsi="仿宋" w:eastAsia="仿宋" w:cs="仿宋"/>
          <w:color w:val="auto"/>
        </w:rPr>
      </w:pPr>
    </w:p>
    <w:p w14:paraId="0CC8B777">
      <w:pPr>
        <w:pStyle w:val="41"/>
        <w:rPr>
          <w:rFonts w:ascii="仿宋" w:hAnsi="仿宋" w:eastAsia="仿宋" w:cs="仿宋"/>
          <w:color w:val="auto"/>
        </w:rPr>
      </w:pPr>
    </w:p>
    <w:p w14:paraId="5DAFB18E">
      <w:pPr>
        <w:pStyle w:val="41"/>
        <w:rPr>
          <w:rFonts w:ascii="仿宋" w:hAnsi="仿宋" w:eastAsia="仿宋" w:cs="仿宋"/>
          <w:color w:val="auto"/>
        </w:rPr>
      </w:pPr>
    </w:p>
    <w:p w14:paraId="385439D2">
      <w:pPr>
        <w:pStyle w:val="41"/>
        <w:rPr>
          <w:rFonts w:ascii="仿宋" w:hAnsi="仿宋" w:eastAsia="仿宋" w:cs="仿宋"/>
          <w:color w:val="auto"/>
        </w:rPr>
      </w:pPr>
    </w:p>
    <w:p w14:paraId="17E4E9F5">
      <w:pPr>
        <w:pStyle w:val="41"/>
        <w:rPr>
          <w:rFonts w:ascii="仿宋" w:hAnsi="仿宋" w:eastAsia="仿宋" w:cs="仿宋"/>
          <w:color w:val="auto"/>
        </w:rPr>
      </w:pPr>
    </w:p>
    <w:p w14:paraId="5FE14141">
      <w:pPr>
        <w:pStyle w:val="41"/>
        <w:rPr>
          <w:rFonts w:ascii="仿宋" w:hAnsi="仿宋" w:eastAsia="仿宋" w:cs="仿宋"/>
          <w:color w:val="auto"/>
        </w:rPr>
      </w:pPr>
    </w:p>
    <w:p w14:paraId="0D2F1877">
      <w:pPr>
        <w:pStyle w:val="41"/>
        <w:rPr>
          <w:rFonts w:ascii="仿宋" w:hAnsi="仿宋" w:eastAsia="仿宋" w:cs="仿宋"/>
          <w:color w:val="auto"/>
        </w:rPr>
      </w:pPr>
    </w:p>
    <w:p w14:paraId="0795625C">
      <w:pPr>
        <w:pStyle w:val="41"/>
        <w:rPr>
          <w:rFonts w:ascii="仿宋" w:hAnsi="仿宋" w:eastAsia="仿宋" w:cs="仿宋"/>
          <w:color w:val="auto"/>
        </w:rPr>
      </w:pPr>
    </w:p>
    <w:p w14:paraId="4FD43190">
      <w:pPr>
        <w:pStyle w:val="41"/>
        <w:rPr>
          <w:rFonts w:ascii="仿宋" w:hAnsi="仿宋" w:eastAsia="仿宋" w:cs="仿宋"/>
          <w:color w:val="auto"/>
        </w:rPr>
      </w:pPr>
    </w:p>
    <w:p w14:paraId="77A1AA2D">
      <w:pPr>
        <w:pStyle w:val="41"/>
        <w:rPr>
          <w:rFonts w:ascii="仿宋" w:hAnsi="仿宋" w:eastAsia="仿宋" w:cs="仿宋"/>
          <w:color w:val="auto"/>
        </w:rPr>
      </w:pPr>
    </w:p>
    <w:p w14:paraId="4B271952">
      <w:pPr>
        <w:pStyle w:val="41"/>
        <w:rPr>
          <w:rFonts w:ascii="仿宋" w:hAnsi="仿宋" w:eastAsia="仿宋" w:cs="仿宋"/>
          <w:color w:val="auto"/>
        </w:rPr>
      </w:pPr>
    </w:p>
    <w:p w14:paraId="4988F2C4">
      <w:pP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br w:type="page"/>
      </w:r>
    </w:p>
    <w:p w14:paraId="63790B32">
      <w:pPr>
        <w:jc w:val="center"/>
        <w:rPr>
          <w:rFonts w:hint="eastAsia" w:ascii="仿宋" w:hAnsi="仿宋" w:eastAsia="仿宋"/>
          <w:b/>
          <w:bCs/>
          <w:spacing w:val="14"/>
          <w:kern w:val="0"/>
          <w:sz w:val="28"/>
          <w:szCs w:val="28"/>
          <w:lang w:val="zh-CN"/>
        </w:rPr>
      </w:pPr>
      <w:r>
        <w:rPr>
          <w:rFonts w:hint="eastAsia" w:ascii="仿宋" w:hAnsi="仿宋" w:eastAsia="仿宋"/>
          <w:b/>
          <w:bCs/>
          <w:spacing w:val="14"/>
          <w:kern w:val="0"/>
          <w:sz w:val="28"/>
          <w:szCs w:val="28"/>
          <w:lang w:val="zh-CN"/>
        </w:rPr>
        <w:t>（一）中小企业声明函（货物）</w:t>
      </w:r>
    </w:p>
    <w:p w14:paraId="66C73087">
      <w:pPr>
        <w:jc w:val="center"/>
        <w:rPr>
          <w:rFonts w:hint="eastAsia" w:ascii="仿宋" w:hAnsi="仿宋" w:eastAsia="仿宋"/>
          <w:spacing w:val="14"/>
          <w:kern w:val="0"/>
          <w:sz w:val="28"/>
          <w:szCs w:val="28"/>
          <w:lang w:val="zh-CN"/>
        </w:rPr>
      </w:pPr>
    </w:p>
    <w:p w14:paraId="4555BE6C">
      <w:pPr>
        <w:jc w:val="center"/>
        <w:rPr>
          <w:rFonts w:hint="eastAsia" w:ascii="仿宋" w:hAnsi="仿宋" w:eastAsia="仿宋"/>
          <w:spacing w:val="14"/>
          <w:kern w:val="0"/>
          <w:sz w:val="28"/>
          <w:szCs w:val="28"/>
          <w:lang w:val="zh-CN"/>
        </w:rPr>
      </w:pPr>
    </w:p>
    <w:p w14:paraId="44562595">
      <w:pPr>
        <w:ind w:firstLine="420"/>
        <w:rPr>
          <w:rFonts w:ascii="仿宋" w:hAnsi="仿宋" w:eastAsia="仿宋"/>
          <w:spacing w:val="14"/>
          <w:kern w:val="0"/>
          <w:szCs w:val="21"/>
          <w:lang w:val="zh-CN"/>
        </w:rPr>
      </w:pPr>
      <w:r>
        <w:rPr>
          <w:rFonts w:hint="eastAsia" w:ascii="仿宋" w:hAnsi="仿宋" w:eastAsia="仿宋"/>
          <w:spacing w:val="14"/>
          <w:kern w:val="0"/>
          <w:szCs w:val="21"/>
          <w:lang w:val="zh-CN"/>
        </w:rPr>
        <w:t>本公司郑重声明，根据《政府采购促进中小企业发展管理办法》（财库〔2020〕46号）的规定，本公司参加</w:t>
      </w:r>
      <w:r>
        <w:rPr>
          <w:rFonts w:hint="eastAsia" w:ascii="仿宋" w:hAnsi="仿宋" w:eastAsia="仿宋"/>
          <w:spacing w:val="14"/>
          <w:kern w:val="0"/>
          <w:szCs w:val="21"/>
          <w:u w:val="single"/>
          <w:lang w:val="zh-CN"/>
        </w:rPr>
        <w:t>（单位名称）</w:t>
      </w:r>
      <w:r>
        <w:rPr>
          <w:rFonts w:hint="eastAsia" w:ascii="仿宋" w:hAnsi="仿宋" w:eastAsia="仿宋"/>
          <w:spacing w:val="14"/>
          <w:kern w:val="0"/>
          <w:szCs w:val="21"/>
          <w:lang w:val="zh-CN"/>
        </w:rPr>
        <w:t>的</w:t>
      </w:r>
      <w:r>
        <w:rPr>
          <w:rFonts w:hint="eastAsia" w:ascii="仿宋" w:hAnsi="仿宋" w:eastAsia="仿宋"/>
          <w:spacing w:val="14"/>
          <w:kern w:val="0"/>
          <w:szCs w:val="21"/>
          <w:u w:val="single"/>
          <w:lang w:val="zh-CN"/>
        </w:rPr>
        <w:t>（项目名称）</w:t>
      </w:r>
      <w:r>
        <w:rPr>
          <w:rFonts w:hint="eastAsia" w:ascii="仿宋" w:hAnsi="仿宋" w:eastAsia="仿宋"/>
          <w:spacing w:val="14"/>
          <w:kern w:val="0"/>
          <w:szCs w:val="21"/>
          <w:lang w:val="zh-CN"/>
        </w:rPr>
        <w:t>采购活动。提供的货物全部由符合政策要求的中小企业制造。相关企业的具体情况如下：</w:t>
      </w:r>
    </w:p>
    <w:p w14:paraId="4F3BA97A">
      <w:pPr>
        <w:numPr>
          <w:ilvl w:val="0"/>
          <w:numId w:val="0"/>
        </w:numPr>
        <w:ind w:left="0" w:firstLine="476" w:firstLineChars="200"/>
        <w:rPr>
          <w:rFonts w:hint="eastAsia" w:ascii="仿宋" w:hAnsi="仿宋" w:eastAsia="仿宋"/>
          <w:spacing w:val="14"/>
          <w:kern w:val="0"/>
          <w:szCs w:val="21"/>
          <w:lang w:val="zh-CN"/>
        </w:rPr>
      </w:pPr>
      <w:r>
        <w:rPr>
          <w:rFonts w:hint="eastAsia" w:ascii="仿宋" w:hAnsi="仿宋" w:eastAsia="仿宋"/>
          <w:spacing w:val="14"/>
          <w:kern w:val="0"/>
          <w:szCs w:val="21"/>
          <w:u w:val="single"/>
        </w:rPr>
        <w:t>1、</w:t>
      </w:r>
      <w:r>
        <w:rPr>
          <w:rFonts w:hint="eastAsia" w:ascii="仿宋" w:hAnsi="仿宋" w:eastAsia="仿宋"/>
          <w:spacing w:val="14"/>
          <w:kern w:val="0"/>
          <w:szCs w:val="21"/>
          <w:u w:val="single"/>
          <w:lang w:val="zh-CN"/>
        </w:rPr>
        <w:t>（标的名称）</w:t>
      </w:r>
      <w:r>
        <w:rPr>
          <w:rFonts w:hint="eastAsia" w:ascii="仿宋" w:hAnsi="仿宋" w:eastAsia="仿宋"/>
          <w:spacing w:val="14"/>
          <w:kern w:val="0"/>
          <w:szCs w:val="21"/>
          <w:lang w:val="zh-CN"/>
        </w:rPr>
        <w:t>，属于</w:t>
      </w:r>
      <w:r>
        <w:rPr>
          <w:rFonts w:hint="eastAsia" w:ascii="仿宋" w:hAnsi="仿宋" w:eastAsia="仿宋"/>
          <w:spacing w:val="14"/>
          <w:kern w:val="0"/>
          <w:szCs w:val="21"/>
          <w:u w:val="single"/>
          <w:lang w:val="zh-CN"/>
        </w:rPr>
        <w:t>（采购文件中明确的所属行业）行业</w:t>
      </w:r>
      <w:r>
        <w:rPr>
          <w:rFonts w:hint="eastAsia" w:ascii="仿宋" w:hAnsi="仿宋" w:eastAsia="仿宋"/>
          <w:spacing w:val="14"/>
          <w:kern w:val="0"/>
          <w:szCs w:val="21"/>
          <w:lang w:val="zh-CN"/>
        </w:rPr>
        <w:t>：制造商为</w:t>
      </w:r>
      <w:r>
        <w:rPr>
          <w:rFonts w:hint="eastAsia" w:ascii="仿宋" w:hAnsi="仿宋" w:eastAsia="仿宋"/>
          <w:spacing w:val="14"/>
          <w:kern w:val="0"/>
          <w:szCs w:val="21"/>
          <w:u w:val="single"/>
          <w:lang w:val="zh-CN"/>
        </w:rPr>
        <w:t>（企业名称）</w:t>
      </w:r>
      <w:r>
        <w:rPr>
          <w:rFonts w:hint="eastAsia" w:ascii="仿宋" w:hAnsi="仿宋" w:eastAsia="仿宋"/>
          <w:spacing w:val="14"/>
          <w:kern w:val="0"/>
          <w:szCs w:val="21"/>
          <w:lang w:val="zh-CN"/>
        </w:rPr>
        <w:t>，从业人员</w:t>
      </w:r>
      <w:r>
        <w:rPr>
          <w:rFonts w:hint="eastAsia" w:ascii="仿宋" w:hAnsi="仿宋" w:eastAsia="仿宋"/>
          <w:spacing w:val="14"/>
          <w:kern w:val="0"/>
          <w:szCs w:val="21"/>
          <w:u w:val="single"/>
          <w:lang w:val="zh-CN"/>
        </w:rPr>
        <w:t xml:space="preserve">      人</w:t>
      </w:r>
      <w:r>
        <w:rPr>
          <w:rFonts w:hint="eastAsia" w:ascii="仿宋" w:hAnsi="仿宋" w:eastAsia="仿宋"/>
          <w:spacing w:val="14"/>
          <w:kern w:val="0"/>
          <w:szCs w:val="21"/>
          <w:lang w:val="zh-CN"/>
        </w:rPr>
        <w:t>，营业收入为</w:t>
      </w:r>
      <w:r>
        <w:rPr>
          <w:rFonts w:hint="eastAsia" w:ascii="仿宋" w:hAnsi="仿宋" w:eastAsia="仿宋"/>
          <w:spacing w:val="14"/>
          <w:kern w:val="0"/>
          <w:szCs w:val="21"/>
          <w:u w:val="single"/>
          <w:lang w:val="zh-CN"/>
        </w:rPr>
        <w:t xml:space="preserve">    </w:t>
      </w:r>
      <w:r>
        <w:rPr>
          <w:rFonts w:hint="eastAsia" w:ascii="仿宋" w:hAnsi="仿宋" w:eastAsia="仿宋"/>
          <w:spacing w:val="14"/>
          <w:kern w:val="0"/>
          <w:szCs w:val="21"/>
          <w:lang w:val="zh-CN"/>
        </w:rPr>
        <w:t>万元，资产总额为</w:t>
      </w:r>
      <w:r>
        <w:rPr>
          <w:rFonts w:hint="eastAsia" w:ascii="仿宋" w:hAnsi="仿宋" w:eastAsia="仿宋"/>
          <w:spacing w:val="14"/>
          <w:kern w:val="0"/>
          <w:szCs w:val="21"/>
          <w:u w:val="single"/>
          <w:lang w:val="zh-CN"/>
        </w:rPr>
        <w:t xml:space="preserve">    </w:t>
      </w:r>
      <w:r>
        <w:rPr>
          <w:rFonts w:hint="eastAsia" w:ascii="仿宋" w:hAnsi="仿宋" w:eastAsia="仿宋"/>
          <w:spacing w:val="14"/>
          <w:kern w:val="0"/>
          <w:szCs w:val="21"/>
          <w:lang w:val="zh-CN"/>
        </w:rPr>
        <w:t>万元</w:t>
      </w:r>
      <w:r>
        <w:rPr>
          <w:rFonts w:hint="eastAsia" w:ascii="仿宋" w:hAnsi="仿宋" w:eastAsia="仿宋"/>
          <w:spacing w:val="14"/>
          <w:kern w:val="0"/>
          <w:szCs w:val="21"/>
        </w:rPr>
        <w:t>:</w:t>
      </w:r>
      <w:r>
        <w:rPr>
          <w:rFonts w:hint="eastAsia" w:ascii="仿宋" w:hAnsi="仿宋" w:eastAsia="仿宋"/>
          <w:spacing w:val="14"/>
          <w:kern w:val="0"/>
          <w:szCs w:val="21"/>
          <w:lang w:val="zh-CN"/>
        </w:rPr>
        <w:t>，属于</w:t>
      </w:r>
      <w:r>
        <w:rPr>
          <w:rFonts w:hint="eastAsia" w:ascii="仿宋" w:hAnsi="仿宋" w:eastAsia="仿宋"/>
          <w:spacing w:val="14"/>
          <w:kern w:val="0"/>
          <w:szCs w:val="21"/>
          <w:u w:val="single"/>
          <w:lang w:val="zh-CN"/>
        </w:rPr>
        <w:t>（中型企业、小型企业、微型企业）</w:t>
      </w:r>
      <w:r>
        <w:rPr>
          <w:rFonts w:hint="eastAsia" w:ascii="仿宋" w:hAnsi="仿宋" w:eastAsia="仿宋"/>
          <w:spacing w:val="14"/>
          <w:kern w:val="0"/>
          <w:szCs w:val="21"/>
          <w:lang w:val="zh-CN"/>
        </w:rPr>
        <w:t>；</w:t>
      </w:r>
    </w:p>
    <w:p w14:paraId="2C6B9F87">
      <w:pPr>
        <w:ind w:firstLine="420"/>
        <w:rPr>
          <w:rFonts w:ascii="仿宋" w:hAnsi="仿宋" w:eastAsia="仿宋"/>
          <w:spacing w:val="14"/>
          <w:kern w:val="0"/>
          <w:szCs w:val="21"/>
          <w:u w:val="single"/>
          <w:lang w:val="zh-CN"/>
        </w:rPr>
      </w:pPr>
      <w:r>
        <w:rPr>
          <w:rFonts w:hint="eastAsia" w:ascii="仿宋" w:hAnsi="仿宋" w:eastAsia="仿宋"/>
          <w:spacing w:val="14"/>
          <w:kern w:val="0"/>
          <w:szCs w:val="21"/>
          <w:u w:val="single"/>
        </w:rPr>
        <w:t>2、</w:t>
      </w:r>
      <w:r>
        <w:rPr>
          <w:rFonts w:hint="eastAsia" w:ascii="仿宋" w:hAnsi="仿宋" w:eastAsia="仿宋"/>
          <w:spacing w:val="14"/>
          <w:kern w:val="0"/>
          <w:szCs w:val="21"/>
          <w:u w:val="single"/>
          <w:lang w:val="zh-CN"/>
        </w:rPr>
        <w:t>（标的名称）</w:t>
      </w:r>
      <w:r>
        <w:rPr>
          <w:rFonts w:hint="eastAsia" w:ascii="仿宋" w:hAnsi="仿宋" w:eastAsia="仿宋"/>
          <w:spacing w:val="14"/>
          <w:kern w:val="0"/>
          <w:szCs w:val="21"/>
          <w:lang w:val="zh-CN"/>
        </w:rPr>
        <w:t>，属于</w:t>
      </w:r>
      <w:r>
        <w:rPr>
          <w:rFonts w:hint="eastAsia" w:ascii="仿宋" w:hAnsi="仿宋" w:eastAsia="仿宋"/>
          <w:spacing w:val="14"/>
          <w:kern w:val="0"/>
          <w:szCs w:val="21"/>
          <w:u w:val="single"/>
          <w:lang w:val="zh-CN"/>
        </w:rPr>
        <w:t>（采购文件中明确的所属行业）行业</w:t>
      </w:r>
      <w:r>
        <w:rPr>
          <w:rFonts w:hint="eastAsia" w:ascii="仿宋" w:hAnsi="仿宋" w:eastAsia="仿宋"/>
          <w:spacing w:val="14"/>
          <w:kern w:val="0"/>
          <w:szCs w:val="21"/>
          <w:lang w:val="zh-CN"/>
        </w:rPr>
        <w:t>：制造商为</w:t>
      </w:r>
      <w:r>
        <w:rPr>
          <w:rFonts w:hint="eastAsia" w:ascii="仿宋" w:hAnsi="仿宋" w:eastAsia="仿宋"/>
          <w:spacing w:val="14"/>
          <w:kern w:val="0"/>
          <w:szCs w:val="21"/>
          <w:u w:val="single"/>
          <w:lang w:val="zh-CN"/>
        </w:rPr>
        <w:t>（企业名称）</w:t>
      </w:r>
      <w:r>
        <w:rPr>
          <w:rFonts w:hint="eastAsia" w:ascii="仿宋" w:hAnsi="仿宋" w:eastAsia="仿宋"/>
          <w:spacing w:val="14"/>
          <w:kern w:val="0"/>
          <w:szCs w:val="21"/>
          <w:lang w:val="zh-CN"/>
        </w:rPr>
        <w:t>，从业人员</w:t>
      </w:r>
      <w:r>
        <w:rPr>
          <w:rFonts w:hint="eastAsia" w:ascii="仿宋" w:hAnsi="仿宋" w:eastAsia="仿宋"/>
          <w:spacing w:val="14"/>
          <w:kern w:val="0"/>
          <w:szCs w:val="21"/>
          <w:u w:val="single"/>
          <w:lang w:val="zh-CN"/>
        </w:rPr>
        <w:t xml:space="preserve">      人</w:t>
      </w:r>
      <w:r>
        <w:rPr>
          <w:rFonts w:hint="eastAsia" w:ascii="仿宋" w:hAnsi="仿宋" w:eastAsia="仿宋"/>
          <w:spacing w:val="14"/>
          <w:kern w:val="0"/>
          <w:szCs w:val="21"/>
          <w:lang w:val="zh-CN"/>
        </w:rPr>
        <w:t>，营业收入为</w:t>
      </w:r>
      <w:r>
        <w:rPr>
          <w:rFonts w:hint="eastAsia" w:ascii="仿宋" w:hAnsi="仿宋" w:eastAsia="仿宋"/>
          <w:spacing w:val="14"/>
          <w:kern w:val="0"/>
          <w:szCs w:val="21"/>
          <w:u w:val="single"/>
          <w:lang w:val="zh-CN"/>
        </w:rPr>
        <w:t xml:space="preserve">    </w:t>
      </w:r>
      <w:r>
        <w:rPr>
          <w:rFonts w:hint="eastAsia" w:ascii="仿宋" w:hAnsi="仿宋" w:eastAsia="仿宋"/>
          <w:spacing w:val="14"/>
          <w:kern w:val="0"/>
          <w:szCs w:val="21"/>
          <w:lang w:val="zh-CN"/>
        </w:rPr>
        <w:t>万元，资产总额为</w:t>
      </w:r>
      <w:r>
        <w:rPr>
          <w:rFonts w:hint="eastAsia" w:ascii="仿宋" w:hAnsi="仿宋" w:eastAsia="仿宋"/>
          <w:spacing w:val="14"/>
          <w:kern w:val="0"/>
          <w:szCs w:val="21"/>
          <w:u w:val="single"/>
          <w:lang w:val="zh-CN"/>
        </w:rPr>
        <w:t xml:space="preserve">    </w:t>
      </w:r>
      <w:r>
        <w:rPr>
          <w:rFonts w:hint="eastAsia" w:ascii="仿宋" w:hAnsi="仿宋" w:eastAsia="仿宋"/>
          <w:spacing w:val="14"/>
          <w:kern w:val="0"/>
          <w:szCs w:val="21"/>
          <w:lang w:val="zh-CN"/>
        </w:rPr>
        <w:t>万元</w:t>
      </w:r>
      <w:r>
        <w:rPr>
          <w:rFonts w:hint="eastAsia" w:ascii="仿宋" w:hAnsi="仿宋" w:eastAsia="仿宋"/>
          <w:spacing w:val="14"/>
          <w:kern w:val="0"/>
          <w:szCs w:val="21"/>
        </w:rPr>
        <w:t>:</w:t>
      </w:r>
      <w:r>
        <w:rPr>
          <w:rFonts w:hint="eastAsia" w:ascii="仿宋" w:hAnsi="仿宋" w:eastAsia="仿宋"/>
          <w:spacing w:val="14"/>
          <w:kern w:val="0"/>
          <w:szCs w:val="21"/>
          <w:lang w:val="zh-CN"/>
        </w:rPr>
        <w:t>，属于</w:t>
      </w:r>
      <w:r>
        <w:rPr>
          <w:rFonts w:hint="eastAsia" w:ascii="仿宋" w:hAnsi="仿宋" w:eastAsia="仿宋"/>
          <w:spacing w:val="14"/>
          <w:kern w:val="0"/>
          <w:szCs w:val="21"/>
          <w:u w:val="single"/>
          <w:lang w:val="zh-CN"/>
        </w:rPr>
        <w:t>（中型企业、小型企业、微型企业）</w:t>
      </w:r>
      <w:r>
        <w:rPr>
          <w:rFonts w:hint="eastAsia" w:ascii="仿宋" w:hAnsi="仿宋" w:eastAsia="仿宋"/>
          <w:spacing w:val="14"/>
          <w:kern w:val="0"/>
          <w:szCs w:val="21"/>
          <w:lang w:val="zh-CN"/>
        </w:rPr>
        <w:t>；</w:t>
      </w:r>
    </w:p>
    <w:p w14:paraId="6D50F1D1">
      <w:pPr>
        <w:ind w:firstLine="420"/>
        <w:rPr>
          <w:rFonts w:ascii="仿宋" w:hAnsi="仿宋" w:eastAsia="仿宋"/>
          <w:spacing w:val="14"/>
          <w:kern w:val="0"/>
          <w:szCs w:val="21"/>
          <w:u w:val="single"/>
          <w:lang w:val="zh-CN"/>
        </w:rPr>
      </w:pPr>
      <w:r>
        <w:rPr>
          <w:rFonts w:hint="eastAsia" w:ascii="仿宋" w:hAnsi="仿宋" w:eastAsia="仿宋"/>
          <w:spacing w:val="14"/>
          <w:kern w:val="0"/>
          <w:szCs w:val="21"/>
          <w:u w:val="single"/>
        </w:rPr>
        <w:t>3、</w:t>
      </w:r>
      <w:r>
        <w:rPr>
          <w:rFonts w:hint="eastAsia" w:ascii="仿宋" w:hAnsi="仿宋" w:eastAsia="仿宋"/>
          <w:spacing w:val="14"/>
          <w:kern w:val="0"/>
          <w:szCs w:val="21"/>
          <w:u w:val="single"/>
          <w:lang w:val="zh-CN"/>
        </w:rPr>
        <w:t>（标的名称）</w:t>
      </w:r>
      <w:r>
        <w:rPr>
          <w:rFonts w:hint="eastAsia" w:ascii="仿宋" w:hAnsi="仿宋" w:eastAsia="仿宋"/>
          <w:spacing w:val="14"/>
          <w:kern w:val="0"/>
          <w:szCs w:val="21"/>
          <w:lang w:val="zh-CN"/>
        </w:rPr>
        <w:t>，属于</w:t>
      </w:r>
      <w:r>
        <w:rPr>
          <w:rFonts w:hint="eastAsia" w:ascii="仿宋" w:hAnsi="仿宋" w:eastAsia="仿宋"/>
          <w:spacing w:val="14"/>
          <w:kern w:val="0"/>
          <w:szCs w:val="21"/>
          <w:u w:val="single"/>
          <w:lang w:val="zh-CN"/>
        </w:rPr>
        <w:t>（采购文件中明确的所属行业）行业</w:t>
      </w:r>
      <w:r>
        <w:rPr>
          <w:rFonts w:hint="eastAsia" w:ascii="仿宋" w:hAnsi="仿宋" w:eastAsia="仿宋"/>
          <w:spacing w:val="14"/>
          <w:kern w:val="0"/>
          <w:szCs w:val="21"/>
          <w:lang w:val="zh-CN"/>
        </w:rPr>
        <w:t>：制造商为</w:t>
      </w:r>
      <w:r>
        <w:rPr>
          <w:rFonts w:hint="eastAsia" w:ascii="仿宋" w:hAnsi="仿宋" w:eastAsia="仿宋"/>
          <w:spacing w:val="14"/>
          <w:kern w:val="0"/>
          <w:szCs w:val="21"/>
          <w:u w:val="single"/>
          <w:lang w:val="zh-CN"/>
        </w:rPr>
        <w:t>（企业名称）</w:t>
      </w:r>
      <w:r>
        <w:rPr>
          <w:rFonts w:hint="eastAsia" w:ascii="仿宋" w:hAnsi="仿宋" w:eastAsia="仿宋"/>
          <w:spacing w:val="14"/>
          <w:kern w:val="0"/>
          <w:szCs w:val="21"/>
          <w:lang w:val="zh-CN"/>
        </w:rPr>
        <w:t>，从业人员</w:t>
      </w:r>
      <w:r>
        <w:rPr>
          <w:rFonts w:hint="eastAsia" w:ascii="仿宋" w:hAnsi="仿宋" w:eastAsia="仿宋"/>
          <w:spacing w:val="14"/>
          <w:kern w:val="0"/>
          <w:szCs w:val="21"/>
          <w:u w:val="single"/>
          <w:lang w:val="zh-CN"/>
        </w:rPr>
        <w:t xml:space="preserve">      人</w:t>
      </w:r>
      <w:r>
        <w:rPr>
          <w:rFonts w:hint="eastAsia" w:ascii="仿宋" w:hAnsi="仿宋" w:eastAsia="仿宋"/>
          <w:spacing w:val="14"/>
          <w:kern w:val="0"/>
          <w:szCs w:val="21"/>
          <w:lang w:val="zh-CN"/>
        </w:rPr>
        <w:t>，营业收入为</w:t>
      </w:r>
      <w:r>
        <w:rPr>
          <w:rFonts w:hint="eastAsia" w:ascii="仿宋" w:hAnsi="仿宋" w:eastAsia="仿宋"/>
          <w:spacing w:val="14"/>
          <w:kern w:val="0"/>
          <w:szCs w:val="21"/>
          <w:u w:val="single"/>
          <w:lang w:val="zh-CN"/>
        </w:rPr>
        <w:t xml:space="preserve">    </w:t>
      </w:r>
      <w:r>
        <w:rPr>
          <w:rFonts w:hint="eastAsia" w:ascii="仿宋" w:hAnsi="仿宋" w:eastAsia="仿宋"/>
          <w:spacing w:val="14"/>
          <w:kern w:val="0"/>
          <w:szCs w:val="21"/>
          <w:lang w:val="zh-CN"/>
        </w:rPr>
        <w:t>万元，资产总额为</w:t>
      </w:r>
      <w:r>
        <w:rPr>
          <w:rFonts w:hint="eastAsia" w:ascii="仿宋" w:hAnsi="仿宋" w:eastAsia="仿宋"/>
          <w:spacing w:val="14"/>
          <w:kern w:val="0"/>
          <w:szCs w:val="21"/>
          <w:u w:val="single"/>
          <w:lang w:val="zh-CN"/>
        </w:rPr>
        <w:t xml:space="preserve">    </w:t>
      </w:r>
      <w:r>
        <w:rPr>
          <w:rFonts w:hint="eastAsia" w:ascii="仿宋" w:hAnsi="仿宋" w:eastAsia="仿宋"/>
          <w:spacing w:val="14"/>
          <w:kern w:val="0"/>
          <w:szCs w:val="21"/>
          <w:lang w:val="zh-CN"/>
        </w:rPr>
        <w:t>万元</w:t>
      </w:r>
      <w:r>
        <w:rPr>
          <w:rFonts w:hint="eastAsia" w:ascii="仿宋" w:hAnsi="仿宋" w:eastAsia="仿宋"/>
          <w:spacing w:val="14"/>
          <w:kern w:val="0"/>
          <w:szCs w:val="21"/>
        </w:rPr>
        <w:t>:</w:t>
      </w:r>
      <w:r>
        <w:rPr>
          <w:rFonts w:hint="eastAsia" w:ascii="仿宋" w:hAnsi="仿宋" w:eastAsia="仿宋"/>
          <w:spacing w:val="14"/>
          <w:kern w:val="0"/>
          <w:szCs w:val="21"/>
          <w:lang w:val="zh-CN"/>
        </w:rPr>
        <w:t>，属于</w:t>
      </w:r>
      <w:r>
        <w:rPr>
          <w:rFonts w:hint="eastAsia" w:ascii="仿宋" w:hAnsi="仿宋" w:eastAsia="仿宋"/>
          <w:spacing w:val="14"/>
          <w:kern w:val="0"/>
          <w:szCs w:val="21"/>
          <w:u w:val="single"/>
          <w:lang w:val="zh-CN"/>
        </w:rPr>
        <w:t>（中型企业、小型企业、微型企业）</w:t>
      </w:r>
      <w:r>
        <w:rPr>
          <w:rFonts w:hint="eastAsia" w:ascii="仿宋" w:hAnsi="仿宋" w:eastAsia="仿宋"/>
          <w:spacing w:val="14"/>
          <w:kern w:val="0"/>
          <w:szCs w:val="21"/>
          <w:lang w:val="zh-CN"/>
        </w:rPr>
        <w:t>；</w:t>
      </w:r>
    </w:p>
    <w:p w14:paraId="15C3D78D">
      <w:pPr>
        <w:ind w:firstLine="420"/>
        <w:rPr>
          <w:rFonts w:hint="eastAsia" w:ascii="仿宋" w:hAnsi="仿宋" w:eastAsia="仿宋"/>
          <w:spacing w:val="14"/>
          <w:kern w:val="0"/>
          <w:szCs w:val="21"/>
          <w:lang w:val="zh-CN"/>
        </w:rPr>
      </w:pPr>
      <w:r>
        <w:rPr>
          <w:rFonts w:hint="eastAsia" w:ascii="仿宋" w:hAnsi="仿宋" w:eastAsia="仿宋"/>
          <w:spacing w:val="14"/>
          <w:kern w:val="0"/>
          <w:szCs w:val="21"/>
          <w:u w:val="single"/>
        </w:rPr>
        <w:t>4、</w:t>
      </w:r>
      <w:r>
        <w:rPr>
          <w:rFonts w:hint="eastAsia" w:ascii="仿宋" w:hAnsi="仿宋" w:eastAsia="仿宋"/>
          <w:spacing w:val="14"/>
          <w:kern w:val="0"/>
          <w:szCs w:val="21"/>
          <w:u w:val="single"/>
          <w:lang w:val="zh-CN"/>
        </w:rPr>
        <w:t>（标的名称）</w:t>
      </w:r>
      <w:r>
        <w:rPr>
          <w:rFonts w:hint="eastAsia" w:ascii="仿宋" w:hAnsi="仿宋" w:eastAsia="仿宋"/>
          <w:spacing w:val="14"/>
          <w:kern w:val="0"/>
          <w:szCs w:val="21"/>
          <w:lang w:val="zh-CN"/>
        </w:rPr>
        <w:t>，属于</w:t>
      </w:r>
      <w:r>
        <w:rPr>
          <w:rFonts w:hint="eastAsia" w:ascii="仿宋" w:hAnsi="仿宋" w:eastAsia="仿宋"/>
          <w:spacing w:val="14"/>
          <w:kern w:val="0"/>
          <w:szCs w:val="21"/>
          <w:u w:val="single"/>
          <w:lang w:val="zh-CN"/>
        </w:rPr>
        <w:t>（采购文件中明确的所属行业）行业</w:t>
      </w:r>
      <w:r>
        <w:rPr>
          <w:rFonts w:hint="eastAsia" w:ascii="仿宋" w:hAnsi="仿宋" w:eastAsia="仿宋"/>
          <w:spacing w:val="14"/>
          <w:kern w:val="0"/>
          <w:szCs w:val="21"/>
          <w:lang w:val="zh-CN"/>
        </w:rPr>
        <w:t>：制造商为</w:t>
      </w:r>
      <w:r>
        <w:rPr>
          <w:rFonts w:hint="eastAsia" w:ascii="仿宋" w:hAnsi="仿宋" w:eastAsia="仿宋"/>
          <w:spacing w:val="14"/>
          <w:kern w:val="0"/>
          <w:szCs w:val="21"/>
          <w:u w:val="single"/>
          <w:lang w:val="zh-CN"/>
        </w:rPr>
        <w:t>（企业名称）</w:t>
      </w:r>
      <w:r>
        <w:rPr>
          <w:rFonts w:hint="eastAsia" w:ascii="仿宋" w:hAnsi="仿宋" w:eastAsia="仿宋"/>
          <w:spacing w:val="14"/>
          <w:kern w:val="0"/>
          <w:szCs w:val="21"/>
          <w:lang w:val="zh-CN"/>
        </w:rPr>
        <w:t>，从业人员</w:t>
      </w:r>
      <w:r>
        <w:rPr>
          <w:rFonts w:hint="eastAsia" w:ascii="仿宋" w:hAnsi="仿宋" w:eastAsia="仿宋"/>
          <w:spacing w:val="14"/>
          <w:kern w:val="0"/>
          <w:szCs w:val="21"/>
          <w:u w:val="single"/>
          <w:lang w:val="zh-CN"/>
        </w:rPr>
        <w:t xml:space="preserve">      人</w:t>
      </w:r>
      <w:r>
        <w:rPr>
          <w:rFonts w:hint="eastAsia" w:ascii="仿宋" w:hAnsi="仿宋" w:eastAsia="仿宋"/>
          <w:spacing w:val="14"/>
          <w:kern w:val="0"/>
          <w:szCs w:val="21"/>
          <w:lang w:val="zh-CN"/>
        </w:rPr>
        <w:t>，营业收入为</w:t>
      </w:r>
      <w:r>
        <w:rPr>
          <w:rFonts w:hint="eastAsia" w:ascii="仿宋" w:hAnsi="仿宋" w:eastAsia="仿宋"/>
          <w:spacing w:val="14"/>
          <w:kern w:val="0"/>
          <w:szCs w:val="21"/>
          <w:u w:val="single"/>
          <w:lang w:val="zh-CN"/>
        </w:rPr>
        <w:t xml:space="preserve">    </w:t>
      </w:r>
      <w:r>
        <w:rPr>
          <w:rFonts w:hint="eastAsia" w:ascii="仿宋" w:hAnsi="仿宋" w:eastAsia="仿宋"/>
          <w:spacing w:val="14"/>
          <w:kern w:val="0"/>
          <w:szCs w:val="21"/>
          <w:lang w:val="zh-CN"/>
        </w:rPr>
        <w:t>万元，资产总额为</w:t>
      </w:r>
      <w:r>
        <w:rPr>
          <w:rFonts w:hint="eastAsia" w:ascii="仿宋" w:hAnsi="仿宋" w:eastAsia="仿宋"/>
          <w:spacing w:val="14"/>
          <w:kern w:val="0"/>
          <w:szCs w:val="21"/>
          <w:u w:val="single"/>
          <w:lang w:val="zh-CN"/>
        </w:rPr>
        <w:t xml:space="preserve">    </w:t>
      </w:r>
      <w:r>
        <w:rPr>
          <w:rFonts w:hint="eastAsia" w:ascii="仿宋" w:hAnsi="仿宋" w:eastAsia="仿宋"/>
          <w:spacing w:val="14"/>
          <w:kern w:val="0"/>
          <w:szCs w:val="21"/>
          <w:lang w:val="zh-CN"/>
        </w:rPr>
        <w:t>万元</w:t>
      </w:r>
      <w:r>
        <w:rPr>
          <w:rFonts w:hint="eastAsia" w:ascii="仿宋" w:hAnsi="仿宋" w:eastAsia="仿宋"/>
          <w:spacing w:val="14"/>
          <w:kern w:val="0"/>
          <w:szCs w:val="21"/>
        </w:rPr>
        <w:t>:</w:t>
      </w:r>
      <w:r>
        <w:rPr>
          <w:rFonts w:hint="eastAsia" w:ascii="仿宋" w:hAnsi="仿宋" w:eastAsia="仿宋"/>
          <w:spacing w:val="14"/>
          <w:kern w:val="0"/>
          <w:szCs w:val="21"/>
          <w:lang w:val="zh-CN"/>
        </w:rPr>
        <w:t>，属于</w:t>
      </w:r>
      <w:r>
        <w:rPr>
          <w:rFonts w:hint="eastAsia" w:ascii="仿宋" w:hAnsi="仿宋" w:eastAsia="仿宋"/>
          <w:spacing w:val="14"/>
          <w:kern w:val="0"/>
          <w:szCs w:val="21"/>
          <w:u w:val="single"/>
          <w:lang w:val="zh-CN"/>
        </w:rPr>
        <w:t>（中型企业、小型企业、微型企业）</w:t>
      </w:r>
      <w:r>
        <w:rPr>
          <w:rFonts w:hint="eastAsia" w:ascii="仿宋" w:hAnsi="仿宋" w:eastAsia="仿宋"/>
          <w:spacing w:val="14"/>
          <w:kern w:val="0"/>
          <w:szCs w:val="21"/>
          <w:lang w:val="zh-CN"/>
        </w:rPr>
        <w:t>；</w:t>
      </w:r>
    </w:p>
    <w:p w14:paraId="419F749D">
      <w:pPr>
        <w:ind w:firstLine="420"/>
        <w:rPr>
          <w:rFonts w:hint="eastAsia" w:ascii="仿宋" w:hAnsi="仿宋" w:eastAsia="仿宋"/>
          <w:spacing w:val="14"/>
          <w:kern w:val="0"/>
          <w:szCs w:val="21"/>
        </w:rPr>
      </w:pPr>
      <w:r>
        <w:rPr>
          <w:rFonts w:hint="eastAsia" w:ascii="仿宋" w:hAnsi="仿宋" w:eastAsia="仿宋"/>
          <w:spacing w:val="14"/>
          <w:kern w:val="0"/>
          <w:szCs w:val="21"/>
        </w:rPr>
        <w:t>......</w:t>
      </w:r>
    </w:p>
    <w:p w14:paraId="22ED1153">
      <w:pPr>
        <w:ind w:firstLine="420"/>
        <w:rPr>
          <w:rFonts w:ascii="仿宋" w:hAnsi="仿宋" w:eastAsia="仿宋"/>
          <w:spacing w:val="14"/>
          <w:kern w:val="0"/>
          <w:szCs w:val="21"/>
          <w:lang w:val="zh-CN"/>
        </w:rPr>
      </w:pPr>
      <w:r>
        <w:rPr>
          <w:rFonts w:hint="eastAsia" w:ascii="仿宋" w:hAnsi="仿宋" w:eastAsia="仿宋"/>
          <w:spacing w:val="14"/>
          <w:kern w:val="0"/>
          <w:szCs w:val="21"/>
          <w:lang w:val="zh-CN"/>
        </w:rPr>
        <w:t>以上企业，不属于大企业的分支机构，不存在控股股东为大企业的情形，也不存在与大企业的负责人为同一人的情形。</w:t>
      </w:r>
    </w:p>
    <w:p w14:paraId="2501FC6F">
      <w:pPr>
        <w:ind w:firstLine="420"/>
        <w:rPr>
          <w:rFonts w:ascii="仿宋" w:hAnsi="仿宋" w:eastAsia="仿宋"/>
          <w:spacing w:val="14"/>
          <w:kern w:val="0"/>
          <w:szCs w:val="21"/>
          <w:lang w:val="zh-CN"/>
        </w:rPr>
      </w:pPr>
    </w:p>
    <w:p w14:paraId="0FA199A7">
      <w:pPr>
        <w:ind w:firstLine="420"/>
        <w:rPr>
          <w:rFonts w:ascii="仿宋" w:hAnsi="仿宋" w:eastAsia="仿宋"/>
          <w:spacing w:val="14"/>
          <w:kern w:val="0"/>
          <w:szCs w:val="21"/>
          <w:lang w:val="zh-CN"/>
        </w:rPr>
      </w:pPr>
      <w:r>
        <w:rPr>
          <w:rFonts w:hint="eastAsia" w:ascii="仿宋" w:hAnsi="仿宋" w:eastAsia="仿宋"/>
          <w:spacing w:val="14"/>
          <w:kern w:val="0"/>
          <w:szCs w:val="21"/>
          <w:lang w:val="zh-CN"/>
        </w:rPr>
        <w:t>本企业对上述声明内容的真实性负责。如有虚假，将依法承担相应责任。</w:t>
      </w:r>
    </w:p>
    <w:p w14:paraId="08BD6DD2">
      <w:pPr>
        <w:rPr>
          <w:rFonts w:ascii="仿宋" w:hAnsi="仿宋" w:eastAsia="仿宋"/>
          <w:spacing w:val="14"/>
          <w:kern w:val="0"/>
          <w:szCs w:val="21"/>
          <w:lang w:val="zh-CN"/>
        </w:rPr>
      </w:pPr>
    </w:p>
    <w:p w14:paraId="5E2E8C3D">
      <w:pPr>
        <w:ind w:firstLine="476" w:firstLineChars="200"/>
        <w:rPr>
          <w:rFonts w:ascii="仿宋" w:hAnsi="仿宋" w:eastAsia="仿宋"/>
          <w:spacing w:val="14"/>
          <w:szCs w:val="21"/>
          <w:lang w:val="zh-CN"/>
        </w:rPr>
      </w:pPr>
      <w:r>
        <w:rPr>
          <w:rFonts w:hint="eastAsia" w:ascii="仿宋" w:hAnsi="仿宋" w:eastAsia="仿宋"/>
          <w:spacing w:val="14"/>
          <w:szCs w:val="21"/>
          <w:lang w:val="zh-CN"/>
        </w:rPr>
        <w:t>投标人（企业电子章）：</w:t>
      </w:r>
    </w:p>
    <w:p w14:paraId="67AD3299">
      <w:pPr>
        <w:ind w:firstLine="476" w:firstLineChars="200"/>
        <w:rPr>
          <w:rFonts w:ascii="仿宋" w:hAnsi="仿宋" w:eastAsia="仿宋"/>
          <w:spacing w:val="14"/>
          <w:szCs w:val="21"/>
          <w:lang w:val="zh-CN"/>
        </w:rPr>
      </w:pPr>
      <w:r>
        <w:rPr>
          <w:rFonts w:hint="eastAsia" w:ascii="仿宋" w:hAnsi="仿宋" w:eastAsia="仿宋"/>
          <w:spacing w:val="14"/>
          <w:szCs w:val="21"/>
          <w:lang w:val="zh-CN"/>
        </w:rPr>
        <w:t>日期：</w:t>
      </w:r>
    </w:p>
    <w:p w14:paraId="1FC5AD97">
      <w:pPr>
        <w:outlineLvl w:val="9"/>
        <w:rPr>
          <w:rFonts w:hint="eastAsia" w:ascii="仿宋" w:hAnsi="仿宋" w:eastAsia="仿宋" w:cs="仿宋"/>
          <w:snapToGrid w:val="0"/>
          <w:sz w:val="24"/>
          <w:szCs w:val="24"/>
        </w:rPr>
      </w:pPr>
      <w:bookmarkStart w:id="640" w:name="_Toc256001089"/>
      <w:bookmarkStart w:id="641" w:name="_Toc16344"/>
      <w:bookmarkStart w:id="642" w:name="_Toc256000290"/>
      <w:bookmarkStart w:id="643" w:name="_Toc256000818"/>
      <w:bookmarkStart w:id="644" w:name="_Toc256000669"/>
      <w:r>
        <w:rPr>
          <w:rFonts w:hint="eastAsia" w:ascii="仿宋" w:hAnsi="仿宋" w:eastAsia="仿宋" w:cs="仿宋"/>
          <w:snapToGrid w:val="0"/>
          <w:sz w:val="24"/>
          <w:szCs w:val="24"/>
        </w:rPr>
        <w:t>注：从业人员、营业收入、资产总额填报上一年度数据，无上一年度数据的新成立企业可不填报。</w:t>
      </w:r>
      <w:bookmarkEnd w:id="640"/>
      <w:bookmarkEnd w:id="641"/>
      <w:bookmarkEnd w:id="642"/>
      <w:bookmarkEnd w:id="643"/>
      <w:bookmarkEnd w:id="644"/>
    </w:p>
    <w:tbl>
      <w:tblPr>
        <w:tblStyle w:val="33"/>
        <w:tblW w:w="9416" w:type="dxa"/>
        <w:jc w:val="center"/>
        <w:tblLayout w:type="fixed"/>
        <w:tblCellMar>
          <w:top w:w="0" w:type="dxa"/>
          <w:left w:w="108" w:type="dxa"/>
          <w:bottom w:w="0" w:type="dxa"/>
          <w:right w:w="108" w:type="dxa"/>
        </w:tblCellMar>
      </w:tblPr>
      <w:tblGrid>
        <w:gridCol w:w="2109"/>
        <w:gridCol w:w="1366"/>
        <w:gridCol w:w="707"/>
        <w:gridCol w:w="1123"/>
        <w:gridCol w:w="1698"/>
        <w:gridCol w:w="1423"/>
        <w:gridCol w:w="990"/>
      </w:tblGrid>
      <w:tr w14:paraId="6BD5C524">
        <w:trPr>
          <w:trHeight w:val="783" w:hRule="exact"/>
          <w:jc w:val="center"/>
        </w:trPr>
        <w:tc>
          <w:tcPr>
            <w:tcW w:w="2109" w:type="dxa"/>
            <w:tcBorders>
              <w:top w:val="single" w:color="auto" w:sz="4" w:space="0"/>
              <w:left w:val="nil"/>
              <w:bottom w:val="single" w:color="auto" w:sz="4" w:space="0"/>
              <w:right w:val="single" w:color="auto" w:sz="4" w:space="0"/>
            </w:tcBorders>
            <w:noWrap w:val="0"/>
            <w:vAlign w:val="center"/>
          </w:tcPr>
          <w:p w14:paraId="658EE4C2">
            <w:pPr>
              <w:widowControl/>
              <w:spacing w:line="240" w:lineRule="exact"/>
              <w:jc w:val="center"/>
              <w:rPr>
                <w:rFonts w:ascii="宋体" w:hAnsi="宋体" w:eastAsia="宋体" w:cs="宋体"/>
                <w:b/>
                <w:bCs/>
                <w:kern w:val="2"/>
                <w:sz w:val="18"/>
                <w:szCs w:val="21"/>
                <w:lang w:val="en-US" w:eastAsia="zh-CN" w:bidi="ar-SA"/>
              </w:rPr>
            </w:pPr>
            <w:r>
              <w:rPr>
                <w:rFonts w:hint="eastAsia" w:ascii="宋体" w:hAnsi="宋体" w:eastAsia="宋体" w:cs="宋体"/>
                <w:b/>
                <w:bCs/>
                <w:kern w:val="2"/>
                <w:sz w:val="18"/>
                <w:szCs w:val="21"/>
                <w:lang w:val="en-US" w:eastAsia="zh-CN" w:bidi="ar-SA"/>
              </w:rPr>
              <w:t>行业名称</w:t>
            </w:r>
          </w:p>
        </w:tc>
        <w:tc>
          <w:tcPr>
            <w:tcW w:w="1366" w:type="dxa"/>
            <w:tcBorders>
              <w:top w:val="single" w:color="auto" w:sz="4" w:space="0"/>
              <w:left w:val="nil"/>
              <w:bottom w:val="single" w:color="auto" w:sz="4" w:space="0"/>
              <w:right w:val="single" w:color="auto" w:sz="4" w:space="0"/>
            </w:tcBorders>
            <w:noWrap w:val="0"/>
            <w:vAlign w:val="center"/>
          </w:tcPr>
          <w:p w14:paraId="5EA73D09">
            <w:pPr>
              <w:widowControl/>
              <w:jc w:val="center"/>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指标名称</w:t>
            </w:r>
          </w:p>
        </w:tc>
        <w:tc>
          <w:tcPr>
            <w:tcW w:w="707" w:type="dxa"/>
            <w:tcBorders>
              <w:top w:val="single" w:color="auto" w:sz="4" w:space="0"/>
              <w:left w:val="nil"/>
              <w:bottom w:val="single" w:color="auto" w:sz="4" w:space="0"/>
              <w:right w:val="single" w:color="auto" w:sz="4" w:space="0"/>
            </w:tcBorders>
            <w:noWrap w:val="0"/>
            <w:vAlign w:val="center"/>
          </w:tcPr>
          <w:p w14:paraId="5130ABB2">
            <w:pPr>
              <w:widowControl/>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计量</w:t>
            </w:r>
          </w:p>
          <w:p w14:paraId="061DC120">
            <w:pPr>
              <w:widowControl/>
              <w:jc w:val="center"/>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单位</w:t>
            </w:r>
          </w:p>
        </w:tc>
        <w:tc>
          <w:tcPr>
            <w:tcW w:w="1123" w:type="dxa"/>
            <w:tcBorders>
              <w:top w:val="single" w:color="auto" w:sz="4" w:space="0"/>
              <w:left w:val="nil"/>
              <w:bottom w:val="single" w:color="auto" w:sz="4" w:space="0"/>
              <w:right w:val="single" w:color="auto" w:sz="4" w:space="0"/>
            </w:tcBorders>
            <w:noWrap w:val="0"/>
            <w:vAlign w:val="center"/>
          </w:tcPr>
          <w:p w14:paraId="080FB04A">
            <w:pPr>
              <w:widowControl/>
              <w:jc w:val="center"/>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大型</w:t>
            </w:r>
          </w:p>
        </w:tc>
        <w:tc>
          <w:tcPr>
            <w:tcW w:w="1698" w:type="dxa"/>
            <w:tcBorders>
              <w:top w:val="single" w:color="auto" w:sz="4" w:space="0"/>
              <w:left w:val="nil"/>
              <w:bottom w:val="single" w:color="auto" w:sz="4" w:space="0"/>
              <w:right w:val="single" w:color="auto" w:sz="4" w:space="0"/>
            </w:tcBorders>
            <w:noWrap w:val="0"/>
            <w:vAlign w:val="center"/>
          </w:tcPr>
          <w:p w14:paraId="62EC9108">
            <w:pPr>
              <w:widowControl/>
              <w:jc w:val="center"/>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中型</w:t>
            </w:r>
          </w:p>
        </w:tc>
        <w:tc>
          <w:tcPr>
            <w:tcW w:w="1423" w:type="dxa"/>
            <w:tcBorders>
              <w:top w:val="single" w:color="auto" w:sz="4" w:space="0"/>
              <w:left w:val="nil"/>
              <w:bottom w:val="single" w:color="auto" w:sz="4" w:space="0"/>
              <w:right w:val="single" w:color="auto" w:sz="4" w:space="0"/>
            </w:tcBorders>
            <w:noWrap w:val="0"/>
            <w:vAlign w:val="center"/>
          </w:tcPr>
          <w:p w14:paraId="3789DB74">
            <w:pPr>
              <w:widowControl/>
              <w:jc w:val="center"/>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小型</w:t>
            </w:r>
          </w:p>
        </w:tc>
        <w:tc>
          <w:tcPr>
            <w:tcW w:w="990" w:type="dxa"/>
            <w:tcBorders>
              <w:top w:val="single" w:color="auto" w:sz="4" w:space="0"/>
              <w:left w:val="nil"/>
              <w:bottom w:val="single" w:color="auto" w:sz="4" w:space="0"/>
              <w:right w:val="nil"/>
            </w:tcBorders>
            <w:noWrap w:val="0"/>
            <w:vAlign w:val="center"/>
          </w:tcPr>
          <w:p w14:paraId="5A0040CB">
            <w:pPr>
              <w:widowControl/>
              <w:jc w:val="center"/>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微型</w:t>
            </w:r>
          </w:p>
        </w:tc>
      </w:tr>
      <w:tr w14:paraId="6CFC7BAD">
        <w:tblPrEx>
          <w:tblCellMar>
            <w:top w:w="0" w:type="dxa"/>
            <w:left w:w="108" w:type="dxa"/>
            <w:bottom w:w="0" w:type="dxa"/>
            <w:right w:w="108" w:type="dxa"/>
          </w:tblCellMar>
        </w:tblPrEx>
        <w:trPr>
          <w:trHeight w:val="347" w:hRule="exact"/>
          <w:jc w:val="center"/>
        </w:trPr>
        <w:tc>
          <w:tcPr>
            <w:tcW w:w="2109" w:type="dxa"/>
            <w:vMerge w:val="restart"/>
            <w:tcBorders>
              <w:top w:val="nil"/>
              <w:left w:val="nil"/>
              <w:bottom w:val="single" w:color="auto" w:sz="4" w:space="0"/>
              <w:right w:val="single" w:color="auto" w:sz="4" w:space="0"/>
            </w:tcBorders>
            <w:noWrap w:val="0"/>
            <w:vAlign w:val="center"/>
          </w:tcPr>
          <w:p w14:paraId="2387B4FA">
            <w:pPr>
              <w:widowControl/>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工业</w:t>
            </w:r>
          </w:p>
        </w:tc>
        <w:tc>
          <w:tcPr>
            <w:tcW w:w="1366" w:type="dxa"/>
            <w:tcBorders>
              <w:top w:val="nil"/>
              <w:left w:val="nil"/>
              <w:bottom w:val="nil"/>
              <w:right w:val="single" w:color="auto" w:sz="4" w:space="0"/>
            </w:tcBorders>
            <w:noWrap w:val="0"/>
            <w:vAlign w:val="center"/>
          </w:tcPr>
          <w:p w14:paraId="7AC9D3DD">
            <w:pPr>
              <w:widowControl/>
              <w:jc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从业人员(X)</w:t>
            </w:r>
          </w:p>
        </w:tc>
        <w:tc>
          <w:tcPr>
            <w:tcW w:w="707" w:type="dxa"/>
            <w:tcBorders>
              <w:top w:val="nil"/>
              <w:left w:val="nil"/>
              <w:bottom w:val="nil"/>
              <w:right w:val="single" w:color="auto" w:sz="4" w:space="0"/>
            </w:tcBorders>
            <w:noWrap w:val="0"/>
            <w:vAlign w:val="center"/>
          </w:tcPr>
          <w:p w14:paraId="787FA6FE">
            <w:pPr>
              <w:widowControl/>
              <w:jc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人</w:t>
            </w:r>
          </w:p>
        </w:tc>
        <w:tc>
          <w:tcPr>
            <w:tcW w:w="1123" w:type="dxa"/>
            <w:tcBorders>
              <w:top w:val="nil"/>
              <w:left w:val="nil"/>
              <w:bottom w:val="nil"/>
              <w:right w:val="single" w:color="auto" w:sz="4" w:space="0"/>
            </w:tcBorders>
            <w:noWrap w:val="0"/>
            <w:vAlign w:val="center"/>
          </w:tcPr>
          <w:p w14:paraId="7889D5F9">
            <w:pPr>
              <w:widowControl/>
              <w:jc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X≥1000</w:t>
            </w:r>
          </w:p>
        </w:tc>
        <w:tc>
          <w:tcPr>
            <w:tcW w:w="1698" w:type="dxa"/>
            <w:tcBorders>
              <w:top w:val="nil"/>
              <w:left w:val="nil"/>
              <w:bottom w:val="nil"/>
              <w:right w:val="single" w:color="auto" w:sz="4" w:space="0"/>
            </w:tcBorders>
            <w:noWrap w:val="0"/>
            <w:vAlign w:val="center"/>
          </w:tcPr>
          <w:p w14:paraId="32E09068">
            <w:pPr>
              <w:widowControl/>
              <w:jc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300 ≤X＜1000</w:t>
            </w:r>
          </w:p>
        </w:tc>
        <w:tc>
          <w:tcPr>
            <w:tcW w:w="1423" w:type="dxa"/>
            <w:tcBorders>
              <w:top w:val="nil"/>
              <w:left w:val="nil"/>
              <w:bottom w:val="nil"/>
              <w:right w:val="single" w:color="auto" w:sz="4" w:space="0"/>
            </w:tcBorders>
            <w:noWrap w:val="0"/>
            <w:vAlign w:val="center"/>
          </w:tcPr>
          <w:p w14:paraId="7DBD3E85">
            <w:pPr>
              <w:widowControl/>
              <w:jc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20 ≤X＜300</w:t>
            </w:r>
          </w:p>
        </w:tc>
        <w:tc>
          <w:tcPr>
            <w:tcW w:w="990" w:type="dxa"/>
            <w:tcBorders>
              <w:top w:val="nil"/>
              <w:left w:val="nil"/>
              <w:bottom w:val="nil"/>
              <w:right w:val="nil"/>
            </w:tcBorders>
            <w:noWrap w:val="0"/>
            <w:vAlign w:val="center"/>
          </w:tcPr>
          <w:p w14:paraId="25A18A5C">
            <w:pPr>
              <w:widowControl/>
              <w:jc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X＜20</w:t>
            </w:r>
          </w:p>
        </w:tc>
      </w:tr>
      <w:tr w14:paraId="5C77D119">
        <w:tblPrEx>
          <w:tblCellMar>
            <w:top w:w="0" w:type="dxa"/>
            <w:left w:w="108" w:type="dxa"/>
            <w:bottom w:w="0" w:type="dxa"/>
            <w:right w:w="108" w:type="dxa"/>
          </w:tblCellMar>
        </w:tblPrEx>
        <w:trPr>
          <w:trHeight w:val="356" w:hRule="exact"/>
          <w:jc w:val="center"/>
        </w:trPr>
        <w:tc>
          <w:tcPr>
            <w:tcW w:w="2109" w:type="dxa"/>
            <w:vMerge w:val="continue"/>
            <w:tcBorders>
              <w:top w:val="nil"/>
              <w:left w:val="nil"/>
              <w:bottom w:val="single" w:color="auto" w:sz="4" w:space="0"/>
              <w:right w:val="single" w:color="auto" w:sz="4" w:space="0"/>
            </w:tcBorders>
            <w:noWrap w:val="0"/>
            <w:vAlign w:val="center"/>
          </w:tcPr>
          <w:p w14:paraId="4D45E4C5">
            <w:pPr>
              <w:widowControl/>
              <w:jc w:val="center"/>
              <w:rPr>
                <w:rFonts w:ascii="宋体" w:hAnsi="宋体" w:eastAsia="宋体" w:cs="宋体"/>
                <w:kern w:val="2"/>
                <w:sz w:val="18"/>
                <w:szCs w:val="18"/>
                <w:lang w:val="en-US" w:eastAsia="zh-CN" w:bidi="ar-SA"/>
              </w:rPr>
            </w:pPr>
          </w:p>
        </w:tc>
        <w:tc>
          <w:tcPr>
            <w:tcW w:w="1366" w:type="dxa"/>
            <w:tcBorders>
              <w:top w:val="nil"/>
              <w:left w:val="nil"/>
              <w:bottom w:val="single" w:color="auto" w:sz="4" w:space="0"/>
              <w:right w:val="single" w:color="auto" w:sz="4" w:space="0"/>
            </w:tcBorders>
            <w:noWrap w:val="0"/>
            <w:vAlign w:val="center"/>
          </w:tcPr>
          <w:p w14:paraId="4C7D3827">
            <w:pPr>
              <w:widowControl/>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营业收入(Y)</w:t>
            </w:r>
          </w:p>
        </w:tc>
        <w:tc>
          <w:tcPr>
            <w:tcW w:w="707" w:type="dxa"/>
            <w:tcBorders>
              <w:top w:val="nil"/>
              <w:left w:val="nil"/>
              <w:bottom w:val="single" w:color="auto" w:sz="4" w:space="0"/>
              <w:right w:val="single" w:color="auto" w:sz="4" w:space="0"/>
            </w:tcBorders>
            <w:noWrap w:val="0"/>
            <w:vAlign w:val="center"/>
          </w:tcPr>
          <w:p w14:paraId="185B700B">
            <w:pPr>
              <w:widowControl/>
              <w:jc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万元</w:t>
            </w:r>
          </w:p>
        </w:tc>
        <w:tc>
          <w:tcPr>
            <w:tcW w:w="1123" w:type="dxa"/>
            <w:tcBorders>
              <w:top w:val="nil"/>
              <w:left w:val="nil"/>
              <w:bottom w:val="single" w:color="auto" w:sz="4" w:space="0"/>
              <w:right w:val="single" w:color="auto" w:sz="4" w:space="0"/>
            </w:tcBorders>
            <w:noWrap w:val="0"/>
            <w:vAlign w:val="center"/>
          </w:tcPr>
          <w:p w14:paraId="5346D493">
            <w:pPr>
              <w:widowControl/>
              <w:jc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Y≥40000</w:t>
            </w:r>
          </w:p>
        </w:tc>
        <w:tc>
          <w:tcPr>
            <w:tcW w:w="1698" w:type="dxa"/>
            <w:tcBorders>
              <w:top w:val="nil"/>
              <w:left w:val="nil"/>
              <w:bottom w:val="single" w:color="auto" w:sz="4" w:space="0"/>
              <w:right w:val="single" w:color="auto" w:sz="4" w:space="0"/>
            </w:tcBorders>
            <w:noWrap w:val="0"/>
            <w:vAlign w:val="center"/>
          </w:tcPr>
          <w:p w14:paraId="33A4E124">
            <w:pPr>
              <w:widowControl/>
              <w:jc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2000 ≤Y＜40000</w:t>
            </w:r>
          </w:p>
        </w:tc>
        <w:tc>
          <w:tcPr>
            <w:tcW w:w="1423" w:type="dxa"/>
            <w:tcBorders>
              <w:top w:val="nil"/>
              <w:left w:val="nil"/>
              <w:bottom w:val="single" w:color="auto" w:sz="4" w:space="0"/>
              <w:right w:val="single" w:color="auto" w:sz="4" w:space="0"/>
            </w:tcBorders>
            <w:noWrap w:val="0"/>
            <w:vAlign w:val="center"/>
          </w:tcPr>
          <w:p w14:paraId="6C3FD351">
            <w:pPr>
              <w:widowControl/>
              <w:jc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300 ≤Y＜2000</w:t>
            </w:r>
          </w:p>
        </w:tc>
        <w:tc>
          <w:tcPr>
            <w:tcW w:w="990" w:type="dxa"/>
            <w:tcBorders>
              <w:top w:val="nil"/>
              <w:left w:val="nil"/>
              <w:bottom w:val="single" w:color="auto" w:sz="4" w:space="0"/>
              <w:right w:val="nil"/>
            </w:tcBorders>
            <w:noWrap w:val="0"/>
            <w:vAlign w:val="center"/>
          </w:tcPr>
          <w:p w14:paraId="707F55C7">
            <w:pPr>
              <w:widowControl/>
              <w:jc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Y＜300</w:t>
            </w:r>
          </w:p>
        </w:tc>
      </w:tr>
    </w:tbl>
    <w:p w14:paraId="145ADC0A">
      <w:pPr>
        <w:jc w:val="center"/>
        <w:rPr>
          <w:rFonts w:hint="eastAsia" w:eastAsia="仿宋"/>
        </w:rPr>
      </w:pPr>
    </w:p>
    <w:p w14:paraId="2A3E5AA3">
      <w:pPr>
        <w:widowControl/>
        <w:jc w:val="left"/>
        <w:outlineLvl w:val="9"/>
        <w:rPr>
          <w:rFonts w:hint="eastAsia" w:ascii="仿宋" w:hAnsi="仿宋" w:eastAsia="仿宋" w:cs="仿宋"/>
          <w:b/>
          <w:bCs/>
          <w:snapToGrid w:val="0"/>
          <w:sz w:val="24"/>
          <w:szCs w:val="24"/>
        </w:rPr>
      </w:pPr>
      <w:r>
        <w:rPr>
          <w:rFonts w:hint="eastAsia" w:ascii="仿宋" w:hAnsi="仿宋" w:eastAsia="仿宋" w:cs="仿宋"/>
          <w:b/>
          <w:bCs/>
          <w:snapToGrid w:val="0"/>
          <w:sz w:val="24"/>
          <w:szCs w:val="24"/>
        </w:rPr>
        <w:t>备注：所投产品制造商为大型企业的不填写此表。</w:t>
      </w:r>
    </w:p>
    <w:p w14:paraId="3CA3A457">
      <w:pPr>
        <w:pStyle w:val="40"/>
        <w:rPr>
          <w:rFonts w:ascii="仿宋" w:hAnsi="仿宋" w:eastAsia="仿宋" w:cs="仿宋"/>
          <w:color w:val="auto"/>
        </w:rPr>
      </w:pPr>
    </w:p>
    <w:p w14:paraId="57066EA7">
      <w:pPr>
        <w:pStyle w:val="40"/>
        <w:rPr>
          <w:rFonts w:ascii="仿宋" w:hAnsi="仿宋" w:eastAsia="仿宋" w:cs="仿宋"/>
          <w:color w:val="auto"/>
        </w:rPr>
      </w:pPr>
    </w:p>
    <w:p w14:paraId="2CCFED23">
      <w:pPr>
        <w:pStyle w:val="40"/>
        <w:rPr>
          <w:rFonts w:ascii="仿宋" w:hAnsi="仿宋" w:eastAsia="仿宋" w:cs="仿宋"/>
          <w:color w:val="auto"/>
        </w:rPr>
      </w:pPr>
    </w:p>
    <w:p w14:paraId="3FC923D8">
      <w:pPr>
        <w:pStyle w:val="40"/>
        <w:rPr>
          <w:rFonts w:ascii="仿宋" w:hAnsi="仿宋" w:eastAsia="仿宋" w:cs="仿宋"/>
          <w:color w:val="auto"/>
        </w:rPr>
      </w:pPr>
    </w:p>
    <w:p w14:paraId="2270DDED">
      <w:pPr>
        <w:pStyle w:val="40"/>
        <w:rPr>
          <w:rFonts w:ascii="仿宋" w:hAnsi="仿宋" w:eastAsia="仿宋" w:cs="仿宋"/>
          <w:color w:val="auto"/>
        </w:rPr>
      </w:pPr>
    </w:p>
    <w:p w14:paraId="5EFE9960">
      <w:pPr>
        <w:pStyle w:val="40"/>
        <w:rPr>
          <w:rFonts w:ascii="仿宋" w:hAnsi="仿宋" w:eastAsia="仿宋" w:cs="仿宋"/>
          <w:color w:val="auto"/>
        </w:rPr>
      </w:pPr>
    </w:p>
    <w:p w14:paraId="684ECE44">
      <w:pPr>
        <w:pStyle w:val="40"/>
        <w:rPr>
          <w:rFonts w:ascii="仿宋" w:hAnsi="仿宋" w:eastAsia="仿宋" w:cs="仿宋"/>
          <w:color w:val="auto"/>
        </w:rPr>
      </w:pPr>
    </w:p>
    <w:p w14:paraId="324BF11A">
      <w:pPr>
        <w:pStyle w:val="40"/>
        <w:rPr>
          <w:rFonts w:ascii="仿宋" w:hAnsi="仿宋" w:eastAsia="仿宋" w:cs="仿宋"/>
          <w:color w:val="auto"/>
        </w:rPr>
      </w:pPr>
    </w:p>
    <w:p w14:paraId="266D4997">
      <w:pPr>
        <w:pStyle w:val="40"/>
        <w:rPr>
          <w:rFonts w:ascii="仿宋" w:hAnsi="仿宋" w:eastAsia="仿宋" w:cs="仿宋"/>
          <w:color w:val="auto"/>
        </w:rPr>
      </w:pPr>
    </w:p>
    <w:p w14:paraId="49ACE2D9">
      <w:pPr>
        <w:pStyle w:val="40"/>
        <w:rPr>
          <w:rFonts w:ascii="仿宋" w:hAnsi="仿宋" w:eastAsia="仿宋" w:cs="仿宋"/>
          <w:color w:val="auto"/>
        </w:rPr>
      </w:pPr>
    </w:p>
    <w:p w14:paraId="0AC22B36">
      <w:pPr>
        <w:pStyle w:val="40"/>
        <w:rPr>
          <w:rFonts w:ascii="仿宋" w:hAnsi="仿宋" w:eastAsia="仿宋" w:cs="仿宋"/>
          <w:color w:val="auto"/>
        </w:rPr>
      </w:pPr>
    </w:p>
    <w:p w14:paraId="5600728F">
      <w:pPr>
        <w:pStyle w:val="40"/>
        <w:rPr>
          <w:rFonts w:ascii="仿宋" w:hAnsi="仿宋" w:eastAsia="仿宋" w:cs="仿宋"/>
          <w:color w:val="auto"/>
        </w:rPr>
      </w:pPr>
    </w:p>
    <w:p w14:paraId="2546A935">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2F928DEC">
      <w:pPr>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（二）</w:t>
      </w:r>
      <w:r>
        <w:rPr>
          <w:rFonts w:hint="eastAsia" w:ascii="仿宋" w:hAnsi="仿宋" w:eastAsia="仿宋" w:cs="仿宋"/>
          <w:b/>
          <w:color w:val="auto"/>
          <w:sz w:val="28"/>
          <w:szCs w:val="28"/>
          <w:highlight w:val="none"/>
        </w:rPr>
        <w:t>残疾人福利性单位声明函</w:t>
      </w:r>
    </w:p>
    <w:p w14:paraId="351BC1C0">
      <w:pPr>
        <w:pStyle w:val="101"/>
        <w:spacing w:line="500" w:lineRule="exact"/>
        <w:jc w:val="center"/>
        <w:rPr>
          <w:rFonts w:ascii="仿宋" w:hAnsi="仿宋" w:eastAsia="仿宋"/>
          <w:color w:val="auto"/>
          <w:spacing w:val="14"/>
          <w:highlight w:val="none"/>
        </w:rPr>
      </w:pPr>
      <w:r>
        <w:rPr>
          <w:rFonts w:hint="eastAsia" w:ascii="仿宋" w:hAnsi="仿宋" w:eastAsia="仿宋"/>
          <w:color w:val="auto"/>
          <w:spacing w:val="14"/>
          <w:highlight w:val="none"/>
        </w:rPr>
        <w:t xml:space="preserve"> </w:t>
      </w:r>
    </w:p>
    <w:p w14:paraId="2B1583EF">
      <w:pPr>
        <w:pStyle w:val="101"/>
        <w:spacing w:line="500" w:lineRule="exact"/>
        <w:ind w:firstLine="420"/>
        <w:rPr>
          <w:rFonts w:ascii="仿宋" w:hAnsi="仿宋" w:eastAsia="仿宋"/>
          <w:color w:val="auto"/>
          <w:spacing w:val="14"/>
          <w:sz w:val="24"/>
          <w:szCs w:val="24"/>
          <w:highlight w:val="none"/>
        </w:rPr>
      </w:pPr>
      <w:r>
        <w:rPr>
          <w:rFonts w:hint="eastAsia" w:ascii="仿宋" w:hAnsi="仿宋" w:eastAsia="仿宋"/>
          <w:color w:val="auto"/>
          <w:spacing w:val="14"/>
          <w:sz w:val="24"/>
          <w:szCs w:val="24"/>
          <w:highlight w:val="none"/>
        </w:rPr>
        <w:t>本单位郑重声明，根据《财政部 民政部 中国残疾人联合会关于促进残疾人就业政府采购政策的通知》（财库〔2017〕 141号）的规定，本单位为</w:t>
      </w:r>
      <w:r>
        <w:rPr>
          <w:rFonts w:hint="eastAsia" w:ascii="仿宋" w:hAnsi="仿宋" w:eastAsia="仿宋"/>
          <w:color w:val="auto"/>
          <w:spacing w:val="14"/>
          <w:sz w:val="24"/>
          <w:szCs w:val="24"/>
          <w:highlight w:val="none"/>
          <w:lang w:eastAsia="zh-CN"/>
        </w:rPr>
        <w:t>（</w:t>
      </w:r>
      <w:r>
        <w:rPr>
          <w:rFonts w:hint="eastAsia" w:ascii="仿宋" w:hAnsi="仿宋" w:eastAsia="仿宋"/>
          <w:color w:val="auto"/>
          <w:spacing w:val="14"/>
          <w:sz w:val="24"/>
          <w:szCs w:val="24"/>
          <w:highlight w:val="none"/>
          <w:u w:val="single"/>
        </w:rPr>
        <w:t>符合/不符合</w:t>
      </w:r>
      <w:r>
        <w:rPr>
          <w:rFonts w:hint="eastAsia" w:ascii="仿宋" w:hAnsi="仿宋" w:eastAsia="仿宋"/>
          <w:color w:val="auto"/>
          <w:spacing w:val="14"/>
          <w:sz w:val="24"/>
          <w:szCs w:val="24"/>
          <w:highlight w:val="none"/>
        </w:rPr>
        <w:t>）条件的残疾人福利性单位，且本单位</w:t>
      </w:r>
      <w:r>
        <w:rPr>
          <w:rFonts w:hint="eastAsia" w:ascii="仿宋" w:hAnsi="仿宋" w:eastAsia="仿宋"/>
          <w:color w:val="auto"/>
          <w:spacing w:val="14"/>
          <w:sz w:val="24"/>
          <w:szCs w:val="24"/>
          <w:highlight w:val="none"/>
          <w:u w:val="single"/>
        </w:rPr>
        <w:t>参加</w:t>
      </w:r>
      <w:r>
        <w:rPr>
          <w:rFonts w:hint="eastAsia" w:ascii="仿宋" w:hAnsi="仿宋" w:eastAsia="仿宋"/>
          <w:color w:val="auto"/>
          <w:spacing w:val="14"/>
          <w:sz w:val="24"/>
          <w:szCs w:val="24"/>
          <w:highlight w:val="none"/>
          <w:u w:val="single"/>
          <w:lang w:val="en-US"/>
        </w:rPr>
        <w:t>/不参加</w:t>
      </w:r>
      <w:r>
        <w:rPr>
          <w:rFonts w:hint="eastAsia" w:ascii="仿宋" w:hAnsi="仿宋" w:eastAsia="仿宋"/>
          <w:color w:val="auto"/>
          <w:spacing w:val="14"/>
          <w:sz w:val="24"/>
          <w:szCs w:val="24"/>
          <w:highlight w:val="none"/>
        </w:rPr>
        <w:t>_</w:t>
      </w:r>
      <w:r>
        <w:rPr>
          <w:rFonts w:hint="eastAsia" w:ascii="仿宋" w:hAnsi="仿宋" w:eastAsia="仿宋"/>
          <w:color w:val="auto"/>
          <w:spacing w:val="14"/>
          <w:sz w:val="24"/>
          <w:szCs w:val="24"/>
          <w:highlight w:val="none"/>
          <w:lang w:val="en-US"/>
        </w:rPr>
        <w:t xml:space="preserve"> </w:t>
      </w:r>
      <w:r>
        <w:rPr>
          <w:rFonts w:hint="eastAsia" w:ascii="仿宋" w:hAnsi="仿宋" w:eastAsia="仿宋"/>
          <w:color w:val="auto"/>
          <w:spacing w:val="14"/>
          <w:sz w:val="24"/>
          <w:szCs w:val="24"/>
          <w:highlight w:val="none"/>
          <w:u w:val="single"/>
          <w:lang w:val="en-US"/>
        </w:rPr>
        <w:t xml:space="preserve">         </w:t>
      </w:r>
      <w:r>
        <w:rPr>
          <w:rFonts w:hint="eastAsia" w:ascii="仿宋" w:hAnsi="仿宋" w:eastAsia="仿宋"/>
          <w:color w:val="auto"/>
          <w:spacing w:val="14"/>
          <w:sz w:val="24"/>
          <w:szCs w:val="24"/>
          <w:highlight w:val="none"/>
        </w:rPr>
        <w:t>单位的</w:t>
      </w:r>
      <w:r>
        <w:rPr>
          <w:rFonts w:hint="eastAsia" w:ascii="仿宋" w:hAnsi="仿宋" w:eastAsia="仿宋"/>
          <w:color w:val="auto"/>
          <w:spacing w:val="14"/>
          <w:sz w:val="24"/>
          <w:szCs w:val="24"/>
          <w:highlight w:val="none"/>
          <w:u w:val="single"/>
          <w:lang w:val="en-US"/>
        </w:rPr>
        <w:t xml:space="preserve">        </w:t>
      </w:r>
      <w:r>
        <w:rPr>
          <w:rFonts w:hint="eastAsia" w:ascii="仿宋" w:hAnsi="仿宋" w:eastAsia="仿宋"/>
          <w:color w:val="auto"/>
          <w:spacing w:val="14"/>
          <w:sz w:val="24"/>
          <w:szCs w:val="24"/>
          <w:highlight w:val="none"/>
        </w:rPr>
        <w:t>项目采购活动提供本单位的服务。</w:t>
      </w:r>
    </w:p>
    <w:p w14:paraId="594FC509">
      <w:pPr>
        <w:pStyle w:val="101"/>
        <w:spacing w:line="500" w:lineRule="exact"/>
        <w:ind w:firstLine="420"/>
        <w:rPr>
          <w:rFonts w:ascii="仿宋" w:hAnsi="仿宋" w:eastAsia="仿宋"/>
          <w:color w:val="auto"/>
          <w:spacing w:val="14"/>
          <w:sz w:val="24"/>
          <w:szCs w:val="24"/>
          <w:highlight w:val="none"/>
        </w:rPr>
      </w:pPr>
      <w:r>
        <w:rPr>
          <w:rFonts w:hint="eastAsia" w:ascii="仿宋" w:hAnsi="仿宋" w:eastAsia="仿宋"/>
          <w:color w:val="auto"/>
          <w:spacing w:val="14"/>
          <w:sz w:val="24"/>
          <w:szCs w:val="24"/>
          <w:highlight w:val="none"/>
        </w:rPr>
        <w:t>本单位对上述声明的真实性负责。如有虚假，将依法承担相应责任。</w:t>
      </w:r>
    </w:p>
    <w:p w14:paraId="587D438F">
      <w:pPr>
        <w:pStyle w:val="101"/>
        <w:spacing w:line="500" w:lineRule="exact"/>
        <w:rPr>
          <w:rFonts w:ascii="仿宋" w:hAnsi="仿宋" w:eastAsia="仿宋"/>
          <w:color w:val="auto"/>
          <w:spacing w:val="14"/>
          <w:sz w:val="24"/>
          <w:szCs w:val="24"/>
          <w:highlight w:val="none"/>
        </w:rPr>
      </w:pPr>
      <w:r>
        <w:rPr>
          <w:rFonts w:hint="eastAsia" w:ascii="仿宋" w:hAnsi="仿宋" w:eastAsia="仿宋"/>
          <w:color w:val="auto"/>
          <w:spacing w:val="14"/>
          <w:sz w:val="24"/>
          <w:szCs w:val="24"/>
          <w:highlight w:val="none"/>
        </w:rPr>
        <w:t xml:space="preserve"> </w:t>
      </w:r>
    </w:p>
    <w:p w14:paraId="4440C4F0">
      <w:pPr>
        <w:pStyle w:val="101"/>
        <w:spacing w:line="500" w:lineRule="exact"/>
        <w:rPr>
          <w:rFonts w:ascii="仿宋" w:hAnsi="仿宋" w:eastAsia="仿宋"/>
          <w:color w:val="auto"/>
          <w:spacing w:val="14"/>
          <w:sz w:val="24"/>
          <w:szCs w:val="24"/>
          <w:highlight w:val="none"/>
        </w:rPr>
      </w:pPr>
      <w:r>
        <w:rPr>
          <w:rFonts w:hint="eastAsia" w:ascii="仿宋" w:hAnsi="仿宋" w:eastAsia="仿宋"/>
          <w:color w:val="auto"/>
          <w:spacing w:val="14"/>
          <w:sz w:val="24"/>
          <w:szCs w:val="24"/>
          <w:highlight w:val="none"/>
        </w:rPr>
        <w:t xml:space="preserve"> </w:t>
      </w:r>
    </w:p>
    <w:p w14:paraId="48B26416">
      <w:pPr>
        <w:pStyle w:val="101"/>
        <w:spacing w:line="500" w:lineRule="exact"/>
        <w:rPr>
          <w:rFonts w:ascii="仿宋" w:hAnsi="仿宋" w:eastAsia="仿宋"/>
          <w:color w:val="auto"/>
          <w:spacing w:val="14"/>
          <w:sz w:val="24"/>
          <w:szCs w:val="24"/>
          <w:highlight w:val="none"/>
        </w:rPr>
      </w:pPr>
      <w:r>
        <w:rPr>
          <w:rFonts w:hint="eastAsia" w:ascii="仿宋" w:hAnsi="仿宋" w:eastAsia="仿宋"/>
          <w:color w:val="auto"/>
          <w:spacing w:val="14"/>
          <w:sz w:val="24"/>
          <w:szCs w:val="24"/>
          <w:highlight w:val="none"/>
        </w:rPr>
        <w:t xml:space="preserve">                                   投标人（企业电子章）：</w:t>
      </w:r>
    </w:p>
    <w:p w14:paraId="71D5763F">
      <w:pPr>
        <w:outlineLvl w:val="9"/>
        <w:rPr>
          <w:rFonts w:ascii="仿宋" w:hAnsi="仿宋" w:eastAsia="仿宋" w:cs="仿宋"/>
          <w:color w:val="auto"/>
          <w:highlight w:val="none"/>
        </w:rPr>
      </w:pPr>
    </w:p>
    <w:p w14:paraId="3F408498">
      <w:pPr>
        <w:widowControl/>
        <w:rPr>
          <w:rFonts w:ascii="仿宋" w:hAnsi="仿宋" w:eastAsia="仿宋" w:cs="Calibri"/>
          <w:color w:val="auto"/>
          <w:spacing w:val="14"/>
          <w:sz w:val="28"/>
          <w:szCs w:val="28"/>
          <w:highlight w:val="none"/>
        </w:rPr>
      </w:pPr>
      <w:r>
        <w:rPr>
          <w:rFonts w:ascii="仿宋" w:hAnsi="仿宋" w:eastAsia="仿宋"/>
          <w:color w:val="auto"/>
          <w:spacing w:val="14"/>
          <w:sz w:val="28"/>
          <w:szCs w:val="28"/>
          <w:highlight w:val="none"/>
        </w:rPr>
        <w:br w:type="page"/>
      </w:r>
    </w:p>
    <w:p w14:paraId="4D586B20">
      <w:pPr>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（三）</w:t>
      </w:r>
      <w:r>
        <w:rPr>
          <w:rFonts w:hint="eastAsia" w:ascii="仿宋" w:hAnsi="仿宋" w:eastAsia="仿宋" w:cs="仿宋"/>
          <w:b/>
          <w:color w:val="auto"/>
          <w:sz w:val="28"/>
          <w:szCs w:val="28"/>
          <w:highlight w:val="none"/>
        </w:rPr>
        <w:t>监狱企业证明文件</w:t>
      </w:r>
    </w:p>
    <w:p w14:paraId="7441D4A4">
      <w:pPr>
        <w:pStyle w:val="102"/>
        <w:spacing w:line="500" w:lineRule="exact"/>
        <w:jc w:val="center"/>
        <w:rPr>
          <w:rFonts w:ascii="仿宋" w:hAnsi="仿宋" w:eastAsia="仿宋"/>
          <w:color w:val="auto"/>
          <w:spacing w:val="14"/>
          <w:highlight w:val="none"/>
        </w:rPr>
      </w:pPr>
      <w:r>
        <w:rPr>
          <w:rFonts w:hint="eastAsia" w:ascii="仿宋" w:hAnsi="仿宋" w:eastAsia="仿宋"/>
          <w:color w:val="auto"/>
          <w:spacing w:val="14"/>
          <w:highlight w:val="none"/>
        </w:rPr>
        <w:t xml:space="preserve"> </w:t>
      </w:r>
    </w:p>
    <w:p w14:paraId="6D413423">
      <w:pPr>
        <w:pStyle w:val="102"/>
        <w:spacing w:line="500" w:lineRule="exact"/>
        <w:ind w:firstLine="420"/>
        <w:rPr>
          <w:rFonts w:ascii="仿宋" w:hAnsi="仿宋" w:eastAsia="仿宋"/>
          <w:color w:val="auto"/>
          <w:spacing w:val="14"/>
          <w:sz w:val="24"/>
          <w:szCs w:val="24"/>
          <w:highlight w:val="none"/>
        </w:rPr>
      </w:pPr>
      <w:r>
        <w:rPr>
          <w:rFonts w:hint="eastAsia" w:ascii="仿宋" w:hAnsi="仿宋" w:eastAsia="仿宋"/>
          <w:color w:val="auto"/>
          <w:spacing w:val="14"/>
          <w:sz w:val="24"/>
          <w:szCs w:val="24"/>
          <w:highlight w:val="none"/>
        </w:rPr>
        <w:t>（监狱企业参加政府采购活动时，应当提供由省级以上监狱管理局、戒毒管理局(含新疆生产建设兵团)出具的属于监狱企业的证明文件。</w:t>
      </w:r>
    </w:p>
    <w:p w14:paraId="063B5AE0">
      <w:pPr>
        <w:pStyle w:val="102"/>
        <w:spacing w:line="500" w:lineRule="exact"/>
        <w:rPr>
          <w:rFonts w:ascii="仿宋" w:hAnsi="仿宋" w:eastAsia="仿宋"/>
          <w:color w:val="auto"/>
          <w:spacing w:val="14"/>
          <w:sz w:val="24"/>
          <w:szCs w:val="24"/>
          <w:highlight w:val="none"/>
        </w:rPr>
      </w:pPr>
      <w:r>
        <w:rPr>
          <w:rFonts w:hint="eastAsia" w:ascii="仿宋" w:hAnsi="仿宋" w:eastAsia="仿宋"/>
          <w:color w:val="auto"/>
          <w:spacing w:val="14"/>
          <w:sz w:val="24"/>
          <w:szCs w:val="24"/>
          <w:highlight w:val="none"/>
        </w:rPr>
        <w:t xml:space="preserve"> </w:t>
      </w:r>
    </w:p>
    <w:p w14:paraId="5F2F8ED4">
      <w:pPr>
        <w:pStyle w:val="102"/>
        <w:spacing w:line="500" w:lineRule="exact"/>
        <w:rPr>
          <w:rFonts w:ascii="仿宋" w:hAnsi="仿宋" w:eastAsia="仿宋"/>
          <w:color w:val="auto"/>
          <w:spacing w:val="14"/>
          <w:sz w:val="24"/>
          <w:szCs w:val="24"/>
          <w:highlight w:val="none"/>
        </w:rPr>
      </w:pPr>
      <w:r>
        <w:rPr>
          <w:rFonts w:hint="eastAsia" w:ascii="仿宋" w:hAnsi="仿宋" w:eastAsia="仿宋"/>
          <w:color w:val="auto"/>
          <w:spacing w:val="14"/>
          <w:sz w:val="24"/>
          <w:szCs w:val="24"/>
          <w:highlight w:val="none"/>
        </w:rPr>
        <w:t xml:space="preserve"> </w:t>
      </w:r>
    </w:p>
    <w:p w14:paraId="7178F6E7">
      <w:pPr>
        <w:pStyle w:val="40"/>
        <w:rPr>
          <w:rFonts w:ascii="仿宋" w:hAnsi="仿宋" w:eastAsia="仿宋" w:cs="仿宋"/>
          <w:color w:val="auto"/>
        </w:rPr>
      </w:pPr>
      <w:r>
        <w:rPr>
          <w:rFonts w:hint="eastAsia" w:ascii="仿宋" w:hAnsi="仿宋" w:eastAsia="仿宋"/>
          <w:color w:val="auto"/>
          <w:spacing w:val="14"/>
          <w:sz w:val="24"/>
          <w:szCs w:val="24"/>
          <w:highlight w:val="none"/>
        </w:rPr>
        <w:t>注：在投标文件中附扫描件</w:t>
      </w:r>
    </w:p>
    <w:p w14:paraId="77784F5C">
      <w:pPr>
        <w:pStyle w:val="40"/>
        <w:rPr>
          <w:rFonts w:ascii="仿宋" w:hAnsi="仿宋" w:eastAsia="仿宋" w:cs="仿宋"/>
          <w:color w:val="auto"/>
        </w:rPr>
      </w:pPr>
    </w:p>
    <w:p w14:paraId="5D8974FB">
      <w:pPr>
        <w:pStyle w:val="40"/>
        <w:rPr>
          <w:rFonts w:ascii="仿宋" w:hAnsi="仿宋" w:eastAsia="仿宋" w:cs="仿宋"/>
          <w:color w:val="auto"/>
        </w:rPr>
      </w:pPr>
    </w:p>
    <w:p w14:paraId="7D59A50F">
      <w:pPr>
        <w:pStyle w:val="40"/>
        <w:rPr>
          <w:rFonts w:ascii="仿宋" w:hAnsi="仿宋" w:eastAsia="仿宋" w:cs="仿宋"/>
          <w:color w:val="auto"/>
        </w:rPr>
      </w:pPr>
    </w:p>
    <w:p w14:paraId="731E3585">
      <w:pPr>
        <w:pStyle w:val="40"/>
        <w:rPr>
          <w:rFonts w:ascii="仿宋" w:hAnsi="仿宋" w:eastAsia="仿宋" w:cs="仿宋"/>
          <w:color w:val="auto"/>
        </w:rPr>
      </w:pPr>
    </w:p>
    <w:p w14:paraId="68F81FEE">
      <w:pPr>
        <w:pStyle w:val="40"/>
        <w:rPr>
          <w:rFonts w:ascii="仿宋" w:hAnsi="仿宋" w:eastAsia="仿宋" w:cs="仿宋"/>
          <w:color w:val="auto"/>
        </w:rPr>
      </w:pPr>
    </w:p>
    <w:p w14:paraId="11EDEDF7">
      <w:pPr>
        <w:rPr>
          <w:rFonts w:ascii="仿宋" w:hAnsi="仿宋" w:eastAsia="仿宋" w:cs="仿宋"/>
          <w:b/>
          <w:sz w:val="28"/>
        </w:rPr>
      </w:pPr>
    </w:p>
    <w:p w14:paraId="6FCEE3E9">
      <w:pPr>
        <w:rPr>
          <w:rFonts w:ascii="仿宋" w:hAnsi="仿宋" w:eastAsia="仿宋" w:cs="仿宋"/>
          <w:b/>
          <w:sz w:val="28"/>
        </w:rPr>
      </w:pPr>
      <w:r>
        <w:rPr>
          <w:rFonts w:hint="eastAsia" w:ascii="仿宋" w:hAnsi="仿宋" w:eastAsia="仿宋" w:cs="仿宋"/>
          <w:b/>
          <w:sz w:val="28"/>
        </w:rPr>
        <w:br w:type="page"/>
      </w:r>
    </w:p>
    <w:p w14:paraId="06B690FD">
      <w:pPr>
        <w:keepNext w:val="0"/>
        <w:keepLines w:val="0"/>
        <w:pageBreakBefore w:val="0"/>
        <w:numPr>
          <w:ilvl w:val="0"/>
          <w:numId w:val="0"/>
        </w:numPr>
        <w:kinsoku/>
        <w:wordWrap/>
        <w:overflowPunct/>
        <w:topLinePunct w:val="0"/>
        <w:autoSpaceDE/>
        <w:autoSpaceDN/>
        <w:bidi w:val="0"/>
        <w:adjustRightInd/>
        <w:snapToGrid/>
        <w:spacing w:line="480" w:lineRule="auto"/>
        <w:ind w:left="0" w:firstLine="0"/>
        <w:textAlignment w:val="auto"/>
        <w:outlineLvl w:val="1"/>
        <w:rPr>
          <w:rFonts w:hint="eastAsia" w:cs="黑体"/>
        </w:rPr>
      </w:pPr>
      <w:r>
        <w:rPr>
          <w:rFonts w:hint="eastAsia" w:ascii="黑体" w:hAnsi="宋体" w:eastAsia="黑体" w:cs="Times New Roman"/>
          <w:sz w:val="24"/>
          <w:szCs w:val="24"/>
        </w:rPr>
        <w:t>附件</w:t>
      </w:r>
      <w:r>
        <w:rPr>
          <w:rFonts w:hint="eastAsia" w:ascii="黑体" w:hAnsi="宋体" w:eastAsia="黑体" w:cs="Times New Roman"/>
          <w:sz w:val="24"/>
          <w:szCs w:val="24"/>
          <w:lang w:val="en-US" w:eastAsia="zh-CN"/>
        </w:rPr>
        <w:t>一</w:t>
      </w:r>
      <w:r>
        <w:rPr>
          <w:rFonts w:hint="eastAsia" w:ascii="黑体" w:hAnsi="宋体" w:eastAsia="黑体" w:cs="Times New Roman"/>
          <w:sz w:val="24"/>
          <w:szCs w:val="24"/>
        </w:rPr>
        <w:t>：</w:t>
      </w:r>
    </w:p>
    <w:p w14:paraId="2F177609">
      <w:pPr>
        <w:keepNext w:val="0"/>
        <w:keepLines w:val="0"/>
        <w:pageBreakBefore w:val="0"/>
        <w:numPr>
          <w:ilvl w:val="0"/>
          <w:numId w:val="0"/>
        </w:numPr>
        <w:kinsoku/>
        <w:wordWrap/>
        <w:overflowPunct/>
        <w:topLinePunct w:val="0"/>
        <w:autoSpaceDE/>
        <w:autoSpaceDN/>
        <w:bidi w:val="0"/>
        <w:adjustRightInd/>
        <w:snapToGrid/>
        <w:spacing w:line="480" w:lineRule="auto"/>
        <w:ind w:left="0" w:firstLine="0"/>
        <w:jc w:val="center"/>
        <w:textAlignment w:val="auto"/>
        <w:rPr>
          <w:rFonts w:hint="eastAsia" w:ascii="宋体" w:hAnsi="宋体" w:cs="宋体"/>
          <w:b/>
          <w:bCs/>
          <w:sz w:val="24"/>
          <w:szCs w:val="24"/>
        </w:rPr>
      </w:pPr>
      <w:r>
        <w:rPr>
          <w:rFonts w:hint="eastAsia" w:ascii="宋体" w:hAnsi="宋体" w:cs="宋体"/>
          <w:b/>
          <w:bCs/>
          <w:sz w:val="24"/>
          <w:szCs w:val="24"/>
        </w:rPr>
        <w:t>定标方案</w:t>
      </w:r>
    </w:p>
    <w:p w14:paraId="3D9FB86E">
      <w:pPr>
        <w:numPr>
          <w:ilvl w:val="0"/>
          <w:numId w:val="5"/>
        </w:numPr>
        <w:spacing w:after="120" w:afterLines="0"/>
        <w:ind w:left="421" w:leftChars="0" w:firstLine="0" w:firstLineChars="0"/>
        <w:rPr>
          <w:rFonts w:hint="eastAsia" w:ascii="宋体" w:hAnsi="宋体" w:cs="宋体"/>
          <w:b/>
          <w:bCs/>
          <w:szCs w:val="21"/>
        </w:rPr>
      </w:pPr>
      <w:r>
        <w:rPr>
          <w:rFonts w:hint="eastAsia" w:ascii="宋体" w:hAnsi="宋体" w:cs="宋体"/>
          <w:b/>
          <w:bCs/>
          <w:szCs w:val="21"/>
        </w:rPr>
        <w:t>定标方法</w:t>
      </w:r>
    </w:p>
    <w:p w14:paraId="2EE57C61">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outlineLvl w:val="9"/>
        <w:rPr>
          <w:rFonts w:hint="eastAsia"/>
          <w:b w:val="0"/>
          <w:bCs w:val="0"/>
          <w:sz w:val="21"/>
          <w:szCs w:val="24"/>
          <w:lang w:val="en-US" w:eastAsia="zh-CN"/>
        </w:rPr>
      </w:pPr>
      <w:r>
        <w:rPr>
          <w:rFonts w:hint="eastAsia"/>
          <w:b/>
          <w:bCs/>
          <w:sz w:val="21"/>
          <w:szCs w:val="24"/>
          <w:lang w:val="en-US" w:eastAsia="zh-CN"/>
        </w:rPr>
        <w:t>核查随机法:</w:t>
      </w:r>
      <w:r>
        <w:rPr>
          <w:rFonts w:hint="eastAsia"/>
          <w:b w:val="0"/>
          <w:bCs w:val="0"/>
          <w:sz w:val="21"/>
          <w:szCs w:val="24"/>
          <w:lang w:val="en-US" w:eastAsia="zh-CN"/>
        </w:rPr>
        <w:t>定标委员会在通过核查的中标候选人中按照随机选取方式确定中标人。一般应采用“两次随机”选取方式即首先随机抽取数字作为中标候选人的编号，现场记录后，再通过随机抽取编号的形式确定中标人。</w:t>
      </w:r>
    </w:p>
    <w:p w14:paraId="0E5E767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default"/>
          <w:b/>
          <w:bCs/>
          <w:sz w:val="22"/>
          <w:szCs w:val="28"/>
          <w:lang w:val="en-US" w:eastAsia="zh-CN"/>
        </w:rPr>
      </w:pPr>
      <w:r>
        <w:rPr>
          <w:rFonts w:hint="eastAsia"/>
          <w:b w:val="0"/>
          <w:bCs w:val="0"/>
          <w:sz w:val="21"/>
          <w:szCs w:val="24"/>
          <w:lang w:val="en-US" w:eastAsia="zh-CN"/>
        </w:rPr>
        <w:t>本项目定标方法为核查随机法，鼓励中标候选人的法定代表人或其授权委托代理人现场参加定标会议。未派人员参加定标会议的中标候选人，定标委员会不得否决其中标候选人资格。</w:t>
      </w:r>
    </w:p>
    <w:p w14:paraId="7F2A4107">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Cs w:val="21"/>
        </w:rPr>
      </w:pPr>
      <w:r>
        <w:rPr>
          <w:rFonts w:hint="eastAsia" w:ascii="宋体" w:hAnsi="宋体" w:cs="宋体"/>
          <w:b/>
          <w:bCs/>
          <w:szCs w:val="21"/>
        </w:rPr>
        <w:t>二、定标原则</w:t>
      </w:r>
    </w:p>
    <w:p w14:paraId="078AF36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宋体"/>
          <w:szCs w:val="21"/>
        </w:rPr>
      </w:pPr>
      <w:r>
        <w:rPr>
          <w:rFonts w:ascii="Times New Roman" w:hAnsi="Times New Roman"/>
        </w:rPr>
        <w:t>采用“评定分离”的招标投标活动应当遵循公开透明、竞争择优、科学规范、廉洁高效的原则</w:t>
      </w:r>
      <w:r>
        <w:rPr>
          <w:rFonts w:hint="eastAsia" w:ascii="宋体" w:hAnsi="宋体" w:cs="宋体"/>
          <w:szCs w:val="21"/>
        </w:rPr>
        <w:t>。</w:t>
      </w:r>
    </w:p>
    <w:p w14:paraId="462DBD01">
      <w:pPr>
        <w:spacing w:after="120" w:afterLines="0"/>
        <w:ind w:firstLine="422" w:firstLineChars="200"/>
        <w:rPr>
          <w:rFonts w:hint="eastAsia" w:ascii="宋体" w:hAnsi="宋体" w:cs="宋体"/>
          <w:b/>
          <w:bCs/>
          <w:szCs w:val="21"/>
        </w:rPr>
      </w:pPr>
      <w:r>
        <w:rPr>
          <w:rFonts w:hint="eastAsia" w:ascii="宋体" w:hAnsi="宋体" w:cs="宋体"/>
          <w:b/>
          <w:bCs/>
          <w:szCs w:val="21"/>
        </w:rPr>
        <w:t>三、监督小组</w:t>
      </w:r>
    </w:p>
    <w:p w14:paraId="7721FA7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宋体"/>
          <w:b/>
          <w:bCs/>
          <w:szCs w:val="21"/>
        </w:rPr>
      </w:pPr>
      <w:r>
        <w:rPr>
          <w:rFonts w:hint="eastAsia" w:ascii="宋体" w:hAnsi="宋体" w:cs="宋体"/>
          <w:szCs w:val="21"/>
        </w:rPr>
        <w:t>招标人在招标前应组建监督小组，监督小组原则上为2人及以上，并指定小组长，监督人员一般为本单位或上级单位纪检监察人员、工程建设领域相关专业技术人员、职能部门管理人员、经营管理人员等，监督小组对招标投标活动全过程进行监督，对评标定标委员会的组建、评标定标过程及招标人在定标前的定标核查环节和对中标候选人的考察、质询等进行全程监督。在开评标时，监督小组可委派1名小组成员担任现场监督员。</w:t>
      </w:r>
    </w:p>
    <w:p w14:paraId="23FA56E4">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Cs w:val="21"/>
        </w:rPr>
      </w:pPr>
      <w:r>
        <w:rPr>
          <w:rFonts w:hint="eastAsia" w:ascii="宋体" w:hAnsi="宋体" w:cs="宋体"/>
          <w:b/>
          <w:bCs/>
          <w:szCs w:val="21"/>
        </w:rPr>
        <w:t>四、定标委员会</w:t>
      </w:r>
    </w:p>
    <w:p w14:paraId="0BBC442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ascii="宋体" w:hAnsi="宋体" w:cs="宋体"/>
          <w:szCs w:val="21"/>
        </w:rPr>
      </w:pPr>
      <w:r>
        <w:rPr>
          <w:rFonts w:hint="eastAsia" w:ascii="宋体" w:hAnsi="宋体" w:cs="宋体"/>
          <w:szCs w:val="21"/>
        </w:rPr>
        <w:t>招标人组建定标委员会，负责对中标候选人进行核查和组织召开定标会议。定标工作由定标委员会独立完成。</w:t>
      </w:r>
    </w:p>
    <w:p w14:paraId="2966E8C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ascii="宋体" w:hAnsi="宋体" w:cs="宋体"/>
          <w:szCs w:val="21"/>
        </w:rPr>
      </w:pPr>
      <w:r>
        <w:rPr>
          <w:rFonts w:hint="eastAsia" w:ascii="宋体" w:hAnsi="宋体" w:cs="宋体"/>
          <w:szCs w:val="21"/>
        </w:rPr>
        <w:t>定标委员会成员数量为</w:t>
      </w:r>
      <w:r>
        <w:rPr>
          <w:rFonts w:ascii="宋体" w:hAnsi="宋体" w:cs="宋体"/>
          <w:szCs w:val="21"/>
        </w:rPr>
        <w:t>5</w:t>
      </w:r>
      <w:r>
        <w:rPr>
          <w:rFonts w:hint="eastAsia" w:ascii="宋体" w:hAnsi="宋体" w:cs="宋体"/>
          <w:szCs w:val="21"/>
        </w:rPr>
        <w:t>人及以上单数，招标人单位成员不得低于成员总数的三分之二。定标委员会组长由招标人确定，原则上由招标人的法定代表人、主要负责人或分管负责人担任，其他成员可由招标人自行选定。</w:t>
      </w:r>
    </w:p>
    <w:p w14:paraId="7C9AB30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ascii="宋体" w:hAnsi="宋体" w:cs="宋体"/>
          <w:szCs w:val="21"/>
        </w:rPr>
      </w:pPr>
      <w:r>
        <w:rPr>
          <w:rFonts w:hint="eastAsia" w:ascii="宋体" w:hAnsi="宋体" w:cs="宋体"/>
          <w:szCs w:val="21"/>
        </w:rPr>
        <w:t>定标委员会成员与中标候选人有利害关系的，应当主动申请回避。定标委员会名单在中标结果确定前应当保密。</w:t>
      </w:r>
    </w:p>
    <w:p w14:paraId="7C7FFF8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宋体"/>
          <w:szCs w:val="21"/>
        </w:rPr>
      </w:pPr>
      <w:r>
        <w:rPr>
          <w:rFonts w:hint="eastAsia" w:ascii="宋体" w:hAnsi="宋体" w:cs="宋体"/>
          <w:szCs w:val="21"/>
        </w:rPr>
        <w:t>定标委员会成员应当对定标过程保密，对所提出的定标意见承担个人责任，不得私下与投标人或者其他利害关系人接触。</w:t>
      </w:r>
    </w:p>
    <w:p w14:paraId="54219975">
      <w:pPr>
        <w:numPr>
          <w:ilvl w:val="0"/>
          <w:numId w:val="0"/>
        </w:numPr>
        <w:spacing w:after="120" w:afterLines="0"/>
        <w:ind w:left="420" w:leftChars="200" w:firstLine="0"/>
        <w:rPr>
          <w:rFonts w:hint="eastAsia" w:ascii="宋体" w:hAnsi="宋体" w:cs="宋体"/>
          <w:b/>
          <w:bCs/>
          <w:szCs w:val="21"/>
        </w:rPr>
      </w:pPr>
      <w:r>
        <w:rPr>
          <w:rFonts w:hint="eastAsia" w:ascii="宋体" w:hAnsi="宋体" w:cs="宋体"/>
          <w:b/>
          <w:bCs/>
          <w:szCs w:val="21"/>
        </w:rPr>
        <w:t>五、定标程序</w:t>
      </w:r>
    </w:p>
    <w:p w14:paraId="208DC5C9">
      <w:pPr>
        <w:keepNext w:val="0"/>
        <w:keepLines w:val="0"/>
        <w:pageBreakBefore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cs="宋体"/>
          <w:szCs w:val="21"/>
        </w:rPr>
      </w:pPr>
      <w:r>
        <w:rPr>
          <w:rFonts w:hint="eastAsia" w:ascii="宋体" w:hAnsi="宋体" w:cs="宋体"/>
          <w:szCs w:val="21"/>
        </w:rPr>
        <w:t>（1）招标人应当在收到评标报告后10日内完成定标工作，定标过程包括核查、定标会议两个阶段。定标会议应当在公共资源交易中心按流程进行，不能按时完成定标工作的，应当通过公共资源交易平台发布延期原因和最终定标时间，最终定标时间不得超过投标有效期。公共资源交易中心应当对定标会议进行音视频记录，并存档备查。</w:t>
      </w:r>
    </w:p>
    <w:p w14:paraId="2339033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宋体"/>
          <w:szCs w:val="21"/>
        </w:rPr>
      </w:pPr>
      <w:r>
        <w:rPr>
          <w:rFonts w:hint="eastAsia" w:ascii="宋体" w:hAnsi="宋体" w:cs="宋体"/>
          <w:szCs w:val="21"/>
        </w:rPr>
        <w:t>（2）定标委员会应当首先对中标候选人进行核查，形成核查报告，核查报告在定标会议召开前应当保密。核查内容不得设置不合理限制和隐性壁垒。招标文件中没有规定的核查标准和方法不得作为定标核查的依据，不得在定标过程中新增定标条件和要求。定标委员会经核查发现中标候选人确有弄虚作假、串通投标等情形的，应当否决相应中标候选人的中标资格，并及时向行政监督部门报告。</w:t>
      </w:r>
    </w:p>
    <w:p w14:paraId="5A1F5814">
      <w:pPr>
        <w:keepNext w:val="0"/>
        <w:keepLines w:val="0"/>
        <w:pageBreakBefore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cs="宋体"/>
          <w:szCs w:val="21"/>
        </w:rPr>
      </w:pPr>
      <w:r>
        <w:rPr>
          <w:rFonts w:hint="eastAsia" w:ascii="宋体" w:hAnsi="宋体" w:cs="宋体"/>
          <w:szCs w:val="21"/>
        </w:rPr>
        <w:t>（3）</w:t>
      </w:r>
      <w:r>
        <w:rPr>
          <w:rFonts w:ascii="宋体" w:hAnsi="宋体" w:cs="宋体"/>
          <w:szCs w:val="21"/>
        </w:rPr>
        <w:t>定标委员会组长宣读定标委员会组建情况及组长、成员名单、宣读定标纪律，定标委员会成员签订承诺书。</w:t>
      </w:r>
    </w:p>
    <w:p w14:paraId="0630A40D">
      <w:pPr>
        <w:keepNext w:val="0"/>
        <w:keepLines w:val="0"/>
        <w:pageBreakBefore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cs="宋体"/>
          <w:szCs w:val="21"/>
        </w:rPr>
      </w:pPr>
      <w:r>
        <w:rPr>
          <w:rFonts w:hint="eastAsia" w:ascii="宋体" w:hAnsi="宋体" w:cs="宋体"/>
          <w:szCs w:val="21"/>
        </w:rPr>
        <w:t>（4）</w:t>
      </w:r>
      <w:r>
        <w:rPr>
          <w:rFonts w:ascii="宋体" w:hAnsi="宋体" w:cs="宋体"/>
          <w:szCs w:val="21"/>
        </w:rPr>
        <w:t>招标项目负责人向定标委员会介绍项目情况、招标情况、评标情况。</w:t>
      </w:r>
      <w:r>
        <w:rPr>
          <w:rFonts w:ascii="宋体" w:hAnsi="宋体" w:cs="宋体"/>
          <w:szCs w:val="21"/>
          <w:lang w:val="en"/>
        </w:rPr>
        <w:t>定标核查</w:t>
      </w:r>
      <w:r>
        <w:rPr>
          <w:rFonts w:ascii="宋体" w:hAnsi="宋体" w:cs="宋体"/>
          <w:szCs w:val="21"/>
        </w:rPr>
        <w:t>人介绍</w:t>
      </w:r>
      <w:r>
        <w:rPr>
          <w:rFonts w:ascii="宋体" w:hAnsi="宋体" w:cs="宋体"/>
          <w:szCs w:val="21"/>
          <w:lang w:val="en"/>
        </w:rPr>
        <w:t>定标核查</w:t>
      </w:r>
      <w:r>
        <w:rPr>
          <w:rFonts w:ascii="宋体" w:hAnsi="宋体" w:cs="宋体"/>
          <w:szCs w:val="21"/>
        </w:rPr>
        <w:t>情况。同时提供相关资料（包括：招标文件、开标记录、评标报告、定标参考要素的基本情况表、涉及定标的其他资料）。</w:t>
      </w:r>
    </w:p>
    <w:p w14:paraId="7D1BD1DB">
      <w:pPr>
        <w:keepNext w:val="0"/>
        <w:keepLines w:val="0"/>
        <w:pageBreakBefore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cs="宋体"/>
          <w:szCs w:val="21"/>
        </w:rPr>
      </w:pPr>
      <w:r>
        <w:rPr>
          <w:rFonts w:hint="eastAsia" w:ascii="宋体" w:hAnsi="宋体" w:cs="宋体"/>
          <w:szCs w:val="21"/>
        </w:rPr>
        <w:t>（5）</w:t>
      </w:r>
      <w:r>
        <w:rPr>
          <w:rFonts w:ascii="宋体" w:hAnsi="宋体" w:cs="宋体"/>
          <w:szCs w:val="21"/>
        </w:rPr>
        <w:t>定标委员会成员按照招标文件确定的定标办法确定中标人。</w:t>
      </w:r>
    </w:p>
    <w:p w14:paraId="678A3D72">
      <w:pPr>
        <w:keepNext w:val="0"/>
        <w:keepLines w:val="0"/>
        <w:pageBreakBefore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pPr>
      <w:r>
        <w:rPr>
          <w:rFonts w:hint="eastAsia" w:ascii="宋体" w:hAnsi="宋体" w:cs="宋体"/>
          <w:szCs w:val="21"/>
        </w:rPr>
        <w:t>（6）</w:t>
      </w:r>
      <w:r>
        <w:rPr>
          <w:rFonts w:ascii="宋体" w:hAnsi="宋体" w:cs="宋体"/>
          <w:szCs w:val="21"/>
        </w:rPr>
        <w:t>根据定标结果形成书面定标报告</w:t>
      </w:r>
      <w:r>
        <w:rPr>
          <w:rFonts w:hint="eastAsia" w:ascii="宋体" w:hAnsi="宋体" w:cs="宋体"/>
          <w:szCs w:val="21"/>
        </w:rPr>
        <w:t>。</w:t>
      </w:r>
    </w:p>
    <w:p w14:paraId="07EA2997">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firstLine="0"/>
        <w:jc w:val="left"/>
        <w:textAlignment w:val="auto"/>
        <w:outlineLvl w:val="9"/>
        <w:rPr>
          <w:rFonts w:hint="eastAsia" w:ascii="宋体" w:hAnsi="宋体" w:cs="宋体"/>
          <w:b/>
          <w:bCs/>
          <w:szCs w:val="21"/>
        </w:rPr>
      </w:pPr>
      <w:r>
        <w:rPr>
          <w:rFonts w:hint="eastAsia" w:ascii="宋体" w:hAnsi="宋体" w:cs="宋体"/>
          <w:b/>
          <w:bCs/>
          <w:szCs w:val="21"/>
        </w:rPr>
        <w:t>六、定标核查</w:t>
      </w:r>
    </w:p>
    <w:p w14:paraId="38781D23">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firstLine="0"/>
        <w:jc w:val="left"/>
        <w:textAlignment w:val="auto"/>
        <w:outlineLvl w:val="9"/>
        <w:rPr>
          <w:rFonts w:ascii="宋体" w:hAnsi="宋体" w:cs="宋体"/>
          <w:b/>
          <w:bCs/>
          <w:szCs w:val="21"/>
          <w:highlight w:val="none"/>
        </w:rPr>
      </w:pPr>
      <w:r>
        <w:rPr>
          <w:rFonts w:hint="eastAsia" w:ascii="宋体" w:hAnsi="宋体" w:cs="宋体"/>
          <w:b/>
          <w:bCs/>
          <w:szCs w:val="21"/>
        </w:rPr>
        <w:t>1、核查方法:网络查询、书面</w:t>
      </w:r>
      <w:r>
        <w:rPr>
          <w:rFonts w:hint="eastAsia" w:ascii="宋体" w:hAnsi="宋体" w:cs="宋体"/>
          <w:b/>
          <w:bCs/>
          <w:szCs w:val="21"/>
          <w:highlight w:val="none"/>
        </w:rPr>
        <w:t>材料核查</w:t>
      </w:r>
    </w:p>
    <w:p w14:paraId="215F3DB9">
      <w:pPr>
        <w:keepNext w:val="0"/>
        <w:keepLines w:val="0"/>
        <w:pageBreakBefore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cs="宋体"/>
          <w:szCs w:val="21"/>
        </w:rPr>
      </w:pPr>
      <w:r>
        <w:rPr>
          <w:rFonts w:hint="eastAsia" w:ascii="宋体" w:hAnsi="宋体" w:cs="宋体"/>
          <w:szCs w:val="21"/>
          <w:highlight w:val="none"/>
        </w:rPr>
        <w:t>（1）信用信息：符合招标公告</w:t>
      </w:r>
      <w:r>
        <w:rPr>
          <w:rFonts w:hint="eastAsia" w:ascii="宋体" w:hAnsi="宋体" w:cs="宋体"/>
          <w:szCs w:val="21"/>
          <w:highlight w:val="none"/>
          <w:lang w:eastAsia="zh-CN"/>
        </w:rPr>
        <w:t>“</w:t>
      </w:r>
      <w:r>
        <w:rPr>
          <w:rFonts w:hint="eastAsia" w:ascii="宋体" w:hAnsi="宋体" w:cs="宋体"/>
          <w:szCs w:val="21"/>
          <w:highlight w:val="none"/>
        </w:rPr>
        <w:t>三、投标人资格要求</w:t>
      </w:r>
      <w:r>
        <w:rPr>
          <w:rFonts w:hint="eastAsia" w:ascii="宋体" w:hAnsi="宋体" w:cs="宋体"/>
          <w:szCs w:val="21"/>
          <w:highlight w:val="none"/>
          <w:lang w:eastAsia="zh-CN"/>
        </w:rPr>
        <w:t>（第</w:t>
      </w:r>
      <w:r>
        <w:rPr>
          <w:rFonts w:hint="eastAsia" w:ascii="宋体" w:hAnsi="宋体" w:cs="宋体"/>
          <w:szCs w:val="21"/>
          <w:highlight w:val="none"/>
          <w:lang w:val="en-US" w:eastAsia="zh-CN"/>
        </w:rPr>
        <w:t>2条）”，</w:t>
      </w:r>
      <w:r>
        <w:rPr>
          <w:rFonts w:hint="eastAsia" w:ascii="宋体" w:hAnsi="宋体" w:cs="宋体"/>
          <w:szCs w:val="21"/>
        </w:rPr>
        <w:t>否则核查不通过；</w:t>
      </w:r>
    </w:p>
    <w:p w14:paraId="4190D545">
      <w:pPr>
        <w:keepNext w:val="0"/>
        <w:keepLines w:val="0"/>
        <w:pageBreakBefore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cs="宋体"/>
          <w:szCs w:val="21"/>
        </w:rPr>
      </w:pPr>
      <w:r>
        <w:rPr>
          <w:rFonts w:hint="eastAsia" w:ascii="宋体" w:hAnsi="宋体" w:cs="宋体"/>
          <w:szCs w:val="21"/>
        </w:rPr>
        <w:t>（2）履约能力：具有有效期内营业执照符合招标文件要求的通过核查，否则核查不通过；</w:t>
      </w:r>
    </w:p>
    <w:p w14:paraId="4605361F">
      <w:pPr>
        <w:keepNext w:val="0"/>
        <w:keepLines w:val="0"/>
        <w:pageBreakBefore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cs="宋体"/>
          <w:szCs w:val="21"/>
        </w:rPr>
      </w:pPr>
      <w:r>
        <w:rPr>
          <w:rFonts w:hint="eastAsia" w:ascii="宋体" w:hAnsi="宋体" w:cs="宋体"/>
          <w:szCs w:val="21"/>
        </w:rPr>
        <w:t>（3）单位负责人为同一人或者存在控股、管理关系的不同单位，不得参加同一标段投标或者未划分标段的同一招标项目投标(提供“国家企业信用信息公示系统”中公示的公司信息、股东(或投资人)信息)。</w:t>
      </w:r>
    </w:p>
    <w:p w14:paraId="2BD1BC52">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firstLine="0"/>
        <w:jc w:val="left"/>
        <w:textAlignment w:val="auto"/>
        <w:outlineLvl w:val="9"/>
        <w:rPr>
          <w:rFonts w:hint="eastAsia" w:ascii="宋体" w:hAnsi="宋体" w:cs="宋体"/>
          <w:b/>
          <w:bCs/>
          <w:szCs w:val="21"/>
        </w:rPr>
      </w:pPr>
      <w:r>
        <w:rPr>
          <w:rFonts w:hint="eastAsia" w:ascii="宋体" w:hAnsi="宋体" w:cs="宋体"/>
          <w:b/>
          <w:bCs/>
          <w:szCs w:val="21"/>
        </w:rPr>
        <w:t>不采用考察或质询方式。</w:t>
      </w:r>
    </w:p>
    <w:p w14:paraId="6E1DF8B2">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firstLine="0"/>
        <w:jc w:val="left"/>
        <w:textAlignment w:val="auto"/>
        <w:outlineLvl w:val="9"/>
        <w:rPr>
          <w:rFonts w:hint="eastAsia" w:ascii="宋体" w:hAnsi="宋体" w:cs="宋体"/>
          <w:b/>
          <w:bCs/>
          <w:szCs w:val="21"/>
        </w:rPr>
      </w:pPr>
      <w:r>
        <w:rPr>
          <w:rFonts w:hint="eastAsia" w:ascii="宋体" w:hAnsi="宋体" w:cs="宋体"/>
          <w:b/>
          <w:bCs/>
          <w:szCs w:val="21"/>
        </w:rPr>
        <w:t>2、核查结果</w:t>
      </w:r>
    </w:p>
    <w:p w14:paraId="18B4AB2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宋体"/>
          <w:szCs w:val="21"/>
        </w:rPr>
      </w:pPr>
      <w:r>
        <w:rPr>
          <w:rFonts w:hint="eastAsia" w:ascii="宋体" w:hAnsi="宋体" w:cs="宋体"/>
          <w:szCs w:val="21"/>
        </w:rPr>
        <w:t>经核查合格的候选人即可进入定标会议程序。</w:t>
      </w:r>
    </w:p>
    <w:p w14:paraId="0663E86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宋体"/>
          <w:szCs w:val="21"/>
        </w:rPr>
      </w:pPr>
      <w:r>
        <w:rPr>
          <w:rFonts w:hint="eastAsia" w:ascii="宋体" w:hAnsi="宋体" w:cs="宋体"/>
          <w:szCs w:val="21"/>
        </w:rPr>
        <w:t>定标委员会经核查发现中标候选人确有弄虚作假、串通投标等情形的，否决相应中标候选人的中标资格，并及时向行政监督部门报告。</w:t>
      </w:r>
    </w:p>
    <w:p w14:paraId="00353FFE">
      <w:pPr>
        <w:keepNext w:val="0"/>
        <w:keepLines w:val="0"/>
        <w:pageBreakBefore w:val="0"/>
        <w:numPr>
          <w:ilvl w:val="0"/>
          <w:numId w:val="0"/>
        </w:numPr>
        <w:kinsoku/>
        <w:wordWrap/>
        <w:overflowPunct/>
        <w:topLinePunct w:val="0"/>
        <w:autoSpaceDE/>
        <w:autoSpaceDN/>
        <w:bidi w:val="0"/>
        <w:adjustRightInd/>
        <w:snapToGrid/>
        <w:spacing w:line="360" w:lineRule="auto"/>
        <w:ind w:left="0" w:firstLine="211" w:firstLineChars="100"/>
        <w:jc w:val="left"/>
        <w:textAlignment w:val="auto"/>
        <w:outlineLvl w:val="9"/>
        <w:rPr>
          <w:rFonts w:hint="eastAsia" w:ascii="宋体" w:hAnsi="宋体" w:cs="宋体"/>
          <w:b/>
          <w:bCs/>
          <w:szCs w:val="21"/>
        </w:rPr>
      </w:pPr>
      <w:r>
        <w:rPr>
          <w:rFonts w:hint="eastAsia" w:ascii="宋体" w:hAnsi="宋体" w:cs="宋体"/>
          <w:b/>
          <w:bCs/>
          <w:szCs w:val="21"/>
        </w:rPr>
        <w:t>七、其他</w:t>
      </w:r>
    </w:p>
    <w:p w14:paraId="4F2F1776">
      <w:pPr>
        <w:keepNext w:val="0"/>
        <w:keepLines w:val="0"/>
        <w:pageBreakBefore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 xml:space="preserve">定标委员会应当按照招标文件中明确的定标原则、方法和程序，在中标候选人中确定中标人，并形成书面定标报告，对所出具的定标报告承担责任。 </w:t>
      </w:r>
    </w:p>
    <w:p w14:paraId="274FEE6A">
      <w:pPr>
        <w:keepNext w:val="0"/>
        <w:keepLines w:val="0"/>
        <w:pageBreakBefore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cs="宋体"/>
          <w:szCs w:val="21"/>
        </w:rPr>
      </w:pPr>
      <w:r>
        <w:rPr>
          <w:rFonts w:hint="eastAsia" w:ascii="宋体" w:hAnsi="宋体" w:cs="宋体"/>
          <w:szCs w:val="21"/>
          <w:lang w:val="en-US" w:eastAsia="zh-CN"/>
        </w:rPr>
        <w:t>定标报告应当包括：定标时间和地点、定标委员会成员名单、定标监督小组名单、定标原则和方法、定标核查情况、定标因素、定标程序、定标结果，并由定标委员会成员、定标监督小组成员签字。</w:t>
      </w:r>
    </w:p>
    <w:p w14:paraId="213EC7B6">
      <w:pPr>
        <w:keepNext w:val="0"/>
        <w:keepLines w:val="0"/>
        <w:pageBreakBefore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招标人应当在定标工作完成后3日内发布中标结果公示，公示期不少于3日。中标结果公示应当载明定标时间、定标地点、定标方法、中标人名称、中标价格、质量、工期、资格条件、项目负责人信息，中标候选人的核查、考察、比较优势，核查未通过的中标候选人名单和原因，以及异议和投诉渠道等内容。对中标结果公示有异议的，应当在公示期内向招标人提出。</w:t>
      </w:r>
    </w:p>
    <w:p w14:paraId="793C6899">
      <w:pPr>
        <w:keepNext w:val="0"/>
        <w:keepLines w:val="0"/>
        <w:pageBreakBefore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对中标人放弃中标、不可抗力不能履行合同、不按照招标文件要求缴纳履约保证金、不符合投标或中标条件、被查实存在影响中标结果的违法行为等情形，招标人可以由原定标委员会在调整后的中标候选人中重新确定中标人，也可以重新组织招标。</w:t>
      </w:r>
    </w:p>
    <w:p w14:paraId="0C5D12F4">
      <w:pPr>
        <w:keepNext w:val="0"/>
        <w:keepLines w:val="0"/>
        <w:pageBreakBefore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、对中标人以非正当理由放弃中标或被依法依规取消中标资格的，招标人应当向有关行政监督部门报告。</w:t>
      </w:r>
    </w:p>
    <w:p w14:paraId="51074A2C">
      <w:pPr>
        <w:keepNext w:val="0"/>
        <w:keepLines w:val="0"/>
        <w:pageBreakBefore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、定标后有下列情形之一的，应当重新定标。</w:t>
      </w:r>
    </w:p>
    <w:p w14:paraId="0053219F">
      <w:pPr>
        <w:keepNext w:val="0"/>
        <w:keepLines w:val="0"/>
        <w:pageBreakBefore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cs="宋体"/>
          <w:szCs w:val="21"/>
        </w:rPr>
      </w:pPr>
      <w:r>
        <w:rPr>
          <w:rFonts w:hint="eastAsia" w:ascii="宋体" w:hAnsi="宋体" w:cs="宋体"/>
          <w:szCs w:val="21"/>
        </w:rPr>
        <w:t>（1）定标委员会未按定标办法公正履职的；</w:t>
      </w:r>
    </w:p>
    <w:p w14:paraId="7C1C5308">
      <w:pPr>
        <w:keepNext w:val="0"/>
        <w:keepLines w:val="0"/>
        <w:pageBreakBefore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cs="宋体"/>
          <w:szCs w:val="21"/>
        </w:rPr>
      </w:pPr>
      <w:r>
        <w:rPr>
          <w:rFonts w:hint="eastAsia" w:ascii="宋体" w:hAnsi="宋体" w:cs="宋体"/>
          <w:szCs w:val="21"/>
        </w:rPr>
        <w:t>（2）定标委员会成员与中标候选人有利害关系且未回避的；</w:t>
      </w:r>
    </w:p>
    <w:p w14:paraId="23F24997">
      <w:pPr>
        <w:spacing w:line="360" w:lineRule="auto"/>
        <w:ind w:firstLine="420" w:firstLineChars="200"/>
        <w:rPr>
          <w:rFonts w:hint="eastAsia" w:ascii="宋体" w:hAnsi="宋体" w:eastAsia="宋体" w:cs="宋体"/>
          <w:color w:val="auto"/>
          <w:sz w:val="24"/>
          <w:szCs w:val="24"/>
          <w:highlight w:val="none"/>
          <w:lang w:val="en-US" w:eastAsia="zh-CN"/>
        </w:rPr>
      </w:pPr>
      <w:r>
        <w:rPr>
          <w:rFonts w:hint="eastAsia" w:ascii="宋体" w:hAnsi="宋体" w:cs="宋体"/>
          <w:szCs w:val="21"/>
        </w:rPr>
        <w:t>（3）招标文件规定的其他情形。</w:t>
      </w:r>
    </w:p>
    <w:p w14:paraId="555F1C6B">
      <w:pPr>
        <w:pStyle w:val="69"/>
        <w:spacing w:line="400" w:lineRule="exact"/>
        <w:jc w:val="left"/>
        <w:rPr>
          <w:rFonts w:hint="default" w:ascii="仿宋" w:hAnsi="仿宋" w:eastAsia="仿宋" w:cs="仿宋"/>
          <w:sz w:val="24"/>
          <w:szCs w:val="36"/>
          <w:lang w:val="en-US" w:eastAsia="zh-CN"/>
        </w:rPr>
      </w:pPr>
    </w:p>
    <w:sectPr>
      <w:footerReference r:id="rId8" w:type="default"/>
      <w:pgSz w:w="11906" w:h="16838"/>
      <w:pgMar w:top="1440" w:right="1800" w:bottom="1440" w:left="1800" w:header="720" w:footer="720" w:gutter="0"/>
      <w:pgBorders>
        <w:top w:val="none" w:sz="0" w:space="0"/>
        <w:left w:val="none" w:sz="0" w:space="0"/>
        <w:bottom w:val="none" w:sz="0" w:space="0"/>
        <w:right w:val="none" w:sz="0" w:space="0"/>
      </w:pgBorders>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EBCAF">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881B5">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4881B5">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3995">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78654">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778654">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A9825">
    <w:pPr>
      <w:pStyle w:val="12"/>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7005"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EEC576D">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51</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1pt;width:13.15pt;mso-position-horizontal:center;mso-position-horizontal-relative:margin;z-index:25166233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m&#10;yT9o0wAAAAMBAAAPAAAAAAAAAAEAIAAAACIAAABkcnMvZG93bnJldi54bWxQSwECFAAUAAAACACH&#10;TuJA+8A4cLcBAABxAwAADgAAAAAAAAABACAAAAAiAQAAZHJzL2Uyb0RvYy54bWxQSwUGAAAAAAYA&#10;BgBZAQAASwUAAAAA&#10;">
              <v:fill on="f" focussize="0,0"/>
              <v:stroke on="f"/>
              <v:imagedata o:title=""/>
              <o:lock v:ext="edit" aspectratio="f"/>
              <v:textbox inset="0mm,0mm,0mm,0mm">
                <w:txbxContent>
                  <w:p w14:paraId="2EEC576D">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DC9C5">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D0479">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2ED0479">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FEC22">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0DE18">
                          <w:pPr>
                            <w:pStyle w:val="20"/>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F50DE18">
                    <w:pPr>
                      <w:pStyle w:val="20"/>
                    </w:pPr>
                    <w:r>
                      <w:fldChar w:fldCharType="begin"/>
                    </w:r>
                    <w:r>
                      <w:instrText xml:space="preserve"> PAGE  \* MERGEFORMAT </w:instrText>
                    </w:r>
                    <w:r>
                      <w:fldChar w:fldCharType="separate"/>
                    </w:r>
                    <w:r>
                      <w:t>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39D53">
    <w:pPr>
      <w:pStyle w:val="21"/>
      <w:pBdr>
        <w:bottom w:val="none" w:color="auto" w:sz="0" w:space="0"/>
      </w:pBdr>
      <w:rPr>
        <w:rFonts w:hint="eastAsia" w:eastAsia="楷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A1649"/>
    <w:multiLevelType w:val="singleLevel"/>
    <w:tmpl w:val="D9BA1649"/>
    <w:lvl w:ilvl="0" w:tentative="0">
      <w:start w:val="1"/>
      <w:numFmt w:val="chineseCounting"/>
      <w:suff w:val="nothing"/>
      <w:lvlText w:val="%1、"/>
      <w:lvlJc w:val="left"/>
      <w:rPr>
        <w:rFonts w:hint="eastAsia"/>
      </w:rPr>
    </w:lvl>
  </w:abstractNum>
  <w:abstractNum w:abstractNumId="1">
    <w:nsid w:val="DF63BA12"/>
    <w:multiLevelType w:val="singleLevel"/>
    <w:tmpl w:val="DF63BA12"/>
    <w:lvl w:ilvl="0" w:tentative="0">
      <w:start w:val="4"/>
      <w:numFmt w:val="chineseCounting"/>
      <w:suff w:val="nothing"/>
      <w:lvlText w:val="%1、"/>
      <w:lvlJc w:val="left"/>
      <w:rPr>
        <w:rFonts w:hint="eastAsia"/>
      </w:rPr>
    </w:lvl>
  </w:abstractNum>
  <w:abstractNum w:abstractNumId="2">
    <w:nsid w:val="0D8323AD"/>
    <w:multiLevelType w:val="singleLevel"/>
    <w:tmpl w:val="0D8323AD"/>
    <w:lvl w:ilvl="0" w:tentative="0">
      <w:start w:val="10"/>
      <w:numFmt w:val="decimal"/>
      <w:suff w:val="space"/>
      <w:lvlText w:val="%1."/>
      <w:lvlJc w:val="left"/>
    </w:lvl>
  </w:abstractNum>
  <w:abstractNum w:abstractNumId="3">
    <w:nsid w:val="16558122"/>
    <w:multiLevelType w:val="singleLevel"/>
    <w:tmpl w:val="16558122"/>
    <w:lvl w:ilvl="0" w:tentative="0">
      <w:start w:val="1"/>
      <w:numFmt w:val="decimal"/>
      <w:suff w:val="nothing"/>
      <w:lvlText w:val="%1、"/>
      <w:lvlJc w:val="left"/>
    </w:lvl>
  </w:abstractNum>
  <w:abstractNum w:abstractNumId="4">
    <w:nsid w:val="47E6EFD7"/>
    <w:multiLevelType w:val="singleLevel"/>
    <w:tmpl w:val="47E6EFD7"/>
    <w:lvl w:ilvl="0" w:tentative="0">
      <w:start w:val="1"/>
      <w:numFmt w:val="chineseCounting"/>
      <w:suff w:val="nothing"/>
      <w:lvlText w:val="%1、"/>
      <w:lvlJc w:val="left"/>
      <w:pPr>
        <w:ind w:left="421" w:firstLine="0"/>
      </w:pPr>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4OWQ0ZTRjOTU4YmFiNDFjYjFhOTIxY2ViZDUzYjAifQ=="/>
  </w:docVars>
  <w:rsids>
    <w:rsidRoot w:val="00172A27"/>
    <w:rsid w:val="00000DA4"/>
    <w:rsid w:val="00002A60"/>
    <w:rsid w:val="000034AC"/>
    <w:rsid w:val="00004603"/>
    <w:rsid w:val="00007319"/>
    <w:rsid w:val="000106AE"/>
    <w:rsid w:val="00010B53"/>
    <w:rsid w:val="000122C9"/>
    <w:rsid w:val="00012703"/>
    <w:rsid w:val="0001485E"/>
    <w:rsid w:val="00020126"/>
    <w:rsid w:val="000206B3"/>
    <w:rsid w:val="0002193F"/>
    <w:rsid w:val="00021BFE"/>
    <w:rsid w:val="000225AA"/>
    <w:rsid w:val="000250D6"/>
    <w:rsid w:val="00025ACC"/>
    <w:rsid w:val="00025EC4"/>
    <w:rsid w:val="00026171"/>
    <w:rsid w:val="000303E1"/>
    <w:rsid w:val="00031021"/>
    <w:rsid w:val="000351AE"/>
    <w:rsid w:val="00043011"/>
    <w:rsid w:val="00043778"/>
    <w:rsid w:val="00045C5A"/>
    <w:rsid w:val="00050775"/>
    <w:rsid w:val="00051E22"/>
    <w:rsid w:val="00052B4B"/>
    <w:rsid w:val="00056F44"/>
    <w:rsid w:val="0006113A"/>
    <w:rsid w:val="00062729"/>
    <w:rsid w:val="00062AC6"/>
    <w:rsid w:val="000638B3"/>
    <w:rsid w:val="00064B04"/>
    <w:rsid w:val="00067035"/>
    <w:rsid w:val="00071FA8"/>
    <w:rsid w:val="0007661F"/>
    <w:rsid w:val="00076BA9"/>
    <w:rsid w:val="0008132B"/>
    <w:rsid w:val="00081360"/>
    <w:rsid w:val="0008253E"/>
    <w:rsid w:val="00087430"/>
    <w:rsid w:val="00092C30"/>
    <w:rsid w:val="000943B0"/>
    <w:rsid w:val="00094C66"/>
    <w:rsid w:val="000969AD"/>
    <w:rsid w:val="0009760B"/>
    <w:rsid w:val="000A287B"/>
    <w:rsid w:val="000A5C81"/>
    <w:rsid w:val="000A7331"/>
    <w:rsid w:val="000A76B3"/>
    <w:rsid w:val="000B08E5"/>
    <w:rsid w:val="000B3965"/>
    <w:rsid w:val="000B3CDC"/>
    <w:rsid w:val="000B65E2"/>
    <w:rsid w:val="000C0018"/>
    <w:rsid w:val="000C00CE"/>
    <w:rsid w:val="000C1A9B"/>
    <w:rsid w:val="000C2AB5"/>
    <w:rsid w:val="000C4710"/>
    <w:rsid w:val="000C5D3E"/>
    <w:rsid w:val="000D4336"/>
    <w:rsid w:val="000D49B4"/>
    <w:rsid w:val="000D4E08"/>
    <w:rsid w:val="000D6EAA"/>
    <w:rsid w:val="000D74E6"/>
    <w:rsid w:val="000E08CB"/>
    <w:rsid w:val="000E1142"/>
    <w:rsid w:val="000E5673"/>
    <w:rsid w:val="000F2186"/>
    <w:rsid w:val="000F2A12"/>
    <w:rsid w:val="000F2ECC"/>
    <w:rsid w:val="000F6666"/>
    <w:rsid w:val="000F7357"/>
    <w:rsid w:val="000F7386"/>
    <w:rsid w:val="001011FC"/>
    <w:rsid w:val="00102618"/>
    <w:rsid w:val="00105423"/>
    <w:rsid w:val="001119B6"/>
    <w:rsid w:val="00114794"/>
    <w:rsid w:val="00115124"/>
    <w:rsid w:val="00115848"/>
    <w:rsid w:val="00117F0F"/>
    <w:rsid w:val="001209F1"/>
    <w:rsid w:val="00121D34"/>
    <w:rsid w:val="00127D2E"/>
    <w:rsid w:val="00130831"/>
    <w:rsid w:val="0013146C"/>
    <w:rsid w:val="0013737F"/>
    <w:rsid w:val="0014098E"/>
    <w:rsid w:val="00141122"/>
    <w:rsid w:val="001530C6"/>
    <w:rsid w:val="00153B32"/>
    <w:rsid w:val="001613DD"/>
    <w:rsid w:val="00162B6D"/>
    <w:rsid w:val="00164C77"/>
    <w:rsid w:val="001658EF"/>
    <w:rsid w:val="00172A27"/>
    <w:rsid w:val="001735B4"/>
    <w:rsid w:val="001748A3"/>
    <w:rsid w:val="00175F7A"/>
    <w:rsid w:val="00182B11"/>
    <w:rsid w:val="00183B4A"/>
    <w:rsid w:val="00190BC5"/>
    <w:rsid w:val="00192979"/>
    <w:rsid w:val="00193C1D"/>
    <w:rsid w:val="0019679B"/>
    <w:rsid w:val="00196869"/>
    <w:rsid w:val="00196C26"/>
    <w:rsid w:val="00197AD8"/>
    <w:rsid w:val="001A093D"/>
    <w:rsid w:val="001A0CCF"/>
    <w:rsid w:val="001A2B51"/>
    <w:rsid w:val="001A2E05"/>
    <w:rsid w:val="001A4491"/>
    <w:rsid w:val="001A4684"/>
    <w:rsid w:val="001A70AA"/>
    <w:rsid w:val="001A79D5"/>
    <w:rsid w:val="001B2D36"/>
    <w:rsid w:val="001B39E3"/>
    <w:rsid w:val="001B4C71"/>
    <w:rsid w:val="001B7FEF"/>
    <w:rsid w:val="001C30C7"/>
    <w:rsid w:val="001C38D5"/>
    <w:rsid w:val="001C4C2F"/>
    <w:rsid w:val="001E01EB"/>
    <w:rsid w:val="001E1433"/>
    <w:rsid w:val="001E1733"/>
    <w:rsid w:val="001E4624"/>
    <w:rsid w:val="001E6637"/>
    <w:rsid w:val="001E693E"/>
    <w:rsid w:val="001F19E2"/>
    <w:rsid w:val="001F2208"/>
    <w:rsid w:val="001F4134"/>
    <w:rsid w:val="001F45EE"/>
    <w:rsid w:val="001F4850"/>
    <w:rsid w:val="001F4F7E"/>
    <w:rsid w:val="001F5634"/>
    <w:rsid w:val="001F7983"/>
    <w:rsid w:val="00204A5C"/>
    <w:rsid w:val="00207A0B"/>
    <w:rsid w:val="00212A53"/>
    <w:rsid w:val="00212BF4"/>
    <w:rsid w:val="0021322F"/>
    <w:rsid w:val="00213B90"/>
    <w:rsid w:val="00215AF0"/>
    <w:rsid w:val="00220972"/>
    <w:rsid w:val="00220C66"/>
    <w:rsid w:val="002229E2"/>
    <w:rsid w:val="0022434B"/>
    <w:rsid w:val="00225608"/>
    <w:rsid w:val="0023423F"/>
    <w:rsid w:val="00236570"/>
    <w:rsid w:val="00237422"/>
    <w:rsid w:val="002376AC"/>
    <w:rsid w:val="00237B0E"/>
    <w:rsid w:val="00240884"/>
    <w:rsid w:val="002430C2"/>
    <w:rsid w:val="002448F6"/>
    <w:rsid w:val="00251109"/>
    <w:rsid w:val="00251A49"/>
    <w:rsid w:val="00252104"/>
    <w:rsid w:val="002528C1"/>
    <w:rsid w:val="0025438F"/>
    <w:rsid w:val="0025460A"/>
    <w:rsid w:val="00255D0D"/>
    <w:rsid w:val="00260B7B"/>
    <w:rsid w:val="00260C77"/>
    <w:rsid w:val="00261352"/>
    <w:rsid w:val="00262A44"/>
    <w:rsid w:val="00263F0B"/>
    <w:rsid w:val="0026433C"/>
    <w:rsid w:val="00264CEC"/>
    <w:rsid w:val="00264EB1"/>
    <w:rsid w:val="002657A8"/>
    <w:rsid w:val="002700CB"/>
    <w:rsid w:val="002718DC"/>
    <w:rsid w:val="00276C71"/>
    <w:rsid w:val="00281526"/>
    <w:rsid w:val="00282FB1"/>
    <w:rsid w:val="00284B95"/>
    <w:rsid w:val="00285406"/>
    <w:rsid w:val="00286C1A"/>
    <w:rsid w:val="00294905"/>
    <w:rsid w:val="002A1DEB"/>
    <w:rsid w:val="002A552C"/>
    <w:rsid w:val="002A65ED"/>
    <w:rsid w:val="002B3D45"/>
    <w:rsid w:val="002C0C29"/>
    <w:rsid w:val="002C32D0"/>
    <w:rsid w:val="002C79B9"/>
    <w:rsid w:val="002C7B9B"/>
    <w:rsid w:val="002D12B9"/>
    <w:rsid w:val="002D2B90"/>
    <w:rsid w:val="002D6F32"/>
    <w:rsid w:val="002E1DAC"/>
    <w:rsid w:val="002E6D05"/>
    <w:rsid w:val="002F1AE8"/>
    <w:rsid w:val="002F27B1"/>
    <w:rsid w:val="002F3083"/>
    <w:rsid w:val="002F36E3"/>
    <w:rsid w:val="002F4E05"/>
    <w:rsid w:val="002F72A0"/>
    <w:rsid w:val="00303961"/>
    <w:rsid w:val="0030584B"/>
    <w:rsid w:val="0030661D"/>
    <w:rsid w:val="00311324"/>
    <w:rsid w:val="003122C4"/>
    <w:rsid w:val="00313785"/>
    <w:rsid w:val="00314103"/>
    <w:rsid w:val="00314C76"/>
    <w:rsid w:val="0031639B"/>
    <w:rsid w:val="00317712"/>
    <w:rsid w:val="0032031D"/>
    <w:rsid w:val="00321647"/>
    <w:rsid w:val="00321989"/>
    <w:rsid w:val="003243EC"/>
    <w:rsid w:val="003247CD"/>
    <w:rsid w:val="003326A9"/>
    <w:rsid w:val="003362AD"/>
    <w:rsid w:val="00337CAE"/>
    <w:rsid w:val="00342688"/>
    <w:rsid w:val="0034440E"/>
    <w:rsid w:val="00344F1E"/>
    <w:rsid w:val="0034645F"/>
    <w:rsid w:val="00347899"/>
    <w:rsid w:val="003513C2"/>
    <w:rsid w:val="003518D6"/>
    <w:rsid w:val="00354B7A"/>
    <w:rsid w:val="00363362"/>
    <w:rsid w:val="00363966"/>
    <w:rsid w:val="00372935"/>
    <w:rsid w:val="003741B0"/>
    <w:rsid w:val="0038240C"/>
    <w:rsid w:val="0038359A"/>
    <w:rsid w:val="0038773E"/>
    <w:rsid w:val="00387996"/>
    <w:rsid w:val="00387A08"/>
    <w:rsid w:val="00391F03"/>
    <w:rsid w:val="00396C9D"/>
    <w:rsid w:val="003A216A"/>
    <w:rsid w:val="003A2368"/>
    <w:rsid w:val="003A5B10"/>
    <w:rsid w:val="003A6775"/>
    <w:rsid w:val="003A67DB"/>
    <w:rsid w:val="003B3719"/>
    <w:rsid w:val="003B41C4"/>
    <w:rsid w:val="003B7CAE"/>
    <w:rsid w:val="003C0D7D"/>
    <w:rsid w:val="003C3469"/>
    <w:rsid w:val="003C4858"/>
    <w:rsid w:val="003C54CE"/>
    <w:rsid w:val="003C5BB3"/>
    <w:rsid w:val="003C663D"/>
    <w:rsid w:val="003D1170"/>
    <w:rsid w:val="003D1B8E"/>
    <w:rsid w:val="003D2D72"/>
    <w:rsid w:val="003D36EE"/>
    <w:rsid w:val="003D515C"/>
    <w:rsid w:val="003D6E0A"/>
    <w:rsid w:val="003E3BDB"/>
    <w:rsid w:val="003F1CDB"/>
    <w:rsid w:val="003F3518"/>
    <w:rsid w:val="003F504F"/>
    <w:rsid w:val="003F5B69"/>
    <w:rsid w:val="00403934"/>
    <w:rsid w:val="004105EF"/>
    <w:rsid w:val="00410D80"/>
    <w:rsid w:val="004125A8"/>
    <w:rsid w:val="00412763"/>
    <w:rsid w:val="00413A55"/>
    <w:rsid w:val="00415A1A"/>
    <w:rsid w:val="00415B0E"/>
    <w:rsid w:val="004171E3"/>
    <w:rsid w:val="00417BA7"/>
    <w:rsid w:val="00421245"/>
    <w:rsid w:val="0042326A"/>
    <w:rsid w:val="00423F96"/>
    <w:rsid w:val="0042619D"/>
    <w:rsid w:val="00431F4F"/>
    <w:rsid w:val="0043351E"/>
    <w:rsid w:val="00433676"/>
    <w:rsid w:val="00436362"/>
    <w:rsid w:val="00436504"/>
    <w:rsid w:val="0043782F"/>
    <w:rsid w:val="004405C7"/>
    <w:rsid w:val="00441D39"/>
    <w:rsid w:val="0044250A"/>
    <w:rsid w:val="00442AF8"/>
    <w:rsid w:val="0044514A"/>
    <w:rsid w:val="00447E27"/>
    <w:rsid w:val="00447E59"/>
    <w:rsid w:val="004579D9"/>
    <w:rsid w:val="00457DC2"/>
    <w:rsid w:val="00462A6D"/>
    <w:rsid w:val="004667CD"/>
    <w:rsid w:val="004733D3"/>
    <w:rsid w:val="00480C2F"/>
    <w:rsid w:val="00486C5B"/>
    <w:rsid w:val="00487315"/>
    <w:rsid w:val="00494624"/>
    <w:rsid w:val="00495001"/>
    <w:rsid w:val="00495604"/>
    <w:rsid w:val="00496F60"/>
    <w:rsid w:val="00497226"/>
    <w:rsid w:val="004A112E"/>
    <w:rsid w:val="004A5FF2"/>
    <w:rsid w:val="004A76F2"/>
    <w:rsid w:val="004B49EF"/>
    <w:rsid w:val="004B51E3"/>
    <w:rsid w:val="004B6ED7"/>
    <w:rsid w:val="004B7071"/>
    <w:rsid w:val="004C16FA"/>
    <w:rsid w:val="004C351B"/>
    <w:rsid w:val="004D1209"/>
    <w:rsid w:val="004D1CFF"/>
    <w:rsid w:val="004D3917"/>
    <w:rsid w:val="004D4247"/>
    <w:rsid w:val="004D7237"/>
    <w:rsid w:val="004D794D"/>
    <w:rsid w:val="004D7FCB"/>
    <w:rsid w:val="004E0C05"/>
    <w:rsid w:val="004E3473"/>
    <w:rsid w:val="004E43BF"/>
    <w:rsid w:val="004F1425"/>
    <w:rsid w:val="004F3309"/>
    <w:rsid w:val="00503075"/>
    <w:rsid w:val="005034E3"/>
    <w:rsid w:val="00505180"/>
    <w:rsid w:val="0050739A"/>
    <w:rsid w:val="005100DC"/>
    <w:rsid w:val="00511660"/>
    <w:rsid w:val="00512A0D"/>
    <w:rsid w:val="00515105"/>
    <w:rsid w:val="00517CCE"/>
    <w:rsid w:val="0052194C"/>
    <w:rsid w:val="00521C23"/>
    <w:rsid w:val="005229A0"/>
    <w:rsid w:val="00522D50"/>
    <w:rsid w:val="005234C4"/>
    <w:rsid w:val="005275D1"/>
    <w:rsid w:val="00527D92"/>
    <w:rsid w:val="00531BAF"/>
    <w:rsid w:val="00532BB8"/>
    <w:rsid w:val="00537781"/>
    <w:rsid w:val="005409DB"/>
    <w:rsid w:val="005418C1"/>
    <w:rsid w:val="00542C62"/>
    <w:rsid w:val="00543F5F"/>
    <w:rsid w:val="00545698"/>
    <w:rsid w:val="00546149"/>
    <w:rsid w:val="0054730C"/>
    <w:rsid w:val="00555089"/>
    <w:rsid w:val="005565F1"/>
    <w:rsid w:val="00560FDA"/>
    <w:rsid w:val="00562259"/>
    <w:rsid w:val="005655BD"/>
    <w:rsid w:val="005661E1"/>
    <w:rsid w:val="005707AA"/>
    <w:rsid w:val="00571501"/>
    <w:rsid w:val="005739BF"/>
    <w:rsid w:val="00573B46"/>
    <w:rsid w:val="00573C8F"/>
    <w:rsid w:val="00574712"/>
    <w:rsid w:val="00576C5E"/>
    <w:rsid w:val="00577C17"/>
    <w:rsid w:val="005804CC"/>
    <w:rsid w:val="00580957"/>
    <w:rsid w:val="00581697"/>
    <w:rsid w:val="005818B8"/>
    <w:rsid w:val="005824FB"/>
    <w:rsid w:val="00586955"/>
    <w:rsid w:val="005870EB"/>
    <w:rsid w:val="00592DCF"/>
    <w:rsid w:val="005955BA"/>
    <w:rsid w:val="00597FB7"/>
    <w:rsid w:val="005A0B59"/>
    <w:rsid w:val="005A0FB6"/>
    <w:rsid w:val="005A1F0C"/>
    <w:rsid w:val="005A245A"/>
    <w:rsid w:val="005A2C7B"/>
    <w:rsid w:val="005B0EED"/>
    <w:rsid w:val="005B0F9A"/>
    <w:rsid w:val="005B1A42"/>
    <w:rsid w:val="005B4DB1"/>
    <w:rsid w:val="005C162E"/>
    <w:rsid w:val="005C417A"/>
    <w:rsid w:val="005D22FC"/>
    <w:rsid w:val="005D3935"/>
    <w:rsid w:val="005D3D41"/>
    <w:rsid w:val="005D736F"/>
    <w:rsid w:val="005E1DA9"/>
    <w:rsid w:val="005E4F70"/>
    <w:rsid w:val="005E7CE8"/>
    <w:rsid w:val="005F162E"/>
    <w:rsid w:val="005F16C3"/>
    <w:rsid w:val="005F328B"/>
    <w:rsid w:val="005F74F3"/>
    <w:rsid w:val="00601D9C"/>
    <w:rsid w:val="006041C3"/>
    <w:rsid w:val="00604E20"/>
    <w:rsid w:val="006052FC"/>
    <w:rsid w:val="00605A28"/>
    <w:rsid w:val="006066EE"/>
    <w:rsid w:val="00610BBF"/>
    <w:rsid w:val="00613C1B"/>
    <w:rsid w:val="00613FB5"/>
    <w:rsid w:val="00614E98"/>
    <w:rsid w:val="0062295C"/>
    <w:rsid w:val="00623AD2"/>
    <w:rsid w:val="00624355"/>
    <w:rsid w:val="0062725B"/>
    <w:rsid w:val="00632B51"/>
    <w:rsid w:val="00633021"/>
    <w:rsid w:val="00635D08"/>
    <w:rsid w:val="00636962"/>
    <w:rsid w:val="00637781"/>
    <w:rsid w:val="00644C71"/>
    <w:rsid w:val="006462FA"/>
    <w:rsid w:val="00651028"/>
    <w:rsid w:val="00656939"/>
    <w:rsid w:val="00660EBB"/>
    <w:rsid w:val="00663CC5"/>
    <w:rsid w:val="00670660"/>
    <w:rsid w:val="006724E0"/>
    <w:rsid w:val="006740AC"/>
    <w:rsid w:val="006831DB"/>
    <w:rsid w:val="00684D69"/>
    <w:rsid w:val="00686AF3"/>
    <w:rsid w:val="006878CF"/>
    <w:rsid w:val="00687BCE"/>
    <w:rsid w:val="006928F3"/>
    <w:rsid w:val="006952F5"/>
    <w:rsid w:val="0069772A"/>
    <w:rsid w:val="006A2A0E"/>
    <w:rsid w:val="006A2E04"/>
    <w:rsid w:val="006A2F51"/>
    <w:rsid w:val="006A350C"/>
    <w:rsid w:val="006A5596"/>
    <w:rsid w:val="006B268E"/>
    <w:rsid w:val="006B317B"/>
    <w:rsid w:val="006B4620"/>
    <w:rsid w:val="006B5809"/>
    <w:rsid w:val="006B58FD"/>
    <w:rsid w:val="006C1B42"/>
    <w:rsid w:val="006C2952"/>
    <w:rsid w:val="006C56C9"/>
    <w:rsid w:val="006D05E4"/>
    <w:rsid w:val="006D144F"/>
    <w:rsid w:val="006D567B"/>
    <w:rsid w:val="006E0B76"/>
    <w:rsid w:val="006E1CF0"/>
    <w:rsid w:val="006E2EB3"/>
    <w:rsid w:val="006E35ED"/>
    <w:rsid w:val="006E3EAB"/>
    <w:rsid w:val="006E521B"/>
    <w:rsid w:val="006E5AC6"/>
    <w:rsid w:val="006E6503"/>
    <w:rsid w:val="006F30B4"/>
    <w:rsid w:val="006F3939"/>
    <w:rsid w:val="006F46C3"/>
    <w:rsid w:val="006F4D85"/>
    <w:rsid w:val="006F6E12"/>
    <w:rsid w:val="00701A84"/>
    <w:rsid w:val="00705859"/>
    <w:rsid w:val="007058C6"/>
    <w:rsid w:val="007058CC"/>
    <w:rsid w:val="007058F5"/>
    <w:rsid w:val="00706041"/>
    <w:rsid w:val="007123AF"/>
    <w:rsid w:val="00712A96"/>
    <w:rsid w:val="00713F6A"/>
    <w:rsid w:val="0071763F"/>
    <w:rsid w:val="00721056"/>
    <w:rsid w:val="00723AEF"/>
    <w:rsid w:val="00725C94"/>
    <w:rsid w:val="00726A6C"/>
    <w:rsid w:val="00726B23"/>
    <w:rsid w:val="00726DB7"/>
    <w:rsid w:val="00727E29"/>
    <w:rsid w:val="00733083"/>
    <w:rsid w:val="00735916"/>
    <w:rsid w:val="00742B21"/>
    <w:rsid w:val="0074411C"/>
    <w:rsid w:val="00744517"/>
    <w:rsid w:val="00750137"/>
    <w:rsid w:val="0075115C"/>
    <w:rsid w:val="00755157"/>
    <w:rsid w:val="00762C99"/>
    <w:rsid w:val="00766147"/>
    <w:rsid w:val="00766DD4"/>
    <w:rsid w:val="00770518"/>
    <w:rsid w:val="00770C01"/>
    <w:rsid w:val="007723F1"/>
    <w:rsid w:val="007724D2"/>
    <w:rsid w:val="00772E30"/>
    <w:rsid w:val="007769FC"/>
    <w:rsid w:val="00777F83"/>
    <w:rsid w:val="00780470"/>
    <w:rsid w:val="0078589B"/>
    <w:rsid w:val="00786D9C"/>
    <w:rsid w:val="00790A94"/>
    <w:rsid w:val="007911B2"/>
    <w:rsid w:val="00797ACE"/>
    <w:rsid w:val="007A08F7"/>
    <w:rsid w:val="007A147A"/>
    <w:rsid w:val="007A1E5B"/>
    <w:rsid w:val="007A36C9"/>
    <w:rsid w:val="007A5188"/>
    <w:rsid w:val="007A610B"/>
    <w:rsid w:val="007A6512"/>
    <w:rsid w:val="007A67FD"/>
    <w:rsid w:val="007B300E"/>
    <w:rsid w:val="007B3D71"/>
    <w:rsid w:val="007B5213"/>
    <w:rsid w:val="007B7DDF"/>
    <w:rsid w:val="007C0B55"/>
    <w:rsid w:val="007C292F"/>
    <w:rsid w:val="007C5F36"/>
    <w:rsid w:val="007D07A2"/>
    <w:rsid w:val="007D16DC"/>
    <w:rsid w:val="007D29C2"/>
    <w:rsid w:val="007D4C26"/>
    <w:rsid w:val="007D5CBB"/>
    <w:rsid w:val="007D6572"/>
    <w:rsid w:val="007E0563"/>
    <w:rsid w:val="007E4F58"/>
    <w:rsid w:val="007E5012"/>
    <w:rsid w:val="007E6590"/>
    <w:rsid w:val="007E774F"/>
    <w:rsid w:val="007E78FD"/>
    <w:rsid w:val="007E7D46"/>
    <w:rsid w:val="007F33A5"/>
    <w:rsid w:val="007F6096"/>
    <w:rsid w:val="007F6532"/>
    <w:rsid w:val="007F6A11"/>
    <w:rsid w:val="007F6A96"/>
    <w:rsid w:val="007F78CB"/>
    <w:rsid w:val="00800F28"/>
    <w:rsid w:val="008016DA"/>
    <w:rsid w:val="00802B3E"/>
    <w:rsid w:val="00803A59"/>
    <w:rsid w:val="00803D1B"/>
    <w:rsid w:val="00804854"/>
    <w:rsid w:val="00805D01"/>
    <w:rsid w:val="00807D82"/>
    <w:rsid w:val="00814ACE"/>
    <w:rsid w:val="00822522"/>
    <w:rsid w:val="00822B05"/>
    <w:rsid w:val="00823971"/>
    <w:rsid w:val="00824ADC"/>
    <w:rsid w:val="00825C90"/>
    <w:rsid w:val="00825E19"/>
    <w:rsid w:val="008261CA"/>
    <w:rsid w:val="00826534"/>
    <w:rsid w:val="00826C28"/>
    <w:rsid w:val="00833E5B"/>
    <w:rsid w:val="00842D0A"/>
    <w:rsid w:val="0084602F"/>
    <w:rsid w:val="008462CA"/>
    <w:rsid w:val="008471BB"/>
    <w:rsid w:val="00847755"/>
    <w:rsid w:val="0085015A"/>
    <w:rsid w:val="00851FB3"/>
    <w:rsid w:val="0085267C"/>
    <w:rsid w:val="008533BC"/>
    <w:rsid w:val="008567AE"/>
    <w:rsid w:val="008602E0"/>
    <w:rsid w:val="00860E29"/>
    <w:rsid w:val="008625DD"/>
    <w:rsid w:val="008631FE"/>
    <w:rsid w:val="008634A5"/>
    <w:rsid w:val="008636E8"/>
    <w:rsid w:val="00865A18"/>
    <w:rsid w:val="00872200"/>
    <w:rsid w:val="00877B50"/>
    <w:rsid w:val="0088056A"/>
    <w:rsid w:val="00880C4E"/>
    <w:rsid w:val="00884003"/>
    <w:rsid w:val="00884568"/>
    <w:rsid w:val="00886D39"/>
    <w:rsid w:val="008953F8"/>
    <w:rsid w:val="008A0C18"/>
    <w:rsid w:val="008A0C4A"/>
    <w:rsid w:val="008A3781"/>
    <w:rsid w:val="008A4C9A"/>
    <w:rsid w:val="008A4F8A"/>
    <w:rsid w:val="008A6265"/>
    <w:rsid w:val="008B4958"/>
    <w:rsid w:val="008C0B88"/>
    <w:rsid w:val="008C1A6B"/>
    <w:rsid w:val="008C4D93"/>
    <w:rsid w:val="008D056E"/>
    <w:rsid w:val="008D085E"/>
    <w:rsid w:val="008D0EA5"/>
    <w:rsid w:val="008D1879"/>
    <w:rsid w:val="008D2A1B"/>
    <w:rsid w:val="008D2B4F"/>
    <w:rsid w:val="008D58E8"/>
    <w:rsid w:val="008D7A13"/>
    <w:rsid w:val="008F29FA"/>
    <w:rsid w:val="008F2DB6"/>
    <w:rsid w:val="008F4C09"/>
    <w:rsid w:val="008F78BF"/>
    <w:rsid w:val="009007A4"/>
    <w:rsid w:val="0090152F"/>
    <w:rsid w:val="00904A16"/>
    <w:rsid w:val="00905AE6"/>
    <w:rsid w:val="009102B1"/>
    <w:rsid w:val="00913849"/>
    <w:rsid w:val="00913DA9"/>
    <w:rsid w:val="00915790"/>
    <w:rsid w:val="00915BD0"/>
    <w:rsid w:val="009165B6"/>
    <w:rsid w:val="0091764F"/>
    <w:rsid w:val="00922D1D"/>
    <w:rsid w:val="0092577B"/>
    <w:rsid w:val="0092614F"/>
    <w:rsid w:val="00926831"/>
    <w:rsid w:val="00933C54"/>
    <w:rsid w:val="00934020"/>
    <w:rsid w:val="00936276"/>
    <w:rsid w:val="009366F8"/>
    <w:rsid w:val="00937163"/>
    <w:rsid w:val="009415D2"/>
    <w:rsid w:val="00942FF5"/>
    <w:rsid w:val="00943B39"/>
    <w:rsid w:val="00943F58"/>
    <w:rsid w:val="0094443B"/>
    <w:rsid w:val="0094784E"/>
    <w:rsid w:val="0094793B"/>
    <w:rsid w:val="00954109"/>
    <w:rsid w:val="00956336"/>
    <w:rsid w:val="0096197F"/>
    <w:rsid w:val="0096341D"/>
    <w:rsid w:val="00964108"/>
    <w:rsid w:val="00964882"/>
    <w:rsid w:val="00965E89"/>
    <w:rsid w:val="009678EF"/>
    <w:rsid w:val="00971E84"/>
    <w:rsid w:val="00972737"/>
    <w:rsid w:val="00972D10"/>
    <w:rsid w:val="00975526"/>
    <w:rsid w:val="00976894"/>
    <w:rsid w:val="0098095B"/>
    <w:rsid w:val="00980CE5"/>
    <w:rsid w:val="00981293"/>
    <w:rsid w:val="009816BB"/>
    <w:rsid w:val="009829BE"/>
    <w:rsid w:val="009829FE"/>
    <w:rsid w:val="00984168"/>
    <w:rsid w:val="0098473F"/>
    <w:rsid w:val="00986125"/>
    <w:rsid w:val="00986130"/>
    <w:rsid w:val="00986C33"/>
    <w:rsid w:val="009875FE"/>
    <w:rsid w:val="00987946"/>
    <w:rsid w:val="00990C32"/>
    <w:rsid w:val="009914DB"/>
    <w:rsid w:val="00993DD3"/>
    <w:rsid w:val="00994061"/>
    <w:rsid w:val="00996A73"/>
    <w:rsid w:val="0099765D"/>
    <w:rsid w:val="009A21F7"/>
    <w:rsid w:val="009A6828"/>
    <w:rsid w:val="009B0025"/>
    <w:rsid w:val="009B115E"/>
    <w:rsid w:val="009B280B"/>
    <w:rsid w:val="009B499F"/>
    <w:rsid w:val="009B54E6"/>
    <w:rsid w:val="009C221B"/>
    <w:rsid w:val="009C2249"/>
    <w:rsid w:val="009C295C"/>
    <w:rsid w:val="009C42F0"/>
    <w:rsid w:val="009C5D2B"/>
    <w:rsid w:val="009D0A6C"/>
    <w:rsid w:val="009D2D3E"/>
    <w:rsid w:val="009E280D"/>
    <w:rsid w:val="009E3F33"/>
    <w:rsid w:val="009E77CE"/>
    <w:rsid w:val="009F07B1"/>
    <w:rsid w:val="009F1AC6"/>
    <w:rsid w:val="009F3D52"/>
    <w:rsid w:val="009F46DE"/>
    <w:rsid w:val="009F7053"/>
    <w:rsid w:val="00A00218"/>
    <w:rsid w:val="00A01041"/>
    <w:rsid w:val="00A013E6"/>
    <w:rsid w:val="00A02955"/>
    <w:rsid w:val="00A059CF"/>
    <w:rsid w:val="00A161A9"/>
    <w:rsid w:val="00A20C87"/>
    <w:rsid w:val="00A214E6"/>
    <w:rsid w:val="00A236AA"/>
    <w:rsid w:val="00A239C4"/>
    <w:rsid w:val="00A24AE5"/>
    <w:rsid w:val="00A27AD2"/>
    <w:rsid w:val="00A31FBE"/>
    <w:rsid w:val="00A3492F"/>
    <w:rsid w:val="00A434D9"/>
    <w:rsid w:val="00A434EB"/>
    <w:rsid w:val="00A443E0"/>
    <w:rsid w:val="00A50EF9"/>
    <w:rsid w:val="00A51D94"/>
    <w:rsid w:val="00A53947"/>
    <w:rsid w:val="00A56467"/>
    <w:rsid w:val="00A60454"/>
    <w:rsid w:val="00A643CF"/>
    <w:rsid w:val="00A646A8"/>
    <w:rsid w:val="00A64CFB"/>
    <w:rsid w:val="00A660F9"/>
    <w:rsid w:val="00A66B31"/>
    <w:rsid w:val="00A6706D"/>
    <w:rsid w:val="00A674E8"/>
    <w:rsid w:val="00A7108D"/>
    <w:rsid w:val="00A71821"/>
    <w:rsid w:val="00A7425C"/>
    <w:rsid w:val="00A75AAB"/>
    <w:rsid w:val="00A77C2A"/>
    <w:rsid w:val="00A8366F"/>
    <w:rsid w:val="00A83ACD"/>
    <w:rsid w:val="00A8408F"/>
    <w:rsid w:val="00A86BC1"/>
    <w:rsid w:val="00A909F4"/>
    <w:rsid w:val="00A90FFC"/>
    <w:rsid w:val="00A93CEE"/>
    <w:rsid w:val="00A95DBF"/>
    <w:rsid w:val="00A97ECB"/>
    <w:rsid w:val="00AA2400"/>
    <w:rsid w:val="00AA35DA"/>
    <w:rsid w:val="00AA5C47"/>
    <w:rsid w:val="00AA77E6"/>
    <w:rsid w:val="00AB22FD"/>
    <w:rsid w:val="00AB249C"/>
    <w:rsid w:val="00AB3141"/>
    <w:rsid w:val="00AB5EF7"/>
    <w:rsid w:val="00AB609D"/>
    <w:rsid w:val="00AB66B8"/>
    <w:rsid w:val="00AC2268"/>
    <w:rsid w:val="00AC27AF"/>
    <w:rsid w:val="00AD33BF"/>
    <w:rsid w:val="00AD65BF"/>
    <w:rsid w:val="00AD75D8"/>
    <w:rsid w:val="00AD7CAC"/>
    <w:rsid w:val="00AD7D99"/>
    <w:rsid w:val="00AD7DE4"/>
    <w:rsid w:val="00AE1082"/>
    <w:rsid w:val="00AE3D01"/>
    <w:rsid w:val="00AE4FC4"/>
    <w:rsid w:val="00AE5260"/>
    <w:rsid w:val="00AE5CF7"/>
    <w:rsid w:val="00AE5F5F"/>
    <w:rsid w:val="00AE67B6"/>
    <w:rsid w:val="00AF08A4"/>
    <w:rsid w:val="00AF3442"/>
    <w:rsid w:val="00AF49A0"/>
    <w:rsid w:val="00AF5D13"/>
    <w:rsid w:val="00AF6684"/>
    <w:rsid w:val="00AF7CFA"/>
    <w:rsid w:val="00B00C39"/>
    <w:rsid w:val="00B021E1"/>
    <w:rsid w:val="00B05EB7"/>
    <w:rsid w:val="00B0641E"/>
    <w:rsid w:val="00B0767C"/>
    <w:rsid w:val="00B1435B"/>
    <w:rsid w:val="00B17226"/>
    <w:rsid w:val="00B1739F"/>
    <w:rsid w:val="00B20435"/>
    <w:rsid w:val="00B2193F"/>
    <w:rsid w:val="00B26F5E"/>
    <w:rsid w:val="00B333E0"/>
    <w:rsid w:val="00B34169"/>
    <w:rsid w:val="00B36ADF"/>
    <w:rsid w:val="00B40DB4"/>
    <w:rsid w:val="00B43529"/>
    <w:rsid w:val="00B441A3"/>
    <w:rsid w:val="00B4463D"/>
    <w:rsid w:val="00B45828"/>
    <w:rsid w:val="00B4788F"/>
    <w:rsid w:val="00B51037"/>
    <w:rsid w:val="00B514E1"/>
    <w:rsid w:val="00B51807"/>
    <w:rsid w:val="00B51D11"/>
    <w:rsid w:val="00B52304"/>
    <w:rsid w:val="00B537AA"/>
    <w:rsid w:val="00B54BEC"/>
    <w:rsid w:val="00B5661B"/>
    <w:rsid w:val="00B568D1"/>
    <w:rsid w:val="00B56F9E"/>
    <w:rsid w:val="00B6040F"/>
    <w:rsid w:val="00B60D18"/>
    <w:rsid w:val="00B70AB4"/>
    <w:rsid w:val="00B75BD6"/>
    <w:rsid w:val="00B7681D"/>
    <w:rsid w:val="00B770F9"/>
    <w:rsid w:val="00B809C3"/>
    <w:rsid w:val="00B82CF7"/>
    <w:rsid w:val="00B82E6C"/>
    <w:rsid w:val="00B83E5B"/>
    <w:rsid w:val="00B840FF"/>
    <w:rsid w:val="00B8423A"/>
    <w:rsid w:val="00B850F5"/>
    <w:rsid w:val="00B85D28"/>
    <w:rsid w:val="00B87227"/>
    <w:rsid w:val="00B923D8"/>
    <w:rsid w:val="00B924CB"/>
    <w:rsid w:val="00B92FEB"/>
    <w:rsid w:val="00BA0BF9"/>
    <w:rsid w:val="00BA1742"/>
    <w:rsid w:val="00BA2016"/>
    <w:rsid w:val="00BA2F84"/>
    <w:rsid w:val="00BA4504"/>
    <w:rsid w:val="00BA6A1E"/>
    <w:rsid w:val="00BA779B"/>
    <w:rsid w:val="00BB14E3"/>
    <w:rsid w:val="00BB2113"/>
    <w:rsid w:val="00BB4F87"/>
    <w:rsid w:val="00BB6955"/>
    <w:rsid w:val="00BB7076"/>
    <w:rsid w:val="00BC29FF"/>
    <w:rsid w:val="00BC31D7"/>
    <w:rsid w:val="00BC4DC9"/>
    <w:rsid w:val="00BC7BDB"/>
    <w:rsid w:val="00BD0888"/>
    <w:rsid w:val="00BD2382"/>
    <w:rsid w:val="00BD38A7"/>
    <w:rsid w:val="00BD4CB1"/>
    <w:rsid w:val="00BD5685"/>
    <w:rsid w:val="00BD58EC"/>
    <w:rsid w:val="00BD6361"/>
    <w:rsid w:val="00BD6C5E"/>
    <w:rsid w:val="00BD7122"/>
    <w:rsid w:val="00BE1F7A"/>
    <w:rsid w:val="00BE7ED4"/>
    <w:rsid w:val="00BF1F32"/>
    <w:rsid w:val="00BF208A"/>
    <w:rsid w:val="00BF5015"/>
    <w:rsid w:val="00BF7CA8"/>
    <w:rsid w:val="00C000E6"/>
    <w:rsid w:val="00C006C2"/>
    <w:rsid w:val="00C03191"/>
    <w:rsid w:val="00C070F9"/>
    <w:rsid w:val="00C0746C"/>
    <w:rsid w:val="00C10A53"/>
    <w:rsid w:val="00C11B1A"/>
    <w:rsid w:val="00C13846"/>
    <w:rsid w:val="00C1558A"/>
    <w:rsid w:val="00C16E65"/>
    <w:rsid w:val="00C21D05"/>
    <w:rsid w:val="00C32E25"/>
    <w:rsid w:val="00C409F2"/>
    <w:rsid w:val="00C40EFF"/>
    <w:rsid w:val="00C426BD"/>
    <w:rsid w:val="00C42D2A"/>
    <w:rsid w:val="00C442F5"/>
    <w:rsid w:val="00C50F27"/>
    <w:rsid w:val="00C561A1"/>
    <w:rsid w:val="00C57185"/>
    <w:rsid w:val="00C576DE"/>
    <w:rsid w:val="00C60374"/>
    <w:rsid w:val="00C61455"/>
    <w:rsid w:val="00C61701"/>
    <w:rsid w:val="00C65F10"/>
    <w:rsid w:val="00C71C6A"/>
    <w:rsid w:val="00C74CE6"/>
    <w:rsid w:val="00C750F1"/>
    <w:rsid w:val="00C754C6"/>
    <w:rsid w:val="00C75D0D"/>
    <w:rsid w:val="00C761F9"/>
    <w:rsid w:val="00C774D4"/>
    <w:rsid w:val="00C77592"/>
    <w:rsid w:val="00C775F0"/>
    <w:rsid w:val="00C77D07"/>
    <w:rsid w:val="00C842E7"/>
    <w:rsid w:val="00C8459E"/>
    <w:rsid w:val="00C9312C"/>
    <w:rsid w:val="00C97457"/>
    <w:rsid w:val="00C97B27"/>
    <w:rsid w:val="00CA468C"/>
    <w:rsid w:val="00CA54D2"/>
    <w:rsid w:val="00CA67B4"/>
    <w:rsid w:val="00CB2000"/>
    <w:rsid w:val="00CB621C"/>
    <w:rsid w:val="00CC02F2"/>
    <w:rsid w:val="00CC13CF"/>
    <w:rsid w:val="00CC2DBD"/>
    <w:rsid w:val="00CC3A27"/>
    <w:rsid w:val="00CC69FA"/>
    <w:rsid w:val="00CC6B34"/>
    <w:rsid w:val="00CC7127"/>
    <w:rsid w:val="00CD09B4"/>
    <w:rsid w:val="00CD0CDE"/>
    <w:rsid w:val="00CD6EE8"/>
    <w:rsid w:val="00CD7773"/>
    <w:rsid w:val="00CE691B"/>
    <w:rsid w:val="00CE78B9"/>
    <w:rsid w:val="00CF3757"/>
    <w:rsid w:val="00CF48A1"/>
    <w:rsid w:val="00CF5CD9"/>
    <w:rsid w:val="00CF6077"/>
    <w:rsid w:val="00CF67F1"/>
    <w:rsid w:val="00D004DE"/>
    <w:rsid w:val="00D00D24"/>
    <w:rsid w:val="00D01E73"/>
    <w:rsid w:val="00D030F7"/>
    <w:rsid w:val="00D0314D"/>
    <w:rsid w:val="00D05F0E"/>
    <w:rsid w:val="00D13DA8"/>
    <w:rsid w:val="00D23FBA"/>
    <w:rsid w:val="00D25049"/>
    <w:rsid w:val="00D2665C"/>
    <w:rsid w:val="00D267E9"/>
    <w:rsid w:val="00D31A22"/>
    <w:rsid w:val="00D32CD6"/>
    <w:rsid w:val="00D33E6D"/>
    <w:rsid w:val="00D355AF"/>
    <w:rsid w:val="00D35D09"/>
    <w:rsid w:val="00D3739E"/>
    <w:rsid w:val="00D4185E"/>
    <w:rsid w:val="00D41F1D"/>
    <w:rsid w:val="00D4245E"/>
    <w:rsid w:val="00D424F4"/>
    <w:rsid w:val="00D439CE"/>
    <w:rsid w:val="00D50E3E"/>
    <w:rsid w:val="00D542D9"/>
    <w:rsid w:val="00D56747"/>
    <w:rsid w:val="00D612EB"/>
    <w:rsid w:val="00D61E00"/>
    <w:rsid w:val="00D70B9C"/>
    <w:rsid w:val="00D71AF2"/>
    <w:rsid w:val="00D73671"/>
    <w:rsid w:val="00D74914"/>
    <w:rsid w:val="00D76110"/>
    <w:rsid w:val="00D765FC"/>
    <w:rsid w:val="00D82481"/>
    <w:rsid w:val="00D8264B"/>
    <w:rsid w:val="00D873DA"/>
    <w:rsid w:val="00D87CD1"/>
    <w:rsid w:val="00D9028D"/>
    <w:rsid w:val="00D91F21"/>
    <w:rsid w:val="00D92282"/>
    <w:rsid w:val="00D935CD"/>
    <w:rsid w:val="00D94273"/>
    <w:rsid w:val="00D944A0"/>
    <w:rsid w:val="00D946E9"/>
    <w:rsid w:val="00D9738F"/>
    <w:rsid w:val="00DA2A23"/>
    <w:rsid w:val="00DA7EB6"/>
    <w:rsid w:val="00DB01EA"/>
    <w:rsid w:val="00DB1008"/>
    <w:rsid w:val="00DB2502"/>
    <w:rsid w:val="00DB45CC"/>
    <w:rsid w:val="00DB7E41"/>
    <w:rsid w:val="00DC06AC"/>
    <w:rsid w:val="00DC082D"/>
    <w:rsid w:val="00DC1BF6"/>
    <w:rsid w:val="00DC2FDC"/>
    <w:rsid w:val="00DC3A4D"/>
    <w:rsid w:val="00DC4FA6"/>
    <w:rsid w:val="00DC500F"/>
    <w:rsid w:val="00DC76AE"/>
    <w:rsid w:val="00DC7DE0"/>
    <w:rsid w:val="00DD230C"/>
    <w:rsid w:val="00DD2358"/>
    <w:rsid w:val="00DD2D8C"/>
    <w:rsid w:val="00DD2D96"/>
    <w:rsid w:val="00DE0C34"/>
    <w:rsid w:val="00DE2DF3"/>
    <w:rsid w:val="00DE2E74"/>
    <w:rsid w:val="00DE3B31"/>
    <w:rsid w:val="00DE582A"/>
    <w:rsid w:val="00DE7014"/>
    <w:rsid w:val="00DF52FA"/>
    <w:rsid w:val="00DF66D6"/>
    <w:rsid w:val="00DF6C28"/>
    <w:rsid w:val="00E00B48"/>
    <w:rsid w:val="00E01225"/>
    <w:rsid w:val="00E030EE"/>
    <w:rsid w:val="00E05A66"/>
    <w:rsid w:val="00E07CC4"/>
    <w:rsid w:val="00E108C3"/>
    <w:rsid w:val="00E11F03"/>
    <w:rsid w:val="00E120B9"/>
    <w:rsid w:val="00E13179"/>
    <w:rsid w:val="00E13758"/>
    <w:rsid w:val="00E13774"/>
    <w:rsid w:val="00E138E8"/>
    <w:rsid w:val="00E148F3"/>
    <w:rsid w:val="00E151DA"/>
    <w:rsid w:val="00E15382"/>
    <w:rsid w:val="00E20944"/>
    <w:rsid w:val="00E238A2"/>
    <w:rsid w:val="00E251DE"/>
    <w:rsid w:val="00E25B5B"/>
    <w:rsid w:val="00E278A8"/>
    <w:rsid w:val="00E3243B"/>
    <w:rsid w:val="00E335D8"/>
    <w:rsid w:val="00E33707"/>
    <w:rsid w:val="00E34005"/>
    <w:rsid w:val="00E36E59"/>
    <w:rsid w:val="00E413AB"/>
    <w:rsid w:val="00E43274"/>
    <w:rsid w:val="00E4665E"/>
    <w:rsid w:val="00E470CA"/>
    <w:rsid w:val="00E47E75"/>
    <w:rsid w:val="00E530D0"/>
    <w:rsid w:val="00E53F38"/>
    <w:rsid w:val="00E561C6"/>
    <w:rsid w:val="00E64E71"/>
    <w:rsid w:val="00E70FED"/>
    <w:rsid w:val="00E73E35"/>
    <w:rsid w:val="00E807BA"/>
    <w:rsid w:val="00E80F7E"/>
    <w:rsid w:val="00E8164C"/>
    <w:rsid w:val="00E823F4"/>
    <w:rsid w:val="00E82B5F"/>
    <w:rsid w:val="00E83F3E"/>
    <w:rsid w:val="00E90D94"/>
    <w:rsid w:val="00E90E76"/>
    <w:rsid w:val="00E92AB1"/>
    <w:rsid w:val="00E94C63"/>
    <w:rsid w:val="00E95194"/>
    <w:rsid w:val="00E965A1"/>
    <w:rsid w:val="00E96F65"/>
    <w:rsid w:val="00EA5BBB"/>
    <w:rsid w:val="00EA5D48"/>
    <w:rsid w:val="00EB10A7"/>
    <w:rsid w:val="00EB2328"/>
    <w:rsid w:val="00EB48A2"/>
    <w:rsid w:val="00EB6DE7"/>
    <w:rsid w:val="00EB71F5"/>
    <w:rsid w:val="00EB7C61"/>
    <w:rsid w:val="00EC2823"/>
    <w:rsid w:val="00EC3EF0"/>
    <w:rsid w:val="00EC4C3F"/>
    <w:rsid w:val="00ED20CD"/>
    <w:rsid w:val="00ED4442"/>
    <w:rsid w:val="00ED5C95"/>
    <w:rsid w:val="00ED62EB"/>
    <w:rsid w:val="00ED694A"/>
    <w:rsid w:val="00ED76D9"/>
    <w:rsid w:val="00EE1C97"/>
    <w:rsid w:val="00EE3343"/>
    <w:rsid w:val="00EE47EE"/>
    <w:rsid w:val="00EF2318"/>
    <w:rsid w:val="00EF3CA1"/>
    <w:rsid w:val="00EF3E61"/>
    <w:rsid w:val="00F060A4"/>
    <w:rsid w:val="00F06124"/>
    <w:rsid w:val="00F07523"/>
    <w:rsid w:val="00F132D8"/>
    <w:rsid w:val="00F16B10"/>
    <w:rsid w:val="00F231AB"/>
    <w:rsid w:val="00F24BB1"/>
    <w:rsid w:val="00F25627"/>
    <w:rsid w:val="00F25D1D"/>
    <w:rsid w:val="00F273F9"/>
    <w:rsid w:val="00F304EE"/>
    <w:rsid w:val="00F31638"/>
    <w:rsid w:val="00F31887"/>
    <w:rsid w:val="00F335D0"/>
    <w:rsid w:val="00F35671"/>
    <w:rsid w:val="00F366DA"/>
    <w:rsid w:val="00F400C4"/>
    <w:rsid w:val="00F40A43"/>
    <w:rsid w:val="00F40F15"/>
    <w:rsid w:val="00F41E90"/>
    <w:rsid w:val="00F4710F"/>
    <w:rsid w:val="00F505B2"/>
    <w:rsid w:val="00F52A8D"/>
    <w:rsid w:val="00F53A81"/>
    <w:rsid w:val="00F57D8D"/>
    <w:rsid w:val="00F60E88"/>
    <w:rsid w:val="00F617B7"/>
    <w:rsid w:val="00F62DA5"/>
    <w:rsid w:val="00F67B04"/>
    <w:rsid w:val="00F73799"/>
    <w:rsid w:val="00F73B29"/>
    <w:rsid w:val="00F757F6"/>
    <w:rsid w:val="00F823B7"/>
    <w:rsid w:val="00F82B69"/>
    <w:rsid w:val="00F86321"/>
    <w:rsid w:val="00F90437"/>
    <w:rsid w:val="00F91188"/>
    <w:rsid w:val="00F9546C"/>
    <w:rsid w:val="00F96CF9"/>
    <w:rsid w:val="00F97B72"/>
    <w:rsid w:val="00FA10A8"/>
    <w:rsid w:val="00FA1427"/>
    <w:rsid w:val="00FA3134"/>
    <w:rsid w:val="00FA3FFD"/>
    <w:rsid w:val="00FA45BA"/>
    <w:rsid w:val="00FA4B03"/>
    <w:rsid w:val="00FA5296"/>
    <w:rsid w:val="00FA7B99"/>
    <w:rsid w:val="00FB1E8C"/>
    <w:rsid w:val="00FB1F93"/>
    <w:rsid w:val="00FB48DF"/>
    <w:rsid w:val="00FB5972"/>
    <w:rsid w:val="00FB632F"/>
    <w:rsid w:val="00FB6ACF"/>
    <w:rsid w:val="00FB7767"/>
    <w:rsid w:val="00FC07D0"/>
    <w:rsid w:val="00FC3BAF"/>
    <w:rsid w:val="00FC5824"/>
    <w:rsid w:val="00FC5D22"/>
    <w:rsid w:val="00FC758F"/>
    <w:rsid w:val="00FC7BBC"/>
    <w:rsid w:val="00FD01BA"/>
    <w:rsid w:val="00FD0CA5"/>
    <w:rsid w:val="00FD4012"/>
    <w:rsid w:val="00FE20F3"/>
    <w:rsid w:val="00FE4D45"/>
    <w:rsid w:val="00FE5DD7"/>
    <w:rsid w:val="00FE7C72"/>
    <w:rsid w:val="00FF4F25"/>
    <w:rsid w:val="00FF5079"/>
    <w:rsid w:val="00FF6B57"/>
    <w:rsid w:val="011E68DB"/>
    <w:rsid w:val="01213BAC"/>
    <w:rsid w:val="01361D70"/>
    <w:rsid w:val="01383245"/>
    <w:rsid w:val="014F1C07"/>
    <w:rsid w:val="01536978"/>
    <w:rsid w:val="01574519"/>
    <w:rsid w:val="01590A5D"/>
    <w:rsid w:val="016B3A31"/>
    <w:rsid w:val="01852FBD"/>
    <w:rsid w:val="01992300"/>
    <w:rsid w:val="01A20D86"/>
    <w:rsid w:val="01B30C63"/>
    <w:rsid w:val="01B841E6"/>
    <w:rsid w:val="01B97168"/>
    <w:rsid w:val="01C01527"/>
    <w:rsid w:val="01D92B20"/>
    <w:rsid w:val="01E16896"/>
    <w:rsid w:val="020B0590"/>
    <w:rsid w:val="02562AAF"/>
    <w:rsid w:val="02596AFF"/>
    <w:rsid w:val="025B2B7B"/>
    <w:rsid w:val="0264611C"/>
    <w:rsid w:val="026A625A"/>
    <w:rsid w:val="02CE3596"/>
    <w:rsid w:val="02D75655"/>
    <w:rsid w:val="02DB6913"/>
    <w:rsid w:val="02FD4E83"/>
    <w:rsid w:val="030A0A72"/>
    <w:rsid w:val="03114091"/>
    <w:rsid w:val="0313173F"/>
    <w:rsid w:val="031F2043"/>
    <w:rsid w:val="032B085F"/>
    <w:rsid w:val="032F4898"/>
    <w:rsid w:val="0334789D"/>
    <w:rsid w:val="03393105"/>
    <w:rsid w:val="034032FA"/>
    <w:rsid w:val="03407AC4"/>
    <w:rsid w:val="0360542C"/>
    <w:rsid w:val="036B7036"/>
    <w:rsid w:val="03885E3A"/>
    <w:rsid w:val="038C550B"/>
    <w:rsid w:val="03A2578C"/>
    <w:rsid w:val="03BF6974"/>
    <w:rsid w:val="03C2759E"/>
    <w:rsid w:val="03CC3F79"/>
    <w:rsid w:val="03DF54BE"/>
    <w:rsid w:val="03DF6060"/>
    <w:rsid w:val="03F62DA4"/>
    <w:rsid w:val="040C0819"/>
    <w:rsid w:val="04260EA7"/>
    <w:rsid w:val="043B10FF"/>
    <w:rsid w:val="046E7B7D"/>
    <w:rsid w:val="048172B3"/>
    <w:rsid w:val="04A9250C"/>
    <w:rsid w:val="04AC06B1"/>
    <w:rsid w:val="04C66C1A"/>
    <w:rsid w:val="04DA0918"/>
    <w:rsid w:val="04DA76EC"/>
    <w:rsid w:val="04DC01EC"/>
    <w:rsid w:val="04FA34DB"/>
    <w:rsid w:val="050275F8"/>
    <w:rsid w:val="05121E5F"/>
    <w:rsid w:val="053F69CD"/>
    <w:rsid w:val="056326BB"/>
    <w:rsid w:val="058A7C48"/>
    <w:rsid w:val="059D3E1F"/>
    <w:rsid w:val="059D4101"/>
    <w:rsid w:val="05B44CC5"/>
    <w:rsid w:val="05C3236B"/>
    <w:rsid w:val="05E76723"/>
    <w:rsid w:val="06017CF3"/>
    <w:rsid w:val="06206A3C"/>
    <w:rsid w:val="064A7D7E"/>
    <w:rsid w:val="06563FCE"/>
    <w:rsid w:val="068B5A0C"/>
    <w:rsid w:val="06965847"/>
    <w:rsid w:val="069A088E"/>
    <w:rsid w:val="06B76E9C"/>
    <w:rsid w:val="06B83CEE"/>
    <w:rsid w:val="06C158EB"/>
    <w:rsid w:val="06EB4687"/>
    <w:rsid w:val="06EC1937"/>
    <w:rsid w:val="070103DE"/>
    <w:rsid w:val="0708351A"/>
    <w:rsid w:val="07466584"/>
    <w:rsid w:val="074D1C6E"/>
    <w:rsid w:val="0788465B"/>
    <w:rsid w:val="078915E0"/>
    <w:rsid w:val="07AB20F7"/>
    <w:rsid w:val="07B13BB2"/>
    <w:rsid w:val="07B55BE9"/>
    <w:rsid w:val="07C2022D"/>
    <w:rsid w:val="07CA4C73"/>
    <w:rsid w:val="07EE2AB2"/>
    <w:rsid w:val="07F817E1"/>
    <w:rsid w:val="07F97307"/>
    <w:rsid w:val="082D0D5E"/>
    <w:rsid w:val="0831161B"/>
    <w:rsid w:val="08326CFE"/>
    <w:rsid w:val="084314D4"/>
    <w:rsid w:val="084E7652"/>
    <w:rsid w:val="08527ED9"/>
    <w:rsid w:val="08856DEC"/>
    <w:rsid w:val="08A94889"/>
    <w:rsid w:val="08AC35B4"/>
    <w:rsid w:val="08CC1E53"/>
    <w:rsid w:val="08D134AC"/>
    <w:rsid w:val="08D4742C"/>
    <w:rsid w:val="09067A52"/>
    <w:rsid w:val="09226D26"/>
    <w:rsid w:val="092403B3"/>
    <w:rsid w:val="0935611C"/>
    <w:rsid w:val="09434CDD"/>
    <w:rsid w:val="0946657C"/>
    <w:rsid w:val="09502F56"/>
    <w:rsid w:val="09611A54"/>
    <w:rsid w:val="09866501"/>
    <w:rsid w:val="09AD2157"/>
    <w:rsid w:val="09B23C11"/>
    <w:rsid w:val="09B74D83"/>
    <w:rsid w:val="09CF7458"/>
    <w:rsid w:val="09D73678"/>
    <w:rsid w:val="09DB5131"/>
    <w:rsid w:val="09FC6C3A"/>
    <w:rsid w:val="0A0414DC"/>
    <w:rsid w:val="0A1B17B6"/>
    <w:rsid w:val="0A1B5312"/>
    <w:rsid w:val="0A1E3055"/>
    <w:rsid w:val="0A7370DB"/>
    <w:rsid w:val="0A896E9F"/>
    <w:rsid w:val="0AC720F5"/>
    <w:rsid w:val="0AFC1310"/>
    <w:rsid w:val="0B034809"/>
    <w:rsid w:val="0B0A5387"/>
    <w:rsid w:val="0B0C10FF"/>
    <w:rsid w:val="0B286322"/>
    <w:rsid w:val="0B2B0BF5"/>
    <w:rsid w:val="0B3537E8"/>
    <w:rsid w:val="0B501AB6"/>
    <w:rsid w:val="0B521208"/>
    <w:rsid w:val="0B541AF5"/>
    <w:rsid w:val="0B5D4FB1"/>
    <w:rsid w:val="0B6D7EB1"/>
    <w:rsid w:val="0B957F70"/>
    <w:rsid w:val="0B9B6894"/>
    <w:rsid w:val="0BA72079"/>
    <w:rsid w:val="0BD065D0"/>
    <w:rsid w:val="0BDD4E5B"/>
    <w:rsid w:val="0BE75837"/>
    <w:rsid w:val="0BEA7692"/>
    <w:rsid w:val="0C0149DC"/>
    <w:rsid w:val="0C1F67F7"/>
    <w:rsid w:val="0C2C27E1"/>
    <w:rsid w:val="0C3D1AC7"/>
    <w:rsid w:val="0C40213B"/>
    <w:rsid w:val="0C734C64"/>
    <w:rsid w:val="0C7A1B57"/>
    <w:rsid w:val="0C8C60BC"/>
    <w:rsid w:val="0C9A3091"/>
    <w:rsid w:val="0CAC0DEC"/>
    <w:rsid w:val="0CCF5BE1"/>
    <w:rsid w:val="0CD03118"/>
    <w:rsid w:val="0D054E9E"/>
    <w:rsid w:val="0D15073F"/>
    <w:rsid w:val="0D342335"/>
    <w:rsid w:val="0D380117"/>
    <w:rsid w:val="0D745385"/>
    <w:rsid w:val="0D815257"/>
    <w:rsid w:val="0D841421"/>
    <w:rsid w:val="0D896A37"/>
    <w:rsid w:val="0D9B1F18"/>
    <w:rsid w:val="0DAD6BC9"/>
    <w:rsid w:val="0DAE2941"/>
    <w:rsid w:val="0DDA54E4"/>
    <w:rsid w:val="0DEE0F90"/>
    <w:rsid w:val="0DF93BBD"/>
    <w:rsid w:val="0DFD5C70"/>
    <w:rsid w:val="0DFE7425"/>
    <w:rsid w:val="0DFF4F4B"/>
    <w:rsid w:val="0E2826F4"/>
    <w:rsid w:val="0E2D5254"/>
    <w:rsid w:val="0E3270CE"/>
    <w:rsid w:val="0E3E1F17"/>
    <w:rsid w:val="0E445DB5"/>
    <w:rsid w:val="0E52151F"/>
    <w:rsid w:val="0E686A3B"/>
    <w:rsid w:val="0EA004DC"/>
    <w:rsid w:val="0EAC08FD"/>
    <w:rsid w:val="0EBB5316"/>
    <w:rsid w:val="0EE87CEF"/>
    <w:rsid w:val="0F024CF3"/>
    <w:rsid w:val="0F0E09E8"/>
    <w:rsid w:val="0F28279D"/>
    <w:rsid w:val="0F391A89"/>
    <w:rsid w:val="0F3F1255"/>
    <w:rsid w:val="0F64775C"/>
    <w:rsid w:val="0F67724C"/>
    <w:rsid w:val="0F732473"/>
    <w:rsid w:val="0F8B118C"/>
    <w:rsid w:val="0FA67D74"/>
    <w:rsid w:val="0FB06A57"/>
    <w:rsid w:val="0FB83603"/>
    <w:rsid w:val="0FC95811"/>
    <w:rsid w:val="0FCE5F07"/>
    <w:rsid w:val="0FF334F9"/>
    <w:rsid w:val="0FF619CB"/>
    <w:rsid w:val="100F2248"/>
    <w:rsid w:val="10260EB5"/>
    <w:rsid w:val="1026641D"/>
    <w:rsid w:val="1031713E"/>
    <w:rsid w:val="103233B6"/>
    <w:rsid w:val="103D173A"/>
    <w:rsid w:val="103F3259"/>
    <w:rsid w:val="104135F9"/>
    <w:rsid w:val="10415982"/>
    <w:rsid w:val="10624E86"/>
    <w:rsid w:val="106D2640"/>
    <w:rsid w:val="10817E99"/>
    <w:rsid w:val="10897D96"/>
    <w:rsid w:val="10A91F77"/>
    <w:rsid w:val="10B63FE7"/>
    <w:rsid w:val="10E548CC"/>
    <w:rsid w:val="110C7406"/>
    <w:rsid w:val="11371B10"/>
    <w:rsid w:val="114233DA"/>
    <w:rsid w:val="11566AC8"/>
    <w:rsid w:val="116B1C4D"/>
    <w:rsid w:val="117143B2"/>
    <w:rsid w:val="118A2253"/>
    <w:rsid w:val="11A92794"/>
    <w:rsid w:val="11C96554"/>
    <w:rsid w:val="11CF080C"/>
    <w:rsid w:val="11D54941"/>
    <w:rsid w:val="11F36B75"/>
    <w:rsid w:val="12191349"/>
    <w:rsid w:val="121D1E44"/>
    <w:rsid w:val="122136E2"/>
    <w:rsid w:val="1222745A"/>
    <w:rsid w:val="122D02D9"/>
    <w:rsid w:val="123D630D"/>
    <w:rsid w:val="12525F91"/>
    <w:rsid w:val="12673EBC"/>
    <w:rsid w:val="12883761"/>
    <w:rsid w:val="128B4FFF"/>
    <w:rsid w:val="128B732C"/>
    <w:rsid w:val="128F2030"/>
    <w:rsid w:val="129906A9"/>
    <w:rsid w:val="129A7727"/>
    <w:rsid w:val="129E6845"/>
    <w:rsid w:val="12C475B4"/>
    <w:rsid w:val="12C75E0A"/>
    <w:rsid w:val="12DE7825"/>
    <w:rsid w:val="12DF65E9"/>
    <w:rsid w:val="12EA61CA"/>
    <w:rsid w:val="130E475C"/>
    <w:rsid w:val="13144FF5"/>
    <w:rsid w:val="13156477"/>
    <w:rsid w:val="13174AE5"/>
    <w:rsid w:val="13280AA0"/>
    <w:rsid w:val="132E4300"/>
    <w:rsid w:val="13345B27"/>
    <w:rsid w:val="134A7CC6"/>
    <w:rsid w:val="13535697"/>
    <w:rsid w:val="13582348"/>
    <w:rsid w:val="13702B73"/>
    <w:rsid w:val="139525D9"/>
    <w:rsid w:val="13CA5182"/>
    <w:rsid w:val="14040F40"/>
    <w:rsid w:val="14132BB3"/>
    <w:rsid w:val="141B014F"/>
    <w:rsid w:val="14321BD6"/>
    <w:rsid w:val="1459605D"/>
    <w:rsid w:val="146B333A"/>
    <w:rsid w:val="146D445E"/>
    <w:rsid w:val="14746D63"/>
    <w:rsid w:val="14943218"/>
    <w:rsid w:val="149C0824"/>
    <w:rsid w:val="149D108E"/>
    <w:rsid w:val="14A354D4"/>
    <w:rsid w:val="14D905E8"/>
    <w:rsid w:val="14EB1DDB"/>
    <w:rsid w:val="15032864"/>
    <w:rsid w:val="15033573"/>
    <w:rsid w:val="151439D2"/>
    <w:rsid w:val="151632A6"/>
    <w:rsid w:val="15593193"/>
    <w:rsid w:val="155B6253"/>
    <w:rsid w:val="155D2124"/>
    <w:rsid w:val="15604521"/>
    <w:rsid w:val="1568688A"/>
    <w:rsid w:val="157D3325"/>
    <w:rsid w:val="158404F6"/>
    <w:rsid w:val="15890C53"/>
    <w:rsid w:val="159B5C6D"/>
    <w:rsid w:val="15A02F9E"/>
    <w:rsid w:val="15A87CC5"/>
    <w:rsid w:val="15D31197"/>
    <w:rsid w:val="15E464B6"/>
    <w:rsid w:val="15FB249C"/>
    <w:rsid w:val="160C31F1"/>
    <w:rsid w:val="161C2B3E"/>
    <w:rsid w:val="16330DE2"/>
    <w:rsid w:val="166D339A"/>
    <w:rsid w:val="169F376F"/>
    <w:rsid w:val="16CD690B"/>
    <w:rsid w:val="16E66CA8"/>
    <w:rsid w:val="17114CB2"/>
    <w:rsid w:val="171C4DC0"/>
    <w:rsid w:val="1726179A"/>
    <w:rsid w:val="1740419A"/>
    <w:rsid w:val="174340FA"/>
    <w:rsid w:val="176C53FF"/>
    <w:rsid w:val="176D1177"/>
    <w:rsid w:val="17774824"/>
    <w:rsid w:val="178A2532"/>
    <w:rsid w:val="178D1819"/>
    <w:rsid w:val="17A41D39"/>
    <w:rsid w:val="17A93DE2"/>
    <w:rsid w:val="17AC3F66"/>
    <w:rsid w:val="17B806AF"/>
    <w:rsid w:val="17BE7C25"/>
    <w:rsid w:val="18210B0D"/>
    <w:rsid w:val="184243B2"/>
    <w:rsid w:val="18477C1A"/>
    <w:rsid w:val="18561C0B"/>
    <w:rsid w:val="18625F4B"/>
    <w:rsid w:val="189F1B1B"/>
    <w:rsid w:val="18CF0DDA"/>
    <w:rsid w:val="18D3538A"/>
    <w:rsid w:val="18E45469"/>
    <w:rsid w:val="18F97167"/>
    <w:rsid w:val="191A0231"/>
    <w:rsid w:val="191F3085"/>
    <w:rsid w:val="192520A9"/>
    <w:rsid w:val="19266120"/>
    <w:rsid w:val="19297C1D"/>
    <w:rsid w:val="194C364D"/>
    <w:rsid w:val="195C5A1A"/>
    <w:rsid w:val="19770324"/>
    <w:rsid w:val="197A314C"/>
    <w:rsid w:val="198C7FDB"/>
    <w:rsid w:val="19AF1F1B"/>
    <w:rsid w:val="19B37CB7"/>
    <w:rsid w:val="19BB249E"/>
    <w:rsid w:val="19FC0261"/>
    <w:rsid w:val="1A13070C"/>
    <w:rsid w:val="1A3A17E5"/>
    <w:rsid w:val="1A5B52C8"/>
    <w:rsid w:val="1A5F49C1"/>
    <w:rsid w:val="1A644AB4"/>
    <w:rsid w:val="1A6E5932"/>
    <w:rsid w:val="1A9979D7"/>
    <w:rsid w:val="1AB05F4B"/>
    <w:rsid w:val="1ABC669E"/>
    <w:rsid w:val="1AD429A9"/>
    <w:rsid w:val="1AF4543E"/>
    <w:rsid w:val="1AF5570C"/>
    <w:rsid w:val="1B045DCF"/>
    <w:rsid w:val="1B1F4E7E"/>
    <w:rsid w:val="1B34013A"/>
    <w:rsid w:val="1B3F107D"/>
    <w:rsid w:val="1B4D5548"/>
    <w:rsid w:val="1B521A2A"/>
    <w:rsid w:val="1B721452"/>
    <w:rsid w:val="1B7E7DF7"/>
    <w:rsid w:val="1B852F33"/>
    <w:rsid w:val="1B860A5A"/>
    <w:rsid w:val="1B8750B1"/>
    <w:rsid w:val="1BD074B5"/>
    <w:rsid w:val="1BE7599C"/>
    <w:rsid w:val="1BEE4886"/>
    <w:rsid w:val="1BF43FF7"/>
    <w:rsid w:val="1BF87407"/>
    <w:rsid w:val="1BFB4181"/>
    <w:rsid w:val="1C076EA3"/>
    <w:rsid w:val="1C0A3439"/>
    <w:rsid w:val="1C117D10"/>
    <w:rsid w:val="1C181F6B"/>
    <w:rsid w:val="1C3460DF"/>
    <w:rsid w:val="1C393D1E"/>
    <w:rsid w:val="1C424981"/>
    <w:rsid w:val="1C477F4E"/>
    <w:rsid w:val="1C4A7AF6"/>
    <w:rsid w:val="1C5841A4"/>
    <w:rsid w:val="1C6D6B32"/>
    <w:rsid w:val="1C7B60E4"/>
    <w:rsid w:val="1C9053DD"/>
    <w:rsid w:val="1C9757EE"/>
    <w:rsid w:val="1C9C08D3"/>
    <w:rsid w:val="1CA4517A"/>
    <w:rsid w:val="1CAC2742"/>
    <w:rsid w:val="1CC07ED6"/>
    <w:rsid w:val="1CCC104A"/>
    <w:rsid w:val="1CD33FFB"/>
    <w:rsid w:val="1CD51C99"/>
    <w:rsid w:val="1CEB6DC6"/>
    <w:rsid w:val="1CEC5502"/>
    <w:rsid w:val="1CFA16FF"/>
    <w:rsid w:val="1CFC5477"/>
    <w:rsid w:val="1D1F4CC2"/>
    <w:rsid w:val="1D48246B"/>
    <w:rsid w:val="1D4E68CD"/>
    <w:rsid w:val="1D4F453F"/>
    <w:rsid w:val="1D6444BD"/>
    <w:rsid w:val="1D6A55C5"/>
    <w:rsid w:val="1D6B6159"/>
    <w:rsid w:val="1D715330"/>
    <w:rsid w:val="1D7F058B"/>
    <w:rsid w:val="1D884F5D"/>
    <w:rsid w:val="1D8D3097"/>
    <w:rsid w:val="1D9751A0"/>
    <w:rsid w:val="1DB96EC4"/>
    <w:rsid w:val="1DBC0763"/>
    <w:rsid w:val="1DC87107"/>
    <w:rsid w:val="1DE42E9A"/>
    <w:rsid w:val="1DE67874"/>
    <w:rsid w:val="1DEC54EC"/>
    <w:rsid w:val="1DFA398C"/>
    <w:rsid w:val="1E0A5441"/>
    <w:rsid w:val="1E197963"/>
    <w:rsid w:val="1E236A34"/>
    <w:rsid w:val="1E2C58E8"/>
    <w:rsid w:val="1E4075E6"/>
    <w:rsid w:val="1E6A6BE8"/>
    <w:rsid w:val="1E6F3A27"/>
    <w:rsid w:val="1E7352C5"/>
    <w:rsid w:val="1E790175"/>
    <w:rsid w:val="1E86139B"/>
    <w:rsid w:val="1E894C41"/>
    <w:rsid w:val="1E9811D0"/>
    <w:rsid w:val="1E9A66B1"/>
    <w:rsid w:val="1EA3785B"/>
    <w:rsid w:val="1EB666E9"/>
    <w:rsid w:val="1EBC2FC3"/>
    <w:rsid w:val="1EDE7FDB"/>
    <w:rsid w:val="1EE03AB4"/>
    <w:rsid w:val="1EE93F77"/>
    <w:rsid w:val="1EF06C65"/>
    <w:rsid w:val="1EF32FC4"/>
    <w:rsid w:val="1EFB38DF"/>
    <w:rsid w:val="1EFD1796"/>
    <w:rsid w:val="1F02489B"/>
    <w:rsid w:val="1F203817"/>
    <w:rsid w:val="1F394761"/>
    <w:rsid w:val="1F3F789D"/>
    <w:rsid w:val="1F57795E"/>
    <w:rsid w:val="1F5D0CEC"/>
    <w:rsid w:val="1F7C7944"/>
    <w:rsid w:val="1F882FF2"/>
    <w:rsid w:val="1FC96EB6"/>
    <w:rsid w:val="1FE04BDC"/>
    <w:rsid w:val="1FE513FC"/>
    <w:rsid w:val="1FE73D56"/>
    <w:rsid w:val="1FFB6E0A"/>
    <w:rsid w:val="1FFC6FF6"/>
    <w:rsid w:val="200C6B47"/>
    <w:rsid w:val="20407D66"/>
    <w:rsid w:val="2083297A"/>
    <w:rsid w:val="20875058"/>
    <w:rsid w:val="20A26336"/>
    <w:rsid w:val="20C77B4A"/>
    <w:rsid w:val="210963B5"/>
    <w:rsid w:val="210C13C3"/>
    <w:rsid w:val="212B632B"/>
    <w:rsid w:val="21307DC3"/>
    <w:rsid w:val="21346D20"/>
    <w:rsid w:val="21400B25"/>
    <w:rsid w:val="21416F2F"/>
    <w:rsid w:val="21517734"/>
    <w:rsid w:val="216B07DD"/>
    <w:rsid w:val="21701F90"/>
    <w:rsid w:val="21997739"/>
    <w:rsid w:val="21B96C71"/>
    <w:rsid w:val="21DA1AFF"/>
    <w:rsid w:val="220A5F40"/>
    <w:rsid w:val="222608A0"/>
    <w:rsid w:val="2228687C"/>
    <w:rsid w:val="2229179B"/>
    <w:rsid w:val="22323EC7"/>
    <w:rsid w:val="22356D36"/>
    <w:rsid w:val="2245341D"/>
    <w:rsid w:val="22560D73"/>
    <w:rsid w:val="225B2C40"/>
    <w:rsid w:val="2265761B"/>
    <w:rsid w:val="22721D38"/>
    <w:rsid w:val="22804328"/>
    <w:rsid w:val="228501A7"/>
    <w:rsid w:val="22CD3E28"/>
    <w:rsid w:val="2322550C"/>
    <w:rsid w:val="233D40F4"/>
    <w:rsid w:val="234C3A18"/>
    <w:rsid w:val="23537CED"/>
    <w:rsid w:val="235713A0"/>
    <w:rsid w:val="2366189C"/>
    <w:rsid w:val="237532A0"/>
    <w:rsid w:val="2393640A"/>
    <w:rsid w:val="239540DA"/>
    <w:rsid w:val="23955CDE"/>
    <w:rsid w:val="23B332D3"/>
    <w:rsid w:val="23B720F8"/>
    <w:rsid w:val="23BF0FAD"/>
    <w:rsid w:val="23C16AD3"/>
    <w:rsid w:val="23C53615"/>
    <w:rsid w:val="241906BD"/>
    <w:rsid w:val="241E3F25"/>
    <w:rsid w:val="242C083D"/>
    <w:rsid w:val="243F7377"/>
    <w:rsid w:val="24416F1D"/>
    <w:rsid w:val="2454722D"/>
    <w:rsid w:val="24705167"/>
    <w:rsid w:val="24765B0F"/>
    <w:rsid w:val="247D50F0"/>
    <w:rsid w:val="248936DC"/>
    <w:rsid w:val="24896F9C"/>
    <w:rsid w:val="248C5E2C"/>
    <w:rsid w:val="24AF7273"/>
    <w:rsid w:val="24C7636B"/>
    <w:rsid w:val="24E24F53"/>
    <w:rsid w:val="24E32A79"/>
    <w:rsid w:val="25207829"/>
    <w:rsid w:val="252433A9"/>
    <w:rsid w:val="253634F0"/>
    <w:rsid w:val="2548768E"/>
    <w:rsid w:val="256718FC"/>
    <w:rsid w:val="25706A02"/>
    <w:rsid w:val="258424AE"/>
    <w:rsid w:val="25867FD4"/>
    <w:rsid w:val="25AC65E3"/>
    <w:rsid w:val="25CC1CE4"/>
    <w:rsid w:val="25E82A3D"/>
    <w:rsid w:val="25EE5B5C"/>
    <w:rsid w:val="25F27417"/>
    <w:rsid w:val="26151358"/>
    <w:rsid w:val="26154EB4"/>
    <w:rsid w:val="26215F4F"/>
    <w:rsid w:val="26461511"/>
    <w:rsid w:val="266320C3"/>
    <w:rsid w:val="26650304"/>
    <w:rsid w:val="2666021C"/>
    <w:rsid w:val="269C5683"/>
    <w:rsid w:val="26A30712"/>
    <w:rsid w:val="26BF0015"/>
    <w:rsid w:val="26D134D1"/>
    <w:rsid w:val="26D15547"/>
    <w:rsid w:val="26D46B1D"/>
    <w:rsid w:val="26DB1B9F"/>
    <w:rsid w:val="26F176CF"/>
    <w:rsid w:val="270C4509"/>
    <w:rsid w:val="27372229"/>
    <w:rsid w:val="274069F6"/>
    <w:rsid w:val="27577EAE"/>
    <w:rsid w:val="27703EEB"/>
    <w:rsid w:val="279F1F64"/>
    <w:rsid w:val="27A76DD5"/>
    <w:rsid w:val="27A97FAA"/>
    <w:rsid w:val="27BC0110"/>
    <w:rsid w:val="27C849E5"/>
    <w:rsid w:val="27C923FA"/>
    <w:rsid w:val="27F136FF"/>
    <w:rsid w:val="27FC632B"/>
    <w:rsid w:val="2829733C"/>
    <w:rsid w:val="284D4281"/>
    <w:rsid w:val="285017EA"/>
    <w:rsid w:val="285A2C3A"/>
    <w:rsid w:val="2866479A"/>
    <w:rsid w:val="286A598B"/>
    <w:rsid w:val="28717C3B"/>
    <w:rsid w:val="28924EE2"/>
    <w:rsid w:val="28CB21A2"/>
    <w:rsid w:val="28DD3F6B"/>
    <w:rsid w:val="28E079FB"/>
    <w:rsid w:val="2900696C"/>
    <w:rsid w:val="29122D2D"/>
    <w:rsid w:val="29272AC3"/>
    <w:rsid w:val="292F6A67"/>
    <w:rsid w:val="29436EA1"/>
    <w:rsid w:val="294F4B81"/>
    <w:rsid w:val="29614C3E"/>
    <w:rsid w:val="2964062C"/>
    <w:rsid w:val="29724526"/>
    <w:rsid w:val="297954B5"/>
    <w:rsid w:val="29834E0C"/>
    <w:rsid w:val="29961C76"/>
    <w:rsid w:val="29E95BE7"/>
    <w:rsid w:val="2A1D6EA4"/>
    <w:rsid w:val="2A377AEF"/>
    <w:rsid w:val="2A924D25"/>
    <w:rsid w:val="2AA17288"/>
    <w:rsid w:val="2AB253C7"/>
    <w:rsid w:val="2ACC6349"/>
    <w:rsid w:val="2AE94044"/>
    <w:rsid w:val="2B163BA8"/>
    <w:rsid w:val="2B253DEB"/>
    <w:rsid w:val="2B3C1135"/>
    <w:rsid w:val="2B3C2EE3"/>
    <w:rsid w:val="2B45448D"/>
    <w:rsid w:val="2B534C41"/>
    <w:rsid w:val="2B7B18A0"/>
    <w:rsid w:val="2B801021"/>
    <w:rsid w:val="2B882BB4"/>
    <w:rsid w:val="2BC453B2"/>
    <w:rsid w:val="2BC62A64"/>
    <w:rsid w:val="2BE041B6"/>
    <w:rsid w:val="2C070346"/>
    <w:rsid w:val="2C1520B2"/>
    <w:rsid w:val="2C401A81"/>
    <w:rsid w:val="2C4061BE"/>
    <w:rsid w:val="2C504AA6"/>
    <w:rsid w:val="2C6375EE"/>
    <w:rsid w:val="2C68749E"/>
    <w:rsid w:val="2C8219C0"/>
    <w:rsid w:val="2CA64B3B"/>
    <w:rsid w:val="2CBA5779"/>
    <w:rsid w:val="2CBC077F"/>
    <w:rsid w:val="2CDD3333"/>
    <w:rsid w:val="2CE455E0"/>
    <w:rsid w:val="2CF526A1"/>
    <w:rsid w:val="2CF55A3F"/>
    <w:rsid w:val="2CFE48F4"/>
    <w:rsid w:val="2D0B3147"/>
    <w:rsid w:val="2D0F6B01"/>
    <w:rsid w:val="2D145EC5"/>
    <w:rsid w:val="2D205A01"/>
    <w:rsid w:val="2D485B6F"/>
    <w:rsid w:val="2D58327F"/>
    <w:rsid w:val="2D5B7FEE"/>
    <w:rsid w:val="2D721A10"/>
    <w:rsid w:val="2D7A434E"/>
    <w:rsid w:val="2D821BBD"/>
    <w:rsid w:val="2D8572C2"/>
    <w:rsid w:val="2D8C0151"/>
    <w:rsid w:val="2D934A95"/>
    <w:rsid w:val="2D94061C"/>
    <w:rsid w:val="2DA421FF"/>
    <w:rsid w:val="2DBE3FDD"/>
    <w:rsid w:val="2DC378EB"/>
    <w:rsid w:val="2DCA0C7A"/>
    <w:rsid w:val="2DE51610"/>
    <w:rsid w:val="2DEA30CA"/>
    <w:rsid w:val="2DF47E9D"/>
    <w:rsid w:val="2E204C18"/>
    <w:rsid w:val="2E24038A"/>
    <w:rsid w:val="2E3B56D4"/>
    <w:rsid w:val="2E5D4820"/>
    <w:rsid w:val="2E7B04DD"/>
    <w:rsid w:val="2EA15273"/>
    <w:rsid w:val="2EAE40F8"/>
    <w:rsid w:val="2EB8166B"/>
    <w:rsid w:val="2EBC6814"/>
    <w:rsid w:val="2EC8340B"/>
    <w:rsid w:val="2ECD0A22"/>
    <w:rsid w:val="2ED95618"/>
    <w:rsid w:val="2EFC1307"/>
    <w:rsid w:val="2F083808"/>
    <w:rsid w:val="2F210AA1"/>
    <w:rsid w:val="2F2E6FE6"/>
    <w:rsid w:val="2F384495"/>
    <w:rsid w:val="2F394E54"/>
    <w:rsid w:val="2F3C1AED"/>
    <w:rsid w:val="2F4D21BE"/>
    <w:rsid w:val="2F5B5CF2"/>
    <w:rsid w:val="2F5E5B1E"/>
    <w:rsid w:val="2F8465C8"/>
    <w:rsid w:val="2F881FF5"/>
    <w:rsid w:val="2F8A6913"/>
    <w:rsid w:val="2FB76FDC"/>
    <w:rsid w:val="2FDB2CCA"/>
    <w:rsid w:val="2FDB53C0"/>
    <w:rsid w:val="2FF2394B"/>
    <w:rsid w:val="2FF722FC"/>
    <w:rsid w:val="2FFE4C0B"/>
    <w:rsid w:val="300A6857"/>
    <w:rsid w:val="302F1268"/>
    <w:rsid w:val="304C1E1A"/>
    <w:rsid w:val="30537423"/>
    <w:rsid w:val="30766E97"/>
    <w:rsid w:val="307A18B2"/>
    <w:rsid w:val="307F1C7D"/>
    <w:rsid w:val="30B023A9"/>
    <w:rsid w:val="30DF2C8E"/>
    <w:rsid w:val="30E20088"/>
    <w:rsid w:val="30FA4FDC"/>
    <w:rsid w:val="310426F5"/>
    <w:rsid w:val="31280191"/>
    <w:rsid w:val="31345DE2"/>
    <w:rsid w:val="31442AF1"/>
    <w:rsid w:val="31472444"/>
    <w:rsid w:val="314D7BF8"/>
    <w:rsid w:val="3157266D"/>
    <w:rsid w:val="31597565"/>
    <w:rsid w:val="31886E82"/>
    <w:rsid w:val="3195334D"/>
    <w:rsid w:val="319C46DB"/>
    <w:rsid w:val="31B5435F"/>
    <w:rsid w:val="31B60FAE"/>
    <w:rsid w:val="31B935FE"/>
    <w:rsid w:val="31BC0E39"/>
    <w:rsid w:val="31E0281A"/>
    <w:rsid w:val="31FF07A5"/>
    <w:rsid w:val="32207918"/>
    <w:rsid w:val="3244724D"/>
    <w:rsid w:val="32454D73"/>
    <w:rsid w:val="326E6078"/>
    <w:rsid w:val="32737926"/>
    <w:rsid w:val="327D275F"/>
    <w:rsid w:val="328923B5"/>
    <w:rsid w:val="32894C60"/>
    <w:rsid w:val="328A5CC9"/>
    <w:rsid w:val="32997A88"/>
    <w:rsid w:val="32A26E1B"/>
    <w:rsid w:val="32B048E2"/>
    <w:rsid w:val="32B31CDC"/>
    <w:rsid w:val="32C57C62"/>
    <w:rsid w:val="32E71BA6"/>
    <w:rsid w:val="32F77695"/>
    <w:rsid w:val="33022C64"/>
    <w:rsid w:val="33164B0C"/>
    <w:rsid w:val="33196A5F"/>
    <w:rsid w:val="335800A3"/>
    <w:rsid w:val="338E5C8D"/>
    <w:rsid w:val="33923FE8"/>
    <w:rsid w:val="33A96F3C"/>
    <w:rsid w:val="33F23E05"/>
    <w:rsid w:val="34150EB9"/>
    <w:rsid w:val="341B5D8B"/>
    <w:rsid w:val="341B7F33"/>
    <w:rsid w:val="34473024"/>
    <w:rsid w:val="3454129D"/>
    <w:rsid w:val="345415F0"/>
    <w:rsid w:val="34592B55"/>
    <w:rsid w:val="34677222"/>
    <w:rsid w:val="346E05B1"/>
    <w:rsid w:val="349903D8"/>
    <w:rsid w:val="34B65AB4"/>
    <w:rsid w:val="34EC7204"/>
    <w:rsid w:val="350D7594"/>
    <w:rsid w:val="35401F9A"/>
    <w:rsid w:val="35431A3E"/>
    <w:rsid w:val="35436DA1"/>
    <w:rsid w:val="354808F0"/>
    <w:rsid w:val="354E13DD"/>
    <w:rsid w:val="35630181"/>
    <w:rsid w:val="35702107"/>
    <w:rsid w:val="357A6B39"/>
    <w:rsid w:val="357D4824"/>
    <w:rsid w:val="3587120C"/>
    <w:rsid w:val="358A42A9"/>
    <w:rsid w:val="35932623"/>
    <w:rsid w:val="35C102F5"/>
    <w:rsid w:val="35C4598D"/>
    <w:rsid w:val="35DC779C"/>
    <w:rsid w:val="35ED6734"/>
    <w:rsid w:val="35F97710"/>
    <w:rsid w:val="36221470"/>
    <w:rsid w:val="364C2B74"/>
    <w:rsid w:val="36527A5E"/>
    <w:rsid w:val="365466DC"/>
    <w:rsid w:val="36587762"/>
    <w:rsid w:val="369679A4"/>
    <w:rsid w:val="369D517D"/>
    <w:rsid w:val="36A91D7B"/>
    <w:rsid w:val="36AA00B7"/>
    <w:rsid w:val="36C7044C"/>
    <w:rsid w:val="36CF5D5D"/>
    <w:rsid w:val="371708EF"/>
    <w:rsid w:val="371E0791"/>
    <w:rsid w:val="375D66BB"/>
    <w:rsid w:val="376474EB"/>
    <w:rsid w:val="37C60704"/>
    <w:rsid w:val="37EE38B8"/>
    <w:rsid w:val="37F05781"/>
    <w:rsid w:val="38077FFD"/>
    <w:rsid w:val="38105B84"/>
    <w:rsid w:val="381E22EE"/>
    <w:rsid w:val="3851621F"/>
    <w:rsid w:val="386F48F8"/>
    <w:rsid w:val="3872757A"/>
    <w:rsid w:val="388F4F9A"/>
    <w:rsid w:val="389941AE"/>
    <w:rsid w:val="38A014F2"/>
    <w:rsid w:val="38C96200"/>
    <w:rsid w:val="38D90BC4"/>
    <w:rsid w:val="38DB584E"/>
    <w:rsid w:val="38E377AF"/>
    <w:rsid w:val="38F113CD"/>
    <w:rsid w:val="38F117B0"/>
    <w:rsid w:val="38FA68B7"/>
    <w:rsid w:val="391D07F7"/>
    <w:rsid w:val="39495578"/>
    <w:rsid w:val="3971644D"/>
    <w:rsid w:val="39754190"/>
    <w:rsid w:val="397B454D"/>
    <w:rsid w:val="397F2EA8"/>
    <w:rsid w:val="39A464B0"/>
    <w:rsid w:val="39AE6D96"/>
    <w:rsid w:val="39BA08F9"/>
    <w:rsid w:val="39C83A38"/>
    <w:rsid w:val="39CC7AC4"/>
    <w:rsid w:val="39D32C64"/>
    <w:rsid w:val="39E6508D"/>
    <w:rsid w:val="3A15327D"/>
    <w:rsid w:val="3A2F6D7D"/>
    <w:rsid w:val="3A43603C"/>
    <w:rsid w:val="3A562F58"/>
    <w:rsid w:val="3A57198D"/>
    <w:rsid w:val="3A6E1959"/>
    <w:rsid w:val="3A85696B"/>
    <w:rsid w:val="3A900B55"/>
    <w:rsid w:val="3A9332CC"/>
    <w:rsid w:val="3A995C5C"/>
    <w:rsid w:val="3AA47B56"/>
    <w:rsid w:val="3AAC3E31"/>
    <w:rsid w:val="3AAF7D13"/>
    <w:rsid w:val="3AC058DE"/>
    <w:rsid w:val="3AC305C8"/>
    <w:rsid w:val="3AC30F2B"/>
    <w:rsid w:val="3AD454C9"/>
    <w:rsid w:val="3AF27B99"/>
    <w:rsid w:val="3AF45588"/>
    <w:rsid w:val="3B072FAA"/>
    <w:rsid w:val="3B0752BB"/>
    <w:rsid w:val="3B080D87"/>
    <w:rsid w:val="3B5D4EDB"/>
    <w:rsid w:val="3B62121B"/>
    <w:rsid w:val="3B62551E"/>
    <w:rsid w:val="3B653D90"/>
    <w:rsid w:val="3B6C3370"/>
    <w:rsid w:val="3B732951"/>
    <w:rsid w:val="3B786AA3"/>
    <w:rsid w:val="3B856EE2"/>
    <w:rsid w:val="3B954675"/>
    <w:rsid w:val="3B9F72A2"/>
    <w:rsid w:val="3BBF1839"/>
    <w:rsid w:val="3BC95FF1"/>
    <w:rsid w:val="3BCD55F0"/>
    <w:rsid w:val="3BCF7231"/>
    <w:rsid w:val="3BD31641"/>
    <w:rsid w:val="3BE473AB"/>
    <w:rsid w:val="3BEE647B"/>
    <w:rsid w:val="3BF92AE3"/>
    <w:rsid w:val="3BFE3762"/>
    <w:rsid w:val="3C2956F5"/>
    <w:rsid w:val="3C2C3C49"/>
    <w:rsid w:val="3C3E6A1E"/>
    <w:rsid w:val="3C5F2ED5"/>
    <w:rsid w:val="3C7060DA"/>
    <w:rsid w:val="3C8F4E43"/>
    <w:rsid w:val="3C926E07"/>
    <w:rsid w:val="3CD13DD3"/>
    <w:rsid w:val="3CD4741F"/>
    <w:rsid w:val="3CDB6841"/>
    <w:rsid w:val="3CF47AC1"/>
    <w:rsid w:val="3D033860"/>
    <w:rsid w:val="3D430101"/>
    <w:rsid w:val="3D483969"/>
    <w:rsid w:val="3D4A148F"/>
    <w:rsid w:val="3D532A3A"/>
    <w:rsid w:val="3D65451B"/>
    <w:rsid w:val="3D670293"/>
    <w:rsid w:val="3D7D2D37"/>
    <w:rsid w:val="3D884C9F"/>
    <w:rsid w:val="3DB8307D"/>
    <w:rsid w:val="3DD57C7B"/>
    <w:rsid w:val="3DE71DF7"/>
    <w:rsid w:val="3DE75202"/>
    <w:rsid w:val="3DEB0EC4"/>
    <w:rsid w:val="3DF53590"/>
    <w:rsid w:val="3E077380"/>
    <w:rsid w:val="3E246184"/>
    <w:rsid w:val="3E481E73"/>
    <w:rsid w:val="3E495BEB"/>
    <w:rsid w:val="3E667536"/>
    <w:rsid w:val="3E9A1FA2"/>
    <w:rsid w:val="3EA370A9"/>
    <w:rsid w:val="3EB271F3"/>
    <w:rsid w:val="3EBC016B"/>
    <w:rsid w:val="3EEA2F2A"/>
    <w:rsid w:val="3EEA4CD8"/>
    <w:rsid w:val="3EF142B8"/>
    <w:rsid w:val="3EFB5137"/>
    <w:rsid w:val="3F0269E2"/>
    <w:rsid w:val="3F0F2990"/>
    <w:rsid w:val="3F2206BC"/>
    <w:rsid w:val="3F3E3BC8"/>
    <w:rsid w:val="3F446ADE"/>
    <w:rsid w:val="3F473ED8"/>
    <w:rsid w:val="3F5A6CB0"/>
    <w:rsid w:val="3F5D4F76"/>
    <w:rsid w:val="3F7F7B16"/>
    <w:rsid w:val="3FC95536"/>
    <w:rsid w:val="3FD15E98"/>
    <w:rsid w:val="3FEC0727"/>
    <w:rsid w:val="3FF61D4E"/>
    <w:rsid w:val="3FFB2F15"/>
    <w:rsid w:val="40015F11"/>
    <w:rsid w:val="40132BD6"/>
    <w:rsid w:val="403C77B5"/>
    <w:rsid w:val="40420B44"/>
    <w:rsid w:val="405C0E8C"/>
    <w:rsid w:val="407A6464"/>
    <w:rsid w:val="408E0724"/>
    <w:rsid w:val="40980764"/>
    <w:rsid w:val="40DE261A"/>
    <w:rsid w:val="410851FE"/>
    <w:rsid w:val="410D73A4"/>
    <w:rsid w:val="411918A4"/>
    <w:rsid w:val="412147E6"/>
    <w:rsid w:val="412C5A7C"/>
    <w:rsid w:val="4134251A"/>
    <w:rsid w:val="414A7570"/>
    <w:rsid w:val="415C4DA1"/>
    <w:rsid w:val="416269DE"/>
    <w:rsid w:val="4171348E"/>
    <w:rsid w:val="41870F04"/>
    <w:rsid w:val="418A7015"/>
    <w:rsid w:val="41A05B22"/>
    <w:rsid w:val="41B617E9"/>
    <w:rsid w:val="41E35085"/>
    <w:rsid w:val="41FB36A0"/>
    <w:rsid w:val="42181B5C"/>
    <w:rsid w:val="421B539A"/>
    <w:rsid w:val="423A0CFF"/>
    <w:rsid w:val="4241120D"/>
    <w:rsid w:val="425012F6"/>
    <w:rsid w:val="42614EE5"/>
    <w:rsid w:val="42773EAA"/>
    <w:rsid w:val="4290203A"/>
    <w:rsid w:val="42AD52B2"/>
    <w:rsid w:val="42AF30A5"/>
    <w:rsid w:val="42B32504"/>
    <w:rsid w:val="42CE66BF"/>
    <w:rsid w:val="42EF4FB3"/>
    <w:rsid w:val="43002ED1"/>
    <w:rsid w:val="43051EFB"/>
    <w:rsid w:val="43067DEC"/>
    <w:rsid w:val="430F01F5"/>
    <w:rsid w:val="4326646F"/>
    <w:rsid w:val="43432C09"/>
    <w:rsid w:val="435C1F1C"/>
    <w:rsid w:val="43617533"/>
    <w:rsid w:val="436E7D96"/>
    <w:rsid w:val="439C13BC"/>
    <w:rsid w:val="43E066A9"/>
    <w:rsid w:val="43E63EC6"/>
    <w:rsid w:val="43F6411F"/>
    <w:rsid w:val="442C3A62"/>
    <w:rsid w:val="442C7152"/>
    <w:rsid w:val="44354C47"/>
    <w:rsid w:val="44491D8C"/>
    <w:rsid w:val="44683056"/>
    <w:rsid w:val="44735770"/>
    <w:rsid w:val="44867251"/>
    <w:rsid w:val="449F4C4C"/>
    <w:rsid w:val="44D34460"/>
    <w:rsid w:val="44ED35CE"/>
    <w:rsid w:val="4519497C"/>
    <w:rsid w:val="452A22D2"/>
    <w:rsid w:val="453413E7"/>
    <w:rsid w:val="45774DEB"/>
    <w:rsid w:val="458539AC"/>
    <w:rsid w:val="459277F9"/>
    <w:rsid w:val="45A8332A"/>
    <w:rsid w:val="45AD6360"/>
    <w:rsid w:val="45B1654F"/>
    <w:rsid w:val="45BA6A8B"/>
    <w:rsid w:val="45C63C14"/>
    <w:rsid w:val="45F11042"/>
    <w:rsid w:val="45FC3543"/>
    <w:rsid w:val="45FE1F91"/>
    <w:rsid w:val="462036D5"/>
    <w:rsid w:val="462F56C6"/>
    <w:rsid w:val="463158E2"/>
    <w:rsid w:val="463B22BD"/>
    <w:rsid w:val="464A34C9"/>
    <w:rsid w:val="465667F3"/>
    <w:rsid w:val="46592743"/>
    <w:rsid w:val="466A4950"/>
    <w:rsid w:val="46770C1C"/>
    <w:rsid w:val="46875502"/>
    <w:rsid w:val="469F4860"/>
    <w:rsid w:val="46AC0E03"/>
    <w:rsid w:val="46B300A5"/>
    <w:rsid w:val="46C235F6"/>
    <w:rsid w:val="46D70238"/>
    <w:rsid w:val="46E72DB8"/>
    <w:rsid w:val="46EE732F"/>
    <w:rsid w:val="46FC1A4C"/>
    <w:rsid w:val="46FE1EDD"/>
    <w:rsid w:val="470D1EAB"/>
    <w:rsid w:val="472468C3"/>
    <w:rsid w:val="476F1F8F"/>
    <w:rsid w:val="4770243A"/>
    <w:rsid w:val="47704FE9"/>
    <w:rsid w:val="47841F2A"/>
    <w:rsid w:val="47AE03B5"/>
    <w:rsid w:val="47B6609F"/>
    <w:rsid w:val="47BC742D"/>
    <w:rsid w:val="47CF1F7E"/>
    <w:rsid w:val="48164D90"/>
    <w:rsid w:val="482D1043"/>
    <w:rsid w:val="48825BFD"/>
    <w:rsid w:val="489D2DBB"/>
    <w:rsid w:val="48A30BB7"/>
    <w:rsid w:val="48A4239B"/>
    <w:rsid w:val="48B224D2"/>
    <w:rsid w:val="48B325DE"/>
    <w:rsid w:val="48C447EC"/>
    <w:rsid w:val="48C742DC"/>
    <w:rsid w:val="48DB48E8"/>
    <w:rsid w:val="48E1539E"/>
    <w:rsid w:val="48EE3617"/>
    <w:rsid w:val="48FA7BF0"/>
    <w:rsid w:val="492139EC"/>
    <w:rsid w:val="4921579A"/>
    <w:rsid w:val="492339A4"/>
    <w:rsid w:val="49394C8E"/>
    <w:rsid w:val="493E459E"/>
    <w:rsid w:val="49455FDE"/>
    <w:rsid w:val="49463453"/>
    <w:rsid w:val="494871CB"/>
    <w:rsid w:val="49940662"/>
    <w:rsid w:val="499C12C5"/>
    <w:rsid w:val="49C128B7"/>
    <w:rsid w:val="49C12AD9"/>
    <w:rsid w:val="49C34AA3"/>
    <w:rsid w:val="49C64593"/>
    <w:rsid w:val="4A061715"/>
    <w:rsid w:val="4A143551"/>
    <w:rsid w:val="4A183041"/>
    <w:rsid w:val="4A235542"/>
    <w:rsid w:val="4A4B4999"/>
    <w:rsid w:val="4A6910AD"/>
    <w:rsid w:val="4A6B6237"/>
    <w:rsid w:val="4A7A3367"/>
    <w:rsid w:val="4A90764C"/>
    <w:rsid w:val="4A9A5C89"/>
    <w:rsid w:val="4AC22FAD"/>
    <w:rsid w:val="4AC705C3"/>
    <w:rsid w:val="4AC73363"/>
    <w:rsid w:val="4AD93E52"/>
    <w:rsid w:val="4AE7434F"/>
    <w:rsid w:val="4AE90539"/>
    <w:rsid w:val="4AFB026D"/>
    <w:rsid w:val="4B0145F4"/>
    <w:rsid w:val="4B1B26BD"/>
    <w:rsid w:val="4B202C5A"/>
    <w:rsid w:val="4B2406CF"/>
    <w:rsid w:val="4B2928F4"/>
    <w:rsid w:val="4B3519D1"/>
    <w:rsid w:val="4B3919ED"/>
    <w:rsid w:val="4B546668"/>
    <w:rsid w:val="4B6422B6"/>
    <w:rsid w:val="4B6C2A28"/>
    <w:rsid w:val="4BC430BC"/>
    <w:rsid w:val="4BD96800"/>
    <w:rsid w:val="4BDB2B81"/>
    <w:rsid w:val="4BE64A79"/>
    <w:rsid w:val="4BF51AD1"/>
    <w:rsid w:val="4BFE0015"/>
    <w:rsid w:val="4C107562"/>
    <w:rsid w:val="4C1B0BC7"/>
    <w:rsid w:val="4C2F1985"/>
    <w:rsid w:val="4C417F01"/>
    <w:rsid w:val="4C435006"/>
    <w:rsid w:val="4CB6269D"/>
    <w:rsid w:val="4CB84667"/>
    <w:rsid w:val="4CD869FF"/>
    <w:rsid w:val="4CE6117E"/>
    <w:rsid w:val="4D0D7491"/>
    <w:rsid w:val="4D1F6494"/>
    <w:rsid w:val="4D553C64"/>
    <w:rsid w:val="4D591D95"/>
    <w:rsid w:val="4D6C3AEF"/>
    <w:rsid w:val="4D832FBF"/>
    <w:rsid w:val="4DA4759D"/>
    <w:rsid w:val="4DAD19F9"/>
    <w:rsid w:val="4DBA7F6B"/>
    <w:rsid w:val="4DCD4C46"/>
    <w:rsid w:val="4DD54DA5"/>
    <w:rsid w:val="4DEF40B9"/>
    <w:rsid w:val="4E157897"/>
    <w:rsid w:val="4E265C3F"/>
    <w:rsid w:val="4E5008D0"/>
    <w:rsid w:val="4E524648"/>
    <w:rsid w:val="4E676345"/>
    <w:rsid w:val="4E712D20"/>
    <w:rsid w:val="4E8071B2"/>
    <w:rsid w:val="4E810A89"/>
    <w:rsid w:val="4EA55F9A"/>
    <w:rsid w:val="4EAF34D1"/>
    <w:rsid w:val="4EB42C0C"/>
    <w:rsid w:val="4ECD1536"/>
    <w:rsid w:val="4EE738B3"/>
    <w:rsid w:val="4EF120B3"/>
    <w:rsid w:val="4F10078B"/>
    <w:rsid w:val="4F2A10B1"/>
    <w:rsid w:val="4F532425"/>
    <w:rsid w:val="4F571FDD"/>
    <w:rsid w:val="4F583EE0"/>
    <w:rsid w:val="4F5F526E"/>
    <w:rsid w:val="4F672375"/>
    <w:rsid w:val="4F710503"/>
    <w:rsid w:val="4F8B2322"/>
    <w:rsid w:val="4F936CC6"/>
    <w:rsid w:val="4F94365E"/>
    <w:rsid w:val="4F9C7EC6"/>
    <w:rsid w:val="4FAB04B3"/>
    <w:rsid w:val="4FC90C42"/>
    <w:rsid w:val="4FCC48AC"/>
    <w:rsid w:val="4FDA0988"/>
    <w:rsid w:val="4FDA66A3"/>
    <w:rsid w:val="4FE77820"/>
    <w:rsid w:val="50087D2E"/>
    <w:rsid w:val="5012408F"/>
    <w:rsid w:val="50285660"/>
    <w:rsid w:val="50461F8A"/>
    <w:rsid w:val="50753961"/>
    <w:rsid w:val="50B60EBE"/>
    <w:rsid w:val="50F11EF6"/>
    <w:rsid w:val="50F253E7"/>
    <w:rsid w:val="50F96C29"/>
    <w:rsid w:val="51321BB6"/>
    <w:rsid w:val="514421AC"/>
    <w:rsid w:val="5153670D"/>
    <w:rsid w:val="517D5E7F"/>
    <w:rsid w:val="51840FBC"/>
    <w:rsid w:val="518958F5"/>
    <w:rsid w:val="51B4052C"/>
    <w:rsid w:val="52034565"/>
    <w:rsid w:val="52192B0A"/>
    <w:rsid w:val="522E1395"/>
    <w:rsid w:val="522E2CD6"/>
    <w:rsid w:val="52412A09"/>
    <w:rsid w:val="525C3CE7"/>
    <w:rsid w:val="52915397"/>
    <w:rsid w:val="52992845"/>
    <w:rsid w:val="529F5982"/>
    <w:rsid w:val="52A336C4"/>
    <w:rsid w:val="52AF2069"/>
    <w:rsid w:val="52C602AB"/>
    <w:rsid w:val="52F60736"/>
    <w:rsid w:val="531F40ED"/>
    <w:rsid w:val="53360094"/>
    <w:rsid w:val="533B56AA"/>
    <w:rsid w:val="534420F0"/>
    <w:rsid w:val="534C5B09"/>
    <w:rsid w:val="535600C7"/>
    <w:rsid w:val="536B275A"/>
    <w:rsid w:val="53794425"/>
    <w:rsid w:val="53931EA0"/>
    <w:rsid w:val="539354E6"/>
    <w:rsid w:val="53971B86"/>
    <w:rsid w:val="539D5092"/>
    <w:rsid w:val="53A476F3"/>
    <w:rsid w:val="53B73033"/>
    <w:rsid w:val="53B74A43"/>
    <w:rsid w:val="53BB4A3D"/>
    <w:rsid w:val="53E04933"/>
    <w:rsid w:val="53EA2578"/>
    <w:rsid w:val="53FD0BB2"/>
    <w:rsid w:val="54005A75"/>
    <w:rsid w:val="54091C4C"/>
    <w:rsid w:val="541D1254"/>
    <w:rsid w:val="54286DAC"/>
    <w:rsid w:val="542A15B1"/>
    <w:rsid w:val="54313E9D"/>
    <w:rsid w:val="543C5241"/>
    <w:rsid w:val="546E385E"/>
    <w:rsid w:val="54773E1A"/>
    <w:rsid w:val="54890159"/>
    <w:rsid w:val="548D7B2B"/>
    <w:rsid w:val="548E5CAE"/>
    <w:rsid w:val="549C21E7"/>
    <w:rsid w:val="54AA6103"/>
    <w:rsid w:val="54AD082A"/>
    <w:rsid w:val="54C81203"/>
    <w:rsid w:val="54DC7FC6"/>
    <w:rsid w:val="54F975CB"/>
    <w:rsid w:val="550C378D"/>
    <w:rsid w:val="550F6DEF"/>
    <w:rsid w:val="55197C6D"/>
    <w:rsid w:val="551C150B"/>
    <w:rsid w:val="55284354"/>
    <w:rsid w:val="5563538C"/>
    <w:rsid w:val="55703126"/>
    <w:rsid w:val="55780E38"/>
    <w:rsid w:val="557A780E"/>
    <w:rsid w:val="55A034BC"/>
    <w:rsid w:val="55A631AC"/>
    <w:rsid w:val="55AC0AE1"/>
    <w:rsid w:val="55AD05A3"/>
    <w:rsid w:val="55C37BD9"/>
    <w:rsid w:val="55CF0B80"/>
    <w:rsid w:val="55FD30EB"/>
    <w:rsid w:val="561B5D0C"/>
    <w:rsid w:val="562E599A"/>
    <w:rsid w:val="562F3087"/>
    <w:rsid w:val="56533321"/>
    <w:rsid w:val="565A22EB"/>
    <w:rsid w:val="565F5B54"/>
    <w:rsid w:val="56742736"/>
    <w:rsid w:val="567B042B"/>
    <w:rsid w:val="56837A94"/>
    <w:rsid w:val="569001F0"/>
    <w:rsid w:val="56983DE9"/>
    <w:rsid w:val="569B49A5"/>
    <w:rsid w:val="56AB6FEB"/>
    <w:rsid w:val="56C1556D"/>
    <w:rsid w:val="56E30533"/>
    <w:rsid w:val="56F30374"/>
    <w:rsid w:val="56F52014"/>
    <w:rsid w:val="56F951EB"/>
    <w:rsid w:val="57091999"/>
    <w:rsid w:val="570A3802"/>
    <w:rsid w:val="570F62E1"/>
    <w:rsid w:val="571B7CCD"/>
    <w:rsid w:val="572B7222"/>
    <w:rsid w:val="573F2C3E"/>
    <w:rsid w:val="5742476B"/>
    <w:rsid w:val="575256B8"/>
    <w:rsid w:val="57B0377C"/>
    <w:rsid w:val="57C540DC"/>
    <w:rsid w:val="57D97DE1"/>
    <w:rsid w:val="57FB2BBF"/>
    <w:rsid w:val="58001CA0"/>
    <w:rsid w:val="58050AEF"/>
    <w:rsid w:val="580E5A83"/>
    <w:rsid w:val="58150567"/>
    <w:rsid w:val="581825DC"/>
    <w:rsid w:val="582901C7"/>
    <w:rsid w:val="585D5FB9"/>
    <w:rsid w:val="58655DCD"/>
    <w:rsid w:val="58A47B5C"/>
    <w:rsid w:val="58BC728D"/>
    <w:rsid w:val="58C23742"/>
    <w:rsid w:val="58D07DF4"/>
    <w:rsid w:val="58DE337E"/>
    <w:rsid w:val="591A64F6"/>
    <w:rsid w:val="592F5CB1"/>
    <w:rsid w:val="594F05EC"/>
    <w:rsid w:val="5976023B"/>
    <w:rsid w:val="59883613"/>
    <w:rsid w:val="5996188C"/>
    <w:rsid w:val="59BC5E3F"/>
    <w:rsid w:val="59C26858"/>
    <w:rsid w:val="59CA59DA"/>
    <w:rsid w:val="59F31FA9"/>
    <w:rsid w:val="59F44805"/>
    <w:rsid w:val="59F96524"/>
    <w:rsid w:val="59FB30B7"/>
    <w:rsid w:val="5A1B6236"/>
    <w:rsid w:val="5A2D252F"/>
    <w:rsid w:val="5A3115B5"/>
    <w:rsid w:val="5A3E0429"/>
    <w:rsid w:val="5A581238"/>
    <w:rsid w:val="5A84605C"/>
    <w:rsid w:val="5A902E64"/>
    <w:rsid w:val="5A9530AC"/>
    <w:rsid w:val="5AA17EC7"/>
    <w:rsid w:val="5AAA0AE3"/>
    <w:rsid w:val="5AB67D0C"/>
    <w:rsid w:val="5B1769FD"/>
    <w:rsid w:val="5B417F1E"/>
    <w:rsid w:val="5B527A88"/>
    <w:rsid w:val="5B757E56"/>
    <w:rsid w:val="5B8D3163"/>
    <w:rsid w:val="5BBA55DA"/>
    <w:rsid w:val="5BDB5C7C"/>
    <w:rsid w:val="5BEE3514"/>
    <w:rsid w:val="5C0E026E"/>
    <w:rsid w:val="5C1473E0"/>
    <w:rsid w:val="5C21669E"/>
    <w:rsid w:val="5C4F54D6"/>
    <w:rsid w:val="5C567C46"/>
    <w:rsid w:val="5C594DF3"/>
    <w:rsid w:val="5C5D2B35"/>
    <w:rsid w:val="5C687A42"/>
    <w:rsid w:val="5C732359"/>
    <w:rsid w:val="5C82259C"/>
    <w:rsid w:val="5C922E88"/>
    <w:rsid w:val="5C990A59"/>
    <w:rsid w:val="5C9A163B"/>
    <w:rsid w:val="5CD72673"/>
    <w:rsid w:val="5CE648D9"/>
    <w:rsid w:val="5CF77F7E"/>
    <w:rsid w:val="5D0273FA"/>
    <w:rsid w:val="5D6014C4"/>
    <w:rsid w:val="5D6323CD"/>
    <w:rsid w:val="5D796643"/>
    <w:rsid w:val="5D942587"/>
    <w:rsid w:val="5E0A55DD"/>
    <w:rsid w:val="5E4044BD"/>
    <w:rsid w:val="5E53564E"/>
    <w:rsid w:val="5E6C7060"/>
    <w:rsid w:val="5E6F6B50"/>
    <w:rsid w:val="5E79177D"/>
    <w:rsid w:val="5E7F4FE5"/>
    <w:rsid w:val="5E96232F"/>
    <w:rsid w:val="5EA4703F"/>
    <w:rsid w:val="5EB743DE"/>
    <w:rsid w:val="5EE673AD"/>
    <w:rsid w:val="5EF37194"/>
    <w:rsid w:val="5F013C4C"/>
    <w:rsid w:val="5F0F7FC7"/>
    <w:rsid w:val="5F9E2DC9"/>
    <w:rsid w:val="5FD13C72"/>
    <w:rsid w:val="5FD23A8A"/>
    <w:rsid w:val="5FD40C2B"/>
    <w:rsid w:val="5FDD794C"/>
    <w:rsid w:val="5FE86BBA"/>
    <w:rsid w:val="5FF53085"/>
    <w:rsid w:val="601427B8"/>
    <w:rsid w:val="605D615C"/>
    <w:rsid w:val="609E2B9B"/>
    <w:rsid w:val="60AC5E39"/>
    <w:rsid w:val="60B55E31"/>
    <w:rsid w:val="60F26A90"/>
    <w:rsid w:val="61042335"/>
    <w:rsid w:val="611C2162"/>
    <w:rsid w:val="61616C24"/>
    <w:rsid w:val="6171498D"/>
    <w:rsid w:val="61805AEE"/>
    <w:rsid w:val="618D5457"/>
    <w:rsid w:val="61946FF9"/>
    <w:rsid w:val="619A2136"/>
    <w:rsid w:val="619F14FA"/>
    <w:rsid w:val="61E64C2D"/>
    <w:rsid w:val="620A1B7B"/>
    <w:rsid w:val="62165C60"/>
    <w:rsid w:val="62192762"/>
    <w:rsid w:val="62267315"/>
    <w:rsid w:val="62287742"/>
    <w:rsid w:val="62514EEA"/>
    <w:rsid w:val="626A7C77"/>
    <w:rsid w:val="6278731E"/>
    <w:rsid w:val="627E7362"/>
    <w:rsid w:val="628A03FC"/>
    <w:rsid w:val="629B7F14"/>
    <w:rsid w:val="62A04C0F"/>
    <w:rsid w:val="62A53F0F"/>
    <w:rsid w:val="631127C2"/>
    <w:rsid w:val="63206D7E"/>
    <w:rsid w:val="632E6EA2"/>
    <w:rsid w:val="6343302D"/>
    <w:rsid w:val="636010D6"/>
    <w:rsid w:val="63616F95"/>
    <w:rsid w:val="63863D6C"/>
    <w:rsid w:val="638B2E75"/>
    <w:rsid w:val="63C007D0"/>
    <w:rsid w:val="63CC57AF"/>
    <w:rsid w:val="63D02EC3"/>
    <w:rsid w:val="63DF3FF8"/>
    <w:rsid w:val="63E10701"/>
    <w:rsid w:val="63ED479F"/>
    <w:rsid w:val="63EE6769"/>
    <w:rsid w:val="63F55D49"/>
    <w:rsid w:val="64080BFA"/>
    <w:rsid w:val="64267CB1"/>
    <w:rsid w:val="64430863"/>
    <w:rsid w:val="645512FD"/>
    <w:rsid w:val="64642182"/>
    <w:rsid w:val="64722EF6"/>
    <w:rsid w:val="6477675E"/>
    <w:rsid w:val="647A1DAB"/>
    <w:rsid w:val="648D3899"/>
    <w:rsid w:val="649317EA"/>
    <w:rsid w:val="649E018F"/>
    <w:rsid w:val="64B533B0"/>
    <w:rsid w:val="64C53799"/>
    <w:rsid w:val="64D21BE7"/>
    <w:rsid w:val="650C334B"/>
    <w:rsid w:val="6522491C"/>
    <w:rsid w:val="65247567"/>
    <w:rsid w:val="65426D6C"/>
    <w:rsid w:val="654F3237"/>
    <w:rsid w:val="655A5E64"/>
    <w:rsid w:val="655D3558"/>
    <w:rsid w:val="657333CA"/>
    <w:rsid w:val="65750EF0"/>
    <w:rsid w:val="65A05841"/>
    <w:rsid w:val="65A77D95"/>
    <w:rsid w:val="65B80DDC"/>
    <w:rsid w:val="65E47E23"/>
    <w:rsid w:val="66012783"/>
    <w:rsid w:val="661D66D9"/>
    <w:rsid w:val="662A7F2C"/>
    <w:rsid w:val="664F1741"/>
    <w:rsid w:val="66541582"/>
    <w:rsid w:val="6660394E"/>
    <w:rsid w:val="6662369D"/>
    <w:rsid w:val="666D6DFA"/>
    <w:rsid w:val="66742F55"/>
    <w:rsid w:val="669F4283"/>
    <w:rsid w:val="66AB0B25"/>
    <w:rsid w:val="66BC66AA"/>
    <w:rsid w:val="66C94123"/>
    <w:rsid w:val="66CB2AEA"/>
    <w:rsid w:val="66D300C2"/>
    <w:rsid w:val="66E10A89"/>
    <w:rsid w:val="66E87218"/>
    <w:rsid w:val="670047E9"/>
    <w:rsid w:val="670818F0"/>
    <w:rsid w:val="675160AE"/>
    <w:rsid w:val="67530DBD"/>
    <w:rsid w:val="678A66ED"/>
    <w:rsid w:val="67AC3753"/>
    <w:rsid w:val="67BD42C2"/>
    <w:rsid w:val="67CA4DF7"/>
    <w:rsid w:val="67D31EFE"/>
    <w:rsid w:val="67DA6EE5"/>
    <w:rsid w:val="67E20393"/>
    <w:rsid w:val="67EE4F89"/>
    <w:rsid w:val="6810790A"/>
    <w:rsid w:val="681C1AF7"/>
    <w:rsid w:val="68407F4E"/>
    <w:rsid w:val="68476448"/>
    <w:rsid w:val="68484F05"/>
    <w:rsid w:val="68525518"/>
    <w:rsid w:val="686D44C4"/>
    <w:rsid w:val="689C49E5"/>
    <w:rsid w:val="68A37B22"/>
    <w:rsid w:val="68C15847"/>
    <w:rsid w:val="68D75A50"/>
    <w:rsid w:val="68DE0B5A"/>
    <w:rsid w:val="68E31F3D"/>
    <w:rsid w:val="6901666B"/>
    <w:rsid w:val="69046855"/>
    <w:rsid w:val="69135D67"/>
    <w:rsid w:val="692B4AD1"/>
    <w:rsid w:val="692E7D33"/>
    <w:rsid w:val="69474951"/>
    <w:rsid w:val="69482477"/>
    <w:rsid w:val="695D4175"/>
    <w:rsid w:val="696C7DCD"/>
    <w:rsid w:val="696D1EDE"/>
    <w:rsid w:val="69AF20E2"/>
    <w:rsid w:val="69C13898"/>
    <w:rsid w:val="69C275B9"/>
    <w:rsid w:val="69C947A8"/>
    <w:rsid w:val="69CC384F"/>
    <w:rsid w:val="69E12911"/>
    <w:rsid w:val="69E143D5"/>
    <w:rsid w:val="69F75641"/>
    <w:rsid w:val="6A116D0D"/>
    <w:rsid w:val="6A453984"/>
    <w:rsid w:val="6A9845F3"/>
    <w:rsid w:val="6AA45378"/>
    <w:rsid w:val="6AA60A92"/>
    <w:rsid w:val="6AA92BC5"/>
    <w:rsid w:val="6AAE3007"/>
    <w:rsid w:val="6AB33100"/>
    <w:rsid w:val="6AB9362D"/>
    <w:rsid w:val="6ABC4ECB"/>
    <w:rsid w:val="6ABE009D"/>
    <w:rsid w:val="6AEC1C54"/>
    <w:rsid w:val="6B225676"/>
    <w:rsid w:val="6B372CA3"/>
    <w:rsid w:val="6B3E7FD6"/>
    <w:rsid w:val="6B501834"/>
    <w:rsid w:val="6B594E10"/>
    <w:rsid w:val="6B657311"/>
    <w:rsid w:val="6B6E578F"/>
    <w:rsid w:val="6B7043C1"/>
    <w:rsid w:val="6B874036"/>
    <w:rsid w:val="6BAB20C9"/>
    <w:rsid w:val="6BAB6BFA"/>
    <w:rsid w:val="6BC10B54"/>
    <w:rsid w:val="6BD66460"/>
    <w:rsid w:val="6C0C1E82"/>
    <w:rsid w:val="6C134FBF"/>
    <w:rsid w:val="6C1F1BB5"/>
    <w:rsid w:val="6C496ABE"/>
    <w:rsid w:val="6C5222E4"/>
    <w:rsid w:val="6C7D68DC"/>
    <w:rsid w:val="6C95422C"/>
    <w:rsid w:val="6C97205D"/>
    <w:rsid w:val="6CA16A6E"/>
    <w:rsid w:val="6CAB6D2E"/>
    <w:rsid w:val="6CBE10EF"/>
    <w:rsid w:val="6CF77381"/>
    <w:rsid w:val="6D2B0619"/>
    <w:rsid w:val="6D4A7EB2"/>
    <w:rsid w:val="6D8C73BD"/>
    <w:rsid w:val="6D965EA7"/>
    <w:rsid w:val="6D9D5488"/>
    <w:rsid w:val="6DA210B8"/>
    <w:rsid w:val="6DAC097E"/>
    <w:rsid w:val="6DB44FDC"/>
    <w:rsid w:val="6DB93944"/>
    <w:rsid w:val="6DC63877"/>
    <w:rsid w:val="6DCF13B9"/>
    <w:rsid w:val="6DD314C7"/>
    <w:rsid w:val="6DDB5FB0"/>
    <w:rsid w:val="6DF337EC"/>
    <w:rsid w:val="6E0C43BB"/>
    <w:rsid w:val="6E1D2124"/>
    <w:rsid w:val="6E251B34"/>
    <w:rsid w:val="6E2F3C06"/>
    <w:rsid w:val="6E2F7B7C"/>
    <w:rsid w:val="6E492F1A"/>
    <w:rsid w:val="6E6B7334"/>
    <w:rsid w:val="6E765DE5"/>
    <w:rsid w:val="6E7A6BB3"/>
    <w:rsid w:val="6E8366C1"/>
    <w:rsid w:val="6E8C617C"/>
    <w:rsid w:val="6EAC69A1"/>
    <w:rsid w:val="6EB72579"/>
    <w:rsid w:val="6EBC08B5"/>
    <w:rsid w:val="6EBC2D87"/>
    <w:rsid w:val="6EFA2466"/>
    <w:rsid w:val="6F1277AF"/>
    <w:rsid w:val="6F1E1004"/>
    <w:rsid w:val="6F23376B"/>
    <w:rsid w:val="6F3447EC"/>
    <w:rsid w:val="6F5C0A2B"/>
    <w:rsid w:val="6F6B13D1"/>
    <w:rsid w:val="6F765F90"/>
    <w:rsid w:val="6F8A09AF"/>
    <w:rsid w:val="6F9E0C7B"/>
    <w:rsid w:val="6FA04DBB"/>
    <w:rsid w:val="6FB42615"/>
    <w:rsid w:val="6FBB69CD"/>
    <w:rsid w:val="6FBB6A71"/>
    <w:rsid w:val="6FC939C8"/>
    <w:rsid w:val="6FE10C9D"/>
    <w:rsid w:val="6FEC6252"/>
    <w:rsid w:val="6FF74DBB"/>
    <w:rsid w:val="70231548"/>
    <w:rsid w:val="70425E72"/>
    <w:rsid w:val="704814F1"/>
    <w:rsid w:val="705D0EFE"/>
    <w:rsid w:val="70710506"/>
    <w:rsid w:val="70980188"/>
    <w:rsid w:val="70BD199D"/>
    <w:rsid w:val="70C40F7D"/>
    <w:rsid w:val="70C57E1F"/>
    <w:rsid w:val="70CD7E32"/>
    <w:rsid w:val="70E4008C"/>
    <w:rsid w:val="70FA674D"/>
    <w:rsid w:val="71384518"/>
    <w:rsid w:val="713A4D9B"/>
    <w:rsid w:val="7152245B"/>
    <w:rsid w:val="71796EC1"/>
    <w:rsid w:val="718B3849"/>
    <w:rsid w:val="71C4417B"/>
    <w:rsid w:val="71CC00E9"/>
    <w:rsid w:val="71D074AE"/>
    <w:rsid w:val="71D46F9E"/>
    <w:rsid w:val="71EA67C2"/>
    <w:rsid w:val="71FE226D"/>
    <w:rsid w:val="72122538"/>
    <w:rsid w:val="721E028B"/>
    <w:rsid w:val="72231CD3"/>
    <w:rsid w:val="72425DCF"/>
    <w:rsid w:val="724D12CC"/>
    <w:rsid w:val="728061DE"/>
    <w:rsid w:val="72AC33E1"/>
    <w:rsid w:val="72B36CFE"/>
    <w:rsid w:val="72C139C6"/>
    <w:rsid w:val="72D0142B"/>
    <w:rsid w:val="72D354A8"/>
    <w:rsid w:val="72E01973"/>
    <w:rsid w:val="73351E8C"/>
    <w:rsid w:val="73373C34"/>
    <w:rsid w:val="736418E2"/>
    <w:rsid w:val="73AA1E18"/>
    <w:rsid w:val="73B07597"/>
    <w:rsid w:val="73B840D4"/>
    <w:rsid w:val="73B9469D"/>
    <w:rsid w:val="73BC6D60"/>
    <w:rsid w:val="73D634A1"/>
    <w:rsid w:val="73D813D6"/>
    <w:rsid w:val="73E13BF4"/>
    <w:rsid w:val="73F41B79"/>
    <w:rsid w:val="73F43927"/>
    <w:rsid w:val="73FB6A64"/>
    <w:rsid w:val="7420296E"/>
    <w:rsid w:val="74471CA9"/>
    <w:rsid w:val="7463285B"/>
    <w:rsid w:val="747405C4"/>
    <w:rsid w:val="749B55F3"/>
    <w:rsid w:val="74BB6CD8"/>
    <w:rsid w:val="74CB0B2C"/>
    <w:rsid w:val="74D231A8"/>
    <w:rsid w:val="74D43649"/>
    <w:rsid w:val="74E4574A"/>
    <w:rsid w:val="74F17E67"/>
    <w:rsid w:val="74F636CF"/>
    <w:rsid w:val="74F71921"/>
    <w:rsid w:val="753C7334"/>
    <w:rsid w:val="753F3017"/>
    <w:rsid w:val="755C79D6"/>
    <w:rsid w:val="755F1275"/>
    <w:rsid w:val="755F3023"/>
    <w:rsid w:val="756019C2"/>
    <w:rsid w:val="757D58BC"/>
    <w:rsid w:val="75842A89"/>
    <w:rsid w:val="75C630A2"/>
    <w:rsid w:val="75CA2B92"/>
    <w:rsid w:val="75D4756D"/>
    <w:rsid w:val="75D73501"/>
    <w:rsid w:val="762A3631"/>
    <w:rsid w:val="763200F7"/>
    <w:rsid w:val="763B583E"/>
    <w:rsid w:val="763E0E8A"/>
    <w:rsid w:val="764364A0"/>
    <w:rsid w:val="764C0FDD"/>
    <w:rsid w:val="76545287"/>
    <w:rsid w:val="76547160"/>
    <w:rsid w:val="766C3C49"/>
    <w:rsid w:val="7677439C"/>
    <w:rsid w:val="76854D0B"/>
    <w:rsid w:val="76B16769"/>
    <w:rsid w:val="76BF6607"/>
    <w:rsid w:val="76E2215D"/>
    <w:rsid w:val="77073E47"/>
    <w:rsid w:val="770E2F52"/>
    <w:rsid w:val="772062EB"/>
    <w:rsid w:val="77357121"/>
    <w:rsid w:val="775B5A6C"/>
    <w:rsid w:val="77641E52"/>
    <w:rsid w:val="77683EB2"/>
    <w:rsid w:val="77687478"/>
    <w:rsid w:val="77795190"/>
    <w:rsid w:val="777A7739"/>
    <w:rsid w:val="777E5193"/>
    <w:rsid w:val="77894387"/>
    <w:rsid w:val="77935205"/>
    <w:rsid w:val="77A60210"/>
    <w:rsid w:val="77B238DE"/>
    <w:rsid w:val="77BC650A"/>
    <w:rsid w:val="77F70654"/>
    <w:rsid w:val="77F73E31"/>
    <w:rsid w:val="78212B0A"/>
    <w:rsid w:val="782F2CB2"/>
    <w:rsid w:val="78322C70"/>
    <w:rsid w:val="78323C8A"/>
    <w:rsid w:val="78686692"/>
    <w:rsid w:val="786C7F30"/>
    <w:rsid w:val="787559BF"/>
    <w:rsid w:val="78762C47"/>
    <w:rsid w:val="78A07E89"/>
    <w:rsid w:val="78A21F05"/>
    <w:rsid w:val="78A31478"/>
    <w:rsid w:val="78EF57AC"/>
    <w:rsid w:val="78F85C68"/>
    <w:rsid w:val="78FE3340"/>
    <w:rsid w:val="790A1A19"/>
    <w:rsid w:val="79157330"/>
    <w:rsid w:val="79213F43"/>
    <w:rsid w:val="793D7B1F"/>
    <w:rsid w:val="7955445C"/>
    <w:rsid w:val="795D3C37"/>
    <w:rsid w:val="79644060"/>
    <w:rsid w:val="797F1EE5"/>
    <w:rsid w:val="79823784"/>
    <w:rsid w:val="79876FEC"/>
    <w:rsid w:val="79B6321E"/>
    <w:rsid w:val="79BB3ADF"/>
    <w:rsid w:val="79DE47AC"/>
    <w:rsid w:val="79EF1E68"/>
    <w:rsid w:val="79F473F1"/>
    <w:rsid w:val="7A170370"/>
    <w:rsid w:val="7A456C8B"/>
    <w:rsid w:val="7A5F5873"/>
    <w:rsid w:val="7A7E6AC3"/>
    <w:rsid w:val="7A902C57"/>
    <w:rsid w:val="7A993117"/>
    <w:rsid w:val="7ABF74BB"/>
    <w:rsid w:val="7AD30290"/>
    <w:rsid w:val="7ADC6EC3"/>
    <w:rsid w:val="7B024B7C"/>
    <w:rsid w:val="7B4A207F"/>
    <w:rsid w:val="7B86755B"/>
    <w:rsid w:val="7BA63759"/>
    <w:rsid w:val="7BA662CC"/>
    <w:rsid w:val="7BBA0FB3"/>
    <w:rsid w:val="7BC938EC"/>
    <w:rsid w:val="7BEE3352"/>
    <w:rsid w:val="7BF00E78"/>
    <w:rsid w:val="7C013085"/>
    <w:rsid w:val="7C045980"/>
    <w:rsid w:val="7C085BC9"/>
    <w:rsid w:val="7C1A5EF5"/>
    <w:rsid w:val="7C29438A"/>
    <w:rsid w:val="7C712776"/>
    <w:rsid w:val="7C741AA9"/>
    <w:rsid w:val="7C78207F"/>
    <w:rsid w:val="7C855A65"/>
    <w:rsid w:val="7CC12815"/>
    <w:rsid w:val="7CC147CA"/>
    <w:rsid w:val="7CCF6CE0"/>
    <w:rsid w:val="7CEF35A8"/>
    <w:rsid w:val="7D3D4B76"/>
    <w:rsid w:val="7D6C2781"/>
    <w:rsid w:val="7D715FE9"/>
    <w:rsid w:val="7D717D97"/>
    <w:rsid w:val="7D9D0B8C"/>
    <w:rsid w:val="7DA84DE0"/>
    <w:rsid w:val="7DB059CB"/>
    <w:rsid w:val="7DB831F0"/>
    <w:rsid w:val="7DD24CD9"/>
    <w:rsid w:val="7DF97631"/>
    <w:rsid w:val="7E0917A7"/>
    <w:rsid w:val="7E2C3CBE"/>
    <w:rsid w:val="7E2D48B7"/>
    <w:rsid w:val="7E5D785B"/>
    <w:rsid w:val="7E752553"/>
    <w:rsid w:val="7E7A44AA"/>
    <w:rsid w:val="7E93485B"/>
    <w:rsid w:val="7EAE4002"/>
    <w:rsid w:val="7EBE700C"/>
    <w:rsid w:val="7ED22AB7"/>
    <w:rsid w:val="7EDC56E4"/>
    <w:rsid w:val="7EEB3B79"/>
    <w:rsid w:val="7EF667A6"/>
    <w:rsid w:val="7EF7251E"/>
    <w:rsid w:val="7EFB3DBC"/>
    <w:rsid w:val="7EFD0BB1"/>
    <w:rsid w:val="7F08326E"/>
    <w:rsid w:val="7F121106"/>
    <w:rsid w:val="7F182693"/>
    <w:rsid w:val="7F1F1620"/>
    <w:rsid w:val="7F2A7175"/>
    <w:rsid w:val="7F3025C5"/>
    <w:rsid w:val="7F343772"/>
    <w:rsid w:val="7F3E639F"/>
    <w:rsid w:val="7F611080"/>
    <w:rsid w:val="7FBB354B"/>
    <w:rsid w:val="7FC04EE3"/>
    <w:rsid w:val="7FC05006"/>
    <w:rsid w:val="7FC628C6"/>
    <w:rsid w:val="7FCB2E94"/>
    <w:rsid w:val="7FD4460D"/>
    <w:rsid w:val="7FE71F09"/>
    <w:rsid w:val="7FEA22F7"/>
    <w:rsid w:val="7FFA05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0"/>
    <w:qFormat/>
    <w:uiPriority w:val="0"/>
    <w:pPr>
      <w:keepNext/>
      <w:keepLines/>
      <w:spacing w:before="100" w:after="100" w:line="480" w:lineRule="auto"/>
      <w:outlineLvl w:val="0"/>
    </w:pPr>
    <w:rPr>
      <w:rFonts w:ascii="Times New Roman" w:hAnsi="Times New Roman"/>
      <w:b/>
      <w:kern w:val="44"/>
      <w:sz w:val="44"/>
      <w:szCs w:val="20"/>
    </w:rPr>
  </w:style>
  <w:style w:type="paragraph" w:styleId="3">
    <w:name w:val="heading 2"/>
    <w:basedOn w:val="1"/>
    <w:link w:val="61"/>
    <w:qFormat/>
    <w:uiPriority w:val="0"/>
    <w:pPr>
      <w:keepNext/>
      <w:keepLines/>
      <w:spacing w:line="360" w:lineRule="auto"/>
      <w:outlineLvl w:val="1"/>
    </w:pPr>
    <w:rPr>
      <w:rFonts w:ascii="Arial" w:hAnsi="Arial" w:eastAsia="黑体"/>
      <w:b/>
      <w:sz w:val="28"/>
      <w:szCs w:val="20"/>
    </w:rPr>
  </w:style>
  <w:style w:type="paragraph" w:styleId="4">
    <w:name w:val="heading 3"/>
    <w:basedOn w:val="1"/>
    <w:qFormat/>
    <w:uiPriority w:val="0"/>
    <w:pPr>
      <w:keepNext/>
      <w:keepLines/>
      <w:spacing w:line="360" w:lineRule="auto"/>
      <w:ind w:firstLine="100" w:firstLineChars="50"/>
      <w:outlineLvl w:val="2"/>
    </w:pPr>
    <w:rPr>
      <w:rFonts w:ascii="黑体" w:hAnsi="黑体" w:eastAsia="黑体"/>
      <w:b/>
      <w:szCs w:val="20"/>
    </w:rPr>
  </w:style>
  <w:style w:type="paragraph" w:styleId="5">
    <w:name w:val="heading 4"/>
    <w:basedOn w:val="1"/>
    <w:link w:val="62"/>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93"/>
    <w:semiHidden/>
    <w:unhideWhenUsed/>
    <w:qFormat/>
    <w:uiPriority w:val="0"/>
    <w:pPr>
      <w:keepNext/>
      <w:keepLines/>
      <w:spacing w:before="280" w:after="290" w:line="376" w:lineRule="auto"/>
      <w:outlineLvl w:val="4"/>
    </w:pPr>
    <w:rPr>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39"/>
    <w:pPr>
      <w:ind w:left="1200" w:leftChars="1200"/>
    </w:pPr>
  </w:style>
  <w:style w:type="paragraph" w:styleId="8">
    <w:name w:val="Normal Indent"/>
    <w:basedOn w:val="1"/>
    <w:qFormat/>
    <w:uiPriority w:val="0"/>
    <w:pPr>
      <w:ind w:firstLine="420"/>
    </w:pPr>
  </w:style>
  <w:style w:type="paragraph" w:styleId="9">
    <w:name w:val="Document Map"/>
    <w:basedOn w:val="1"/>
    <w:qFormat/>
    <w:uiPriority w:val="0"/>
    <w:rPr>
      <w:rFonts w:ascii="宋体" w:cs="宋体"/>
      <w:sz w:val="18"/>
      <w:szCs w:val="18"/>
    </w:rPr>
  </w:style>
  <w:style w:type="paragraph" w:styleId="10">
    <w:name w:val="annotation text"/>
    <w:basedOn w:val="1"/>
    <w:link w:val="49"/>
    <w:qFormat/>
    <w:uiPriority w:val="0"/>
    <w:pPr>
      <w:jc w:val="left"/>
    </w:pPr>
    <w:rPr>
      <w:rFonts w:ascii="Times New Roman" w:hAnsi="Times New Roman"/>
      <w:szCs w:val="20"/>
    </w:rPr>
  </w:style>
  <w:style w:type="paragraph" w:styleId="11">
    <w:name w:val="Body Text 3"/>
    <w:basedOn w:val="1"/>
    <w:link w:val="50"/>
    <w:qFormat/>
    <w:uiPriority w:val="0"/>
    <w:rPr>
      <w:rFonts w:ascii="宋体"/>
      <w:sz w:val="24"/>
      <w:szCs w:val="20"/>
    </w:rPr>
  </w:style>
  <w:style w:type="paragraph" w:styleId="12">
    <w:name w:val="Body Text"/>
    <w:basedOn w:val="1"/>
    <w:link w:val="63"/>
    <w:qFormat/>
    <w:uiPriority w:val="1"/>
    <w:pPr>
      <w:spacing w:after="120"/>
    </w:pPr>
  </w:style>
  <w:style w:type="paragraph" w:styleId="13">
    <w:name w:val="Body Text Indent"/>
    <w:basedOn w:val="1"/>
    <w:unhideWhenUsed/>
    <w:qFormat/>
    <w:uiPriority w:val="99"/>
    <w:pPr>
      <w:spacing w:after="120"/>
      <w:ind w:left="420" w:leftChars="200"/>
    </w:pPr>
  </w:style>
  <w:style w:type="paragraph" w:styleId="14">
    <w:name w:val="toc 5"/>
    <w:basedOn w:val="1"/>
    <w:next w:val="1"/>
    <w:qFormat/>
    <w:uiPriority w:val="39"/>
    <w:pPr>
      <w:ind w:left="800" w:leftChars="800"/>
    </w:pPr>
  </w:style>
  <w:style w:type="paragraph" w:styleId="15">
    <w:name w:val="toc 3"/>
    <w:basedOn w:val="1"/>
    <w:next w:val="1"/>
    <w:qFormat/>
    <w:uiPriority w:val="39"/>
    <w:pPr>
      <w:ind w:left="400" w:leftChars="400"/>
    </w:pPr>
  </w:style>
  <w:style w:type="paragraph" w:styleId="16">
    <w:name w:val="Plain Text"/>
    <w:basedOn w:val="1"/>
    <w:qFormat/>
    <w:uiPriority w:val="0"/>
    <w:rPr>
      <w:rFonts w:ascii="宋体"/>
    </w:rPr>
  </w:style>
  <w:style w:type="paragraph" w:styleId="17">
    <w:name w:val="toc 8"/>
    <w:basedOn w:val="1"/>
    <w:next w:val="1"/>
    <w:qFormat/>
    <w:uiPriority w:val="39"/>
    <w:pPr>
      <w:ind w:left="1400" w:leftChars="1400"/>
    </w:pPr>
  </w:style>
  <w:style w:type="paragraph" w:styleId="18">
    <w:name w:val="Date"/>
    <w:basedOn w:val="1"/>
    <w:next w:val="1"/>
    <w:qFormat/>
    <w:uiPriority w:val="0"/>
    <w:pPr>
      <w:ind w:left="2500" w:leftChars="2500"/>
    </w:pPr>
    <w:rPr>
      <w:rFonts w:ascii="Times New Roman" w:hAnsi="Times New Roman"/>
      <w:szCs w:val="20"/>
    </w:rPr>
  </w:style>
  <w:style w:type="paragraph" w:styleId="19">
    <w:name w:val="Balloon Text"/>
    <w:basedOn w:val="1"/>
    <w:qFormat/>
    <w:uiPriority w:val="0"/>
    <w:rPr>
      <w:rFonts w:ascii="Times New Roman" w:hAnsi="Times New Roman"/>
      <w:sz w:val="18"/>
      <w:szCs w:val="20"/>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tabs>
        <w:tab w:val="center" w:pos="4153"/>
        <w:tab w:val="right" w:pos="8306"/>
      </w:tabs>
      <w:snapToGrid w:val="0"/>
    </w:pPr>
    <w:rPr>
      <w:rFonts w:ascii="Times New Roman" w:hAnsi="Times New Roman"/>
      <w:sz w:val="18"/>
      <w:szCs w:val="20"/>
    </w:rPr>
  </w:style>
  <w:style w:type="paragraph" w:styleId="22">
    <w:name w:val="toc 1"/>
    <w:basedOn w:val="1"/>
    <w:next w:val="1"/>
    <w:qFormat/>
    <w:uiPriority w:val="39"/>
  </w:style>
  <w:style w:type="paragraph" w:styleId="23">
    <w:name w:val="toc 4"/>
    <w:basedOn w:val="1"/>
    <w:next w:val="1"/>
    <w:qFormat/>
    <w:uiPriority w:val="39"/>
    <w:pPr>
      <w:ind w:left="600" w:leftChars="600"/>
    </w:pPr>
  </w:style>
  <w:style w:type="paragraph" w:styleId="24">
    <w:name w:val="toc 6"/>
    <w:basedOn w:val="1"/>
    <w:next w:val="1"/>
    <w:qFormat/>
    <w:uiPriority w:val="39"/>
    <w:pPr>
      <w:ind w:left="1000" w:leftChars="1000"/>
    </w:pPr>
  </w:style>
  <w:style w:type="paragraph" w:styleId="25">
    <w:name w:val="Body Text Indent 3"/>
    <w:basedOn w:val="1"/>
    <w:qFormat/>
    <w:uiPriority w:val="0"/>
    <w:pPr>
      <w:spacing w:after="120"/>
      <w:ind w:left="200" w:leftChars="200"/>
    </w:pPr>
    <w:rPr>
      <w:sz w:val="16"/>
      <w:szCs w:val="16"/>
    </w:rPr>
  </w:style>
  <w:style w:type="paragraph" w:styleId="26">
    <w:name w:val="toc 2"/>
    <w:basedOn w:val="1"/>
    <w:next w:val="1"/>
    <w:qFormat/>
    <w:uiPriority w:val="39"/>
    <w:pPr>
      <w:ind w:left="200" w:leftChars="200"/>
    </w:pPr>
  </w:style>
  <w:style w:type="paragraph" w:styleId="27">
    <w:name w:val="toc 9"/>
    <w:basedOn w:val="1"/>
    <w:next w:val="1"/>
    <w:qFormat/>
    <w:uiPriority w:val="39"/>
    <w:pPr>
      <w:ind w:left="1600" w:leftChars="1600"/>
    </w:pPr>
  </w:style>
  <w:style w:type="paragraph" w:styleId="28">
    <w:name w:val="Body Text 2"/>
    <w:basedOn w:val="1"/>
    <w:link w:val="64"/>
    <w:semiHidden/>
    <w:unhideWhenUsed/>
    <w:qFormat/>
    <w:uiPriority w:val="0"/>
    <w:pPr>
      <w:spacing w:after="120" w:line="480" w:lineRule="auto"/>
    </w:pPr>
  </w:style>
  <w:style w:type="paragraph" w:styleId="29">
    <w:name w:val="Normal (Web)"/>
    <w:basedOn w:val="1"/>
    <w:qFormat/>
    <w:uiPriority w:val="99"/>
    <w:rPr>
      <w:rFonts w:ascii="仿宋_GB2312" w:hAnsi="Times New Roman" w:eastAsia="仿宋_GB2312"/>
      <w:sz w:val="24"/>
      <w:szCs w:val="24"/>
    </w:rPr>
  </w:style>
  <w:style w:type="paragraph" w:styleId="30">
    <w:name w:val="annotation subject"/>
    <w:basedOn w:val="10"/>
    <w:next w:val="10"/>
    <w:qFormat/>
    <w:uiPriority w:val="0"/>
  </w:style>
  <w:style w:type="paragraph" w:styleId="31">
    <w:name w:val="Body Text First Indent"/>
    <w:basedOn w:val="1"/>
    <w:link w:val="94"/>
    <w:qFormat/>
    <w:uiPriority w:val="0"/>
    <w:pPr>
      <w:ind w:firstLine="420" w:firstLineChars="100"/>
    </w:pPr>
  </w:style>
  <w:style w:type="paragraph" w:styleId="32">
    <w:name w:val="Body Text First Indent 2"/>
    <w:basedOn w:val="13"/>
    <w:next w:val="1"/>
    <w:unhideWhenUsed/>
    <w:qFormat/>
    <w:uiPriority w:val="99"/>
    <w:pPr>
      <w:ind w:firstLine="420" w:firstLine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basedOn w:val="35"/>
    <w:qFormat/>
    <w:uiPriority w:val="0"/>
  </w:style>
  <w:style w:type="character" w:styleId="38">
    <w:name w:val="Hyperlink"/>
    <w:basedOn w:val="35"/>
    <w:qFormat/>
    <w:uiPriority w:val="99"/>
    <w:rPr>
      <w:color w:val="0000FF"/>
      <w:u w:val="single"/>
    </w:rPr>
  </w:style>
  <w:style w:type="character" w:styleId="39">
    <w:name w:val="annotation reference"/>
    <w:qFormat/>
    <w:uiPriority w:val="0"/>
    <w:rPr>
      <w:sz w:val="21"/>
    </w:rPr>
  </w:style>
  <w:style w:type="paragraph" w:customStyle="1" w:styleId="40">
    <w:name w:val="Default"/>
    <w:next w:val="1"/>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41">
    <w:name w:val="表格文字"/>
    <w:basedOn w:val="1"/>
    <w:autoRedefine/>
    <w:qFormat/>
    <w:uiPriority w:val="0"/>
    <w:pPr>
      <w:adjustRightInd w:val="0"/>
      <w:spacing w:line="420" w:lineRule="atLeast"/>
      <w:textAlignment w:val="baseline"/>
    </w:pPr>
  </w:style>
  <w:style w:type="paragraph" w:customStyle="1" w:styleId="42">
    <w:name w:val="Char Char2"/>
    <w:basedOn w:val="1"/>
    <w:qFormat/>
    <w:uiPriority w:val="0"/>
    <w:rPr>
      <w:rFonts w:ascii="Tahoma" w:hAnsi="Tahoma"/>
      <w:szCs w:val="20"/>
    </w:rPr>
  </w:style>
  <w:style w:type="character" w:customStyle="1" w:styleId="43">
    <w:name w:val="style_kwd"/>
    <w:basedOn w:val="35"/>
    <w:qFormat/>
    <w:uiPriority w:val="0"/>
  </w:style>
  <w:style w:type="character" w:customStyle="1" w:styleId="44">
    <w:name w:val="批注文字 Char1"/>
    <w:qFormat/>
    <w:uiPriority w:val="0"/>
    <w:rPr>
      <w:rFonts w:ascii="Times New Roman" w:hAnsi="Times New Roman" w:eastAsia="宋体" w:cs="Times New Roman"/>
      <w:sz w:val="20"/>
      <w:szCs w:val="20"/>
      <w:lang w:bidi="ar-SA"/>
    </w:rPr>
  </w:style>
  <w:style w:type="character" w:customStyle="1" w:styleId="45">
    <w:name w:val="Comment Text Char"/>
    <w:qFormat/>
    <w:uiPriority w:val="0"/>
  </w:style>
  <w:style w:type="paragraph" w:customStyle="1" w:styleId="46">
    <w:name w:val="修订1"/>
    <w:qFormat/>
    <w:uiPriority w:val="0"/>
    <w:rPr>
      <w:rFonts w:ascii="Times New Roman" w:hAnsi="Times New Roman" w:eastAsia="宋体" w:cs="Times New Roman"/>
      <w:kern w:val="2"/>
      <w:sz w:val="21"/>
      <w:lang w:val="en-US" w:eastAsia="zh-CN" w:bidi="ar-SA"/>
    </w:rPr>
  </w:style>
  <w:style w:type="paragraph" w:customStyle="1" w:styleId="47">
    <w:name w:val="_Style 23"/>
    <w:basedOn w:val="1"/>
    <w:qFormat/>
    <w:uiPriority w:val="0"/>
    <w:pPr>
      <w:widowControl/>
      <w:spacing w:after="160" w:line="240" w:lineRule="exact"/>
      <w:jc w:val="left"/>
    </w:pPr>
  </w:style>
  <w:style w:type="paragraph" w:customStyle="1" w:styleId="48">
    <w:name w:val="TOC 标题1"/>
    <w:basedOn w:val="2"/>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49">
    <w:name w:val="批注文字 字符"/>
    <w:basedOn w:val="35"/>
    <w:link w:val="10"/>
    <w:qFormat/>
    <w:uiPriority w:val="0"/>
    <w:rPr>
      <w:rFonts w:eastAsia="宋体"/>
      <w:kern w:val="2"/>
      <w:sz w:val="21"/>
    </w:rPr>
  </w:style>
  <w:style w:type="character" w:customStyle="1" w:styleId="50">
    <w:name w:val="正文文本 3 字符"/>
    <w:basedOn w:val="35"/>
    <w:link w:val="11"/>
    <w:qFormat/>
    <w:uiPriority w:val="0"/>
    <w:rPr>
      <w:rFonts w:ascii="宋体" w:hAnsi="Calibri" w:eastAsia="宋体"/>
      <w:kern w:val="2"/>
      <w:sz w:val="24"/>
    </w:rPr>
  </w:style>
  <w:style w:type="character" w:customStyle="1" w:styleId="51">
    <w:name w:val="font161"/>
    <w:qFormat/>
    <w:uiPriority w:val="0"/>
    <w:rPr>
      <w:b/>
      <w:bCs/>
      <w:sz w:val="32"/>
      <w:szCs w:val="32"/>
    </w:rPr>
  </w:style>
  <w:style w:type="paragraph" w:customStyle="1" w:styleId="52">
    <w:name w:val="标题3最终"/>
    <w:basedOn w:val="53"/>
    <w:qFormat/>
    <w:uiPriority w:val="0"/>
    <w:pPr>
      <w:spacing w:before="0" w:line="360" w:lineRule="auto"/>
      <w:outlineLvl w:val="9"/>
    </w:pPr>
    <w:rPr>
      <w:rFonts w:ascii="宋体" w:hAnsi="宋体" w:eastAsia="宋体"/>
      <w:sz w:val="24"/>
    </w:rPr>
  </w:style>
  <w:style w:type="paragraph" w:customStyle="1" w:styleId="53">
    <w:name w:val="样式 标题 2 + Times New Roman 四号 非加粗 段前: 5 磅 段后: 0 磅 行距: 固定值 20..."/>
    <w:basedOn w:val="3"/>
    <w:qFormat/>
    <w:uiPriority w:val="0"/>
    <w:pPr>
      <w:spacing w:before="100" w:line="400" w:lineRule="exact"/>
    </w:pPr>
    <w:rPr>
      <w:rFonts w:cs="宋体"/>
      <w:b w:val="0"/>
      <w:szCs w:val="24"/>
    </w:rPr>
  </w:style>
  <w:style w:type="paragraph" w:customStyle="1" w:styleId="54">
    <w:name w:val="大纲2"/>
    <w:basedOn w:val="1"/>
    <w:qFormat/>
    <w:uiPriority w:val="1"/>
    <w:pPr>
      <w:outlineLvl w:val="1"/>
    </w:pPr>
    <w:rPr>
      <w:b/>
    </w:rPr>
  </w:style>
  <w:style w:type="paragraph" w:customStyle="1" w:styleId="55">
    <w:name w:val="Table Paragraph"/>
    <w:basedOn w:val="1"/>
    <w:qFormat/>
    <w:uiPriority w:val="1"/>
  </w:style>
  <w:style w:type="paragraph" w:customStyle="1" w:styleId="56">
    <w:name w:val="大纲1"/>
    <w:basedOn w:val="1"/>
    <w:qFormat/>
    <w:uiPriority w:val="1"/>
    <w:pPr>
      <w:spacing w:before="100" w:beforeAutospacing="1" w:after="100" w:afterAutospacing="1"/>
      <w:jc w:val="center"/>
      <w:outlineLvl w:val="0"/>
    </w:pPr>
    <w:rPr>
      <w:rFonts w:eastAsiaTheme="minorEastAsia"/>
      <w:b/>
      <w:sz w:val="32"/>
    </w:rPr>
  </w:style>
  <w:style w:type="table" w:customStyle="1" w:styleId="57">
    <w:name w:val="Table Normal"/>
    <w:semiHidden/>
    <w:unhideWhenUsed/>
    <w:qFormat/>
    <w:uiPriority w:val="2"/>
    <w:tblPr>
      <w:tblCellMar>
        <w:top w:w="0" w:type="dxa"/>
        <w:left w:w="0" w:type="dxa"/>
        <w:bottom w:w="0" w:type="dxa"/>
        <w:right w:w="0" w:type="dxa"/>
      </w:tblCellMar>
    </w:tblPr>
  </w:style>
  <w:style w:type="paragraph" w:customStyle="1" w:styleId="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9">
    <w:name w:val="+正文"/>
    <w:basedOn w:val="1"/>
    <w:qFormat/>
    <w:uiPriority w:val="0"/>
    <w:pPr>
      <w:spacing w:line="360" w:lineRule="auto"/>
      <w:ind w:firstLine="200" w:firstLineChars="200"/>
    </w:pPr>
    <w:rPr>
      <w:sz w:val="24"/>
      <w:szCs w:val="28"/>
    </w:rPr>
  </w:style>
  <w:style w:type="paragraph" w:customStyle="1" w:styleId="60">
    <w:name w:val="+正文 Char"/>
    <w:basedOn w:val="1"/>
    <w:qFormat/>
    <w:uiPriority w:val="0"/>
    <w:pPr>
      <w:ind w:firstLine="200" w:firstLineChars="200"/>
    </w:pPr>
    <w:rPr>
      <w:rFonts w:hint="eastAsia"/>
    </w:rPr>
  </w:style>
  <w:style w:type="character" w:customStyle="1" w:styleId="61">
    <w:name w:val="标题 2 字符"/>
    <w:link w:val="3"/>
    <w:qFormat/>
    <w:uiPriority w:val="0"/>
    <w:rPr>
      <w:rFonts w:ascii="Arial" w:hAnsi="Arial" w:eastAsia="黑体"/>
      <w:b/>
      <w:sz w:val="28"/>
      <w:szCs w:val="20"/>
    </w:rPr>
  </w:style>
  <w:style w:type="character" w:customStyle="1" w:styleId="62">
    <w:name w:val="标题 4 字符"/>
    <w:basedOn w:val="35"/>
    <w:link w:val="5"/>
    <w:qFormat/>
    <w:uiPriority w:val="0"/>
    <w:rPr>
      <w:rFonts w:asciiTheme="majorHAnsi" w:hAnsiTheme="majorHAnsi" w:eastAsiaTheme="majorEastAsia" w:cstheme="majorBidi"/>
      <w:b/>
      <w:bCs/>
      <w:kern w:val="2"/>
      <w:sz w:val="28"/>
      <w:szCs w:val="28"/>
    </w:rPr>
  </w:style>
  <w:style w:type="character" w:customStyle="1" w:styleId="63">
    <w:name w:val="正文文本 字符"/>
    <w:basedOn w:val="35"/>
    <w:link w:val="12"/>
    <w:qFormat/>
    <w:uiPriority w:val="1"/>
    <w:rPr>
      <w:rFonts w:ascii="Calibri" w:hAnsi="Calibri"/>
      <w:kern w:val="2"/>
      <w:sz w:val="21"/>
      <w:szCs w:val="22"/>
    </w:rPr>
  </w:style>
  <w:style w:type="character" w:customStyle="1" w:styleId="64">
    <w:name w:val="正文文本 2 字符"/>
    <w:basedOn w:val="35"/>
    <w:link w:val="28"/>
    <w:semiHidden/>
    <w:qFormat/>
    <w:uiPriority w:val="0"/>
    <w:rPr>
      <w:rFonts w:ascii="Calibri" w:hAnsi="Calibri"/>
      <w:kern w:val="2"/>
      <w:sz w:val="21"/>
      <w:szCs w:val="22"/>
    </w:rPr>
  </w:style>
  <w:style w:type="paragraph" w:customStyle="1" w:styleId="65">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标题_0"/>
    <w:basedOn w:val="67"/>
    <w:next w:val="67"/>
    <w:link w:val="68"/>
    <w:qFormat/>
    <w:uiPriority w:val="0"/>
    <w:pPr>
      <w:widowControl/>
      <w:jc w:val="center"/>
      <w:outlineLvl w:val="0"/>
    </w:pPr>
    <w:rPr>
      <w:rFonts w:ascii="Cambria" w:hAnsi="Cambria" w:eastAsia="微软雅黑"/>
      <w:b/>
      <w:bCs/>
      <w:kern w:val="28"/>
      <w:sz w:val="44"/>
      <w:lang w:eastAsia="en-US" w:bidi="en-US"/>
    </w:rPr>
  </w:style>
  <w:style w:type="paragraph" w:customStyle="1" w:styleId="67">
    <w:name w:val="正文_0_1"/>
    <w:qFormat/>
    <w:uiPriority w:val="0"/>
    <w:pPr>
      <w:widowControl w:val="0"/>
      <w:jc w:val="both"/>
    </w:pPr>
    <w:rPr>
      <w:rFonts w:ascii="Times New Roman" w:hAnsi="Times New Roman" w:eastAsia="宋体" w:cs="Times New Roman"/>
      <w:lang w:val="en-US" w:eastAsia="zh-CN" w:bidi="ar-SA"/>
    </w:rPr>
  </w:style>
  <w:style w:type="character" w:customStyle="1" w:styleId="68">
    <w:name w:val="标题 Char_0"/>
    <w:link w:val="66"/>
    <w:qFormat/>
    <w:uiPriority w:val="0"/>
    <w:rPr>
      <w:rFonts w:ascii="Cambria" w:hAnsi="Cambria" w:eastAsia="微软雅黑"/>
      <w:b/>
      <w:bCs/>
      <w:kern w:val="28"/>
      <w:sz w:val="44"/>
      <w:lang w:eastAsia="en-US" w:bidi="en-US"/>
    </w:rPr>
  </w:style>
  <w:style w:type="paragraph" w:customStyle="1" w:styleId="69">
    <w:name w:val="正文_1_0"/>
    <w:qFormat/>
    <w:uiPriority w:val="0"/>
    <w:pPr>
      <w:widowControl w:val="0"/>
      <w:jc w:val="both"/>
    </w:pPr>
    <w:rPr>
      <w:rFonts w:ascii="Times New Roman" w:hAnsi="Times New Roman" w:eastAsia="宋体" w:cs="Times New Roman"/>
      <w:lang w:val="en-US" w:eastAsia="zh-CN" w:bidi="ar-SA"/>
    </w:rPr>
  </w:style>
  <w:style w:type="paragraph" w:customStyle="1" w:styleId="70">
    <w:name w:val="*正文_0_0"/>
    <w:basedOn w:val="69"/>
    <w:next w:val="69"/>
    <w:link w:val="71"/>
    <w:qFormat/>
    <w:uiPriority w:val="0"/>
    <w:pPr>
      <w:widowControl/>
      <w:ind w:firstLine="482"/>
    </w:pPr>
    <w:rPr>
      <w:rFonts w:ascii="微软雅黑" w:hAnsi="微软雅黑" w:eastAsia="微软雅黑"/>
      <w:sz w:val="21"/>
    </w:rPr>
  </w:style>
  <w:style w:type="character" w:customStyle="1" w:styleId="71">
    <w:name w:val="*正文 Char Char_0_0"/>
    <w:link w:val="70"/>
    <w:qFormat/>
    <w:locked/>
    <w:uiPriority w:val="0"/>
    <w:rPr>
      <w:rFonts w:ascii="微软雅黑" w:hAnsi="微软雅黑" w:eastAsia="微软雅黑"/>
      <w:sz w:val="21"/>
    </w:rPr>
  </w:style>
  <w:style w:type="paragraph" w:customStyle="1" w:styleId="72">
    <w:name w:val="*正文_1"/>
    <w:basedOn w:val="1"/>
    <w:next w:val="1"/>
    <w:link w:val="73"/>
    <w:qFormat/>
    <w:uiPriority w:val="0"/>
    <w:pPr>
      <w:widowControl/>
      <w:ind w:firstLine="482"/>
    </w:pPr>
    <w:rPr>
      <w:rFonts w:ascii="微软雅黑" w:hAnsi="微软雅黑" w:eastAsia="微软雅黑"/>
      <w:kern w:val="0"/>
      <w:sz w:val="20"/>
      <w:szCs w:val="20"/>
    </w:rPr>
  </w:style>
  <w:style w:type="character" w:customStyle="1" w:styleId="73">
    <w:name w:val="*正文 Char Char_1"/>
    <w:link w:val="72"/>
    <w:qFormat/>
    <w:locked/>
    <w:uiPriority w:val="0"/>
    <w:rPr>
      <w:rFonts w:ascii="微软雅黑" w:hAnsi="微软雅黑" w:eastAsia="微软雅黑"/>
    </w:rPr>
  </w:style>
  <w:style w:type="paragraph" w:customStyle="1" w:styleId="74">
    <w:name w:val="标题 3_0"/>
    <w:basedOn w:val="69"/>
    <w:next w:val="69"/>
    <w:link w:val="75"/>
    <w:autoRedefine/>
    <w:qFormat/>
    <w:uiPriority w:val="0"/>
    <w:pPr>
      <w:keepNext/>
      <w:keepLines/>
      <w:outlineLvl w:val="2"/>
    </w:pPr>
    <w:rPr>
      <w:rFonts w:eastAsia="仿宋"/>
      <w:b/>
      <w:bCs/>
      <w:sz w:val="30"/>
    </w:rPr>
  </w:style>
  <w:style w:type="character" w:customStyle="1" w:styleId="75">
    <w:name w:val="标题 3 Char_0"/>
    <w:link w:val="74"/>
    <w:qFormat/>
    <w:uiPriority w:val="0"/>
    <w:rPr>
      <w:rFonts w:eastAsia="仿宋"/>
      <w:b/>
      <w:bCs/>
      <w:sz w:val="30"/>
    </w:rPr>
  </w:style>
  <w:style w:type="paragraph" w:customStyle="1" w:styleId="76">
    <w:name w:val="标题 4_0"/>
    <w:basedOn w:val="69"/>
    <w:next w:val="69"/>
    <w:link w:val="77"/>
    <w:autoRedefine/>
    <w:qFormat/>
    <w:uiPriority w:val="0"/>
    <w:pPr>
      <w:keepNext/>
      <w:keepLines/>
      <w:outlineLvl w:val="3"/>
    </w:pPr>
    <w:rPr>
      <w:rFonts w:ascii="Arial" w:hAnsi="Arial" w:eastAsia="仿宋"/>
      <w:b/>
      <w:bCs/>
      <w:sz w:val="28"/>
      <w:szCs w:val="28"/>
    </w:rPr>
  </w:style>
  <w:style w:type="character" w:customStyle="1" w:styleId="77">
    <w:name w:val="标题 4 Char_0"/>
    <w:link w:val="76"/>
    <w:autoRedefine/>
    <w:qFormat/>
    <w:uiPriority w:val="0"/>
    <w:rPr>
      <w:rFonts w:ascii="Arial" w:hAnsi="Arial" w:eastAsia="仿宋"/>
      <w:b/>
      <w:bCs/>
      <w:sz w:val="28"/>
      <w:szCs w:val="28"/>
    </w:rPr>
  </w:style>
  <w:style w:type="paragraph" w:customStyle="1" w:styleId="78">
    <w:name w:val="Body text|1"/>
    <w:basedOn w:val="69"/>
    <w:link w:val="79"/>
    <w:autoRedefine/>
    <w:qFormat/>
    <w:uiPriority w:val="0"/>
    <w:pPr>
      <w:spacing w:after="220" w:line="420" w:lineRule="auto"/>
      <w:ind w:firstLine="400"/>
      <w:jc w:val="left"/>
    </w:pPr>
    <w:rPr>
      <w:rFonts w:ascii="MingLiU" w:hAnsi="MingLiU" w:eastAsia="MingLiU" w:cs="MingLiU"/>
      <w:lang w:val="zh-TW" w:eastAsia="zh-TW" w:bidi="zh-TW"/>
    </w:rPr>
  </w:style>
  <w:style w:type="character" w:customStyle="1" w:styleId="79">
    <w:name w:val="Body text|1_"/>
    <w:link w:val="78"/>
    <w:autoRedefine/>
    <w:qFormat/>
    <w:uiPriority w:val="0"/>
    <w:rPr>
      <w:rFonts w:ascii="MingLiU" w:hAnsi="MingLiU" w:eastAsia="MingLiU" w:cs="MingLiU"/>
      <w:lang w:val="zh-TW" w:eastAsia="zh-TW" w:bidi="zh-TW"/>
    </w:rPr>
  </w:style>
  <w:style w:type="paragraph" w:customStyle="1" w:styleId="80">
    <w:name w:val="列出段落_0"/>
    <w:basedOn w:val="81"/>
    <w:autoRedefine/>
    <w:qFormat/>
    <w:uiPriority w:val="34"/>
    <w:pPr>
      <w:widowControl/>
      <w:ind w:left="720"/>
      <w:contextualSpacing/>
      <w:jc w:val="left"/>
    </w:pPr>
    <w:rPr>
      <w:rFonts w:ascii="Calibri" w:hAnsi="Calibri"/>
      <w:sz w:val="24"/>
      <w:szCs w:val="24"/>
      <w:lang w:eastAsia="en-US" w:bidi="en-US"/>
    </w:rPr>
  </w:style>
  <w:style w:type="paragraph" w:customStyle="1" w:styleId="81">
    <w:name w:val="正文_4"/>
    <w:next w:val="82"/>
    <w:qFormat/>
    <w:uiPriority w:val="0"/>
    <w:pPr>
      <w:widowControl w:val="0"/>
      <w:jc w:val="both"/>
    </w:pPr>
    <w:rPr>
      <w:rFonts w:ascii="Calibri" w:hAnsi="Calibri" w:eastAsia="宋体" w:cs="Times New Roman"/>
      <w:kern w:val="2"/>
      <w:sz w:val="21"/>
      <w:szCs w:val="22"/>
      <w:lang w:eastAsia="en-US"/>
    </w:rPr>
  </w:style>
  <w:style w:type="paragraph" w:customStyle="1" w:styleId="82">
    <w:name w:val="纯文本_1"/>
    <w:basedOn w:val="81"/>
    <w:unhideWhenUsed/>
    <w:qFormat/>
    <w:uiPriority w:val="99"/>
    <w:rPr>
      <w:rFonts w:ascii="宋体" w:hAnsi="Courier New"/>
      <w:bCs/>
      <w:lang w:eastAsia="en-US"/>
    </w:rPr>
  </w:style>
  <w:style w:type="character" w:customStyle="1" w:styleId="83">
    <w:name w:val="超链接_1"/>
    <w:qFormat/>
    <w:uiPriority w:val="99"/>
    <w:rPr>
      <w:color w:val="0368A8"/>
      <w:u w:val="none"/>
    </w:rPr>
  </w:style>
  <w:style w:type="paragraph" w:customStyle="1" w:styleId="84">
    <w:name w:val="Default_0"/>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5">
    <w:name w:val="&quot;Table caption|1&quot;"/>
    <w:basedOn w:val="69"/>
    <w:qFormat/>
    <w:uiPriority w:val="0"/>
    <w:pPr>
      <w:shd w:val="clear" w:color="FFFFFF" w:fill="FFFFFF"/>
      <w:jc w:val="left"/>
    </w:pPr>
    <w:rPr>
      <w:rFonts w:ascii="MingLiU" w:hAnsi="MingLiU" w:eastAsia="MingLiU" w:cs="MingLiU"/>
      <w:color w:val="000000"/>
      <w:sz w:val="19"/>
      <w:szCs w:val="19"/>
      <w:lang w:val="zh-TW" w:eastAsia="zh-TW" w:bidi="zh-TW"/>
    </w:rPr>
  </w:style>
  <w:style w:type="paragraph" w:customStyle="1" w:styleId="86">
    <w:name w:val="列出段落1_0"/>
    <w:basedOn w:val="67"/>
    <w:qFormat/>
    <w:uiPriority w:val="0"/>
    <w:pPr>
      <w:widowControl/>
      <w:spacing w:line="300" w:lineRule="auto"/>
      <w:ind w:firstLine="200" w:firstLineChars="200"/>
    </w:pPr>
    <w:rPr>
      <w:rFonts w:ascii="Arial" w:hAnsi="Arial"/>
      <w:sz w:val="18"/>
    </w:rPr>
  </w:style>
  <w:style w:type="paragraph" w:customStyle="1" w:styleId="87">
    <w:name w:val="普通(网站)_0"/>
    <w:basedOn w:val="67"/>
    <w:qFormat/>
    <w:uiPriority w:val="99"/>
    <w:pPr>
      <w:widowControl/>
      <w:spacing w:before="100" w:beforeAutospacing="1" w:after="100" w:afterAutospacing="1"/>
      <w:jc w:val="left"/>
    </w:pPr>
    <w:rPr>
      <w:rFonts w:ascii="宋体" w:hAnsi="宋体"/>
      <w:sz w:val="24"/>
      <w:szCs w:val="24"/>
    </w:rPr>
  </w:style>
  <w:style w:type="paragraph" w:customStyle="1" w:styleId="88">
    <w:name w:val="_Style 2"/>
    <w:basedOn w:val="67"/>
    <w:autoRedefine/>
    <w:qFormat/>
    <w:uiPriority w:val="0"/>
    <w:pPr>
      <w:ind w:firstLine="420" w:firstLineChars="200"/>
    </w:pPr>
    <w:rPr>
      <w:rFonts w:ascii="Calibri" w:hAnsi="Calibri"/>
      <w:kern w:val="2"/>
      <w:sz w:val="21"/>
      <w:szCs w:val="24"/>
    </w:rPr>
  </w:style>
  <w:style w:type="paragraph" w:customStyle="1" w:styleId="89">
    <w:name w:val="正文_1_1"/>
    <w:qFormat/>
    <w:uiPriority w:val="0"/>
    <w:pPr>
      <w:widowControl w:val="0"/>
      <w:jc w:val="both"/>
    </w:pPr>
    <w:rPr>
      <w:rFonts w:ascii="Times New Roman" w:hAnsi="Times New Roman" w:eastAsia="宋体" w:cs="Times New Roman"/>
      <w:lang w:val="en-US" w:eastAsia="zh-CN" w:bidi="ar-SA"/>
    </w:rPr>
  </w:style>
  <w:style w:type="character" w:customStyle="1" w:styleId="90">
    <w:name w:val="标题 1 字符"/>
    <w:link w:val="2"/>
    <w:autoRedefine/>
    <w:qFormat/>
    <w:uiPriority w:val="0"/>
    <w:rPr>
      <w:b/>
      <w:kern w:val="44"/>
      <w:sz w:val="44"/>
    </w:rPr>
  </w:style>
  <w:style w:type="paragraph" w:customStyle="1" w:styleId="91">
    <w:name w:val="正文_5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正文_1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3">
    <w:name w:val="标题 5 字符"/>
    <w:basedOn w:val="35"/>
    <w:link w:val="6"/>
    <w:semiHidden/>
    <w:qFormat/>
    <w:uiPriority w:val="0"/>
    <w:rPr>
      <w:rFonts w:ascii="Calibri" w:hAnsi="Calibri"/>
      <w:b/>
      <w:bCs/>
      <w:kern w:val="2"/>
      <w:sz w:val="28"/>
      <w:szCs w:val="28"/>
    </w:rPr>
  </w:style>
  <w:style w:type="character" w:customStyle="1" w:styleId="94">
    <w:name w:val="正文文本首行缩进 字符"/>
    <w:basedOn w:val="63"/>
    <w:link w:val="31"/>
    <w:autoRedefine/>
    <w:qFormat/>
    <w:uiPriority w:val="0"/>
    <w:rPr>
      <w:rFonts w:ascii="Calibri" w:hAnsi="Calibri"/>
      <w:kern w:val="2"/>
      <w:sz w:val="21"/>
      <w:szCs w:val="22"/>
    </w:rPr>
  </w:style>
  <w:style w:type="paragraph" w:customStyle="1" w:styleId="95">
    <w:name w:val="Body text|2"/>
    <w:basedOn w:val="1"/>
    <w:qFormat/>
    <w:uiPriority w:val="0"/>
    <w:rPr>
      <w:rFonts w:ascii="宋体" w:hAnsi="宋体" w:cs="宋体"/>
      <w:lang w:val="zh-TW" w:eastAsia="zh-TW" w:bidi="zh-TW"/>
    </w:rPr>
  </w:style>
  <w:style w:type="table" w:customStyle="1" w:styleId="96">
    <w:name w:val="Table Normal1"/>
    <w:autoRedefine/>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97">
    <w:name w:val="conten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98">
    <w:name w:val="List Paragraph"/>
    <w:basedOn w:val="1"/>
    <w:autoRedefine/>
    <w:unhideWhenUsed/>
    <w:qFormat/>
    <w:uiPriority w:val="99"/>
    <w:pPr>
      <w:ind w:firstLine="420" w:firstLineChars="200"/>
    </w:pPr>
  </w:style>
  <w:style w:type="paragraph" w:customStyle="1" w:styleId="99">
    <w:name w:val="样式 标题 3 + (中文) 黑体 小四 非加粗 段前: 7.8 磅 段后: 0 磅 行距: 固定值 20 磅"/>
    <w:basedOn w:val="4"/>
    <w:autoRedefine/>
    <w:qFormat/>
    <w:uiPriority w:val="0"/>
    <w:pPr>
      <w:spacing w:line="400" w:lineRule="exact"/>
    </w:pPr>
    <w:rPr>
      <w:rFonts w:cs="宋体"/>
      <w:b w:val="0"/>
      <w:sz w:val="24"/>
    </w:rPr>
  </w:style>
  <w:style w:type="paragraph" w:customStyle="1" w:styleId="10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
    <w:name w:val="正文_8"/>
    <w:basedOn w:val="1"/>
    <w:qFormat/>
    <w:uiPriority w:val="0"/>
    <w:rPr>
      <w:rFonts w:ascii="Calibri" w:hAnsi="Calibri" w:cs="Calibri"/>
      <w:szCs w:val="21"/>
    </w:rPr>
  </w:style>
  <w:style w:type="paragraph" w:customStyle="1" w:styleId="102">
    <w:name w:val="正文_9_0"/>
    <w:basedOn w:val="1"/>
    <w:qFormat/>
    <w:uiPriority w:val="0"/>
    <w:rPr>
      <w:rFonts w:ascii="Calibri" w:hAnsi="Calibri" w:cs="Calibri"/>
      <w:szCs w:val="21"/>
    </w:rPr>
  </w:style>
  <w:style w:type="paragraph" w:customStyle="1" w:styleId="103">
    <w:name w:val="Table Text"/>
    <w:basedOn w:val="1"/>
    <w:semiHidden/>
    <w:qFormat/>
    <w:uiPriority w:val="0"/>
    <w:pPr>
      <w:spacing w:line="360" w:lineRule="auto"/>
    </w:pPr>
    <w:rPr>
      <w:rFonts w:ascii="宋体" w:hAnsi="宋体" w:eastAsia="宋体" w:cs="宋体"/>
      <w:sz w:val="24"/>
      <w:lang w:eastAsia="en-US"/>
    </w:rPr>
  </w:style>
  <w:style w:type="character" w:customStyle="1" w:styleId="104">
    <w:name w:val="font121"/>
    <w:basedOn w:val="35"/>
    <w:qFormat/>
    <w:uiPriority w:val="0"/>
    <w:rPr>
      <w:rFonts w:hint="eastAsia" w:ascii="宋体" w:hAnsi="宋体" w:eastAsia="宋体" w:cs="宋体"/>
      <w:b/>
      <w:bCs/>
      <w:color w:val="000000"/>
      <w:sz w:val="20"/>
      <w:szCs w:val="20"/>
      <w:u w:val="none"/>
    </w:rPr>
  </w:style>
  <w:style w:type="paragraph" w:customStyle="1" w:styleId="105">
    <w:name w:val="+正文 Char Char3"/>
    <w:basedOn w:val="1"/>
    <w:qFormat/>
    <w:uiPriority w:val="0"/>
    <w:rPr>
      <w:rFonts w:ascii="Calibri" w:hAnsi="Calibri" w:cs="黑体"/>
    </w:rPr>
  </w:style>
  <w:style w:type="paragraph" w:customStyle="1" w:styleId="106">
    <w:name w:val="正文_5"/>
    <w:next w:val="107"/>
    <w:qFormat/>
    <w:uiPriority w:val="0"/>
    <w:pPr>
      <w:widowControl w:val="0"/>
      <w:jc w:val="both"/>
    </w:pPr>
    <w:rPr>
      <w:rFonts w:ascii="Calibri" w:hAnsi="Calibri" w:eastAsia="宋体" w:cs="Times New Roman"/>
      <w:kern w:val="2"/>
      <w:sz w:val="21"/>
      <w:szCs w:val="22"/>
      <w:lang w:eastAsia="en-US"/>
    </w:rPr>
  </w:style>
  <w:style w:type="paragraph" w:customStyle="1" w:styleId="107">
    <w:name w:val="纯文本_2"/>
    <w:basedOn w:val="106"/>
    <w:unhideWhenUsed/>
    <w:qFormat/>
    <w:uiPriority w:val="99"/>
    <w:rPr>
      <w:rFonts w:ascii="宋体" w:hAnsi="Courier New"/>
      <w:bCs/>
      <w:lang w:eastAsia="en-US"/>
    </w:rPr>
  </w:style>
  <w:style w:type="character" w:customStyle="1" w:styleId="108">
    <w:name w:val="first-child"/>
    <w:basedOn w:val="35"/>
    <w:qFormat/>
    <w:uiPriority w:val="0"/>
  </w:style>
  <w:style w:type="character" w:customStyle="1" w:styleId="109">
    <w:name w:val="layui-layer-tabnow"/>
    <w:basedOn w:val="35"/>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83</Pages>
  <Words>12969</Words>
  <Characters>13930</Characters>
  <Lines>338</Lines>
  <Paragraphs>95</Paragraphs>
  <TotalTime>13</TotalTime>
  <ScaleCrop>false</ScaleCrop>
  <LinksUpToDate>false</LinksUpToDate>
  <CharactersWithSpaces>14091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2024-12-12T08:59:00Z</dcterms:created>
  <dc:creator>袁静</dc:creator>
  <cp:lastModifiedBy>NTKO</cp:lastModifiedBy>
  <cp:lastPrinted>2017-09-04T09:25:00Z</cp:lastPrinted>
  <dcterms:modified xsi:type="dcterms:W3CDTF">2025-12-22T10:23:11Z</dcterms:modified>
  <dc:title>中华人民共和国</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4F069FDEC4CE44FBA995AB20EABD9EBD_13</vt:lpwstr>
  </property>
  <property fmtid="{D5CDD505-2E9C-101B-9397-08002B2CF9AE}" pid="4" name="KSOTemplateDocerSaveRecord">
    <vt:lpwstr>eyJoZGlkIjoiODAwNmVkODllYWQ4ZjJlZWVlOWU4YmFhZTRkYjQ3NTIiLCJ1c2VySWQiOiIxMDg1MDU4Nzk1In0=</vt:lpwstr>
  </property>
</Properties>
</file>