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r>
        <w:rPr>
          <w:rFonts w:hint="eastAsia"/>
          <w:b/>
          <w:bCs/>
          <w:sz w:val="40"/>
          <w:szCs w:val="48"/>
          <w:lang w:eastAsia="zh-CN"/>
        </w:rPr>
        <w:drawing>
          <wp:inline distT="0" distB="0" distL="114300" distR="114300">
            <wp:extent cx="5867400" cy="8293100"/>
            <wp:effectExtent l="0" t="0" r="0" b="12700"/>
            <wp:docPr id="1" name="图片 1" descr="SKM_2872405300954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4053009540_00"/>
                    <pic:cNvPicPr>
                      <a:picLocks noChangeAspect="1"/>
                    </pic:cNvPicPr>
                  </pic:nvPicPr>
                  <pic:blipFill>
                    <a:blip r:embed="rId5"/>
                    <a:stretch>
                      <a:fillRect/>
                    </a:stretch>
                  </pic:blipFill>
                  <pic:spPr>
                    <a:xfrm>
                      <a:off x="0" y="0"/>
                      <a:ext cx="5867400" cy="8293100"/>
                    </a:xfrm>
                    <a:prstGeom prst="rect">
                      <a:avLst/>
                    </a:prstGeom>
                  </pic:spPr>
                </pic:pic>
              </a:graphicData>
            </a:graphic>
          </wp:inline>
        </w:drawing>
      </w:r>
    </w:p>
    <w:p>
      <w:pPr>
        <w:pStyle w:val="2"/>
        <w:jc w:val="center"/>
        <w:rPr>
          <w:rFonts w:hint="eastAsia" w:cs="宋体"/>
          <w:b/>
          <w:sz w:val="44"/>
          <w:szCs w:val="44"/>
          <w:lang w:val="en-US" w:eastAsia="zh-CN"/>
        </w:rPr>
      </w:pPr>
    </w:p>
    <w:p>
      <w:pPr>
        <w:pStyle w:val="2"/>
        <w:jc w:val="center"/>
        <w:rPr>
          <w:rFonts w:hint="eastAsia" w:cs="宋体"/>
          <w:b/>
          <w:sz w:val="44"/>
          <w:szCs w:val="44"/>
          <w:lang w:val="en-US" w:eastAsia="zh-CN"/>
        </w:rPr>
      </w:pPr>
    </w:p>
    <w:p>
      <w:pPr>
        <w:pStyle w:val="2"/>
        <w:jc w:val="center"/>
        <w:rPr>
          <w:rFonts w:hint="eastAsia" w:ascii="宋体" w:hAnsi="宋体"/>
          <w:b w:val="0"/>
          <w:sz w:val="72"/>
          <w:szCs w:val="72"/>
        </w:rPr>
      </w:pPr>
      <w:r>
        <w:rPr>
          <w:rFonts w:hint="eastAsia" w:cs="宋体"/>
          <w:b/>
          <w:sz w:val="44"/>
          <w:szCs w:val="44"/>
          <w:lang w:val="en-US" w:eastAsia="zh-CN"/>
        </w:rPr>
        <w:t>社旗县园林绿化中心2023年郑州路（华山路至迎宾大道）道路绿化提升改造项目</w:t>
      </w:r>
    </w:p>
    <w:p>
      <w:pPr>
        <w:rPr>
          <w:rFonts w:hint="eastAsia"/>
        </w:rPr>
      </w:pPr>
    </w:p>
    <w:p>
      <w:pPr>
        <w:ind w:left="840" w:leftChars="400" w:firstLine="0" w:firstLineChars="0"/>
        <w:rPr>
          <w:rFonts w:hint="eastAsia"/>
        </w:rPr>
      </w:pPr>
    </w:p>
    <w:p>
      <w:pPr>
        <w:pStyle w:val="2"/>
        <w:rPr>
          <w:rFonts w:hint="eastAsia"/>
        </w:rPr>
      </w:pPr>
    </w:p>
    <w:p>
      <w:pPr>
        <w:rPr>
          <w:rFonts w:hint="eastAsia"/>
        </w:rPr>
      </w:pPr>
    </w:p>
    <w:p>
      <w:pPr>
        <w:ind w:left="840" w:leftChars="400" w:firstLine="0" w:firstLineChars="0"/>
        <w:jc w:val="center"/>
        <w:rPr>
          <w:rFonts w:hint="eastAsia" w:ascii="宋体" w:hAnsi="宋体"/>
          <w:b/>
          <w:sz w:val="30"/>
          <w:szCs w:val="30"/>
        </w:rPr>
      </w:pPr>
      <w:r>
        <w:rPr>
          <w:rFonts w:hint="eastAsia" w:ascii="宋体" w:hAnsi="宋体"/>
          <w:b/>
          <w:sz w:val="72"/>
          <w:szCs w:val="72"/>
        </w:rPr>
        <w:t>竞争性磋商文件</w:t>
      </w:r>
    </w:p>
    <w:p>
      <w:pPr>
        <w:spacing w:line="400" w:lineRule="exact"/>
        <w:ind w:left="840" w:leftChars="400" w:firstLine="0" w:firstLineChars="0"/>
        <w:rPr>
          <w:rFonts w:hint="eastAsia" w:ascii="宋体" w:hAnsi="宋体"/>
        </w:rPr>
      </w:pPr>
    </w:p>
    <w:p>
      <w:pPr>
        <w:spacing w:line="400" w:lineRule="exact"/>
        <w:ind w:left="840" w:leftChars="400" w:firstLine="0" w:firstLineChars="0"/>
        <w:rPr>
          <w:rFonts w:hint="eastAsia" w:ascii="宋体" w:hAnsi="宋体"/>
        </w:rPr>
      </w:pPr>
    </w:p>
    <w:p>
      <w:pPr>
        <w:spacing w:line="400" w:lineRule="exact"/>
        <w:ind w:left="840" w:leftChars="400" w:firstLine="0" w:firstLineChars="0"/>
        <w:rPr>
          <w:rFonts w:hint="eastAsia" w:ascii="宋体" w:hAnsi="宋体"/>
        </w:rPr>
      </w:pPr>
    </w:p>
    <w:p>
      <w:pPr>
        <w:pStyle w:val="2"/>
        <w:rPr>
          <w:rFonts w:hint="eastAsia" w:ascii="宋体" w:hAnsi="宋体"/>
        </w:rPr>
      </w:pPr>
    </w:p>
    <w:p>
      <w:pPr>
        <w:rPr>
          <w:rFonts w:hint="eastAsia"/>
        </w:rPr>
      </w:pPr>
    </w:p>
    <w:p>
      <w:pPr>
        <w:pStyle w:val="2"/>
        <w:ind w:left="840" w:leftChars="400" w:firstLine="0" w:firstLineChars="0"/>
        <w:rPr>
          <w:rFonts w:hint="eastAsia" w:ascii="宋体" w:hAnsi="宋体"/>
        </w:rPr>
      </w:pPr>
    </w:p>
    <w:p>
      <w:pPr>
        <w:rPr>
          <w:rFonts w:hint="eastAsia"/>
        </w:rPr>
      </w:pPr>
    </w:p>
    <w:p>
      <w:pPr>
        <w:ind w:left="840" w:leftChars="400" w:firstLine="0" w:firstLineChars="0"/>
        <w:rPr>
          <w:rFonts w:hint="eastAsia" w:ascii="宋体" w:hAnsi="宋体"/>
        </w:rPr>
      </w:pPr>
    </w:p>
    <w:p>
      <w:pPr>
        <w:spacing w:line="400" w:lineRule="exact"/>
        <w:ind w:left="840" w:leftChars="400" w:firstLine="0" w:firstLineChars="0"/>
        <w:jc w:val="both"/>
        <w:rPr>
          <w:rFonts w:hint="eastAsia" w:ascii="宋体" w:hAnsi="宋体"/>
        </w:rPr>
      </w:pPr>
    </w:p>
    <w:p>
      <w:pPr>
        <w:pStyle w:val="2"/>
        <w:ind w:left="840" w:leftChars="400" w:firstLine="0" w:firstLineChars="0"/>
        <w:rPr>
          <w:rFonts w:hint="eastAsia"/>
        </w:rPr>
      </w:pPr>
    </w:p>
    <w:p>
      <w:pPr>
        <w:spacing w:line="700" w:lineRule="exact"/>
        <w:ind w:firstLine="643" w:firstLineChars="200"/>
        <w:jc w:val="left"/>
        <w:rPr>
          <w:rFonts w:hint="eastAsia" w:ascii="宋体" w:hAnsi="宋体"/>
          <w:b/>
          <w:sz w:val="32"/>
          <w:szCs w:val="32"/>
          <w:u w:val="single"/>
        </w:rPr>
      </w:pPr>
      <w:r>
        <w:rPr>
          <w:rFonts w:hint="eastAsia" w:ascii="宋体" w:hAnsi="宋体"/>
          <w:b/>
          <w:sz w:val="32"/>
          <w:szCs w:val="32"/>
        </w:rPr>
        <w:t xml:space="preserve">采 </w:t>
      </w:r>
      <w:r>
        <w:rPr>
          <w:rFonts w:hint="eastAsia" w:ascii="宋体" w:hAnsi="宋体"/>
          <w:b/>
          <w:sz w:val="32"/>
          <w:szCs w:val="32"/>
          <w:lang w:val="en-US" w:eastAsia="zh-CN"/>
        </w:rPr>
        <w:t xml:space="preserve">  </w:t>
      </w:r>
      <w:r>
        <w:rPr>
          <w:rFonts w:hint="eastAsia" w:ascii="宋体" w:hAnsi="宋体"/>
          <w:b/>
          <w:sz w:val="32"/>
          <w:szCs w:val="32"/>
        </w:rPr>
        <w:t>购</w:t>
      </w:r>
      <w:r>
        <w:rPr>
          <w:rFonts w:hint="eastAsia" w:ascii="宋体" w:hAnsi="宋体"/>
          <w:b/>
          <w:sz w:val="32"/>
          <w:szCs w:val="32"/>
          <w:lang w:val="en-US" w:eastAsia="zh-CN"/>
        </w:rPr>
        <w:t xml:space="preserve">  </w:t>
      </w:r>
      <w:r>
        <w:rPr>
          <w:rFonts w:hint="eastAsia" w:ascii="宋体" w:hAnsi="宋体"/>
          <w:b/>
          <w:sz w:val="32"/>
          <w:szCs w:val="32"/>
        </w:rPr>
        <w:t xml:space="preserve"> 人：</w:t>
      </w:r>
      <w:r>
        <w:rPr>
          <w:rFonts w:hint="eastAsia"/>
          <w:b/>
          <w:i w:val="0"/>
          <w:iCs w:val="0"/>
          <w:sz w:val="32"/>
          <w:szCs w:val="32"/>
          <w:u w:val="single"/>
          <w:lang w:val="en-US" w:eastAsia="zh-CN"/>
        </w:rPr>
        <w:t>社旗县园林绿化中心</w:t>
      </w:r>
    </w:p>
    <w:p>
      <w:pPr>
        <w:spacing w:line="700" w:lineRule="exact"/>
        <w:ind w:left="840" w:leftChars="400" w:firstLine="0" w:firstLineChars="0"/>
        <w:jc w:val="left"/>
        <w:rPr>
          <w:rFonts w:hint="eastAsia" w:ascii="宋体" w:hAnsi="宋体"/>
          <w:b/>
          <w:sz w:val="32"/>
          <w:szCs w:val="32"/>
          <w:u w:val="single"/>
        </w:rPr>
      </w:pPr>
    </w:p>
    <w:p>
      <w:pPr>
        <w:spacing w:line="700" w:lineRule="exact"/>
        <w:ind w:firstLine="643" w:firstLineChars="200"/>
        <w:jc w:val="left"/>
        <w:rPr>
          <w:rFonts w:hint="eastAsia" w:ascii="宋体" w:hAnsi="宋体"/>
          <w:b/>
          <w:sz w:val="32"/>
          <w:szCs w:val="32"/>
          <w:u w:val="single"/>
        </w:rPr>
      </w:pPr>
      <w:r>
        <w:rPr>
          <w:rFonts w:hint="eastAsia" w:ascii="宋体" w:hAnsi="宋体"/>
          <w:b/>
          <w:sz w:val="32"/>
          <w:szCs w:val="32"/>
        </w:rPr>
        <w:t>采购</w:t>
      </w:r>
      <w:r>
        <w:rPr>
          <w:rFonts w:hint="eastAsia" w:ascii="宋体" w:hAnsi="宋体"/>
          <w:b/>
          <w:sz w:val="32"/>
          <w:szCs w:val="32"/>
          <w:lang w:eastAsia="zh-CN"/>
        </w:rPr>
        <w:t>代理</w:t>
      </w:r>
      <w:r>
        <w:rPr>
          <w:rFonts w:hint="eastAsia" w:ascii="宋体" w:hAnsi="宋体"/>
          <w:b/>
          <w:sz w:val="32"/>
          <w:szCs w:val="32"/>
        </w:rPr>
        <w:t>机构：</w:t>
      </w:r>
      <w:r>
        <w:rPr>
          <w:rFonts w:hint="eastAsia"/>
          <w:b/>
          <w:sz w:val="32"/>
          <w:szCs w:val="32"/>
          <w:u w:val="single"/>
          <w:lang w:eastAsia="zh-CN"/>
        </w:rPr>
        <w:t>河南阔宇工程管理有限公司</w:t>
      </w:r>
    </w:p>
    <w:p>
      <w:pPr>
        <w:spacing w:line="700" w:lineRule="exact"/>
        <w:ind w:left="840" w:leftChars="400" w:firstLine="0" w:firstLineChars="0"/>
        <w:jc w:val="left"/>
        <w:rPr>
          <w:rFonts w:hint="eastAsia" w:ascii="宋体" w:hAnsi="宋体"/>
          <w:b/>
          <w:sz w:val="32"/>
          <w:szCs w:val="32"/>
          <w:u w:val="single"/>
        </w:rPr>
      </w:pPr>
    </w:p>
    <w:p>
      <w:pPr>
        <w:spacing w:line="560" w:lineRule="exact"/>
        <w:ind w:firstLine="643" w:firstLineChars="200"/>
        <w:jc w:val="both"/>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  期：</w:t>
      </w:r>
      <w:r>
        <w:rPr>
          <w:rFonts w:hint="eastAsia" w:ascii="宋体" w:hAnsi="宋体"/>
          <w:b/>
          <w:sz w:val="32"/>
          <w:szCs w:val="32"/>
          <w:u w:val="single"/>
        </w:rPr>
        <w:t xml:space="preserve">  二零二</w:t>
      </w:r>
      <w:r>
        <w:rPr>
          <w:rFonts w:hint="eastAsia" w:ascii="宋体" w:hAnsi="宋体"/>
          <w:b/>
          <w:sz w:val="32"/>
          <w:szCs w:val="32"/>
          <w:u w:val="single"/>
          <w:lang w:eastAsia="zh-CN"/>
        </w:rPr>
        <w:t>四</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b/>
          <w:sz w:val="32"/>
          <w:szCs w:val="32"/>
          <w:u w:val="single"/>
          <w:lang w:eastAsia="zh-CN"/>
        </w:rPr>
        <w:t>五</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w:t>
      </w:r>
      <w:r>
        <w:rPr>
          <w:rFonts w:hint="eastAsia" w:ascii="宋体" w:hAnsi="宋体"/>
          <w:b/>
          <w:sz w:val="32"/>
          <w:szCs w:val="32"/>
        </w:rPr>
        <w:t>月</w:t>
      </w:r>
    </w:p>
    <w:p>
      <w:pPr>
        <w:pStyle w:val="2"/>
        <w:rPr>
          <w:rFonts w:hint="eastAsia"/>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ascii="宋体" w:hAnsi="宋体"/>
          <w:sz w:val="44"/>
          <w:szCs w:val="44"/>
        </w:rPr>
      </w:pPr>
      <w:r>
        <w:rPr>
          <w:rFonts w:hint="eastAsia" w:ascii="宋体" w:hAnsi="宋体"/>
          <w:sz w:val="44"/>
          <w:szCs w:val="44"/>
        </w:rPr>
        <w:t>目  录</w:t>
      </w:r>
    </w:p>
    <w:p>
      <w:pPr>
        <w:pStyle w:val="38"/>
        <w:tabs>
          <w:tab w:val="right" w:leader="dot" w:pos="8788"/>
        </w:tabs>
        <w:spacing w:line="360" w:lineRule="auto"/>
        <w:jc w:val="center"/>
        <w:rPr>
          <w:rFonts w:ascii="宋体" w:hAnsi="宋体"/>
          <w:sz w:val="44"/>
          <w:szCs w:val="44"/>
        </w:rPr>
      </w:pPr>
    </w:p>
    <w:p>
      <w:pPr>
        <w:pStyle w:val="17"/>
        <w:tabs>
          <w:tab w:val="right" w:leader="dot" w:pos="8778"/>
        </w:tabs>
        <w:spacing w:line="36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"_Toc72695356" </w:instrText>
      </w:r>
      <w:r>
        <w:fldChar w:fldCharType="separate"/>
      </w:r>
      <w:r>
        <w:rPr>
          <w:rStyle w:val="31"/>
          <w:rFonts w:hint="eastAsia" w:ascii="宋体" w:hAnsi="宋体"/>
          <w:b/>
          <w:color w:val="auto"/>
          <w:sz w:val="28"/>
          <w:szCs w:val="28"/>
        </w:rPr>
        <w:t>第一章  竞争性磋商公告</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_Toc72695356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"_Toc72695357" </w:instrText>
      </w:r>
      <w:r>
        <w:fldChar w:fldCharType="separate"/>
      </w:r>
      <w:r>
        <w:rPr>
          <w:rStyle w:val="31"/>
          <w:rFonts w:hint="eastAsia" w:ascii="宋体" w:hAnsi="宋体"/>
          <w:b/>
          <w:color w:val="auto"/>
          <w:sz w:val="28"/>
          <w:szCs w:val="28"/>
        </w:rPr>
        <w:t>第二章  响应人须知</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_Toc72695357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"_Toc72695358" </w:instrText>
      </w:r>
      <w:r>
        <w:fldChar w:fldCharType="separate"/>
      </w:r>
      <w:r>
        <w:rPr>
          <w:rStyle w:val="31"/>
          <w:rFonts w:hint="eastAsia" w:ascii="宋体" w:hAnsi="宋体"/>
          <w:b/>
          <w:color w:val="auto"/>
          <w:sz w:val="28"/>
          <w:szCs w:val="28"/>
        </w:rPr>
        <w:t>第三章  评审办法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_Toc72695358 \h</w:instrText>
      </w:r>
      <w:r>
        <w:rPr>
          <w:rFonts w:hint="eastAsia" w:ascii="宋体" w:hAnsi="宋体"/>
          <w:sz w:val="28"/>
          <w:szCs w:val="28"/>
        </w:rPr>
        <w:fldChar w:fldCharType="separate"/>
      </w:r>
      <w:r>
        <w:rPr>
          <w:rFonts w:ascii="宋体" w:hAnsi="宋体"/>
          <w:sz w:val="28"/>
          <w:szCs w:val="28"/>
        </w:rPr>
        <w:t>24</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"_Toc72695359" </w:instrText>
      </w:r>
      <w:r>
        <w:fldChar w:fldCharType="separate"/>
      </w:r>
      <w:r>
        <w:rPr>
          <w:rStyle w:val="31"/>
          <w:rFonts w:hint="eastAsia" w:ascii="宋体" w:hAnsi="宋体"/>
          <w:b/>
          <w:color w:val="auto"/>
          <w:sz w:val="28"/>
          <w:szCs w:val="28"/>
        </w:rPr>
        <w:t>第四章  合同</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_Toc72695359 \h</w:instrText>
      </w:r>
      <w:r>
        <w:rPr>
          <w:rFonts w:hint="eastAsia" w:ascii="宋体" w:hAnsi="宋体"/>
          <w:sz w:val="28"/>
          <w:szCs w:val="28"/>
        </w:rPr>
        <w:fldChar w:fldCharType="separate"/>
      </w:r>
      <w:r>
        <w:rPr>
          <w:rFonts w:ascii="宋体" w:hAnsi="宋体"/>
          <w:sz w:val="28"/>
          <w:szCs w:val="28"/>
        </w:rPr>
        <w:t>31</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"_Toc72695360" </w:instrText>
      </w:r>
      <w:r>
        <w:fldChar w:fldCharType="separate"/>
      </w:r>
      <w:r>
        <w:rPr>
          <w:rStyle w:val="31"/>
          <w:rFonts w:hint="eastAsia" w:ascii="宋体" w:hAnsi="宋体"/>
          <w:b/>
          <w:color w:val="auto"/>
          <w:sz w:val="28"/>
          <w:szCs w:val="28"/>
        </w:rPr>
        <w:t>第五章  工程量清单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_Toc72695360 \h</w:instrText>
      </w:r>
      <w:r>
        <w:rPr>
          <w:rFonts w:hint="eastAsia" w:ascii="宋体" w:hAnsi="宋体"/>
          <w:sz w:val="28"/>
          <w:szCs w:val="28"/>
        </w:rPr>
        <w:fldChar w:fldCharType="separate"/>
      </w:r>
      <w:r>
        <w:rPr>
          <w:rFonts w:ascii="宋体" w:hAnsi="宋体"/>
          <w:sz w:val="28"/>
          <w:szCs w:val="28"/>
        </w:rPr>
        <w:t>33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"_Toc72695361" </w:instrText>
      </w:r>
      <w:r>
        <w:fldChar w:fldCharType="separate"/>
      </w:r>
      <w:r>
        <w:rPr>
          <w:rStyle w:val="31"/>
          <w:rFonts w:hint="eastAsia" w:ascii="宋体" w:hAnsi="宋体"/>
          <w:b/>
          <w:color w:val="auto"/>
          <w:sz w:val="28"/>
          <w:szCs w:val="28"/>
        </w:rPr>
        <w:t>第六章  图纸</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_Toc72695361 \h</w:instrText>
      </w:r>
      <w:r>
        <w:rPr>
          <w:rFonts w:hint="eastAsia" w:ascii="宋体" w:hAnsi="宋体"/>
          <w:sz w:val="28"/>
          <w:szCs w:val="28"/>
        </w:rPr>
        <w:fldChar w:fldCharType="separate"/>
      </w:r>
      <w:r>
        <w:rPr>
          <w:rFonts w:ascii="宋体" w:hAnsi="宋体"/>
          <w:sz w:val="28"/>
          <w:szCs w:val="28"/>
        </w:rPr>
        <w:t>34</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"_Toc72695362" </w:instrText>
      </w:r>
      <w:r>
        <w:fldChar w:fldCharType="separate"/>
      </w:r>
      <w:r>
        <w:rPr>
          <w:rStyle w:val="31"/>
          <w:rFonts w:hint="eastAsia" w:ascii="宋体" w:hAnsi="宋体"/>
          <w:b/>
          <w:color w:val="auto"/>
          <w:sz w:val="28"/>
          <w:szCs w:val="28"/>
        </w:rPr>
        <w:t>第七章  技术标准和要求</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_Toc72695362 \h</w:instrText>
      </w:r>
      <w:r>
        <w:rPr>
          <w:rFonts w:hint="eastAsia" w:ascii="宋体" w:hAnsi="宋体"/>
          <w:sz w:val="28"/>
          <w:szCs w:val="28"/>
        </w:rPr>
        <w:fldChar w:fldCharType="separate"/>
      </w:r>
      <w:r>
        <w:rPr>
          <w:rFonts w:ascii="宋体" w:hAnsi="宋体"/>
          <w:sz w:val="28"/>
          <w:szCs w:val="28"/>
        </w:rPr>
        <w:t>35</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"_Toc72695363" </w:instrText>
      </w:r>
      <w:r>
        <w:fldChar w:fldCharType="separate"/>
      </w:r>
      <w:r>
        <w:rPr>
          <w:rStyle w:val="31"/>
          <w:rFonts w:hint="eastAsia" w:ascii="宋体" w:hAnsi="宋体"/>
          <w:b/>
          <w:color w:val="auto"/>
          <w:sz w:val="28"/>
          <w:szCs w:val="28"/>
        </w:rPr>
        <w:t>第八章  磋商响应文件格式</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_Toc72695363 \h</w:instrText>
      </w:r>
      <w:r>
        <w:rPr>
          <w:rFonts w:hint="eastAsia" w:ascii="宋体" w:hAnsi="宋体"/>
          <w:sz w:val="28"/>
          <w:szCs w:val="28"/>
        </w:rPr>
        <w:fldChar w:fldCharType="separate"/>
      </w:r>
      <w:r>
        <w:rPr>
          <w:rFonts w:ascii="宋体" w:hAnsi="宋体"/>
          <w:sz w:val="28"/>
          <w:szCs w:val="28"/>
        </w:rPr>
        <w:t>36</w:t>
      </w:r>
      <w:r>
        <w:rPr>
          <w:rFonts w:hint="eastAsia" w:ascii="宋体" w:hAnsi="宋体"/>
          <w:sz w:val="28"/>
          <w:szCs w:val="28"/>
        </w:rPr>
        <w:fldChar w:fldCharType="end"/>
      </w:r>
      <w:r>
        <w:rPr>
          <w:rFonts w:hint="eastAsia" w:ascii="宋体" w:hAnsi="宋体"/>
          <w:sz w:val="28"/>
          <w:szCs w:val="28"/>
        </w:rPr>
        <w:fldChar w:fldCharType="end"/>
      </w:r>
    </w:p>
    <w:p>
      <w:pPr>
        <w:pStyle w:val="38"/>
        <w:tabs>
          <w:tab w:val="right" w:leader="dot" w:pos="8788"/>
        </w:tabs>
        <w:spacing w:line="360" w:lineRule="auto"/>
        <w:rPr>
          <w:rFonts w:ascii="宋体" w:hAnsi="宋体"/>
          <w:sz w:val="24"/>
          <w:szCs w:val="24"/>
        </w:rPr>
      </w:pPr>
      <w:r>
        <w:rPr>
          <w:rFonts w:ascii="宋体" w:hAnsi="宋体"/>
          <w:sz w:val="28"/>
          <w:szCs w:val="28"/>
        </w:rPr>
        <w:fldChar w:fldCharType="end"/>
      </w: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spacing w:line="360" w:lineRule="auto"/>
        <w:jc w:val="both"/>
        <w:outlineLvl w:val="0"/>
        <w:rPr>
          <w:rFonts w:hint="eastAsia"/>
          <w:b/>
          <w:sz w:val="32"/>
          <w:szCs w:val="32"/>
        </w:rPr>
      </w:pPr>
      <w:bookmarkStart w:id="0" w:name="_Toc72695356"/>
      <w:bookmarkStart w:id="1" w:name="_Toc72694684"/>
    </w:p>
    <w:p>
      <w:pPr>
        <w:spacing w:line="360" w:lineRule="auto"/>
        <w:jc w:val="center"/>
        <w:outlineLvl w:val="0"/>
        <w:rPr>
          <w:b/>
          <w:sz w:val="32"/>
          <w:szCs w:val="32"/>
        </w:rPr>
      </w:pPr>
      <w:r>
        <w:rPr>
          <w:rFonts w:hint="eastAsia"/>
          <w:b/>
          <w:sz w:val="32"/>
          <w:szCs w:val="32"/>
        </w:rPr>
        <w:t>第一章  竞争性磋商公告</w:t>
      </w:r>
      <w:bookmarkEnd w:id="0"/>
      <w:bookmarkEnd w:id="1"/>
    </w:p>
    <w:p>
      <w:pPr>
        <w:pStyle w:val="20"/>
        <w:spacing w:before="0" w:beforeAutospacing="0" w:after="0" w:afterAutospacing="0" w:line="360" w:lineRule="auto"/>
        <w:jc w:val="center"/>
        <w:rPr>
          <w:rFonts w:cs="宋体"/>
          <w:b/>
          <w:bCs/>
          <w:kern w:val="2"/>
          <w:sz w:val="24"/>
          <w:szCs w:val="24"/>
        </w:rPr>
      </w:pPr>
      <w:bookmarkStart w:id="2" w:name="_Toc28007"/>
      <w:bookmarkStart w:id="3" w:name="_Toc72695357"/>
      <w:bookmarkStart w:id="4" w:name="_Toc1254"/>
      <w:r>
        <w:rPr>
          <w:rFonts w:hint="eastAsia" w:cs="宋体"/>
          <w:b/>
          <w:bCs/>
          <w:kern w:val="2"/>
          <w:sz w:val="28"/>
          <w:szCs w:val="28"/>
          <w:lang w:eastAsia="zh-CN"/>
        </w:rPr>
        <w:t>社旗县园林绿化中心2023年郑州路（华山路至迎宾大道）道路绿化提升改造项目</w:t>
      </w:r>
      <w:r>
        <w:rPr>
          <w:rFonts w:hint="eastAsia" w:cs="宋体"/>
          <w:b/>
          <w:bCs/>
          <w:kern w:val="2"/>
          <w:sz w:val="28"/>
          <w:szCs w:val="28"/>
        </w:rPr>
        <w:t>竞争性磋商公告</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2" w:firstLineChars="200"/>
        <w:textAlignment w:val="auto"/>
        <w:rPr>
          <w:rFonts w:cs="宋体"/>
          <w:b/>
          <w:sz w:val="24"/>
          <w:szCs w:val="24"/>
        </w:rPr>
      </w:pPr>
      <w:r>
        <w:rPr>
          <w:rFonts w:hint="eastAsia" w:cs="宋体"/>
          <w:b/>
          <w:sz w:val="24"/>
          <w:szCs w:val="24"/>
        </w:rPr>
        <w:t>项目概况：</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lang w:eastAsia="zh-CN"/>
        </w:rPr>
      </w:pPr>
      <w:r>
        <w:rPr>
          <w:rFonts w:hint="eastAsia" w:cs="宋体"/>
          <w:sz w:val="24"/>
          <w:szCs w:val="24"/>
          <w:shd w:val="clear" w:color="auto" w:fill="FFFFFF"/>
          <w:lang w:eastAsia="zh-CN"/>
        </w:rPr>
        <w:t>社旗县园林绿化中心2023年郑州路（华山路至迎宾大道）道路绿化提升改造项目的潜在供应商应在社旗县公共资源交易中心网站（http://ggzyjy.nanyang.gov.cn/SQXWeb/）获取采购文件，并于</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06</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11</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w:t>
      </w:r>
      <w:r>
        <w:rPr>
          <w:rFonts w:hint="eastAsia" w:cs="宋体"/>
          <w:sz w:val="24"/>
          <w:szCs w:val="24"/>
          <w:shd w:val="clear" w:color="auto" w:fill="FFFFFF"/>
          <w:lang w:eastAsia="zh-CN"/>
        </w:rPr>
        <w:t>（北京时间）前递交响应文件。本次招标采用全流程电子辅助招投标。</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2" w:firstLineChars="200"/>
        <w:textAlignment w:val="auto"/>
        <w:rPr>
          <w:rFonts w:cs="宋体"/>
          <w:b/>
          <w:sz w:val="24"/>
          <w:szCs w:val="24"/>
        </w:rPr>
      </w:pPr>
      <w:r>
        <w:rPr>
          <w:rFonts w:hint="eastAsia" w:cs="宋体"/>
          <w:b/>
          <w:sz w:val="24"/>
          <w:szCs w:val="24"/>
        </w:rPr>
        <w:t>一、项目基本情况</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1.项目编号：社财采购竞争性磋商-2024-18</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lang w:eastAsia="zh-CN"/>
        </w:rPr>
      </w:pPr>
      <w:r>
        <w:rPr>
          <w:rFonts w:hint="eastAsia" w:cs="宋体"/>
          <w:sz w:val="24"/>
          <w:szCs w:val="24"/>
          <w:shd w:val="clear" w:color="auto" w:fill="FFFFFF"/>
        </w:rPr>
        <w:t>2.项目名称：</w:t>
      </w:r>
      <w:r>
        <w:rPr>
          <w:rFonts w:hint="eastAsia" w:cs="宋体"/>
          <w:sz w:val="24"/>
          <w:szCs w:val="24"/>
          <w:shd w:val="clear" w:color="auto" w:fill="FFFFFF"/>
          <w:lang w:eastAsia="zh-CN"/>
        </w:rPr>
        <w:t>社旗县园林绿化中心2023年郑州路（华山路至迎宾大道）道路绿化提升改造项目</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3.采购方式：竞争性磋商</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cs="宋体"/>
          <w:sz w:val="24"/>
          <w:szCs w:val="24"/>
          <w:highlight w:val="none"/>
          <w:shd w:val="clear" w:color="auto" w:fill="FFFFFF"/>
        </w:rPr>
      </w:pPr>
      <w:r>
        <w:rPr>
          <w:rFonts w:hint="eastAsia" w:cs="宋体"/>
          <w:sz w:val="24"/>
          <w:szCs w:val="24"/>
          <w:highlight w:val="none"/>
          <w:shd w:val="clear" w:color="auto" w:fill="FFFFFF"/>
          <w:lang w:eastAsia="zh-CN"/>
        </w:rPr>
        <w:t>4.预算金额：</w:t>
      </w:r>
      <w:r>
        <w:rPr>
          <w:rFonts w:hint="eastAsia" w:cs="宋体"/>
          <w:sz w:val="24"/>
          <w:szCs w:val="24"/>
          <w:highlight w:val="none"/>
          <w:shd w:val="clear" w:color="auto" w:fill="FFFFFF"/>
          <w:lang w:val="en-US" w:eastAsia="zh-CN"/>
        </w:rPr>
        <w:t xml:space="preserve">2465260.77元    </w:t>
      </w:r>
      <w:r>
        <w:rPr>
          <w:rFonts w:hint="eastAsia" w:cs="宋体"/>
          <w:sz w:val="24"/>
          <w:szCs w:val="24"/>
          <w:highlight w:val="none"/>
          <w:shd w:val="clear" w:color="auto" w:fill="FFFFFF"/>
          <w:lang w:eastAsia="zh-CN"/>
        </w:rPr>
        <w:t>最高限价：</w:t>
      </w:r>
      <w:r>
        <w:rPr>
          <w:rFonts w:hint="eastAsia" w:cs="宋体"/>
          <w:sz w:val="24"/>
          <w:szCs w:val="24"/>
          <w:highlight w:val="none"/>
          <w:shd w:val="clear" w:color="auto" w:fill="FFFFFF"/>
          <w:lang w:val="en-US" w:eastAsia="zh-CN"/>
        </w:rPr>
        <w:t xml:space="preserve">2465260.77元    </w:t>
      </w:r>
    </w:p>
    <w:tbl>
      <w:tblPr>
        <w:tblStyle w:val="23"/>
        <w:tblW w:w="9842" w:type="dxa"/>
        <w:tblInd w:w="-32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46"/>
        <w:gridCol w:w="1915"/>
        <w:gridCol w:w="3647"/>
        <w:gridCol w:w="1638"/>
        <w:gridCol w:w="19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6"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序号</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包号</w:t>
            </w:r>
          </w:p>
        </w:tc>
        <w:tc>
          <w:tcPr>
            <w:tcW w:w="3647"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包名称</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包预算（元）</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46"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center"/>
              <w:rPr>
                <w:rFonts w:cs="宋体"/>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1</w:t>
            </w:r>
          </w:p>
        </w:tc>
        <w:tc>
          <w:tcPr>
            <w:tcW w:w="1915"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default" w:ascii="Times New Roman" w:hAnsi="Times New Roman" w:eastAsia="宋体"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jc w:val="center"/>
              <w:rPr>
                <w:rFonts w:hint="default" w:ascii="Times New Roman" w:hAnsi="Times New Roman" w:eastAsia="宋体" w:cs="宋体"/>
                <w:sz w:val="24"/>
                <w:szCs w:val="24"/>
                <w:highlight w:val="none"/>
                <w:shd w:val="clear" w:color="auto" w:fill="FFFFFF"/>
                <w:lang w:val="en-US" w:eastAsia="zh-CN"/>
              </w:rPr>
            </w:pPr>
            <w:r>
              <w:rPr>
                <w:rFonts w:hint="default" w:ascii="Times New Roman" w:hAnsi="Times New Roman" w:eastAsia="宋体" w:cs="宋体"/>
                <w:sz w:val="24"/>
                <w:szCs w:val="24"/>
                <w:highlight w:val="none"/>
                <w:shd w:val="clear" w:color="auto" w:fill="FFFFFF"/>
                <w:lang w:val="en-US" w:eastAsia="zh-CN"/>
              </w:rPr>
              <w:t>社财采购竞争性磋商-2024-18</w:t>
            </w:r>
            <w:r>
              <w:rPr>
                <w:rFonts w:hint="eastAsia" w:ascii="Times New Roman" w:hAnsi="Times New Roman" w:eastAsia="宋体" w:cs="宋体"/>
                <w:sz w:val="24"/>
                <w:szCs w:val="24"/>
                <w:highlight w:val="none"/>
                <w:shd w:val="clear" w:color="auto" w:fill="FFFFFF"/>
                <w:lang w:val="en-US" w:eastAsia="zh-CN"/>
              </w:rPr>
              <w:t>-1</w:t>
            </w:r>
          </w:p>
          <w:p>
            <w:pPr>
              <w:pStyle w:val="20"/>
              <w:shd w:val="clear" w:color="auto" w:fill="FFFFFF"/>
              <w:snapToGrid w:val="0"/>
              <w:spacing w:before="0" w:beforeAutospacing="0" w:after="0" w:afterAutospacing="0" w:line="360" w:lineRule="auto"/>
              <w:jc w:val="center"/>
              <w:rPr>
                <w:rFonts w:hint="default" w:ascii="Times New Roman" w:hAnsi="Times New Roman" w:eastAsia="宋体" w:cs="宋体"/>
                <w:sz w:val="24"/>
                <w:szCs w:val="24"/>
                <w:highlight w:val="none"/>
                <w:shd w:val="clear" w:color="auto" w:fill="FFFFFF"/>
                <w:lang w:val="en-US" w:eastAsia="zh-CN"/>
              </w:rPr>
            </w:pPr>
          </w:p>
        </w:tc>
        <w:tc>
          <w:tcPr>
            <w:tcW w:w="3647"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社旗县园林绿化中心2023年郑州路（华山路至迎宾大道）道路绿化提升改造项目一标段</w:t>
            </w:r>
          </w:p>
        </w:tc>
        <w:tc>
          <w:tcPr>
            <w:tcW w:w="1638"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default" w:cs="宋体"/>
                <w:sz w:val="24"/>
                <w:szCs w:val="24"/>
                <w:highlight w:val="none"/>
                <w:shd w:val="clear" w:color="auto" w:fill="FFFFFF"/>
                <w:lang w:val="en-US" w:eastAsia="zh-CN"/>
              </w:rPr>
            </w:pPr>
            <w:r>
              <w:rPr>
                <w:rFonts w:hint="eastAsia" w:cs="宋体"/>
                <w:i w:val="0"/>
                <w:iCs w:val="0"/>
                <w:caps w:val="0"/>
                <w:color w:val="333333"/>
                <w:spacing w:val="0"/>
                <w:sz w:val="24"/>
                <w:szCs w:val="24"/>
                <w:highlight w:val="none"/>
                <w:shd w:val="clear" w:color="auto" w:fill="FFFFFF"/>
                <w:lang w:val="en-US" w:eastAsia="zh-CN"/>
              </w:rPr>
              <w:t>2465260.77</w:t>
            </w:r>
          </w:p>
        </w:tc>
        <w:tc>
          <w:tcPr>
            <w:tcW w:w="1996" w:type="dxa"/>
            <w:tcBorders>
              <w:top w:val="outset" w:color="auto" w:sz="6" w:space="0"/>
              <w:left w:val="outset" w:color="auto" w:sz="6" w:space="0"/>
              <w:bottom w:val="outset" w:color="auto" w:sz="6" w:space="0"/>
              <w:right w:val="outset" w:color="auto" w:sz="6" w:space="0"/>
            </w:tcBorders>
            <w:vAlign w:val="center"/>
          </w:tcPr>
          <w:p>
            <w:pPr>
              <w:pStyle w:val="20"/>
              <w:shd w:val="clear" w:color="auto" w:fill="FFFFFF"/>
              <w:snapToGrid w:val="0"/>
              <w:spacing w:before="0" w:beforeAutospacing="0" w:after="0" w:afterAutospacing="0" w:line="360" w:lineRule="auto"/>
              <w:jc w:val="center"/>
              <w:rPr>
                <w:rFonts w:hint="eastAsia" w:cs="宋体"/>
                <w:sz w:val="24"/>
                <w:szCs w:val="24"/>
                <w:highlight w:val="none"/>
                <w:shd w:val="clear" w:color="auto" w:fill="FFFFFF"/>
                <w:lang w:eastAsia="zh-CN"/>
              </w:rPr>
            </w:pPr>
            <w:r>
              <w:rPr>
                <w:rFonts w:hint="eastAsia" w:cs="宋体"/>
                <w:i w:val="0"/>
                <w:iCs w:val="0"/>
                <w:caps w:val="0"/>
                <w:color w:val="333333"/>
                <w:spacing w:val="0"/>
                <w:sz w:val="24"/>
                <w:szCs w:val="24"/>
                <w:highlight w:val="none"/>
                <w:shd w:val="clear" w:color="auto" w:fill="FFFFFF"/>
                <w:lang w:val="en-US" w:eastAsia="zh-CN"/>
              </w:rPr>
              <w:t>2465260.77</w:t>
            </w:r>
          </w:p>
        </w:tc>
      </w:tr>
    </w:tbl>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240" w:firstLineChars="100"/>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5、采购需求（包括但不限于标的的名称、数量、简要技术需求或服务要求等）</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5.1采购内容：工程量清单及竞争性磋商文件内全部内容</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default"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5.2项目地点：采购人指定地点</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5.3标段划分：本项目共分为1个标段</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5.4质量要求：合格</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5.5计划工期：合同签订后30日历天。</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5.6、是否接受进口产品：否</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eastAsia="zh-CN"/>
        </w:rPr>
      </w:pPr>
      <w:r>
        <w:rPr>
          <w:rFonts w:hint="eastAsia" w:cs="宋体"/>
          <w:sz w:val="24"/>
          <w:szCs w:val="24"/>
          <w:shd w:val="clear" w:color="auto" w:fill="FFFFFF"/>
          <w:lang w:val="en-US" w:eastAsia="zh-CN"/>
        </w:rPr>
        <w:t>6</w:t>
      </w:r>
      <w:r>
        <w:rPr>
          <w:rFonts w:hint="eastAsia" w:cs="宋体"/>
          <w:sz w:val="24"/>
          <w:szCs w:val="24"/>
          <w:highlight w:val="none"/>
          <w:shd w:val="clear" w:color="auto" w:fill="FFFFFF"/>
          <w:lang w:val="en-US" w:eastAsia="zh-CN"/>
        </w:rPr>
        <w:t>、合同履行期限</w:t>
      </w:r>
      <w:r>
        <w:rPr>
          <w:rFonts w:hint="eastAsia" w:cs="宋体"/>
          <w:sz w:val="24"/>
          <w:szCs w:val="24"/>
          <w:highlight w:val="none"/>
          <w:shd w:val="clear" w:color="auto" w:fill="FFFFFF"/>
        </w:rPr>
        <w:t>：</w:t>
      </w:r>
      <w:r>
        <w:rPr>
          <w:rFonts w:hint="eastAsia" w:cs="宋体"/>
          <w:sz w:val="24"/>
          <w:szCs w:val="24"/>
          <w:highlight w:val="none"/>
          <w:shd w:val="clear" w:color="auto" w:fill="FFFFFF"/>
          <w:lang w:eastAsia="zh-CN"/>
        </w:rPr>
        <w:t>合同签订后</w:t>
      </w:r>
      <w:r>
        <w:rPr>
          <w:rFonts w:hint="eastAsia" w:cs="宋体"/>
          <w:sz w:val="24"/>
          <w:szCs w:val="24"/>
          <w:highlight w:val="none"/>
          <w:shd w:val="clear" w:color="auto" w:fill="FFFFFF"/>
          <w:lang w:val="en-US" w:eastAsia="zh-CN"/>
        </w:rPr>
        <w:t>30日历天内。</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rPr>
      </w:pPr>
      <w:r>
        <w:rPr>
          <w:rFonts w:hint="eastAsia" w:cs="宋体"/>
          <w:sz w:val="24"/>
          <w:szCs w:val="24"/>
          <w:highlight w:val="none"/>
          <w:shd w:val="clear" w:color="auto" w:fill="FFFFFF"/>
          <w:lang w:val="en-US" w:eastAsia="zh-CN"/>
        </w:rPr>
        <w:t>7、本项目（是/否）接受联合体：否。</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8、是否接受进</w:t>
      </w:r>
      <w:r>
        <w:rPr>
          <w:rFonts w:hint="eastAsia" w:cs="宋体"/>
          <w:sz w:val="24"/>
          <w:szCs w:val="24"/>
          <w:shd w:val="clear" w:color="auto" w:fill="FFFFFF"/>
          <w:lang w:val="en-US" w:eastAsia="zh-CN"/>
        </w:rPr>
        <w:t>口产品：否</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9、是否专门面向中小企业：是</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二、申请人资格要求</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1、符合《政府采购法》第二十二条之规定；</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（1）具有独立承担民事责任的能力；</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（2）具有良好的商业信誉和健全的财务会计制度；</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（3）具有履行合同所必需的设备和专业技术能力（提供承诺书，格式自拟）；</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（4）有依法缴纳税收和社会保障资金的良好记录</w:t>
      </w:r>
      <w:r>
        <w:rPr>
          <w:rFonts w:hint="eastAsia" w:cs="宋体"/>
          <w:sz w:val="24"/>
          <w:szCs w:val="24"/>
          <w:shd w:val="clear" w:color="auto" w:fill="FFFFFF"/>
          <w:lang w:eastAsia="zh-CN"/>
        </w:rPr>
        <w:t>（提供近期任意</w:t>
      </w:r>
      <w:r>
        <w:rPr>
          <w:rFonts w:hint="eastAsia" w:cs="宋体"/>
          <w:sz w:val="24"/>
          <w:szCs w:val="24"/>
          <w:shd w:val="clear" w:color="auto" w:fill="FFFFFF"/>
          <w:lang w:val="en-US" w:eastAsia="zh-CN"/>
        </w:rPr>
        <w:t>1</w:t>
      </w:r>
      <w:r>
        <w:rPr>
          <w:rFonts w:hint="eastAsia" w:cs="宋体"/>
          <w:sz w:val="24"/>
          <w:szCs w:val="24"/>
          <w:shd w:val="clear" w:color="auto" w:fill="FFFFFF"/>
          <w:lang w:eastAsia="zh-CN"/>
        </w:rPr>
        <w:t>个月依法缴纳税收和社会保障资金证明材料）</w:t>
      </w:r>
      <w:r>
        <w:rPr>
          <w:rFonts w:hint="eastAsia" w:cs="宋体"/>
          <w:sz w:val="24"/>
          <w:szCs w:val="24"/>
          <w:shd w:val="clear" w:color="auto" w:fill="FFFFFF"/>
        </w:rPr>
        <w:t>；</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（5）参加政府采购活动前三年内，在经营活动中没有重大违法记录（提供承诺书，格式自拟）；</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（6）法律、行政法规规定的其他条件。</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rPr>
        <w:t>2.落实政府采购政策需满足的资格要求：</w:t>
      </w:r>
      <w:r>
        <w:rPr>
          <w:rFonts w:hint="eastAsia" w:cs="宋体"/>
          <w:sz w:val="24"/>
          <w:szCs w:val="24"/>
          <w:shd w:val="clear" w:color="auto" w:fill="FFFFFF"/>
          <w:lang w:eastAsia="zh-CN"/>
        </w:rPr>
        <w:t>本项目执行优先采购节能产品、环境标志产品，扶持中小企业、监狱企业、残疾人福利性单位发展政策。</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3、本项目的特定资格要求</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3.1独立法人资格，提供有效的营业执照；</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3.2投标人须具备市政公用工程施工总承包叁级及以上资质，</w:t>
      </w:r>
      <w:r>
        <w:rPr>
          <w:rFonts w:hint="default" w:cs="宋体"/>
          <w:sz w:val="24"/>
          <w:szCs w:val="24"/>
          <w:shd w:val="clear" w:color="auto" w:fill="FFFFFF"/>
          <w:lang w:val="en-US" w:eastAsia="zh-CN"/>
        </w:rPr>
        <w:t>并</w:t>
      </w:r>
      <w:r>
        <w:rPr>
          <w:rFonts w:hint="eastAsia" w:cs="宋体"/>
          <w:sz w:val="24"/>
          <w:szCs w:val="24"/>
          <w:shd w:val="clear" w:color="auto" w:fill="FFFFFF"/>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3.3依据财库[2016]125号文件规定，对列入失信被执行人、重大税收违法案件当事人名单、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lang w:val="en-US" w:eastAsia="zh-CN"/>
        </w:rPr>
        <w:t>3.4</w:t>
      </w:r>
      <w:r>
        <w:rPr>
          <w:rFonts w:hint="eastAsia" w:cs="宋体"/>
          <w:sz w:val="24"/>
          <w:szCs w:val="24"/>
          <w:shd w:val="clear" w:color="auto" w:fill="FFFFFF"/>
        </w:rPr>
        <w:t>供应商需提供无行贿犯罪记录承诺函（承诺对象包括：供应商、法定代表人、授权委托人）,并对其真实性负责，若承诺不实，造成的后果由供应商自行负责；</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hint="eastAsia" w:cs="宋体"/>
          <w:sz w:val="24"/>
          <w:szCs w:val="24"/>
          <w:shd w:val="clear" w:color="auto" w:fill="FFFFFF"/>
        </w:rPr>
      </w:pPr>
      <w:r>
        <w:rPr>
          <w:rFonts w:hint="eastAsia" w:cs="宋体"/>
          <w:sz w:val="24"/>
          <w:szCs w:val="24"/>
          <w:shd w:val="clear" w:color="auto" w:fill="FFFFFF"/>
          <w:lang w:val="en-US" w:eastAsia="zh-CN"/>
        </w:rPr>
        <w:t>3.5</w:t>
      </w:r>
      <w:r>
        <w:rPr>
          <w:rFonts w:hint="eastAsia" w:cs="宋体"/>
          <w:sz w:val="24"/>
          <w:szCs w:val="24"/>
          <w:shd w:val="clear" w:color="auto" w:fill="FFFFFF"/>
        </w:rPr>
        <w:t>本项目不接受联合体投标，不得分包转包；</w:t>
      </w:r>
    </w:p>
    <w:p>
      <w:pPr>
        <w:pStyle w:val="2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12" w:lineRule="auto"/>
        <w:ind w:firstLine="480" w:firstLineChars="200"/>
        <w:textAlignment w:val="auto"/>
        <w:rPr>
          <w:rFonts w:cs="宋体"/>
          <w:sz w:val="24"/>
          <w:szCs w:val="24"/>
          <w:shd w:val="clear" w:color="auto" w:fill="FFFFFF"/>
        </w:rPr>
      </w:pPr>
      <w:r>
        <w:rPr>
          <w:rFonts w:hint="eastAsia" w:cs="宋体"/>
          <w:sz w:val="24"/>
          <w:szCs w:val="24"/>
          <w:shd w:val="clear" w:color="auto" w:fill="FFFFFF"/>
        </w:rPr>
        <w:t>本项目采用资格后审，审查内容以投标截止时间前填报上传企业</w:t>
      </w:r>
      <w:r>
        <w:rPr>
          <w:rFonts w:hint="eastAsia" w:cs="宋体"/>
          <w:sz w:val="24"/>
          <w:szCs w:val="24"/>
          <w:shd w:val="clear" w:color="auto" w:fill="FFFFFF"/>
          <w:lang w:eastAsia="zh-CN"/>
        </w:rPr>
        <w:t>市场主体库</w:t>
      </w:r>
      <w:r>
        <w:rPr>
          <w:rFonts w:hint="eastAsia" w:cs="宋体"/>
          <w:sz w:val="24"/>
          <w:szCs w:val="24"/>
          <w:shd w:val="clear" w:color="auto" w:fill="FFFFFF"/>
        </w:rPr>
        <w:t>信息为准，过期更改的</w:t>
      </w:r>
      <w:r>
        <w:rPr>
          <w:rFonts w:hint="eastAsia" w:cs="宋体"/>
          <w:sz w:val="24"/>
          <w:szCs w:val="24"/>
          <w:shd w:val="clear" w:color="auto" w:fill="FFFFFF"/>
          <w:lang w:eastAsia="zh-CN"/>
        </w:rPr>
        <w:t>市场主体库</w:t>
      </w:r>
      <w:r>
        <w:rPr>
          <w:rFonts w:hint="eastAsia" w:cs="宋体"/>
          <w:sz w:val="24"/>
          <w:szCs w:val="24"/>
          <w:shd w:val="clear" w:color="auto" w:fill="FFFFFF"/>
        </w:rPr>
        <w:t>信息不作为本项目评审依据。开评标现场不接受</w:t>
      </w:r>
      <w:r>
        <w:rPr>
          <w:rFonts w:hint="eastAsia" w:cs="宋体"/>
          <w:sz w:val="24"/>
          <w:szCs w:val="24"/>
          <w:shd w:val="clear" w:color="auto" w:fill="FFFFFF"/>
          <w:lang w:eastAsia="zh-CN"/>
        </w:rPr>
        <w:t>市场主体库</w:t>
      </w:r>
      <w:r>
        <w:rPr>
          <w:rFonts w:hint="eastAsia" w:cs="宋体"/>
          <w:sz w:val="24"/>
          <w:szCs w:val="24"/>
          <w:shd w:val="clear" w:color="auto" w:fill="FFFFFF"/>
        </w:rPr>
        <w:t>信息原件。</w:t>
      </w:r>
      <w:r>
        <w:rPr>
          <w:rFonts w:hint="eastAsia" w:cs="宋体"/>
          <w:sz w:val="24"/>
          <w:szCs w:val="24"/>
          <w:shd w:val="clear" w:color="auto" w:fill="FFFFFF"/>
          <w:lang w:eastAsia="zh-CN"/>
        </w:rPr>
        <w:t>市场主体库</w:t>
      </w:r>
      <w:r>
        <w:rPr>
          <w:rFonts w:hint="eastAsia" w:cs="宋体"/>
          <w:sz w:val="24"/>
          <w:szCs w:val="24"/>
          <w:shd w:val="clear" w:color="auto" w:fill="FFFFFF"/>
        </w:rPr>
        <w:t>上传信息必须内容齐全，真实有效，原件扫描件清晰可辨。否则，由此造成应得分而未得分或资格审查不合格等情况的，由投标企业承担责任。</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eastAsia="zh-CN"/>
        </w:rPr>
        <w:t>三</w:t>
      </w:r>
      <w:r>
        <w:rPr>
          <w:rFonts w:hint="eastAsia" w:cs="宋体"/>
          <w:sz w:val="24"/>
          <w:szCs w:val="24"/>
          <w:shd w:val="clear" w:color="auto" w:fill="FFFFFF"/>
        </w:rPr>
        <w:t>、获取</w:t>
      </w:r>
      <w:r>
        <w:rPr>
          <w:rFonts w:hint="eastAsia" w:cs="宋体"/>
          <w:sz w:val="24"/>
          <w:szCs w:val="24"/>
          <w:shd w:val="clear" w:color="auto" w:fill="FFFFFF"/>
          <w:lang w:eastAsia="zh-CN"/>
        </w:rPr>
        <w:t>竞争性磋商</w:t>
      </w:r>
      <w:r>
        <w:rPr>
          <w:rFonts w:hint="eastAsia" w:cs="宋体"/>
          <w:sz w:val="24"/>
          <w:szCs w:val="24"/>
          <w:shd w:val="clear" w:color="auto" w:fill="FFFFFF"/>
        </w:rPr>
        <w:t>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.1企业</w:t>
      </w:r>
      <w:r>
        <w:rPr>
          <w:rFonts w:hint="eastAsia" w:cs="宋体"/>
          <w:sz w:val="24"/>
          <w:szCs w:val="24"/>
          <w:shd w:val="clear" w:color="auto" w:fill="FFFFFF"/>
          <w:lang w:eastAsia="zh-CN"/>
        </w:rPr>
        <w:t>市场主体库</w:t>
      </w:r>
      <w:r>
        <w:rPr>
          <w:rFonts w:hint="eastAsia" w:cs="宋体"/>
          <w:sz w:val="24"/>
          <w:szCs w:val="24"/>
          <w:shd w:val="clear" w:color="auto" w:fill="FFFFFF"/>
        </w:rPr>
        <w:t>注册</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本项目只接受南阳市公共资源电子交易平台中已加入企业</w:t>
      </w:r>
      <w:r>
        <w:rPr>
          <w:rFonts w:hint="eastAsia" w:cs="宋体"/>
          <w:sz w:val="24"/>
          <w:szCs w:val="24"/>
          <w:shd w:val="clear" w:color="auto" w:fill="FFFFFF"/>
          <w:lang w:eastAsia="zh-CN"/>
        </w:rPr>
        <w:t>市场主体库</w:t>
      </w:r>
      <w:r>
        <w:rPr>
          <w:rFonts w:hint="eastAsia" w:cs="宋体"/>
          <w:sz w:val="24"/>
          <w:szCs w:val="24"/>
          <w:shd w:val="clear" w:color="auto" w:fill="FFFFFF"/>
        </w:rPr>
        <w:t>的企业,未入库的投标人请及时办理入库手续。入库办理请参见南阳市公共资源交易中心网站https://ggzyjy.nanyang.gov.cn/TPFRONT下载专区《</w:t>
      </w:r>
      <w:r>
        <w:rPr>
          <w:rFonts w:hint="eastAsia" w:cs="宋体"/>
          <w:sz w:val="24"/>
          <w:szCs w:val="24"/>
          <w:shd w:val="clear" w:color="auto" w:fill="FFFFFF"/>
          <w:lang w:eastAsia="zh-CN"/>
        </w:rPr>
        <w:t>市场主体库</w:t>
      </w:r>
      <w:r>
        <w:rPr>
          <w:rFonts w:hint="eastAsia" w:cs="宋体"/>
          <w:sz w:val="24"/>
          <w:szCs w:val="24"/>
          <w:shd w:val="clear" w:color="auto" w:fill="FFFFFF"/>
        </w:rPr>
        <w:t>申报操作手册》，企业办理</w:t>
      </w:r>
      <w:r>
        <w:rPr>
          <w:rFonts w:hint="eastAsia" w:cs="宋体"/>
          <w:sz w:val="24"/>
          <w:szCs w:val="24"/>
          <w:shd w:val="clear" w:color="auto" w:fill="FFFFFF"/>
          <w:lang w:eastAsia="zh-CN"/>
        </w:rPr>
        <w:t>市场主体库</w:t>
      </w:r>
      <w:r>
        <w:rPr>
          <w:rFonts w:hint="eastAsia" w:cs="宋体"/>
          <w:sz w:val="24"/>
          <w:szCs w:val="24"/>
          <w:shd w:val="clear" w:color="auto" w:fill="FFFFFF"/>
        </w:rPr>
        <w:t>不收取任何费用，不需携带原件到南阳市公共资源交易中心进行审核。因未及时办理入库手续导致的责任自负。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.2办理CA数字证书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投标企业完成企业</w:t>
      </w:r>
      <w:r>
        <w:rPr>
          <w:rFonts w:hint="eastAsia" w:cs="宋体"/>
          <w:sz w:val="24"/>
          <w:szCs w:val="24"/>
          <w:shd w:val="clear" w:color="auto" w:fill="FFFFFF"/>
          <w:lang w:eastAsia="zh-CN"/>
        </w:rPr>
        <w:t>市场主体库</w:t>
      </w:r>
      <w:r>
        <w:rPr>
          <w:rFonts w:hint="eastAsia" w:cs="宋体"/>
          <w:sz w:val="24"/>
          <w:szCs w:val="24"/>
          <w:shd w:val="clear" w:color="auto" w:fill="FFFFFF"/>
        </w:rPr>
        <w:t>注册后，必须办理CA数字证书方可在网上办理招投标相关业务。CA数字证书办理请参见南阳公共资源交易中心网站下载专区《CA办理所需资料》。</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.3</w:t>
      </w:r>
      <w:r>
        <w:rPr>
          <w:rFonts w:hint="eastAsia" w:cs="宋体"/>
          <w:sz w:val="24"/>
          <w:szCs w:val="24"/>
          <w:shd w:val="clear" w:color="auto" w:fill="FFFFFF"/>
          <w:lang w:eastAsia="zh-CN"/>
        </w:rPr>
        <w:t>竞争性磋商</w:t>
      </w:r>
      <w:r>
        <w:rPr>
          <w:rFonts w:hint="eastAsia" w:cs="宋体"/>
          <w:sz w:val="24"/>
          <w:szCs w:val="24"/>
          <w:shd w:val="clear" w:color="auto" w:fill="FFFFFF"/>
        </w:rPr>
        <w:t>文件的获取</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rPr>
        <w:t>年</w:t>
      </w:r>
      <w:r>
        <w:rPr>
          <w:rFonts w:hint="eastAsia" w:cs="宋体"/>
          <w:sz w:val="24"/>
          <w:szCs w:val="24"/>
          <w:highlight w:val="none"/>
          <w:shd w:val="clear" w:color="auto" w:fill="FFFFFF"/>
          <w:lang w:val="en-US" w:eastAsia="zh-CN"/>
        </w:rPr>
        <w:t>05</w:t>
      </w:r>
      <w:r>
        <w:rPr>
          <w:rFonts w:hint="eastAsia" w:cs="宋体"/>
          <w:sz w:val="24"/>
          <w:szCs w:val="24"/>
          <w:highlight w:val="none"/>
          <w:shd w:val="clear" w:color="auto" w:fill="FFFFFF"/>
        </w:rPr>
        <w:t>月</w:t>
      </w:r>
      <w:r>
        <w:rPr>
          <w:rFonts w:hint="eastAsia" w:cs="宋体"/>
          <w:sz w:val="24"/>
          <w:szCs w:val="24"/>
          <w:highlight w:val="none"/>
          <w:shd w:val="clear" w:color="auto" w:fill="FFFFFF"/>
          <w:lang w:val="en-US" w:eastAsia="zh-CN"/>
        </w:rPr>
        <w:t>31</w:t>
      </w:r>
      <w:r>
        <w:rPr>
          <w:rFonts w:hint="eastAsia" w:cs="宋体"/>
          <w:sz w:val="24"/>
          <w:szCs w:val="24"/>
          <w:highlight w:val="none"/>
          <w:shd w:val="clear" w:color="auto" w:fill="FFFFFF"/>
        </w:rPr>
        <w:t>日</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rPr>
        <w:t>00</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至</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06</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07</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23</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59</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竞争性磋商文件获取方法：</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潜在供应商网上自行登录社旗县公共资源交易系统（从社旗县公共资源交易中心网站http://ggzyjy.nanyang.gov.cn/SQXWeb/</w:t>
      </w:r>
      <w:r>
        <w:rPr>
          <w:rFonts w:hint="eastAsia" w:cs="宋体"/>
          <w:sz w:val="24"/>
          <w:szCs w:val="24"/>
          <w:shd w:val="clear" w:color="auto" w:fill="FFFFFF"/>
          <w:lang w:val="en-US" w:eastAsia="zh-CN"/>
        </w:rPr>
        <w:t>右</w:t>
      </w:r>
      <w:r>
        <w:rPr>
          <w:rFonts w:hint="eastAsia" w:cs="宋体"/>
          <w:sz w:val="24"/>
          <w:szCs w:val="24"/>
          <w:shd w:val="clear" w:color="auto" w:fill="FFFFFF"/>
          <w:lang w:eastAsia="zh-CN"/>
        </w:rPr>
        <w:t>侧“投标单位登录”入口进入）下载采购/磋商文件，若因为自身原因错过文件下载时间，造成损失由潜在供应商自行承担。（操作过程中，请务必保持CA证书在电脑端的正常接入）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竞争性磋商文件费用：不收取。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本项目投标保证金不再缴纳。</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四、响应文件提交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截止时间：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06</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11</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五、响应文件开启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开启时间：</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06</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11</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地点：http://ggzyjy.nanyang.gov.cn/SQXWeb/</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六、公告期限及发布公告的媒介</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自本公告发布之日起</w:t>
      </w:r>
      <w:r>
        <w:rPr>
          <w:rFonts w:hint="eastAsia" w:cs="宋体"/>
          <w:sz w:val="24"/>
          <w:szCs w:val="24"/>
          <w:shd w:val="clear" w:color="auto" w:fill="FFFFFF"/>
          <w:lang w:val="en-US" w:eastAsia="zh-CN"/>
        </w:rPr>
        <w:t>5</w:t>
      </w:r>
      <w:r>
        <w:rPr>
          <w:rFonts w:hint="eastAsia" w:cs="宋体"/>
          <w:sz w:val="24"/>
          <w:szCs w:val="24"/>
          <w:shd w:val="clear" w:color="auto" w:fill="FFFFFF"/>
          <w:lang w:eastAsia="zh-CN"/>
        </w:rPr>
        <w:t>个工作日。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本次公告在《中国招标投标公共服务平台》、《河南省政府采购网》和《社旗县公共资源交易中心》网上同时发布。</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七、其他补充事宜</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w:t>
      </w:r>
      <w:r>
        <w:rPr>
          <w:rFonts w:hint="eastAsia" w:cs="宋体"/>
          <w:sz w:val="24"/>
          <w:szCs w:val="24"/>
          <w:shd w:val="clear" w:color="auto" w:fill="FFFFFF"/>
          <w:lang w:eastAsia="zh-CN"/>
        </w:rPr>
        <w:t>本次招标采用全流程电子辅助招投标。</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2</w:t>
      </w:r>
      <w:r>
        <w:rPr>
          <w:rFonts w:hint="eastAsia" w:cs="宋体"/>
          <w:sz w:val="24"/>
          <w:szCs w:val="24"/>
          <w:shd w:val="clear" w:color="auto" w:fill="FFFFFF"/>
          <w:lang w:eastAsia="zh-CN"/>
        </w:rPr>
        <w:t>、本项目为电子评标项目，投标人须提供电子响应文件，电子响应文件需要使用投标文件制作工具制作，制作工具及操作手册可登录社旗县公共资源交易系统（网址：http://ggzyjy.nanyang.gov.cn/SQXWeb），在“下载专区”中下载。</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3</w:t>
      </w:r>
      <w:r>
        <w:rPr>
          <w:rFonts w:hint="eastAsia" w:cs="宋体"/>
          <w:sz w:val="24"/>
          <w:szCs w:val="24"/>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4</w:t>
      </w:r>
      <w:r>
        <w:rPr>
          <w:rFonts w:hint="eastAsia" w:cs="宋体"/>
          <w:sz w:val="24"/>
          <w:szCs w:val="24"/>
          <w:shd w:val="clear" w:color="auto" w:fill="FFFFFF"/>
          <w:lang w:eastAsia="zh-CN"/>
        </w:rPr>
        <w:t>、该项目需要使用不见面开标，投标人无需前往现场参与投标。各投标人根据手册要求，提前做好相关准备工作。附件：操作手册地址(下载专区中自行下载)、不见面开标大厅地</w:t>
      </w:r>
      <w:r>
        <w:rPr>
          <w:rFonts w:hint="default" w:cs="宋体"/>
          <w:sz w:val="24"/>
          <w:szCs w:val="24"/>
          <w:shd w:val="clear" w:color="auto" w:fill="FFFFFF"/>
          <w:lang w:eastAsia="zh-CN"/>
        </w:rPr>
        <w:t>https://ggzyjy.nanyang.gov.cn/BidOpening/bidopeninghallaction/hall/login</w:t>
      </w:r>
      <w:r>
        <w:rPr>
          <w:rFonts w:hint="eastAsia" w:cs="宋体"/>
          <w:sz w:val="24"/>
          <w:szCs w:val="24"/>
          <w:shd w:val="clear" w:color="auto" w:fill="FFFFFF"/>
          <w:lang w:eastAsia="zh-CN"/>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5</w:t>
      </w:r>
      <w:r>
        <w:rPr>
          <w:rFonts w:hint="eastAsia" w:cs="宋体"/>
          <w:sz w:val="24"/>
          <w:szCs w:val="24"/>
          <w:shd w:val="clear" w:color="auto" w:fill="FFFFFF"/>
          <w:lang w:eastAsia="zh-CN"/>
        </w:rPr>
        <w:t>、该项目自行上传响应文件，无需寄送和递交非加密响应文件光盘等。需要注意开标前登录不见面系统进行签到；</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6</w:t>
      </w:r>
      <w:r>
        <w:rPr>
          <w:rFonts w:hint="eastAsia" w:cs="宋体"/>
          <w:sz w:val="24"/>
          <w:szCs w:val="24"/>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7</w:t>
      </w:r>
      <w:r>
        <w:rPr>
          <w:rFonts w:hint="eastAsia" w:cs="宋体"/>
          <w:sz w:val="24"/>
          <w:szCs w:val="24"/>
          <w:shd w:val="clear" w:color="auto" w:fill="FFFFFF"/>
          <w:lang w:eastAsia="zh-CN"/>
        </w:rPr>
        <w:t>、不见面开标过程中，如投标人准备不到位，造成无法及时解密、网络问题等情况造成开标无法继续的，视为该投标人自动放弃投标（30分钟内），将被退回响应文件。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8</w:t>
      </w:r>
      <w:r>
        <w:rPr>
          <w:rFonts w:hint="eastAsia" w:cs="宋体"/>
          <w:sz w:val="24"/>
          <w:szCs w:val="24"/>
          <w:shd w:val="clear" w:color="auto" w:fill="FFFFFF"/>
          <w:lang w:eastAsia="zh-CN"/>
        </w:rPr>
        <w:t>、响应文件递交、解密完成后，投标人需继续等待，并登录会员系统，在评审结束前保持在线状态，确保可以及时接收竞争性磋商小组提出的磋商及最终报价要求。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9</w:t>
      </w:r>
      <w:r>
        <w:rPr>
          <w:rFonts w:hint="eastAsia" w:cs="宋体"/>
          <w:sz w:val="24"/>
          <w:szCs w:val="24"/>
          <w:shd w:val="clear" w:color="auto" w:fill="FFFFFF"/>
          <w:lang w:eastAsia="zh-CN"/>
        </w:rPr>
        <w:t>、投标人应时刻关注会员系统消息提醒，在规定时间内及时回应竞争性磋商小组提出的磋商及最终报价要求。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10</w:t>
      </w:r>
      <w:r>
        <w:rPr>
          <w:rFonts w:hint="eastAsia" w:cs="宋体"/>
          <w:sz w:val="24"/>
          <w:szCs w:val="24"/>
          <w:shd w:val="clear" w:color="auto" w:fill="FFFFFF"/>
          <w:lang w:eastAsia="zh-CN"/>
        </w:rPr>
        <w:t>、未按上述要求操作，造成不能参加磋商及最终报价的，后果由相关投标人自行承担。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shd w:val="clear" w:color="auto" w:fill="FFFFFF"/>
          <w:lang w:eastAsia="zh-CN"/>
        </w:rPr>
        <w:t>八、凡对本次采购提出询问，请按以下方式联系</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1.采购人信息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名    称：社旗县园林绿化中心</w:t>
      </w:r>
      <w:r>
        <w:rPr>
          <w:rFonts w:hint="eastAsia" w:cs="宋体"/>
          <w:sz w:val="24"/>
          <w:szCs w:val="24"/>
          <w:highlight w:val="none"/>
          <w:shd w:val="clear" w:color="auto" w:fill="FFFFFF"/>
          <w:lang w:val="en-US" w:eastAsia="zh-CN"/>
        </w:rPr>
        <w:t xml:space="preserve">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地    址：河南省社旗县赊店镇北京路</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 系 人：</w:t>
      </w:r>
      <w:r>
        <w:rPr>
          <w:rFonts w:hint="eastAsia" w:cs="宋体"/>
          <w:sz w:val="24"/>
          <w:szCs w:val="24"/>
          <w:highlight w:val="none"/>
          <w:shd w:val="clear" w:color="auto" w:fill="FFFFFF"/>
          <w:lang w:val="en-US" w:eastAsia="zh-CN"/>
        </w:rPr>
        <w:t>焦凤鑫</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联系方式：</w:t>
      </w:r>
      <w:r>
        <w:rPr>
          <w:rFonts w:hint="eastAsia" w:cs="宋体"/>
          <w:sz w:val="24"/>
          <w:szCs w:val="24"/>
          <w:highlight w:val="none"/>
          <w:shd w:val="clear" w:color="auto" w:fill="FFFFFF"/>
          <w:lang w:val="en-US" w:eastAsia="zh-CN"/>
        </w:rPr>
        <w:t>15660060050</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2.采购代理机构信息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代理机构：河南阔宇工程管理有限公司</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地  址：南阳市宛城区建设东路巴黎大道商业楼531、532室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联系人：史红丽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联系电话：15518953213</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3.项目监督部门</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 xml:space="preserve">监督部门：社旗县城市管理局 </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地    址：社旗县红旗路中段</w:t>
      </w:r>
    </w:p>
    <w:p>
      <w:pPr>
        <w:pStyle w:val="20"/>
        <w:shd w:val="clear" w:color="auto" w:fill="FFFFFF"/>
        <w:snapToGrid w:val="0"/>
        <w:spacing w:before="0" w:beforeAutospacing="0" w:after="0" w:afterAutospacing="0" w:line="360" w:lineRule="auto"/>
        <w:ind w:firstLine="480" w:firstLineChars="200"/>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联 系 人：张萌</w:t>
      </w:r>
    </w:p>
    <w:p>
      <w:pPr>
        <w:pStyle w:val="20"/>
        <w:shd w:val="clear" w:color="auto" w:fill="FFFFFF"/>
        <w:snapToGrid w:val="0"/>
        <w:spacing w:before="0" w:beforeAutospacing="0" w:after="0" w:afterAutospacing="0" w:line="360" w:lineRule="auto"/>
        <w:ind w:firstLine="480" w:firstLineChars="200"/>
        <w:rPr>
          <w:rFonts w:hint="default"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联系方式：15003773296</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   2024年5月 30日</w:t>
      </w:r>
    </w:p>
    <w:p>
      <w:pPr>
        <w:jc w:val="center"/>
        <w:outlineLvl w:val="0"/>
        <w:rPr>
          <w:rFonts w:hint="eastAsia"/>
          <w:b/>
          <w:sz w:val="32"/>
          <w:szCs w:val="32"/>
          <w:highlight w:val="none"/>
        </w:rPr>
      </w:pPr>
    </w:p>
    <w:p>
      <w:pPr>
        <w:jc w:val="center"/>
        <w:outlineLvl w:val="0"/>
        <w:rPr>
          <w:rFonts w:hint="eastAsia"/>
          <w:b/>
          <w:sz w:val="32"/>
          <w:szCs w:val="32"/>
        </w:rPr>
      </w:pPr>
    </w:p>
    <w:p>
      <w:pPr>
        <w:pStyle w:val="2"/>
        <w:rPr>
          <w:rFonts w:hint="eastAsia"/>
          <w:b/>
          <w:sz w:val="32"/>
          <w:szCs w:val="32"/>
        </w:rPr>
      </w:pPr>
    </w:p>
    <w:p>
      <w:pPr>
        <w:rPr>
          <w:rFonts w:hint="eastAsia"/>
          <w:b/>
          <w:sz w:val="32"/>
          <w:szCs w:val="32"/>
        </w:rPr>
      </w:pPr>
    </w:p>
    <w:p>
      <w:pPr>
        <w:pStyle w:val="2"/>
        <w:rPr>
          <w:rFonts w:hint="eastAsia"/>
          <w:b/>
          <w:sz w:val="32"/>
          <w:szCs w:val="32"/>
        </w:rPr>
      </w:pPr>
    </w:p>
    <w:p>
      <w:pPr>
        <w:rPr>
          <w:rFonts w:hint="eastAsia"/>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pStyle w:val="2"/>
        <w:rPr>
          <w:rFonts w:hint="eastAsia"/>
        </w:rPr>
      </w:pPr>
    </w:p>
    <w:p>
      <w:pPr>
        <w:rPr>
          <w:rFonts w:hint="eastAsia"/>
        </w:rPr>
      </w:pPr>
    </w:p>
    <w:p>
      <w:pPr>
        <w:rPr>
          <w:rFonts w:hint="eastAsia"/>
        </w:rPr>
      </w:pPr>
    </w:p>
    <w:p>
      <w:pPr>
        <w:spacing w:afterAutospacing="0" w:line="240" w:lineRule="auto"/>
        <w:jc w:val="both"/>
        <w:outlineLvl w:val="0"/>
        <w:rPr>
          <w:rFonts w:hint="eastAsia"/>
          <w:b/>
          <w:sz w:val="32"/>
          <w:szCs w:val="32"/>
        </w:rPr>
      </w:pPr>
    </w:p>
    <w:p>
      <w:pPr>
        <w:spacing w:afterAutospacing="0" w:line="240" w:lineRule="auto"/>
        <w:jc w:val="center"/>
        <w:outlineLvl w:val="0"/>
        <w:rPr>
          <w:b/>
          <w:sz w:val="32"/>
          <w:szCs w:val="32"/>
        </w:rPr>
      </w:pPr>
      <w:r>
        <w:rPr>
          <w:rFonts w:hint="eastAsia"/>
          <w:b/>
          <w:sz w:val="32"/>
          <w:szCs w:val="32"/>
        </w:rPr>
        <w:t>第二章  响应人须知</w:t>
      </w:r>
      <w:bookmarkEnd w:id="2"/>
      <w:bookmarkEnd w:id="3"/>
      <w:bookmarkEnd w:id="4"/>
    </w:p>
    <w:p>
      <w:pPr>
        <w:pStyle w:val="13"/>
        <w:wordWrap/>
        <w:topLinePunct w:val="0"/>
        <w:spacing w:beforeAutospacing="0" w:after="96" w:afterLines="30" w:afterAutospacing="0" w:line="240" w:lineRule="auto"/>
        <w:jc w:val="center"/>
        <w:outlineLvl w:val="1"/>
        <w:rPr>
          <w:rFonts w:hAnsi="宋体"/>
          <w:b/>
          <w:bCs/>
          <w:sz w:val="32"/>
          <w:szCs w:val="32"/>
        </w:rPr>
      </w:pPr>
      <w:bookmarkStart w:id="5" w:name="_Toc72694685"/>
      <w:r>
        <w:rPr>
          <w:rFonts w:hint="eastAsia" w:hAnsi="宋体"/>
          <w:b/>
          <w:bCs/>
          <w:sz w:val="32"/>
          <w:szCs w:val="32"/>
        </w:rPr>
        <w:t>响应人须知前附表</w:t>
      </w:r>
      <w:bookmarkEnd w:id="5"/>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beforeAutospacing="0" w:line="360" w:lineRule="auto"/>
              <w:jc w:val="center"/>
              <w:rPr>
                <w:b/>
                <w:bCs/>
              </w:rPr>
            </w:pPr>
            <w:r>
              <w:rPr>
                <w:rFonts w:hint="eastAsia"/>
                <w:b/>
                <w:bCs/>
              </w:rPr>
              <w:t>序号</w:t>
            </w:r>
          </w:p>
        </w:tc>
        <w:tc>
          <w:tcPr>
            <w:tcW w:w="2682" w:type="dxa"/>
            <w:noWrap/>
            <w:vAlign w:val="center"/>
          </w:tcPr>
          <w:p>
            <w:pPr>
              <w:wordWrap/>
              <w:topLinePunct w:val="0"/>
              <w:spacing w:line="360" w:lineRule="auto"/>
              <w:jc w:val="center"/>
              <w:rPr>
                <w:b/>
                <w:bCs/>
              </w:rPr>
            </w:pPr>
            <w:r>
              <w:rPr>
                <w:rFonts w:hint="eastAsia"/>
                <w:b/>
                <w:bCs/>
              </w:rPr>
              <w:t>条款名称</w:t>
            </w:r>
          </w:p>
        </w:tc>
        <w:tc>
          <w:tcPr>
            <w:tcW w:w="616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82" w:type="dxa"/>
            <w:noWrap/>
            <w:vAlign w:val="center"/>
          </w:tcPr>
          <w:p>
            <w:pPr>
              <w:wordWrap/>
              <w:autoSpaceDE w:val="0"/>
              <w:autoSpaceDN w:val="0"/>
              <w:adjustRightInd w:val="0"/>
              <w:spacing w:line="360" w:lineRule="auto"/>
              <w:jc w:val="center"/>
              <w:rPr>
                <w:rFonts w:cs="黑体"/>
                <w:kern w:val="0"/>
              </w:rPr>
            </w:pPr>
            <w:r>
              <w:rPr>
                <w:rFonts w:hint="eastAsia" w:cs="FangSong_GB2312"/>
                <w:kern w:val="0"/>
              </w:rPr>
              <w:t>采购人</w:t>
            </w:r>
          </w:p>
        </w:tc>
        <w:tc>
          <w:tcPr>
            <w:tcW w:w="6163" w:type="dxa"/>
            <w:noWrap/>
            <w:vAlign w:val="center"/>
          </w:tcPr>
          <w:p>
            <w:pPr>
              <w:wordWrap/>
              <w:autoSpaceDE w:val="0"/>
              <w:autoSpaceDN w:val="0"/>
              <w:adjustRightInd w:val="0"/>
              <w:spacing w:line="360" w:lineRule="auto"/>
              <w:jc w:val="left"/>
              <w:rPr>
                <w:rFonts w:hint="eastAsia"/>
                <w:sz w:val="21"/>
                <w:szCs w:val="21"/>
                <w:lang w:eastAsia="zh-CN"/>
              </w:rPr>
            </w:pPr>
            <w:r>
              <w:rPr>
                <w:rFonts w:hint="eastAsia"/>
                <w:sz w:val="21"/>
                <w:szCs w:val="21"/>
                <w:lang w:eastAsia="zh-CN"/>
              </w:rPr>
              <w:t>名    称：社旗县园林绿化中心</w:t>
            </w:r>
            <w:r>
              <w:rPr>
                <w:rFonts w:hint="eastAsia"/>
                <w:sz w:val="21"/>
                <w:szCs w:val="21"/>
                <w:lang w:val="en-US" w:eastAsia="zh-CN"/>
              </w:rPr>
              <w:t xml:space="preserve"> </w:t>
            </w:r>
          </w:p>
          <w:p>
            <w:pPr>
              <w:wordWrap/>
              <w:autoSpaceDE w:val="0"/>
              <w:autoSpaceDN w:val="0"/>
              <w:adjustRightInd w:val="0"/>
              <w:spacing w:line="360" w:lineRule="auto"/>
              <w:jc w:val="left"/>
              <w:rPr>
                <w:rFonts w:hint="eastAsia"/>
                <w:sz w:val="21"/>
                <w:szCs w:val="21"/>
                <w:lang w:val="en-US" w:eastAsia="zh-CN"/>
              </w:rPr>
            </w:pPr>
            <w:r>
              <w:rPr>
                <w:rFonts w:hint="eastAsia"/>
                <w:sz w:val="21"/>
                <w:szCs w:val="21"/>
                <w:lang w:eastAsia="zh-CN"/>
              </w:rPr>
              <w:t>地    址：河南省社旗县赊店镇北京路</w:t>
            </w:r>
          </w:p>
          <w:p>
            <w:pPr>
              <w:wordWrap/>
              <w:autoSpaceDE w:val="0"/>
              <w:autoSpaceDN w:val="0"/>
              <w:adjustRightInd w:val="0"/>
              <w:spacing w:line="360" w:lineRule="auto"/>
              <w:jc w:val="left"/>
              <w:rPr>
                <w:rFonts w:hint="default"/>
                <w:sz w:val="21"/>
                <w:szCs w:val="21"/>
                <w:lang w:val="en-US" w:eastAsia="zh-CN"/>
              </w:rPr>
            </w:pPr>
            <w:r>
              <w:rPr>
                <w:rFonts w:hint="eastAsia"/>
                <w:sz w:val="21"/>
                <w:szCs w:val="21"/>
                <w:lang w:eastAsia="zh-CN"/>
              </w:rPr>
              <w:t>联 系 人：</w:t>
            </w:r>
            <w:r>
              <w:rPr>
                <w:rFonts w:hint="eastAsia"/>
                <w:sz w:val="21"/>
                <w:szCs w:val="21"/>
                <w:lang w:val="en-US" w:eastAsia="zh-CN"/>
              </w:rPr>
              <w:t>焦凤鑫</w:t>
            </w:r>
          </w:p>
          <w:p>
            <w:pPr>
              <w:wordWrap/>
              <w:autoSpaceDE w:val="0"/>
              <w:autoSpaceDN w:val="0"/>
              <w:adjustRightInd w:val="0"/>
              <w:spacing w:line="360" w:lineRule="auto"/>
              <w:jc w:val="left"/>
              <w:rPr>
                <w:sz w:val="21"/>
                <w:szCs w:val="21"/>
              </w:rPr>
            </w:pPr>
            <w:r>
              <w:rPr>
                <w:rFonts w:hint="eastAsia"/>
                <w:sz w:val="21"/>
                <w:szCs w:val="21"/>
                <w:lang w:eastAsia="zh-CN"/>
              </w:rPr>
              <w:t>联系方式：</w:t>
            </w:r>
            <w:r>
              <w:rPr>
                <w:rFonts w:hint="eastAsia"/>
                <w:sz w:val="21"/>
                <w:szCs w:val="21"/>
                <w:lang w:val="en-US" w:eastAsia="zh-CN"/>
              </w:rPr>
              <w:t>15660060050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采购代理机构</w:t>
            </w:r>
          </w:p>
        </w:tc>
        <w:tc>
          <w:tcPr>
            <w:tcW w:w="6163" w:type="dxa"/>
            <w:noWrap/>
            <w:vAlign w:val="center"/>
          </w:tcPr>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代理机构：河南阔宇工程管理有限公司</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地  址：南阳市宛城区建设东路巴黎大道商业楼531、532室</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 xml:space="preserve">联系人：史红丽          </w:t>
            </w:r>
          </w:p>
          <w:p>
            <w:pPr>
              <w:wordWrap/>
              <w:autoSpaceDE w:val="0"/>
              <w:autoSpaceDN w:val="0"/>
              <w:adjustRightInd w:val="0"/>
              <w:spacing w:line="360" w:lineRule="auto"/>
              <w:jc w:val="left"/>
              <w:rPr>
                <w:rFonts w:hint="eastAsia" w:eastAsia="宋体"/>
                <w:lang w:eastAsia="zh-CN"/>
              </w:rPr>
            </w:pPr>
            <w:r>
              <w:rPr>
                <w:rFonts w:hint="eastAsia" w:eastAsia="宋体"/>
                <w:lang w:val="en-US" w:eastAsia="zh-CN"/>
              </w:rPr>
              <w:t>联系电话：15518953213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82" w:type="dxa"/>
            <w:noWrap/>
            <w:vAlign w:val="center"/>
          </w:tcPr>
          <w:p>
            <w:pPr>
              <w:wordWrap/>
              <w:topLinePunct w:val="0"/>
              <w:spacing w:line="360" w:lineRule="auto"/>
              <w:jc w:val="center"/>
            </w:pPr>
            <w:r>
              <w:rPr>
                <w:rFonts w:hint="eastAsia"/>
              </w:rPr>
              <w:t>采购方式</w:t>
            </w:r>
          </w:p>
        </w:tc>
        <w:tc>
          <w:tcPr>
            <w:tcW w:w="6163" w:type="dxa"/>
            <w:noWrap/>
            <w:vAlign w:val="center"/>
          </w:tcPr>
          <w:p>
            <w:pPr>
              <w:wordWrap/>
              <w:topLinePunct w:val="0"/>
              <w:spacing w:line="360" w:lineRule="auto"/>
            </w:pPr>
            <w:r>
              <w:rPr>
                <w:rFonts w:hint="eastAsi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82" w:type="dxa"/>
            <w:noWrap/>
            <w:vAlign w:val="center"/>
          </w:tcPr>
          <w:p>
            <w:pPr>
              <w:wordWrap/>
              <w:topLinePunct w:val="0"/>
              <w:spacing w:line="360" w:lineRule="auto"/>
              <w:jc w:val="center"/>
            </w:pPr>
            <w:r>
              <w:rPr>
                <w:rFonts w:hint="eastAsia"/>
              </w:rPr>
              <w:t>项目名称及采购编号</w:t>
            </w:r>
          </w:p>
        </w:tc>
        <w:tc>
          <w:tcPr>
            <w:tcW w:w="6163" w:type="dxa"/>
            <w:noWrap/>
            <w:vAlign w:val="center"/>
          </w:tcPr>
          <w:p>
            <w:pPr>
              <w:wordWrap/>
              <w:spacing w:line="360" w:lineRule="auto"/>
              <w:jc w:val="left"/>
              <w:rPr>
                <w:rFonts w:hint="eastAsia"/>
                <w:shd w:val="clear" w:color="auto" w:fill="FFFFFF"/>
                <w:lang w:eastAsia="zh-CN"/>
              </w:rPr>
            </w:pPr>
            <w:r>
              <w:rPr>
                <w:rFonts w:hint="eastAsia"/>
                <w:b/>
              </w:rPr>
              <w:t>项目名称：</w:t>
            </w:r>
            <w:r>
              <w:rPr>
                <w:rFonts w:hint="eastAsia"/>
                <w:shd w:val="clear" w:color="auto" w:fill="FFFFFF"/>
                <w:lang w:eastAsia="zh-CN"/>
              </w:rPr>
              <w:t>社旗县园林绿化中心2023年郑州路（华山路至迎宾大道）道路绿化提升改造项目</w:t>
            </w:r>
          </w:p>
          <w:p>
            <w:pPr>
              <w:wordWrap/>
              <w:spacing w:line="360" w:lineRule="auto"/>
              <w:jc w:val="left"/>
              <w:rPr>
                <w:rFonts w:hint="eastAsia" w:eastAsia="宋体"/>
                <w:lang w:val="en-US" w:eastAsia="zh-CN"/>
              </w:rPr>
            </w:pPr>
            <w:r>
              <w:rPr>
                <w:rFonts w:hint="eastAsia"/>
                <w:b/>
                <w:color w:val="auto"/>
                <w:highlight w:val="none"/>
                <w:shd w:val="clear" w:fill="FFFFFF" w:themeFill="background1"/>
              </w:rPr>
              <w:t>项目编号：社财采购竞争性磋商-2024-18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82" w:type="dxa"/>
            <w:noWrap/>
            <w:vAlign w:val="center"/>
          </w:tcPr>
          <w:p>
            <w:pPr>
              <w:wordWrap/>
              <w:topLinePunct w:val="0"/>
              <w:spacing w:line="360" w:lineRule="auto"/>
              <w:jc w:val="center"/>
            </w:pPr>
            <w:r>
              <w:rPr>
                <w:rFonts w:hint="eastAsia"/>
              </w:rPr>
              <w:t>建设地点</w:t>
            </w:r>
          </w:p>
        </w:tc>
        <w:tc>
          <w:tcPr>
            <w:tcW w:w="6163" w:type="dxa"/>
            <w:noWrap/>
            <w:vAlign w:val="center"/>
          </w:tcPr>
          <w:p>
            <w:pPr>
              <w:wordWrap/>
              <w:topLinePunct w:val="0"/>
              <w:spacing w:line="360" w:lineRule="auto"/>
              <w:rPr>
                <w:rFonts w:hint="eastAsia" w:eastAsia="宋体"/>
                <w:lang w:eastAsia="zh-CN"/>
              </w:rPr>
            </w:pPr>
            <w:r>
              <w:rPr>
                <w:rFonts w:hint="eastAsia"/>
                <w:shd w:val="clear" w:color="auto" w:fill="FFFFFF"/>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82" w:type="dxa"/>
            <w:noWrap/>
            <w:vAlign w:val="center"/>
          </w:tcPr>
          <w:p>
            <w:pPr>
              <w:wordWrap/>
              <w:topLinePunct w:val="0"/>
              <w:spacing w:line="360" w:lineRule="auto"/>
              <w:jc w:val="center"/>
            </w:pPr>
            <w:r>
              <w:rPr>
                <w:rFonts w:hint="eastAsia"/>
              </w:rPr>
              <w:t>资金来源</w:t>
            </w:r>
          </w:p>
        </w:tc>
        <w:tc>
          <w:tcPr>
            <w:tcW w:w="6163" w:type="dxa"/>
            <w:noWrap/>
            <w:vAlign w:val="center"/>
          </w:tcPr>
          <w:p>
            <w:pPr>
              <w:wordWrap/>
              <w:topLinePunct w:val="0"/>
              <w:spacing w:line="360" w:lineRule="auto"/>
            </w:pPr>
            <w:r>
              <w:rPr>
                <w:rFonts w:hint="eastAsi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82" w:type="dxa"/>
            <w:noWrap/>
            <w:vAlign w:val="center"/>
          </w:tcPr>
          <w:p>
            <w:pPr>
              <w:wordWrap/>
              <w:topLinePunct w:val="0"/>
              <w:spacing w:line="360" w:lineRule="auto"/>
              <w:jc w:val="center"/>
            </w:pPr>
            <w:r>
              <w:rPr>
                <w:rFonts w:hint="eastAsia"/>
              </w:rPr>
              <w:t>采购预算金额</w:t>
            </w:r>
          </w:p>
        </w:tc>
        <w:tc>
          <w:tcPr>
            <w:tcW w:w="6163" w:type="dxa"/>
            <w:noWrap/>
            <w:vAlign w:val="center"/>
          </w:tcPr>
          <w:p>
            <w:pPr>
              <w:wordWrap/>
              <w:spacing w:line="360" w:lineRule="auto"/>
              <w:jc w:val="left"/>
              <w:rPr>
                <w:rFonts w:hint="eastAsia" w:eastAsia="宋体"/>
                <w:b/>
                <w:bCs/>
                <w:highlight w:val="none"/>
                <w:shd w:val="clear" w:color="auto" w:fill="FFFFFF"/>
                <w:lang w:eastAsia="zh-CN"/>
              </w:rPr>
            </w:pPr>
            <w:r>
              <w:rPr>
                <w:rFonts w:hint="eastAsia"/>
                <w:b/>
                <w:bCs/>
                <w:highlight w:val="none"/>
                <w:shd w:val="clear" w:color="auto" w:fill="FFFFFF"/>
              </w:rPr>
              <w:t>采购预算价：</w:t>
            </w:r>
            <w:r>
              <w:rPr>
                <w:rFonts w:hint="eastAsia"/>
                <w:b/>
                <w:bCs/>
                <w:highlight w:val="none"/>
                <w:shd w:val="clear" w:color="auto" w:fill="FFFFFF"/>
                <w:lang w:val="en-US" w:eastAsia="zh-CN"/>
              </w:rPr>
              <w:t>2465260.77</w:t>
            </w:r>
            <w:r>
              <w:rPr>
                <w:rFonts w:hint="eastAsia"/>
                <w:b/>
                <w:bCs/>
                <w:highlight w:val="none"/>
                <w:shd w:val="clear" w:color="auto" w:fill="FFFFFF"/>
              </w:rPr>
              <w:t>元</w:t>
            </w:r>
            <w:r>
              <w:rPr>
                <w:rFonts w:hint="eastAsia"/>
                <w:b/>
                <w:bCs/>
                <w:highlight w:val="none"/>
                <w:shd w:val="clear" w:color="auto" w:fill="FFFFFF"/>
                <w:lang w:eastAsia="zh-CN"/>
              </w:rPr>
              <w:t>。</w:t>
            </w:r>
          </w:p>
          <w:p>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82" w:type="dxa"/>
            <w:noWrap/>
            <w:vAlign w:val="center"/>
          </w:tcPr>
          <w:p>
            <w:pPr>
              <w:wordWrap/>
              <w:topLinePunct w:val="0"/>
              <w:spacing w:line="360" w:lineRule="auto"/>
              <w:jc w:val="center"/>
            </w:pPr>
            <w:r>
              <w:rPr>
                <w:rFonts w:hint="eastAsia"/>
              </w:rPr>
              <w:t>采购项目性质</w:t>
            </w:r>
          </w:p>
        </w:tc>
        <w:tc>
          <w:tcPr>
            <w:tcW w:w="6163" w:type="dxa"/>
            <w:noWrap/>
          </w:tcPr>
          <w:p>
            <w:pPr>
              <w:wordWrap/>
              <w:topLinePunct w:val="0"/>
              <w:spacing w:line="360" w:lineRule="auto"/>
            </w:pPr>
            <w:r>
              <w:rPr>
                <w:rFonts w:hint="eastAsia"/>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82" w:type="dxa"/>
            <w:noWrap/>
            <w:vAlign w:val="center"/>
          </w:tcPr>
          <w:p>
            <w:pPr>
              <w:wordWrap/>
              <w:topLinePunct w:val="0"/>
              <w:spacing w:line="360" w:lineRule="auto"/>
              <w:jc w:val="center"/>
            </w:pPr>
            <w:r>
              <w:rPr>
                <w:rFonts w:hint="eastAsia"/>
              </w:rPr>
              <w:t>资金落实情况</w:t>
            </w:r>
          </w:p>
        </w:tc>
        <w:tc>
          <w:tcPr>
            <w:tcW w:w="6163" w:type="dxa"/>
            <w:noWrap/>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82" w:type="dxa"/>
            <w:noWrap/>
            <w:vAlign w:val="center"/>
          </w:tcPr>
          <w:p>
            <w:pPr>
              <w:wordWrap/>
              <w:topLinePunct w:val="0"/>
              <w:spacing w:line="360" w:lineRule="auto"/>
              <w:jc w:val="center"/>
            </w:pPr>
            <w:r>
              <w:rPr>
                <w:rFonts w:hint="eastAsia"/>
              </w:rPr>
              <w:t>采购范围</w:t>
            </w:r>
          </w:p>
        </w:tc>
        <w:tc>
          <w:tcPr>
            <w:tcW w:w="6163" w:type="dxa"/>
            <w:noWrap/>
          </w:tcPr>
          <w:p>
            <w:pPr>
              <w:wordWrap/>
              <w:topLinePunct w:val="0"/>
              <w:spacing w:line="360" w:lineRule="auto"/>
            </w:pPr>
            <w:r>
              <w:rPr>
                <w:rFonts w:hint="eastAsia"/>
                <w:shd w:val="clear" w:color="auto" w:fill="FFFFFF"/>
              </w:rPr>
              <w:t>工程量清单</w:t>
            </w:r>
            <w:r>
              <w:rPr>
                <w:rFonts w:hint="eastAsia"/>
                <w:shd w:val="clear" w:color="auto" w:fill="FFFFFF"/>
                <w:lang w:val="en-US" w:eastAsia="zh-CN"/>
              </w:rPr>
              <w:t>及竞争性磋商文件内</w:t>
            </w:r>
            <w:r>
              <w:rPr>
                <w:rFonts w:hint="eastAsia"/>
                <w:shd w:val="clear" w:color="auto" w:fill="FFFFFF"/>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82" w:type="dxa"/>
            <w:noWrap/>
            <w:vAlign w:val="center"/>
          </w:tcPr>
          <w:p>
            <w:pPr>
              <w:wordWrap/>
              <w:topLinePunct w:val="0"/>
              <w:spacing w:line="360" w:lineRule="auto"/>
              <w:jc w:val="center"/>
              <w:rPr>
                <w:highlight w:val="none"/>
              </w:rPr>
            </w:pPr>
            <w:r>
              <w:rPr>
                <w:rFonts w:hint="eastAsia"/>
                <w:highlight w:val="none"/>
              </w:rPr>
              <w:t>工期</w:t>
            </w:r>
          </w:p>
        </w:tc>
        <w:tc>
          <w:tcPr>
            <w:tcW w:w="6163" w:type="dxa"/>
            <w:noWrap/>
          </w:tcPr>
          <w:p>
            <w:pPr>
              <w:wordWrap/>
              <w:topLinePunct w:val="0"/>
              <w:spacing w:line="360" w:lineRule="auto"/>
              <w:rPr>
                <w:highlight w:val="none"/>
              </w:rPr>
            </w:pPr>
            <w:r>
              <w:rPr>
                <w:rFonts w:hint="eastAsia"/>
                <w:highlight w:val="none"/>
                <w:lang w:val="en-US" w:eastAsia="zh-CN"/>
              </w:rPr>
              <w:t>合同签订后30日历天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82" w:type="dxa"/>
            <w:noWrap/>
            <w:vAlign w:val="center"/>
          </w:tcPr>
          <w:p>
            <w:pPr>
              <w:wordWrap/>
              <w:topLinePunct w:val="0"/>
              <w:spacing w:line="360" w:lineRule="auto"/>
              <w:jc w:val="center"/>
            </w:pPr>
            <w:r>
              <w:rPr>
                <w:rFonts w:hint="eastAsia"/>
              </w:rPr>
              <w:t>质量标准</w:t>
            </w:r>
          </w:p>
        </w:tc>
        <w:tc>
          <w:tcPr>
            <w:tcW w:w="6163" w:type="dxa"/>
            <w:noWrap/>
            <w:vAlign w:val="bottom"/>
          </w:tcPr>
          <w:p>
            <w:pPr>
              <w:wordWrap/>
              <w:topLinePunct w:val="0"/>
              <w:spacing w:line="360" w:lineRule="auto"/>
            </w:pPr>
            <w:r>
              <w:rPr>
                <w:rFonts w:hint="eastAsia" w:cs="黑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13</w:t>
            </w:r>
          </w:p>
        </w:tc>
        <w:tc>
          <w:tcPr>
            <w:tcW w:w="2682" w:type="dxa"/>
            <w:noWrap/>
            <w:vAlign w:val="center"/>
          </w:tcPr>
          <w:p>
            <w:pPr>
              <w:wordWrap/>
              <w:topLinePunct w:val="0"/>
              <w:spacing w:line="360" w:lineRule="auto"/>
              <w:jc w:val="center"/>
            </w:pPr>
            <w:r>
              <w:rPr>
                <w:rFonts w:hint="eastAsia"/>
              </w:rPr>
              <w:t>响应人资质要求</w:t>
            </w:r>
          </w:p>
        </w:tc>
        <w:tc>
          <w:tcPr>
            <w:tcW w:w="6163" w:type="dxa"/>
            <w:noWrap/>
          </w:tcPr>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1、符合《政府采购法》第二十二条之规定；</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（1）具有独立承担民事责任的能力；</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（2）具有良好的商业信誉和健全的财务会计制度；</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（3）具有履行合同所必需的设备和专业技术能力（提供承诺书，格式自拟）；</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（4）有依法缴纳税收和社会保障资金的良好记录（提供近期任意1个月依法缴纳税收和社会保障资金证明材料）；</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（5）参加政府采购活动前三年内，在经营活动中没有重大违法记录（提供承诺书，格式自拟）；</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（6）法律、行政法规规定的其他条件。</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2.落实政府采购政策需满足的资格要求：本项目执行优先采购节能产品、环境标志产品，扶持中小企业、监狱企业、残疾人福利性单位发展政策。</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3、本项目的特定资格要求</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3.1独立法人资格，提供有效的营业执照；</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3.2投标人须具备市政公用工程施工总承包叁级及以上资质，</w:t>
            </w:r>
            <w:r>
              <w:rPr>
                <w:rFonts w:hint="default" w:ascii="宋体" w:hAnsi="宋体" w:eastAsia="宋体" w:cs="宋体"/>
                <w:kern w:val="2"/>
                <w:sz w:val="21"/>
                <w:szCs w:val="21"/>
                <w:lang w:val="en-US" w:eastAsia="zh-CN" w:bidi="ar-SA"/>
              </w:rPr>
              <w:t>并</w:t>
            </w:r>
            <w:r>
              <w:rPr>
                <w:rFonts w:hint="eastAsia" w:ascii="宋体" w:hAnsi="宋体" w:eastAsia="宋体" w:cs="宋体"/>
                <w:kern w:val="2"/>
                <w:sz w:val="21"/>
                <w:szCs w:val="21"/>
                <w:lang w:val="en-US" w:eastAsia="zh-CN" w:bidi="ar-SA"/>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3.3依据财库[2016]125号文件规定，对列入失信被执行人、重大税收违法案件当事人名单、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3.4供应商需提供无行贿犯罪记录承诺函（承诺对象包括：供应商、法定代表人、授权委托人）,并对其真实性负责，若承诺不实，造成的后果由供应商自行负责；</w:t>
            </w:r>
          </w:p>
          <w:p>
            <w:pPr>
              <w:pStyle w:val="20"/>
              <w:shd w:val="clear" w:color="auto" w:fill="FFFFFF"/>
              <w:snapToGrid w:val="0"/>
              <w:spacing w:before="0" w:beforeAutospacing="0" w:after="0" w:afterAutospacing="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3.5本项目不接受联合体投标，不得分包转包；</w:t>
            </w:r>
          </w:p>
          <w:p>
            <w:r>
              <w:rPr>
                <w:rFonts w:hint="eastAsia" w:ascii="宋体" w:hAnsi="宋体" w:eastAsia="宋体" w:cs="宋体"/>
                <w:kern w:val="2"/>
                <w:sz w:val="21"/>
                <w:szCs w:val="21"/>
                <w:lang w:val="en-US" w:eastAsia="zh-CN" w:bidi="ar-SA"/>
              </w:rPr>
              <w:t>本项目采用资格后审，审查内容以投标截止时间前填报上传企业</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信息为准，过期更改的</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信息不作为本项目评审依据。开评标现场不接受</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信息原件。</w:t>
            </w:r>
            <w:r>
              <w:rPr>
                <w:rFonts w:hint="eastAsia" w:cs="宋体"/>
                <w:kern w:val="2"/>
                <w:sz w:val="21"/>
                <w:szCs w:val="21"/>
                <w:lang w:val="en-US" w:eastAsia="zh-CN" w:bidi="ar-SA"/>
              </w:rPr>
              <w:t>市场主体库</w:t>
            </w:r>
            <w:r>
              <w:rPr>
                <w:rFonts w:hint="eastAsia" w:ascii="宋体" w:hAnsi="宋体" w:eastAsia="宋体" w:cs="宋体"/>
                <w:kern w:val="2"/>
                <w:sz w:val="21"/>
                <w:szCs w:val="21"/>
                <w:lang w:val="en-US" w:eastAsia="zh-CN" w:bidi="ar-SA"/>
              </w:rPr>
              <w:t>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82" w:type="dxa"/>
            <w:noWrap/>
            <w:vAlign w:val="center"/>
          </w:tcPr>
          <w:p>
            <w:pPr>
              <w:wordWrap/>
              <w:topLinePunct w:val="0"/>
              <w:spacing w:line="360" w:lineRule="auto"/>
              <w:jc w:val="center"/>
            </w:pPr>
            <w:r>
              <w:rPr>
                <w:rFonts w:hint="eastAsia"/>
              </w:rPr>
              <w:t>是否接受联合体参加磋商</w:t>
            </w:r>
          </w:p>
        </w:tc>
        <w:tc>
          <w:tcPr>
            <w:tcW w:w="6163" w:type="dxa"/>
            <w:noWrap/>
          </w:tcPr>
          <w:p>
            <w:pPr>
              <w:wordWrap/>
              <w:topLinePunct w:val="0"/>
              <w:spacing w:line="360" w:lineRule="auto"/>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82" w:type="dxa"/>
            <w:noWrap/>
            <w:vAlign w:val="center"/>
          </w:tcPr>
          <w:p>
            <w:pPr>
              <w:wordWrap/>
              <w:topLinePunct w:val="0"/>
              <w:spacing w:line="360" w:lineRule="auto"/>
              <w:jc w:val="center"/>
            </w:pPr>
            <w:r>
              <w:rPr>
                <w:rFonts w:hint="eastAsia"/>
              </w:rPr>
              <w:t>现场考察</w:t>
            </w:r>
          </w:p>
        </w:tc>
        <w:tc>
          <w:tcPr>
            <w:tcW w:w="616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82" w:type="dxa"/>
            <w:noWrap/>
            <w:vAlign w:val="center"/>
          </w:tcPr>
          <w:p>
            <w:pPr>
              <w:wordWrap/>
              <w:topLinePunct w:val="0"/>
              <w:spacing w:line="360" w:lineRule="auto"/>
              <w:ind w:left="38" w:leftChars="18"/>
              <w:jc w:val="center"/>
            </w:pPr>
            <w:r>
              <w:rPr>
                <w:rFonts w:hint="eastAsia"/>
              </w:rPr>
              <w:t>答 疑 会</w:t>
            </w:r>
          </w:p>
        </w:tc>
        <w:tc>
          <w:tcPr>
            <w:tcW w:w="616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82" w:type="dxa"/>
            <w:noWrap/>
            <w:vAlign w:val="center"/>
          </w:tcPr>
          <w:p>
            <w:pPr>
              <w:wordWrap/>
              <w:topLinePunct w:val="0"/>
              <w:spacing w:line="360" w:lineRule="auto"/>
              <w:jc w:val="center"/>
            </w:pPr>
            <w:r>
              <w:rPr>
                <w:rFonts w:hint="eastAsia"/>
              </w:rPr>
              <w:t>分包</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82" w:type="dxa"/>
            <w:noWrap/>
            <w:vAlign w:val="center"/>
          </w:tcPr>
          <w:p>
            <w:pPr>
              <w:wordWrap/>
              <w:topLinePunct w:val="0"/>
              <w:spacing w:line="360" w:lineRule="auto"/>
              <w:jc w:val="center"/>
            </w:pPr>
            <w:r>
              <w:rPr>
                <w:rFonts w:hint="eastAsia"/>
                <w:kern w:val="0"/>
              </w:rPr>
              <w:t>实质性偏差</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82" w:type="dxa"/>
            <w:noWrap/>
            <w:vAlign w:val="center"/>
          </w:tcPr>
          <w:p>
            <w:pPr>
              <w:wordWrap/>
              <w:topLinePunct w:val="0"/>
              <w:spacing w:line="360" w:lineRule="auto"/>
              <w:jc w:val="center"/>
            </w:pPr>
            <w:r>
              <w:rPr>
                <w:rFonts w:hint="eastAsia"/>
              </w:rPr>
              <w:t>是否接受选择性报价方案</w:t>
            </w:r>
          </w:p>
        </w:tc>
        <w:tc>
          <w:tcPr>
            <w:tcW w:w="616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82" w:type="dxa"/>
            <w:noWrap/>
            <w:vAlign w:val="center"/>
          </w:tcPr>
          <w:p>
            <w:pPr>
              <w:wordWrap/>
              <w:topLinePunct w:val="0"/>
              <w:spacing w:line="360" w:lineRule="auto"/>
              <w:jc w:val="center"/>
            </w:pPr>
            <w:r>
              <w:rPr>
                <w:rFonts w:hint="eastAsia"/>
              </w:rPr>
              <w:t>构成竞争性磋商文件的其他材料</w:t>
            </w:r>
          </w:p>
        </w:tc>
        <w:tc>
          <w:tcPr>
            <w:tcW w:w="616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82" w:type="dxa"/>
            <w:noWrap/>
            <w:vAlign w:val="center"/>
          </w:tcPr>
          <w:p>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pPr>
              <w:rPr>
                <w:highlight w:val="none"/>
              </w:rPr>
            </w:pPr>
            <w:r>
              <w:rPr>
                <w:rFonts w:ascii="宋体" w:hAnsi="宋体"/>
                <w:color w:val="auto"/>
                <w:sz w:val="21"/>
                <w:szCs w:val="21"/>
                <w:highlight w:val="none"/>
              </w:rPr>
              <w:t>当磋商文件与更正或补充文件相矛盾时，以最后发出的更正或补充文件为准。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82" w:type="dxa"/>
            <w:noWrap/>
            <w:vAlign w:val="center"/>
          </w:tcPr>
          <w:p>
            <w:pPr>
              <w:wordWrap/>
              <w:topLinePunct w:val="0"/>
              <w:spacing w:line="360" w:lineRule="auto"/>
              <w:jc w:val="center"/>
            </w:pPr>
            <w:r>
              <w:rPr>
                <w:rFonts w:hint="eastAsia"/>
              </w:rPr>
              <w:t>竞争性磋商文件澄清发出的形式</w:t>
            </w:r>
          </w:p>
        </w:tc>
        <w:tc>
          <w:tcPr>
            <w:tcW w:w="6163" w:type="dxa"/>
            <w:noWrap/>
            <w:vAlign w:val="center"/>
          </w:tcPr>
          <w:p>
            <w:pPr>
              <w:wordWrap/>
              <w:topLinePunct w:val="0"/>
              <w:spacing w:line="360" w:lineRule="auto"/>
            </w:pPr>
            <w:r>
              <w:rPr>
                <w:rFonts w:hint="eastAsia"/>
                <w:highlight w:val="none"/>
                <w:lang w:val="en-US" w:eastAsia="zh-CN"/>
              </w:rPr>
              <w:t>公告</w:t>
            </w:r>
            <w:r>
              <w:rPr>
                <w:rFonts w:hint="eastAsia"/>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82" w:type="dxa"/>
            <w:noWrap/>
            <w:vAlign w:val="center"/>
          </w:tcPr>
          <w:p>
            <w:pPr>
              <w:wordWrap/>
              <w:topLinePunct w:val="0"/>
              <w:spacing w:line="360" w:lineRule="auto"/>
              <w:jc w:val="center"/>
            </w:pPr>
            <w:r>
              <w:rPr>
                <w:rFonts w:hint="eastAsia"/>
              </w:rPr>
              <w:t>响应人确认收到竞争性磋商文件澄清的时间</w:t>
            </w:r>
          </w:p>
        </w:tc>
        <w:tc>
          <w:tcPr>
            <w:tcW w:w="616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82" w:type="dxa"/>
            <w:noWrap/>
            <w:vAlign w:val="center"/>
          </w:tcPr>
          <w:p>
            <w:pPr>
              <w:wordWrap/>
              <w:topLinePunct w:val="0"/>
              <w:spacing w:line="360" w:lineRule="auto"/>
              <w:jc w:val="center"/>
            </w:pPr>
            <w:r>
              <w:rPr>
                <w:rFonts w:hint="eastAsia"/>
              </w:rPr>
              <w:t>竞争性磋商文件修改发出的形式</w:t>
            </w:r>
          </w:p>
        </w:tc>
        <w:tc>
          <w:tcPr>
            <w:tcW w:w="6163" w:type="dxa"/>
            <w:noWrap/>
            <w:vAlign w:val="center"/>
          </w:tcPr>
          <w:p>
            <w:pPr>
              <w:wordWrap/>
              <w:topLinePunct w:val="0"/>
              <w:spacing w:line="360" w:lineRule="auto"/>
            </w:pPr>
            <w:r>
              <w:rPr>
                <w:rFonts w:hint="eastAsia"/>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82" w:type="dxa"/>
            <w:noWrap/>
            <w:vAlign w:val="center"/>
          </w:tcPr>
          <w:p>
            <w:pPr>
              <w:wordWrap/>
              <w:topLinePunct w:val="0"/>
              <w:spacing w:line="360" w:lineRule="auto"/>
              <w:jc w:val="center"/>
            </w:pPr>
            <w:r>
              <w:rPr>
                <w:rFonts w:hint="eastAsia"/>
              </w:rPr>
              <w:t>响应人确认收到竞争性磋商文件修改的时间</w:t>
            </w:r>
          </w:p>
        </w:tc>
        <w:tc>
          <w:tcPr>
            <w:tcW w:w="616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82" w:type="dxa"/>
            <w:noWrap/>
            <w:vAlign w:val="center"/>
          </w:tcPr>
          <w:p>
            <w:pPr>
              <w:wordWrap/>
              <w:topLinePunct w:val="0"/>
              <w:spacing w:line="360" w:lineRule="auto"/>
              <w:jc w:val="center"/>
            </w:pPr>
            <w:r>
              <w:rPr>
                <w:rFonts w:hint="eastAsia"/>
              </w:rPr>
              <w:t>磋商有效期</w:t>
            </w:r>
          </w:p>
        </w:tc>
        <w:tc>
          <w:tcPr>
            <w:tcW w:w="6163" w:type="dxa"/>
            <w:noWrap/>
          </w:tcPr>
          <w:p>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8" w:type="dxa"/>
            <w:noWrap/>
            <w:vAlign w:val="center"/>
          </w:tcPr>
          <w:p>
            <w:pPr>
              <w:wordWrap/>
              <w:topLinePunct w:val="0"/>
              <w:spacing w:line="360" w:lineRule="auto"/>
              <w:jc w:val="center"/>
            </w:pPr>
            <w:r>
              <w:rPr>
                <w:rFonts w:hint="eastAsia"/>
              </w:rPr>
              <w:t>27</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*磋商保证金</w:t>
            </w:r>
          </w:p>
        </w:tc>
        <w:tc>
          <w:tcPr>
            <w:tcW w:w="6163" w:type="dxa"/>
            <w:noWrap/>
            <w:vAlign w:val="center"/>
          </w:tcPr>
          <w:p>
            <w:pPr>
              <w:wordWrap/>
              <w:spacing w:line="360" w:lineRule="auto"/>
              <w:rPr>
                <w:rFonts w:cs="FangSong_GB2312"/>
                <w:kern w:val="0"/>
              </w:rPr>
            </w:pPr>
            <w:r>
              <w:rPr>
                <w:rFonts w:hint="eastAsia" w:cs="FangSong_GB2312"/>
                <w:kern w:val="0"/>
              </w:rPr>
              <w:t>本项目不缴纳磋商保证金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82" w:type="dxa"/>
            <w:noWrap/>
            <w:vAlign w:val="center"/>
          </w:tcPr>
          <w:p>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82" w:type="dxa"/>
            <w:noWrap/>
          </w:tcPr>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spacing w:before="6"/>
              <w:rPr>
                <w:b/>
                <w:sz w:val="25"/>
              </w:rPr>
            </w:pPr>
          </w:p>
          <w:p>
            <w:pPr>
              <w:pStyle w:val="39"/>
              <w:ind w:left="102" w:right="93"/>
              <w:jc w:val="center"/>
            </w:pPr>
            <w:r>
              <w:t>递交响应文件方式及地点</w:t>
            </w:r>
          </w:p>
        </w:tc>
        <w:tc>
          <w:tcPr>
            <w:tcW w:w="6163" w:type="dxa"/>
            <w:noWrap/>
          </w:tcPr>
          <w:p>
            <w:pPr>
              <w:pStyle w:val="39"/>
              <w:spacing w:before="131"/>
              <w:ind w:left="106" w:right="-15"/>
            </w:pPr>
            <w:r>
              <w:rPr>
                <w:rFonts w:hint="eastAsia"/>
              </w:rPr>
              <w:t>1、</w:t>
            </w:r>
            <w:r>
              <w:rPr>
                <w:rFonts w:hint="eastAsia"/>
                <w:lang w:val="en-US"/>
              </w:rPr>
              <w:t>响应</w:t>
            </w:r>
            <w:r>
              <w:rPr>
                <w:rFonts w:hint="eastAsia"/>
              </w:rPr>
              <w:t>文件递交</w:t>
            </w:r>
          </w:p>
          <w:p>
            <w:pPr>
              <w:pStyle w:val="39"/>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eastAsia="zh-CN"/>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pPr>
              <w:pStyle w:val="39"/>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pPr>
              <w:pStyle w:val="39"/>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pPr>
              <w:pStyle w:val="39"/>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82" w:type="dxa"/>
            <w:noWrap/>
            <w:vAlign w:val="center"/>
          </w:tcPr>
          <w:p>
            <w:pPr>
              <w:wordWrap/>
              <w:topLinePunct w:val="0"/>
              <w:spacing w:line="360" w:lineRule="auto"/>
              <w:jc w:val="center"/>
            </w:pPr>
            <w:r>
              <w:rPr>
                <w:rFonts w:hint="eastAsia"/>
              </w:rPr>
              <w:t>电子投标文件递交</w:t>
            </w:r>
          </w:p>
        </w:tc>
        <w:tc>
          <w:tcPr>
            <w:tcW w:w="6163" w:type="dxa"/>
            <w:noWrap/>
            <w:vAlign w:val="center"/>
          </w:tcPr>
          <w:p>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pPr>
              <w:wordWrap/>
              <w:topLinePunct w:val="0"/>
              <w:spacing w:line="360" w:lineRule="auto"/>
            </w:pPr>
            <w:r>
              <w:t>2</w:t>
            </w:r>
            <w:r>
              <w:rPr>
                <w:rFonts w:hint="eastAsia"/>
              </w:rPr>
              <w:t>、供应商所递交的电子投标文件在投标截止时间之后不予退回。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48" w:type="dxa"/>
            <w:noWrap/>
            <w:vAlign w:val="center"/>
          </w:tcPr>
          <w:p>
            <w:pPr>
              <w:wordWrap/>
              <w:topLinePunct w:val="0"/>
              <w:spacing w:line="360" w:lineRule="auto"/>
              <w:jc w:val="center"/>
            </w:pPr>
            <w:r>
              <w:rPr>
                <w:rFonts w:hint="eastAsia"/>
              </w:rPr>
              <w:t>31</w:t>
            </w:r>
          </w:p>
        </w:tc>
        <w:tc>
          <w:tcPr>
            <w:tcW w:w="2682" w:type="dxa"/>
            <w:noWrap/>
          </w:tcPr>
          <w:p>
            <w:pPr>
              <w:pStyle w:val="39"/>
              <w:rPr>
                <w:b/>
                <w:sz w:val="20"/>
              </w:rPr>
            </w:pPr>
          </w:p>
          <w:p>
            <w:pPr>
              <w:pStyle w:val="39"/>
              <w:spacing w:before="1"/>
              <w:ind w:left="102" w:right="93"/>
              <w:jc w:val="center"/>
            </w:pPr>
            <w:r>
              <w:t>响应文件的份数</w:t>
            </w:r>
          </w:p>
        </w:tc>
        <w:tc>
          <w:tcPr>
            <w:tcW w:w="6163" w:type="dxa"/>
            <w:noWrap/>
          </w:tcPr>
          <w:p>
            <w:pPr>
              <w:pStyle w:val="39"/>
              <w:spacing w:before="156"/>
              <w:rPr>
                <w:rFonts w:hint="eastAsia" w:eastAsia="宋体"/>
                <w:lang w:val="en-US" w:eastAsia="zh-CN" w:bidi="ar-SA"/>
              </w:rPr>
            </w:pPr>
            <w:r>
              <w:rPr>
                <w:rFonts w:hint="eastAsia"/>
                <w:lang w:val="en-US" w:bidi="ar-SA"/>
              </w:rPr>
              <w:t>供应商需在开标截止前上传一份符合要求的响应文件至社旗县公共资源交易中心系统</w:t>
            </w:r>
            <w:r>
              <w:rPr>
                <w:rFonts w:hint="eastAsi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32</w:t>
            </w:r>
          </w:p>
        </w:tc>
        <w:tc>
          <w:tcPr>
            <w:tcW w:w="2682" w:type="dxa"/>
            <w:noWrap/>
            <w:vAlign w:val="center"/>
          </w:tcPr>
          <w:p>
            <w:pPr>
              <w:wordWrap/>
              <w:topLinePunct w:val="0"/>
              <w:spacing w:line="360" w:lineRule="auto"/>
              <w:jc w:val="center"/>
            </w:pPr>
            <w:r>
              <w:rPr>
                <w:rFonts w:hint="eastAsia"/>
              </w:rPr>
              <w:t>开标程序</w:t>
            </w:r>
          </w:p>
        </w:tc>
        <w:tc>
          <w:tcPr>
            <w:tcW w:w="6163" w:type="dxa"/>
            <w:noWrap/>
            <w:vAlign w:val="center"/>
          </w:tcPr>
          <w:p>
            <w:pPr>
              <w:spacing w:line="360" w:lineRule="auto"/>
            </w:pPr>
            <w:r>
              <w:t>本项目采用“远程不见面”开标方式，不见面开标大厅地址</w:t>
            </w:r>
            <w:r>
              <w:rPr>
                <w:rFonts w:hint="eastAsia"/>
                <w:lang w:eastAsia="zh-CN"/>
              </w:rPr>
              <w:t>https://ggzyjy.nanyang.gov.cn/BidOpening/bidopeninghallaction/hall/login</w:t>
            </w:r>
            <w:r>
              <w:t>，供应商无需到南阳市</w:t>
            </w:r>
            <w:r>
              <w:rPr>
                <w:rFonts w:hint="eastAsia"/>
                <w:lang w:val="en-US" w:eastAsia="zh-CN"/>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pPr>
              <w:spacing w:line="360" w:lineRule="auto"/>
            </w:pPr>
            <w:r>
              <w:t>1、</w:t>
            </w:r>
            <w:r>
              <w:rPr>
                <w:rFonts w:hint="eastAsia"/>
              </w:rPr>
              <w:t>供应商</w:t>
            </w:r>
            <w:r>
              <w:t>代表持本单位CA数字证书提前登录不见面开标系统。</w:t>
            </w:r>
          </w:p>
          <w:p>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pPr>
              <w:spacing w:line="360" w:lineRule="auto"/>
            </w:pPr>
            <w:r>
              <w:t xml:space="preserve">3、开标顺序： </w:t>
            </w:r>
          </w:p>
          <w:p>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pPr>
              <w:spacing w:line="360" w:lineRule="auto"/>
              <w:rPr>
                <w:rFonts w:hint="eastAsia" w:eastAsia="宋体"/>
                <w:lang w:eastAsia="zh-CN"/>
              </w:rPr>
            </w:pPr>
            <w:r>
              <w:t>②唱标。查看唱标信息（系统不提供语音在线播放，该页面停留5分钟供</w:t>
            </w:r>
            <w:r>
              <w:rPr>
                <w:rFonts w:hint="eastAsia"/>
              </w:rPr>
              <w:t>供应商</w:t>
            </w:r>
            <w:r>
              <w:t>查看，如无异议视为同意）。</w:t>
            </w:r>
            <w:r>
              <w:rPr>
                <w:rFonts w:hint="eastAsia"/>
              </w:rPr>
              <w:t>采购人</w:t>
            </w:r>
            <w:r>
              <w:t>、监督人需要关注开标过程中，</w:t>
            </w:r>
            <w:r>
              <w:rPr>
                <w:rFonts w:hint="eastAsia"/>
              </w:rPr>
              <w:t>供应商</w:t>
            </w:r>
            <w:r>
              <w:t>随时在线提出的异议、问题沟通等信息，并做好及时回复</w:t>
            </w:r>
            <w:r>
              <w:rPr>
                <w:rFonts w:hint="eastAsia"/>
                <w:lang w:eastAsia="zh-CN"/>
              </w:rPr>
              <w:t>。</w:t>
            </w:r>
          </w:p>
          <w:p>
            <w:pPr>
              <w:spacing w:line="360" w:lineRule="auto"/>
            </w:pPr>
            <w:r>
              <w:t>③</w:t>
            </w:r>
            <w:r>
              <w:rPr>
                <w:rFonts w:hint="eastAsia"/>
              </w:rPr>
              <w:t>采购人</w:t>
            </w:r>
            <w:r>
              <w:t>、监督人等相关人员在开标记录表上（可进入原评标系统直接打印）签字确认。</w:t>
            </w:r>
          </w:p>
          <w:p>
            <w:pPr>
              <w:spacing w:line="360" w:lineRule="auto"/>
            </w:pPr>
            <w:r>
              <w:t>④招标代理机构宣布开标结束，在评标系统中点击“开标结束”，并进行“招标文件导入”、“控制价文件导入”。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33</w:t>
            </w:r>
          </w:p>
        </w:tc>
        <w:tc>
          <w:tcPr>
            <w:tcW w:w="2682" w:type="dxa"/>
            <w:noWrap/>
            <w:vAlign w:val="center"/>
          </w:tcPr>
          <w:p>
            <w:pPr>
              <w:wordWrap/>
              <w:topLinePunct w:val="0"/>
              <w:spacing w:line="360" w:lineRule="auto"/>
              <w:jc w:val="center"/>
              <w:rPr>
                <w:highlight w:val="none"/>
              </w:rPr>
            </w:pPr>
            <w:r>
              <w:rPr>
                <w:rFonts w:hint="eastAsia"/>
                <w:highlight w:val="none"/>
              </w:rPr>
              <w:t>提交首次响应文件</w:t>
            </w:r>
          </w:p>
          <w:p>
            <w:pPr>
              <w:wordWrap/>
              <w:topLinePunct w:val="0"/>
              <w:spacing w:line="360" w:lineRule="auto"/>
              <w:jc w:val="center"/>
              <w:rPr>
                <w:highlight w:val="none"/>
              </w:rPr>
            </w:pPr>
            <w:r>
              <w:rPr>
                <w:rFonts w:hint="eastAsia"/>
                <w:highlight w:val="none"/>
              </w:rPr>
              <w:t>截止时间</w:t>
            </w:r>
          </w:p>
        </w:tc>
        <w:tc>
          <w:tcPr>
            <w:tcW w:w="6163" w:type="dxa"/>
            <w:noWrap/>
            <w:vAlign w:val="center"/>
          </w:tcPr>
          <w:p>
            <w:pPr>
              <w:wordWrap/>
              <w:topLinePunct w:val="0"/>
              <w:spacing w:line="360" w:lineRule="auto"/>
              <w:rPr>
                <w:highlight w:val="none"/>
              </w:rPr>
            </w:pPr>
            <w:r>
              <w:rPr>
                <w:rFonts w:hint="eastAsia"/>
                <w:highlight w:val="none"/>
                <w:lang w:val="en-US" w:eastAsia="zh-CN"/>
              </w:rPr>
              <w:t xml:space="preserve"> 2024年06月11日10时00分</w:t>
            </w:r>
            <w:r>
              <w:rPr>
                <w:rFonts w:hint="eastAsia" w:eastAsia="宋体"/>
                <w:highlight w:val="none"/>
                <w:lang w:eastAsia="zh-CN"/>
              </w:rPr>
              <w:t>（北京时</w:t>
            </w:r>
            <w:bookmarkStart w:id="748" w:name="_GoBack"/>
            <w:bookmarkEnd w:id="748"/>
            <w:r>
              <w:rPr>
                <w:rFonts w:hint="eastAsia" w:eastAsia="宋体"/>
                <w:highlight w:val="none"/>
                <w:lang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34</w:t>
            </w:r>
          </w:p>
        </w:tc>
        <w:tc>
          <w:tcPr>
            <w:tcW w:w="2682" w:type="dxa"/>
            <w:noWrap/>
            <w:vAlign w:val="center"/>
          </w:tcPr>
          <w:p>
            <w:pPr>
              <w:wordWrap/>
              <w:topLinePunct w:val="0"/>
              <w:spacing w:line="360" w:lineRule="auto"/>
              <w:jc w:val="center"/>
              <w:rPr>
                <w:highlight w:val="yellow"/>
              </w:rPr>
            </w:pPr>
            <w:r>
              <w:rPr>
                <w:rFonts w:hint="eastAsia"/>
              </w:rPr>
              <w:t>提交首次响应文件地点</w:t>
            </w:r>
          </w:p>
        </w:tc>
        <w:tc>
          <w:tcPr>
            <w:tcW w:w="6163" w:type="dxa"/>
            <w:noWrap/>
            <w:vAlign w:val="center"/>
          </w:tcPr>
          <w:p>
            <w:pPr>
              <w:wordWrap/>
              <w:topLinePunct w:val="0"/>
              <w:spacing w:line="360" w:lineRule="auto"/>
              <w:jc w:val="left"/>
              <w:rPr>
                <w:rFonts w:hint="eastAsia" w:eastAsia="宋体"/>
                <w:highlight w:val="yellow"/>
                <w:lang w:eastAsia="zh-CN"/>
              </w:rPr>
            </w:pPr>
            <w:r>
              <w:rPr>
                <w:rFonts w:hint="eastAsia" w:eastAsia="宋体"/>
                <w:highlight w:val="none"/>
                <w:lang w:eastAsia="zh-CN"/>
              </w:rPr>
              <w:t>社旗县公共资源交易中心系统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35</w:t>
            </w:r>
          </w:p>
        </w:tc>
        <w:tc>
          <w:tcPr>
            <w:tcW w:w="2682" w:type="dxa"/>
            <w:noWrap/>
            <w:vAlign w:val="center"/>
          </w:tcPr>
          <w:p>
            <w:pPr>
              <w:wordWrap/>
              <w:topLinePunct w:val="0"/>
              <w:spacing w:line="360" w:lineRule="auto"/>
              <w:jc w:val="center"/>
            </w:pPr>
            <w:r>
              <w:rPr>
                <w:rFonts w:hint="eastAsia"/>
              </w:rPr>
              <w:t>是否退还磋商响应文件</w:t>
            </w:r>
          </w:p>
        </w:tc>
        <w:tc>
          <w:tcPr>
            <w:tcW w:w="616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36</w:t>
            </w:r>
          </w:p>
        </w:tc>
        <w:tc>
          <w:tcPr>
            <w:tcW w:w="2682" w:type="dxa"/>
            <w:noWrap/>
            <w:vAlign w:val="center"/>
          </w:tcPr>
          <w:p>
            <w:pPr>
              <w:wordWrap/>
              <w:topLinePunct w:val="0"/>
              <w:spacing w:line="360" w:lineRule="auto"/>
              <w:jc w:val="center"/>
            </w:pPr>
            <w:r>
              <w:rPr>
                <w:rFonts w:hint="eastAsia"/>
              </w:rPr>
              <w:t>磋商小组的组建</w:t>
            </w:r>
          </w:p>
        </w:tc>
        <w:tc>
          <w:tcPr>
            <w:tcW w:w="6163" w:type="dxa"/>
            <w:noWrap/>
          </w:tcPr>
          <w:p>
            <w:pPr>
              <w:wordWrap/>
              <w:topLinePunct w:val="0"/>
              <w:spacing w:line="360" w:lineRule="auto"/>
            </w:pPr>
            <w:r>
              <w:rPr>
                <w:rFonts w:hint="eastAsia"/>
              </w:rPr>
              <w:t>磋商小组由采购人代表1人和</w:t>
            </w:r>
            <w:r>
              <w:rPr>
                <w:rFonts w:hint="eastAsia"/>
                <w:lang w:val="en-US" w:eastAsia="zh-CN"/>
              </w:rPr>
              <w:t>评标</w:t>
            </w:r>
            <w:r>
              <w:rPr>
                <w:rFonts w:hint="eastAsia"/>
              </w:rPr>
              <w:t>专家2人组成，成员人数共3人，</w:t>
            </w:r>
            <w:r>
              <w:rPr>
                <w:rFonts w:hint="eastAsia"/>
                <w:lang w:val="en-US" w:eastAsia="zh-CN"/>
              </w:rPr>
              <w:t>评标</w:t>
            </w:r>
            <w:r>
              <w:rPr>
                <w:rFonts w:hint="eastAsia"/>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37</w:t>
            </w:r>
          </w:p>
        </w:tc>
        <w:tc>
          <w:tcPr>
            <w:tcW w:w="268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163" w:type="dxa"/>
            <w:noWrap/>
            <w:vAlign w:val="center"/>
          </w:tcPr>
          <w:p>
            <w:pPr>
              <w:wordWrap/>
              <w:topLinePunct w:val="0"/>
              <w:spacing w:line="360" w:lineRule="auto"/>
            </w:pPr>
            <w:r>
              <w:rPr>
                <w:rFonts w:hint="eastAsia"/>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38</w:t>
            </w:r>
          </w:p>
        </w:tc>
        <w:tc>
          <w:tcPr>
            <w:tcW w:w="2682" w:type="dxa"/>
            <w:noWrap/>
            <w:vAlign w:val="center"/>
          </w:tcPr>
          <w:p>
            <w:pPr>
              <w:wordWrap/>
              <w:topLinePunct w:val="0"/>
              <w:spacing w:line="360" w:lineRule="auto"/>
              <w:jc w:val="center"/>
            </w:pPr>
            <w:r>
              <w:rPr>
                <w:rFonts w:hint="eastAsia"/>
              </w:rPr>
              <w:t>履约保证金</w:t>
            </w:r>
          </w:p>
        </w:tc>
        <w:tc>
          <w:tcPr>
            <w:tcW w:w="6163" w:type="dxa"/>
            <w:noWrap/>
            <w:vAlign w:val="center"/>
          </w:tcPr>
          <w:p>
            <w:pPr>
              <w:wordWrap/>
              <w:spacing w:line="360" w:lineRule="auto"/>
            </w:pPr>
            <w:r>
              <w:rPr>
                <w:rFonts w:hint="eastAsia"/>
              </w:rPr>
              <w:t>本项目不缴纳履约保证金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39</w:t>
            </w:r>
          </w:p>
        </w:tc>
        <w:tc>
          <w:tcPr>
            <w:tcW w:w="2682" w:type="dxa"/>
            <w:noWrap/>
            <w:vAlign w:val="center"/>
          </w:tcPr>
          <w:p>
            <w:pPr>
              <w:wordWrap/>
              <w:spacing w:line="360" w:lineRule="auto"/>
              <w:rPr>
                <w:rFonts w:hint="eastAsia"/>
              </w:rPr>
            </w:pPr>
            <w:r>
              <w:rPr>
                <w:rFonts w:hint="eastAsia"/>
              </w:rPr>
              <w:t>代理费用收取方式及标准</w:t>
            </w:r>
          </w:p>
        </w:tc>
        <w:tc>
          <w:tcPr>
            <w:tcW w:w="6163" w:type="dxa"/>
            <w:noWrap/>
            <w:vAlign w:val="center"/>
          </w:tcPr>
          <w:p>
            <w:pPr>
              <w:wordWrap/>
              <w:spacing w:line="360" w:lineRule="auto"/>
              <w:rPr>
                <w:rFonts w:hint="eastAsia"/>
              </w:rPr>
            </w:pPr>
            <w:r>
              <w:rPr>
                <w:rFonts w:hint="eastAsia"/>
              </w:rPr>
              <w:t>参照发改价格[2015]299号</w:t>
            </w:r>
            <w:r>
              <w:rPr>
                <w:rFonts w:hint="eastAsia"/>
                <w:lang w:eastAsia="zh-CN"/>
              </w:rPr>
              <w:t>、</w:t>
            </w:r>
            <w:r>
              <w:rPr>
                <w:rFonts w:hint="eastAsia"/>
              </w:rPr>
              <w:t>豫招协【2023】002号</w:t>
            </w:r>
            <w:r>
              <w:rPr>
                <w:rFonts w:hint="eastAsia"/>
                <w:lang w:val="en-US" w:eastAsia="zh-CN"/>
              </w:rPr>
              <w:t>标准规定</w:t>
            </w:r>
            <w:r>
              <w:rPr>
                <w:rFonts w:hint="eastAsia"/>
              </w:rPr>
              <w:t>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48" w:type="dxa"/>
            <w:noWrap/>
            <w:vAlign w:val="center"/>
          </w:tcPr>
          <w:p>
            <w:pPr>
              <w:wordWrap/>
              <w:topLinePunct w:val="0"/>
              <w:spacing w:line="360" w:lineRule="auto"/>
              <w:jc w:val="center"/>
            </w:pPr>
            <w:r>
              <w:rPr>
                <w:rFonts w:hint="eastAsia"/>
              </w:rPr>
              <w:t>40</w:t>
            </w:r>
          </w:p>
        </w:tc>
        <w:tc>
          <w:tcPr>
            <w:tcW w:w="2682" w:type="dxa"/>
            <w:noWrap/>
            <w:vAlign w:val="center"/>
          </w:tcPr>
          <w:p>
            <w:pPr>
              <w:wordWrap/>
              <w:topLinePunct w:val="0"/>
              <w:spacing w:line="360" w:lineRule="auto"/>
              <w:jc w:val="center"/>
            </w:pPr>
            <w:r>
              <w:rPr>
                <w:rFonts w:hint="eastAsia"/>
              </w:rPr>
              <w:t>采购程序</w:t>
            </w:r>
          </w:p>
        </w:tc>
        <w:tc>
          <w:tcPr>
            <w:tcW w:w="616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3.确定不少于3家的响应人参加磋商</w:t>
            </w:r>
          </w:p>
          <w:p>
            <w:pPr>
              <w:wordWrap/>
              <w:topLinePunct w:val="0"/>
              <w:spacing w:line="360" w:lineRule="auto"/>
            </w:pPr>
            <w:r>
              <w:rPr>
                <w:rFonts w:hint="eastAsia"/>
              </w:rPr>
              <w:t>4.磋商</w:t>
            </w:r>
          </w:p>
          <w:p>
            <w:pPr>
              <w:wordWrap/>
              <w:topLinePunct w:val="0"/>
              <w:spacing w:line="360" w:lineRule="auto"/>
            </w:pPr>
            <w:r>
              <w:rPr>
                <w:rFonts w:hint="eastAsia"/>
              </w:rPr>
              <w:t>5.确定响应人</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93" w:type="dxa"/>
            <w:gridSpan w:val="3"/>
            <w:noWrap/>
            <w:vAlign w:val="center"/>
          </w:tcPr>
          <w:p>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82" w:type="dxa"/>
            <w:noWrap/>
            <w:vAlign w:val="center"/>
          </w:tcPr>
          <w:p>
            <w:pPr>
              <w:autoSpaceDE w:val="0"/>
              <w:autoSpaceDN w:val="0"/>
              <w:spacing w:line="360" w:lineRule="auto"/>
              <w:jc w:val="center"/>
            </w:pPr>
            <w:r>
              <w:rPr>
                <w:rFonts w:hint="eastAsia" w:ascii="宋体" w:hAnsi="宋体" w:cs="宋体"/>
                <w:szCs w:val="21"/>
              </w:rPr>
              <w:t>政府采购政策支持</w:t>
            </w:r>
          </w:p>
        </w:tc>
        <w:tc>
          <w:tcPr>
            <w:tcW w:w="6163" w:type="dxa"/>
            <w:noWrap/>
            <w:vAlign w:val="center"/>
          </w:tcPr>
          <w:p>
            <w:pPr>
              <w:widowControl w:val="0"/>
              <w:tabs>
                <w:tab w:val="left" w:pos="1005"/>
              </w:tabs>
              <w:spacing w:line="360" w:lineRule="auto"/>
              <w:rPr>
                <w:rFonts w:ascii="宋体" w:hAns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pPr>
              <w:widowControl w:val="0"/>
              <w:numPr>
                <w:ilvl w:val="0"/>
                <w:numId w:val="3"/>
              </w:numPr>
              <w:tabs>
                <w:tab w:val="left" w:pos="1005"/>
              </w:tabs>
              <w:spacing w:line="360" w:lineRule="auto"/>
              <w:rPr>
                <w:rFonts w:ascii="宋体" w:hAnsi="宋体" w:cs="宋体"/>
                <w:b/>
                <w:bCs/>
                <w:color w:val="auto"/>
                <w:szCs w:val="21"/>
              </w:rPr>
            </w:pPr>
            <w:r>
              <w:rPr>
                <w:rFonts w:hint="eastAsia" w:ascii="宋体" w:hAnsi="宋体" w:cs="宋体"/>
                <w:bCs/>
                <w:szCs w:val="21"/>
              </w:rPr>
              <w:t>根据《政府采购促进中小企业发展管理办法》（财库（20</w:t>
            </w:r>
            <w:r>
              <w:rPr>
                <w:rFonts w:ascii="宋体" w:hAnsi="宋体" w:cs="宋体"/>
                <w:bCs/>
                <w:szCs w:val="21"/>
              </w:rPr>
              <w:t>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号）和《财政部司法部关于政府采购支持监狱企业发展有关问题的通知》（财库（2014）68号）的规定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ascii="宋体" w:hAnsi="宋体" w:cs="宋体"/>
                <w:bCs/>
                <w:color w:val="auto"/>
                <w:szCs w:val="21"/>
                <w:lang w:val="en-US" w:eastAsia="zh-CN"/>
              </w:rPr>
              <w:t>5</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pPr>
              <w:widowControl w:val="0"/>
              <w:numPr>
                <w:ilvl w:val="0"/>
                <w:numId w:val="3"/>
              </w:numPr>
              <w:tabs>
                <w:tab w:val="left" w:pos="1005"/>
              </w:tabs>
              <w:spacing w:line="360" w:lineRule="auto"/>
              <w:rPr>
                <w:rFonts w:ascii="宋体" w:hAnsi="宋体" w:cs="宋体"/>
                <w:bCs/>
                <w:color w:val="auto"/>
                <w:szCs w:val="21"/>
              </w:rPr>
            </w:pPr>
            <w:r>
              <w:rPr>
                <w:rFonts w:hint="eastAsia" w:ascii="宋体" w:hAnsi="宋体" w:cs="宋体"/>
                <w:bCs/>
                <w:color w:val="auto"/>
                <w:szCs w:val="21"/>
              </w:rPr>
              <w:t>中小企业划分标准以工信部联企业【2011】300号《工业和信息化部国家统计局国家发展和改革委财政部关于印发中小企业划型标准规定的通知》为依据。</w:t>
            </w:r>
          </w:p>
          <w:p>
            <w:pPr>
              <w:widowControl w:val="0"/>
              <w:tabs>
                <w:tab w:val="left" w:pos="1005"/>
              </w:tabs>
              <w:spacing w:line="360" w:lineRule="auto"/>
              <w:rPr>
                <w:rFonts w:ascii="宋体" w:hAnsi="宋体" w:cs="宋体"/>
                <w:bCs/>
                <w:color w:val="auto"/>
                <w:szCs w:val="21"/>
              </w:rPr>
            </w:pPr>
            <w:r>
              <w:rPr>
                <w:rFonts w:hint="eastAsia" w:ascii="宋体" w:hAnsi="宋体" w:cs="宋体"/>
                <w:b/>
                <w:color w:val="auto"/>
                <w:szCs w:val="21"/>
              </w:rPr>
              <w:t>（二）采购节能产品、信息安全产品，优先采购环境标志产品政策。</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pPr>
              <w:numPr>
                <w:ilvl w:val="0"/>
                <w:numId w:val="3"/>
              </w:numPr>
              <w:tabs>
                <w:tab w:val="left" w:pos="1005"/>
              </w:tabs>
              <w:spacing w:line="360" w:lineRule="auto"/>
            </w:pPr>
            <w:r>
              <w:rPr>
                <w:rFonts w:hint="eastAsia" w:ascii="宋体" w:hAnsi="宋体" w:cs="宋体"/>
                <w:bCs/>
                <w:color w:val="auto"/>
                <w:szCs w:val="21"/>
              </w:rPr>
              <w:t>提供的产品属于政府强制采购节能产品的，供应商应当选择《节能产品政府采购清单》中的产品投标，并提供有效的节能产品认证证书复印件。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eastAsia="宋体"/>
                <w:lang w:eastAsia="zh-CN"/>
              </w:rPr>
            </w:pPr>
            <w:r>
              <w:rPr>
                <w:rFonts w:hint="eastAsia"/>
              </w:rPr>
              <w:t>4</w:t>
            </w:r>
            <w:r>
              <w:rPr>
                <w:rFonts w:hint="eastAsia"/>
                <w:lang w:val="en-US" w:eastAsia="zh-CN"/>
              </w:rPr>
              <w:t>2</w:t>
            </w:r>
          </w:p>
        </w:tc>
        <w:tc>
          <w:tcPr>
            <w:tcW w:w="2682" w:type="dxa"/>
            <w:noWrap/>
            <w:vAlign w:val="center"/>
          </w:tcPr>
          <w:p>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pPr>
              <w:spacing w:line="360" w:lineRule="auto"/>
            </w:pPr>
            <w:r>
              <w:rPr>
                <w:rFonts w:hint="eastAsia"/>
              </w:rPr>
              <w:t>竞争性磋商文件未尽事宜按现行采购的有关法律法规和规定执行。竞争性磋商文件解释权归采购人和采购代理机构。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eastAsia="宋体"/>
                <w:lang w:val="en-US" w:eastAsia="zh-CN"/>
              </w:rPr>
            </w:pPr>
            <w:r>
              <w:rPr>
                <w:rFonts w:hint="eastAsia"/>
                <w:lang w:val="en-US" w:eastAsia="zh-CN"/>
              </w:rPr>
              <w:t>43</w:t>
            </w:r>
          </w:p>
        </w:tc>
        <w:tc>
          <w:tcPr>
            <w:tcW w:w="8845" w:type="dxa"/>
            <w:gridSpan w:val="2"/>
            <w:noWrap/>
            <w:vAlign w:val="center"/>
          </w:tcPr>
          <w:p>
            <w:pPr>
              <w:spacing w:line="360" w:lineRule="auto"/>
              <w:rPr>
                <w:rFonts w:hint="eastAsia"/>
              </w:rPr>
            </w:pPr>
            <w:r>
              <w:rPr>
                <w:rStyle w:val="44"/>
                <w:rFonts w:hint="eastAsia" w:ascii="宋体" w:hAnsi="宋体" w:eastAsia="宋体" w:cs="Times New Roman"/>
                <w:szCs w:val="21"/>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lang w:val="en-US" w:eastAsia="zh-CN"/>
              </w:rPr>
            </w:pPr>
            <w:bookmarkStart w:id="6" w:name="_Toc12193"/>
            <w:bookmarkStart w:id="7" w:name="_Toc30815"/>
            <w:r>
              <w:rPr>
                <w:rFonts w:hint="eastAsia"/>
                <w:lang w:val="en-US" w:eastAsia="zh-CN"/>
              </w:rPr>
              <w:t>44</w:t>
            </w:r>
          </w:p>
        </w:tc>
        <w:tc>
          <w:tcPr>
            <w:tcW w:w="8845" w:type="dxa"/>
            <w:gridSpan w:val="2"/>
            <w:noWrap/>
            <w:vAlign w:val="center"/>
          </w:tcPr>
          <w:p>
            <w:pPr>
              <w:spacing w:line="360" w:lineRule="auto"/>
              <w:rPr>
                <w:rStyle w:val="44"/>
                <w:rFonts w:hint="default" w:ascii="宋体" w:hAnsi="宋体" w:eastAsia="宋体" w:cs="Times New Roman"/>
                <w:szCs w:val="21"/>
                <w:lang w:val="en-US" w:eastAsia="zh-CN"/>
              </w:rPr>
            </w:pPr>
            <w:r>
              <w:rPr>
                <w:rStyle w:val="44"/>
                <w:rFonts w:hint="eastAsia" w:ascii="宋体" w:hAnsi="宋体" w:eastAsia="宋体" w:cs="Times New Roman"/>
                <w:szCs w:val="21"/>
                <w:lang w:val="en-US" w:eastAsia="zh-CN"/>
              </w:rPr>
              <w:t>质量缺陷期：12个月</w:t>
            </w:r>
          </w:p>
        </w:tc>
      </w:tr>
    </w:tbl>
    <w:p>
      <w:pPr>
        <w:pStyle w:val="8"/>
        <w:numPr>
          <w:ilvl w:val="0"/>
          <w:numId w:val="5"/>
        </w:numPr>
        <w:tabs>
          <w:tab w:val="left" w:pos="360"/>
          <w:tab w:val="clear" w:pos="425"/>
        </w:tabs>
        <w:spacing w:line="360" w:lineRule="auto"/>
        <w:jc w:val="both"/>
        <w:outlineLvl w:val="1"/>
        <w:rPr>
          <w:rFonts w:hAnsi="宋体" w:cs="黑体"/>
          <w:b/>
          <w:color w:val="auto"/>
        </w:rPr>
      </w:pPr>
      <w:r>
        <w:rPr>
          <w:rFonts w:hint="eastAsia" w:hAnsi="宋体" w:cs="黑体"/>
          <w:b/>
          <w:color w:val="auto"/>
        </w:rPr>
        <w:t>总则</w:t>
      </w:r>
      <w:bookmarkEnd w:id="6"/>
      <w:bookmarkEnd w:id="7"/>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 w:name="_Toc463011253"/>
      <w:bookmarkStart w:id="9" w:name="_Toc462934274"/>
      <w:bookmarkStart w:id="10" w:name="_Toc25531"/>
      <w:bookmarkStart w:id="11" w:name="_Toc428351629"/>
      <w:bookmarkStart w:id="12" w:name="_Toc13394"/>
      <w:bookmarkStart w:id="13" w:name="_Toc428276569"/>
      <w:bookmarkStart w:id="14" w:name="_Toc277149365"/>
      <w:bookmarkStart w:id="15" w:name="_Toc455678100"/>
      <w:bookmarkStart w:id="16" w:name="_Toc454788009"/>
      <w:bookmarkStart w:id="17" w:name="_Toc27089"/>
      <w:r>
        <w:rPr>
          <w:rFonts w:hint="eastAsia" w:hAnsi="宋体" w:cs="黑体"/>
          <w:b/>
          <w:color w:val="auto"/>
          <w:sz w:val="21"/>
          <w:szCs w:val="21"/>
        </w:rPr>
        <w:t>项目概况</w:t>
      </w:r>
      <w:bookmarkEnd w:id="8"/>
      <w:bookmarkEnd w:id="9"/>
      <w:bookmarkEnd w:id="10"/>
      <w:bookmarkEnd w:id="11"/>
      <w:bookmarkEnd w:id="12"/>
      <w:bookmarkEnd w:id="13"/>
      <w:bookmarkEnd w:id="14"/>
      <w:bookmarkEnd w:id="15"/>
      <w:bookmarkEnd w:id="16"/>
      <w:bookmarkEnd w:id="17"/>
    </w:p>
    <w:p>
      <w:pPr>
        <w:wordWrap/>
        <w:topLinePunct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8"/>
        <w:numPr>
          <w:ilvl w:val="2"/>
          <w:numId w:val="5"/>
        </w:numPr>
        <w:tabs>
          <w:tab w:val="left" w:pos="0"/>
          <w:tab w:val="clear" w:pos="1418"/>
        </w:tabs>
        <w:spacing w:line="360" w:lineRule="auto"/>
        <w:ind w:left="420" w:leftChars="200" w:firstLine="0"/>
        <w:rPr>
          <w:rFonts w:hAnsi="宋体" w:cs="黑体"/>
          <w:color w:val="auto"/>
          <w:sz w:val="21"/>
          <w:szCs w:val="21"/>
        </w:rPr>
      </w:pPr>
      <w:r>
        <w:rPr>
          <w:rFonts w:hint="eastAsia" w:hAnsi="宋体" w:cs="黑体"/>
          <w:color w:val="auto"/>
          <w:sz w:val="21"/>
          <w:szCs w:val="21"/>
        </w:rPr>
        <w:t>采购人：《响应人须知前附表》中所述的，依法进行政府采购的国家机关、事业单位、团体组织。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建设地点：见《响应人须知前附表》。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 w:name="_Toc428351630"/>
      <w:bookmarkStart w:id="19" w:name="_Toc428276570"/>
      <w:bookmarkStart w:id="20" w:name="_Toc29176"/>
      <w:bookmarkStart w:id="21" w:name="_Toc454788010"/>
      <w:bookmarkStart w:id="22" w:name="_Toc455678101"/>
      <w:bookmarkStart w:id="23" w:name="_Toc270604804"/>
      <w:bookmarkStart w:id="24" w:name="_Toc463011254"/>
      <w:bookmarkStart w:id="25" w:name="_Toc462934275"/>
      <w:bookmarkStart w:id="26" w:name="_Toc270604577"/>
      <w:bookmarkStart w:id="27" w:name="_Toc19738"/>
      <w:bookmarkStart w:id="28" w:name="_Toc13259"/>
      <w:bookmarkStart w:id="29" w:name="_Toc277149366"/>
      <w:bookmarkStart w:id="30" w:name="_Toc269470296"/>
      <w:r>
        <w:rPr>
          <w:rFonts w:hint="eastAsia" w:hAnsi="宋体" w:cs="黑体"/>
          <w:b/>
          <w:color w:val="auto"/>
          <w:sz w:val="21"/>
          <w:szCs w:val="21"/>
        </w:rPr>
        <w:t>资金来源和落实情况</w:t>
      </w:r>
      <w:bookmarkEnd w:id="18"/>
      <w:bookmarkEnd w:id="19"/>
      <w:bookmarkEnd w:id="20"/>
      <w:bookmarkEnd w:id="21"/>
      <w:bookmarkEnd w:id="22"/>
      <w:bookmarkEnd w:id="23"/>
      <w:bookmarkEnd w:id="24"/>
      <w:bookmarkEnd w:id="25"/>
      <w:bookmarkEnd w:id="26"/>
      <w:bookmarkEnd w:id="27"/>
      <w:bookmarkEnd w:id="28"/>
      <w:bookmarkEnd w:id="29"/>
      <w:bookmarkEnd w:id="3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资金落实情况：见《响应人须知前附表》。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 w:name="_Toc428351631"/>
      <w:bookmarkStart w:id="32" w:name="_Toc269470297"/>
      <w:bookmarkStart w:id="33" w:name="_Toc428276571"/>
      <w:bookmarkStart w:id="34" w:name="_Toc20155"/>
      <w:bookmarkStart w:id="35" w:name="_Toc74"/>
      <w:bookmarkStart w:id="36" w:name="_Toc277149367"/>
      <w:bookmarkStart w:id="37" w:name="_Toc463011255"/>
      <w:bookmarkStart w:id="38" w:name="_Toc270604805"/>
      <w:bookmarkStart w:id="39" w:name="_Toc270604578"/>
      <w:bookmarkStart w:id="40" w:name="_Toc454788011"/>
      <w:bookmarkStart w:id="41" w:name="_Toc462934276"/>
      <w:bookmarkStart w:id="42" w:name="_Toc455678102"/>
      <w:bookmarkStart w:id="43" w:name="_Toc9637"/>
      <w:r>
        <w:rPr>
          <w:rFonts w:hint="eastAsia" w:hAnsi="宋体" w:cs="黑体"/>
          <w:b/>
          <w:color w:val="auto"/>
          <w:sz w:val="21"/>
          <w:szCs w:val="21"/>
        </w:rPr>
        <w:t>采购范围、计划工期和质量</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hAnsi="宋体" w:cs="黑体"/>
          <w:b/>
          <w:color w:val="auto"/>
          <w:sz w:val="21"/>
          <w:szCs w:val="21"/>
        </w:rPr>
        <w:t>标准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计划工期：见《响应人须知前附表》。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质量标准：见《响应人须知前附表》。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 w:name="_Toc270604806"/>
      <w:bookmarkStart w:id="45" w:name="_Toc269470298"/>
      <w:bookmarkStart w:id="46" w:name="_Toc462934277"/>
      <w:bookmarkStart w:id="47" w:name="_Toc270604579"/>
      <w:bookmarkStart w:id="48" w:name="_Toc277149368"/>
      <w:bookmarkStart w:id="49" w:name="_Toc428276572"/>
      <w:bookmarkStart w:id="50" w:name="_Toc6648"/>
      <w:bookmarkStart w:id="51" w:name="_Toc463011256"/>
      <w:bookmarkStart w:id="52" w:name="_Toc11519"/>
      <w:bookmarkStart w:id="53" w:name="_Toc428351632"/>
      <w:bookmarkStart w:id="54" w:name="_Toc454788012"/>
      <w:bookmarkStart w:id="55" w:name="_Toc455678103"/>
      <w:bookmarkStart w:id="56" w:name="_Toc16958"/>
      <w:r>
        <w:rPr>
          <w:rFonts w:hint="eastAsia" w:hAnsi="宋体" w:cs="黑体"/>
          <w:b/>
          <w:color w:val="auto"/>
          <w:sz w:val="21"/>
          <w:szCs w:val="21"/>
        </w:rPr>
        <w:t>响应人资格要求</w:t>
      </w:r>
      <w:bookmarkEnd w:id="44"/>
      <w:bookmarkEnd w:id="45"/>
      <w:bookmarkEnd w:id="46"/>
      <w:bookmarkEnd w:id="47"/>
      <w:bookmarkEnd w:id="48"/>
      <w:bookmarkEnd w:id="49"/>
      <w:bookmarkEnd w:id="50"/>
      <w:bookmarkEnd w:id="51"/>
      <w:bookmarkEnd w:id="52"/>
      <w:bookmarkEnd w:id="53"/>
      <w:bookmarkEnd w:id="54"/>
      <w:bookmarkEnd w:id="55"/>
      <w:bookmarkEnd w:id="56"/>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响应人应具备的资格条件：见《响应人须知前附表》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响应人不得存在下列情形之一：</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bookmarkStart w:id="57" w:name="_Toc455678104"/>
      <w:bookmarkStart w:id="58" w:name="_Toc454788013"/>
      <w:bookmarkStart w:id="59" w:name="_Toc428276573"/>
      <w:bookmarkStart w:id="60" w:name="_Toc270604807"/>
      <w:bookmarkStart w:id="61" w:name="_Toc19948"/>
      <w:bookmarkStart w:id="62" w:name="_Toc28593"/>
      <w:bookmarkStart w:id="63" w:name="_Toc428351633"/>
      <w:bookmarkStart w:id="64" w:name="_Toc462934278"/>
      <w:bookmarkStart w:id="65" w:name="_Toc463011257"/>
      <w:bookmarkStart w:id="66" w:name="_Toc270604580"/>
      <w:bookmarkStart w:id="67" w:name="_Toc277149369"/>
      <w:bookmarkStart w:id="68" w:name="_Toc269470299"/>
      <w:bookmarkStart w:id="69" w:name="_Toc14128"/>
      <w:r>
        <w:rPr>
          <w:rFonts w:hint="eastAsia" w:cs="微软雅黑"/>
          <w:kern w:val="0"/>
        </w:rPr>
        <w:t>与采购人存在利害关系且可能影响磋商公正性；</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与本磋商项目的其他响应人为同一个单位负责人；</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与本磋商项目的其他响应人存在控股、管理关系；</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响应人以他人名义投标、串通投标、以行贿手段牟取中标，或在投标中弄虚作假的；</w:t>
      </w:r>
    </w:p>
    <w:p>
      <w:pPr>
        <w:numPr>
          <w:ilvl w:val="0"/>
          <w:numId w:val="6"/>
        </w:numPr>
        <w:wordWrap/>
        <w:topLinePunct w:val="0"/>
        <w:autoSpaceDE w:val="0"/>
        <w:autoSpaceDN w:val="0"/>
        <w:adjustRightInd w:val="0"/>
        <w:spacing w:line="360" w:lineRule="auto"/>
        <w:ind w:left="0" w:right="40" w:firstLine="420" w:firstLineChars="200"/>
        <w:jc w:val="left"/>
      </w:pPr>
      <w:r>
        <w:rPr>
          <w:rFonts w:hint="eastAsia" w:cs="微软雅黑"/>
          <w:kern w:val="0"/>
        </w:rPr>
        <w:t>法律法规规定的其他情形。</w:t>
      </w:r>
    </w:p>
    <w:bookmarkEnd w:id="57"/>
    <w:bookmarkEnd w:id="58"/>
    <w:bookmarkEnd w:id="59"/>
    <w:bookmarkEnd w:id="60"/>
    <w:bookmarkEnd w:id="61"/>
    <w:bookmarkEnd w:id="62"/>
    <w:bookmarkEnd w:id="63"/>
    <w:bookmarkEnd w:id="64"/>
    <w:bookmarkEnd w:id="65"/>
    <w:bookmarkEnd w:id="66"/>
    <w:bookmarkEnd w:id="67"/>
    <w:bookmarkEnd w:id="68"/>
    <w:bookmarkEnd w:id="69"/>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70" w:name="_Toc32336"/>
      <w:r>
        <w:rPr>
          <w:rFonts w:hint="eastAsia" w:hAnsi="宋体" w:cs="黑体"/>
          <w:b/>
          <w:color w:val="auto"/>
          <w:sz w:val="21"/>
          <w:szCs w:val="21"/>
        </w:rPr>
        <w:t>费用承担</w:t>
      </w:r>
    </w:p>
    <w:p>
      <w:pPr>
        <w:wordWrap/>
        <w:topLinePunct w:val="0"/>
        <w:spacing w:line="360" w:lineRule="auto"/>
        <w:ind w:left="420" w:leftChars="200"/>
      </w:pPr>
      <w:r>
        <w:rPr>
          <w:rFonts w:hint="eastAsia"/>
        </w:rPr>
        <w:t>响应人准备和参加竞争性磋商活动发生的费用自理。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70"/>
    </w:p>
    <w:p>
      <w:pPr>
        <w:wordWrap/>
        <w:topLinePunct w:val="0"/>
        <w:spacing w:line="360" w:lineRule="auto"/>
        <w:ind w:firstLine="420" w:firstLineChars="200"/>
      </w:pPr>
      <w:bookmarkStart w:id="71" w:name="_Toc7606"/>
      <w:bookmarkStart w:id="72" w:name="_Toc463011259"/>
      <w:bookmarkStart w:id="73" w:name="_Toc428276575"/>
      <w:bookmarkStart w:id="74" w:name="_Toc270604582"/>
      <w:bookmarkStart w:id="75" w:name="_Toc270604809"/>
      <w:bookmarkStart w:id="76" w:name="_Toc19438"/>
      <w:bookmarkStart w:id="77" w:name="_Toc277149371"/>
      <w:bookmarkStart w:id="78" w:name="_Toc269470301"/>
      <w:bookmarkStart w:id="79" w:name="_Toc462934280"/>
      <w:bookmarkStart w:id="80" w:name="_Toc454788015"/>
      <w:bookmarkStart w:id="81" w:name="_Toc428351635"/>
      <w:bookmarkStart w:id="82" w:name="_Toc455678106"/>
      <w:r>
        <w:rPr>
          <w:rFonts w:hint="eastAsia"/>
        </w:rPr>
        <w:t>参与竞争性磋商活动的各方应对竞争性磋商文件和响应文件中的商业和技术等秘密保密，否则应承担相应的法律责任。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3" w:name="_Toc25734"/>
      <w:r>
        <w:rPr>
          <w:rFonts w:hint="eastAsia" w:hAnsi="宋体" w:cs="黑体"/>
          <w:b/>
          <w:color w:val="auto"/>
          <w:sz w:val="21"/>
          <w:szCs w:val="21"/>
        </w:rPr>
        <w:t>语言文字</w:t>
      </w:r>
      <w:bookmarkEnd w:id="71"/>
      <w:bookmarkEnd w:id="72"/>
      <w:bookmarkEnd w:id="73"/>
      <w:bookmarkEnd w:id="74"/>
      <w:bookmarkEnd w:id="75"/>
      <w:bookmarkEnd w:id="76"/>
      <w:bookmarkEnd w:id="77"/>
      <w:bookmarkEnd w:id="78"/>
      <w:bookmarkEnd w:id="79"/>
      <w:bookmarkEnd w:id="80"/>
      <w:bookmarkEnd w:id="81"/>
      <w:bookmarkEnd w:id="82"/>
      <w:bookmarkEnd w:id="83"/>
    </w:p>
    <w:p>
      <w:pPr>
        <w:wordWrap/>
        <w:topLinePunct w:val="0"/>
        <w:spacing w:line="360" w:lineRule="auto"/>
        <w:ind w:firstLine="420" w:firstLineChars="200"/>
      </w:pPr>
      <w:bookmarkStart w:id="84" w:name="_Toc269470302"/>
      <w:bookmarkStart w:id="85" w:name="_Toc9894"/>
      <w:bookmarkStart w:id="86" w:name="_Toc428351636"/>
      <w:bookmarkStart w:id="87" w:name="_Toc428276576"/>
      <w:bookmarkStart w:id="88" w:name="_Toc270604583"/>
      <w:bookmarkStart w:id="89" w:name="_Toc270604810"/>
      <w:bookmarkStart w:id="90" w:name="_Toc455678107"/>
      <w:bookmarkStart w:id="91" w:name="_Toc454788016"/>
      <w:bookmarkStart w:id="92" w:name="_Toc462934281"/>
      <w:bookmarkStart w:id="93" w:name="_Toc29299"/>
      <w:bookmarkStart w:id="94" w:name="_Toc277149372"/>
      <w:bookmarkStart w:id="95" w:name="_Toc463011260"/>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6" w:name="_Toc30996"/>
      <w:r>
        <w:rPr>
          <w:rFonts w:hint="eastAsia" w:hAnsi="宋体" w:cs="黑体"/>
          <w:b/>
          <w:color w:val="auto"/>
          <w:sz w:val="21"/>
          <w:szCs w:val="21"/>
        </w:rPr>
        <w:t>计量单位</w:t>
      </w:r>
      <w:bookmarkEnd w:id="84"/>
      <w:bookmarkEnd w:id="85"/>
      <w:bookmarkEnd w:id="86"/>
      <w:bookmarkEnd w:id="87"/>
      <w:bookmarkEnd w:id="88"/>
      <w:bookmarkEnd w:id="89"/>
      <w:bookmarkEnd w:id="90"/>
      <w:bookmarkEnd w:id="91"/>
      <w:bookmarkEnd w:id="92"/>
      <w:bookmarkEnd w:id="93"/>
      <w:bookmarkEnd w:id="94"/>
      <w:bookmarkEnd w:id="95"/>
      <w:bookmarkEnd w:id="96"/>
    </w:p>
    <w:p>
      <w:pPr>
        <w:wordWrap/>
        <w:topLinePunct w:val="0"/>
        <w:spacing w:line="360" w:lineRule="auto"/>
        <w:ind w:left="420" w:leftChars="200"/>
      </w:pPr>
      <w:r>
        <w:rPr>
          <w:rFonts w:hint="eastAsia"/>
        </w:rPr>
        <w:t>所有计量均采用中华人民共和国法定计量标准单位。</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7" w:name="_Toc462934282"/>
      <w:bookmarkStart w:id="98" w:name="_Toc428276577"/>
      <w:bookmarkStart w:id="99" w:name="_Toc454788017"/>
      <w:bookmarkStart w:id="100" w:name="_Toc11248"/>
      <w:bookmarkStart w:id="101" w:name="_Toc455678108"/>
      <w:bookmarkStart w:id="102" w:name="_Toc428351637"/>
      <w:bookmarkStart w:id="103" w:name="_Toc270604584"/>
      <w:bookmarkStart w:id="104" w:name="_Toc7491"/>
      <w:bookmarkStart w:id="105" w:name="_Toc463011261"/>
      <w:bookmarkStart w:id="106" w:name="_Toc269470303"/>
      <w:bookmarkStart w:id="107" w:name="_Toc270604811"/>
      <w:bookmarkStart w:id="108" w:name="_Toc277149373"/>
      <w:bookmarkStart w:id="109" w:name="_Toc14349"/>
      <w:r>
        <w:rPr>
          <w:rFonts w:hint="eastAsia" w:hAnsi="宋体" w:cs="黑体"/>
          <w:b/>
          <w:color w:val="auto"/>
          <w:sz w:val="21"/>
          <w:szCs w:val="21"/>
        </w:rPr>
        <w:t>现场</w:t>
      </w:r>
      <w:bookmarkEnd w:id="97"/>
      <w:bookmarkEnd w:id="98"/>
      <w:bookmarkEnd w:id="99"/>
      <w:bookmarkEnd w:id="100"/>
      <w:bookmarkEnd w:id="101"/>
      <w:bookmarkEnd w:id="102"/>
      <w:bookmarkEnd w:id="103"/>
      <w:bookmarkEnd w:id="104"/>
      <w:bookmarkEnd w:id="105"/>
      <w:bookmarkEnd w:id="106"/>
      <w:bookmarkEnd w:id="107"/>
      <w:bookmarkEnd w:id="108"/>
      <w:r>
        <w:rPr>
          <w:rFonts w:hint="eastAsia" w:hAnsi="宋体" w:cs="黑体"/>
          <w:b/>
          <w:color w:val="auto"/>
          <w:sz w:val="21"/>
          <w:szCs w:val="21"/>
        </w:rPr>
        <w:t>考察</w:t>
      </w:r>
      <w:bookmarkEnd w:id="109"/>
      <w:r>
        <w:rPr>
          <w:rFonts w:hint="eastAsia" w:hAnsi="宋体" w:cs="黑体"/>
          <w:b/>
          <w:color w:val="auto"/>
          <w:sz w:val="21"/>
          <w:szCs w:val="21"/>
        </w:rPr>
        <w:t>或答疑会</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响应人现场考察发生的费用自理。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除采购人的原因外，响应人自行负责在现场考察中所发生的人员伤亡和财产损失。</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采购人在现场考察中介绍的项目场地和相关的周边环境情况，供响应人在编制响应文件时参考，采购人不对响应人据此作出的判断和决策负责。</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10" w:name="_Toc8646"/>
      <w:bookmarkStart w:id="111" w:name="_Toc454788019"/>
      <w:bookmarkStart w:id="112" w:name="_Toc269470305"/>
      <w:bookmarkStart w:id="113" w:name="_Toc463011263"/>
      <w:bookmarkStart w:id="114" w:name="_Toc20135"/>
      <w:bookmarkStart w:id="115" w:name="_Toc428351639"/>
      <w:bookmarkStart w:id="116" w:name="_Toc455678110"/>
      <w:bookmarkStart w:id="117" w:name="_Toc270604586"/>
      <w:bookmarkStart w:id="118" w:name="_Toc24091"/>
      <w:bookmarkStart w:id="119" w:name="_Toc462934284"/>
      <w:bookmarkStart w:id="120" w:name="_Toc277149375"/>
      <w:bookmarkStart w:id="121" w:name="_Toc270604813"/>
      <w:bookmarkStart w:id="122" w:name="_Toc428276579"/>
      <w:r>
        <w:rPr>
          <w:rFonts w:hint="eastAsia" w:hAnsi="宋体" w:cs="黑体"/>
          <w:b/>
          <w:color w:val="auto"/>
          <w:sz w:val="21"/>
          <w:szCs w:val="21"/>
        </w:rPr>
        <w:t>分包</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23" w:name="_Toc10220"/>
      <w:bookmarkStart w:id="124" w:name="_Toc8513"/>
      <w:bookmarkStart w:id="125" w:name="_Toc29688"/>
      <w:bookmarkStart w:id="126" w:name="_Toc454788020"/>
      <w:bookmarkStart w:id="127" w:name="_Toc463011264"/>
      <w:bookmarkStart w:id="128" w:name="_Toc269470306"/>
      <w:bookmarkStart w:id="129" w:name="_Toc428351640"/>
      <w:bookmarkStart w:id="130" w:name="_Toc455678111"/>
      <w:bookmarkStart w:id="131" w:name="_Toc462934285"/>
      <w:bookmarkStart w:id="132" w:name="_Toc277149376"/>
      <w:bookmarkStart w:id="133" w:name="_Toc270604587"/>
      <w:bookmarkStart w:id="134" w:name="_Toc270604814"/>
      <w:bookmarkStart w:id="135" w:name="_Toc428276580"/>
      <w:r>
        <w:rPr>
          <w:rFonts w:hint="eastAsia" w:hAnsi="宋体" w:cs="黑体"/>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23"/>
    <w:bookmarkEnd w:id="124"/>
    <w:bookmarkEnd w:id="125"/>
    <w:bookmarkEnd w:id="126"/>
    <w:bookmarkEnd w:id="127"/>
    <w:bookmarkEnd w:id="128"/>
    <w:bookmarkEnd w:id="129"/>
    <w:bookmarkEnd w:id="130"/>
    <w:bookmarkEnd w:id="131"/>
    <w:bookmarkEnd w:id="132"/>
    <w:bookmarkEnd w:id="133"/>
    <w:bookmarkEnd w:id="134"/>
    <w:bookmarkEnd w:id="13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响应文件应当对竞争性磋商文件的实质性要求和条件作出满足性或更有利于采购人的响应，否则，响应人的响应文件将被否决。实质性要求和条件见《响应人须知前附表》。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响应文件对竞争性磋商文件的全部偏差，均应在响应文件的商务和技术偏差表中列明，除列明的内容外，视为响应人响应竞争性磋商文件的全部要求。</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36" w:name="_Toc23956"/>
      <w:bookmarkStart w:id="137" w:name="_Toc463011265"/>
      <w:bookmarkStart w:id="138" w:name="_Toc462934286"/>
      <w:bookmarkStart w:id="139" w:name="_Toc11809"/>
      <w:bookmarkStart w:id="140" w:name="_Toc455678112"/>
      <w:bookmarkStart w:id="141" w:name="_Toc17145"/>
      <w:r>
        <w:rPr>
          <w:rFonts w:hint="eastAsia" w:hAnsi="宋体" w:cs="黑体"/>
          <w:b/>
          <w:color w:val="auto"/>
          <w:sz w:val="21"/>
          <w:szCs w:val="21"/>
        </w:rPr>
        <w:t>选择性报价方案</w:t>
      </w:r>
      <w:bookmarkEnd w:id="136"/>
      <w:bookmarkEnd w:id="137"/>
      <w:bookmarkEnd w:id="138"/>
      <w:bookmarkEnd w:id="139"/>
      <w:bookmarkEnd w:id="140"/>
      <w:bookmarkEnd w:id="141"/>
    </w:p>
    <w:p>
      <w:pPr>
        <w:tabs>
          <w:tab w:val="left" w:pos="720"/>
          <w:tab w:val="left" w:pos="1320"/>
        </w:tabs>
        <w:snapToGrid w:val="0"/>
        <w:spacing w:line="360" w:lineRule="auto"/>
        <w:ind w:firstLine="420" w:firstLineChars="200"/>
        <w:contextualSpacing/>
      </w:pPr>
      <w:r>
        <w:rPr>
          <w:rFonts w:hint="eastAsia" w:cs="黑体"/>
        </w:rPr>
        <w:t>选择性报价方案：见响应人须知前附表。</w:t>
      </w:r>
    </w:p>
    <w:p>
      <w:pPr>
        <w:pStyle w:val="8"/>
        <w:numPr>
          <w:ilvl w:val="0"/>
          <w:numId w:val="5"/>
        </w:numPr>
        <w:tabs>
          <w:tab w:val="left" w:pos="360"/>
          <w:tab w:val="clear" w:pos="425"/>
        </w:tabs>
        <w:spacing w:line="360" w:lineRule="auto"/>
        <w:jc w:val="both"/>
        <w:outlineLvl w:val="1"/>
        <w:rPr>
          <w:rFonts w:hAnsi="宋体" w:cs="黑体"/>
          <w:b/>
          <w:color w:val="auto"/>
        </w:rPr>
      </w:pPr>
      <w:bookmarkStart w:id="142" w:name="_Toc6260"/>
      <w:bookmarkStart w:id="143" w:name="_Toc5446"/>
      <w:bookmarkStart w:id="144" w:name="_Toc9724"/>
      <w:bookmarkStart w:id="145" w:name="_Toc270604588"/>
      <w:r>
        <w:rPr>
          <w:rFonts w:hint="eastAsia" w:hAnsi="宋体" w:cs="黑体"/>
          <w:b/>
          <w:color w:val="auto"/>
        </w:rPr>
        <w:t>竞争性磋商文件</w:t>
      </w:r>
      <w:bookmarkEnd w:id="142"/>
      <w:bookmarkEnd w:id="143"/>
      <w:bookmarkEnd w:id="144"/>
      <w:bookmarkEnd w:id="1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46" w:name="_Toc462934288"/>
      <w:bookmarkStart w:id="147" w:name="_Toc454788022"/>
      <w:bookmarkStart w:id="148" w:name="_Toc270604589"/>
      <w:bookmarkStart w:id="149" w:name="_Toc270604816"/>
      <w:bookmarkStart w:id="150" w:name="_Toc428351642"/>
      <w:bookmarkStart w:id="151" w:name="_Toc428276582"/>
      <w:bookmarkStart w:id="152" w:name="_Toc19729"/>
      <w:bookmarkStart w:id="153" w:name="_Toc463011267"/>
      <w:bookmarkStart w:id="154" w:name="_Toc277149378"/>
      <w:bookmarkStart w:id="155" w:name="_Toc269470308"/>
      <w:bookmarkStart w:id="156" w:name="_Toc10962"/>
      <w:bookmarkStart w:id="157" w:name="_Toc27664"/>
      <w:bookmarkStart w:id="158" w:name="_Toc455678114"/>
      <w:r>
        <w:rPr>
          <w:rFonts w:hint="eastAsia" w:hAnsi="宋体" w:cs="黑体"/>
          <w:b/>
          <w:color w:val="auto"/>
          <w:sz w:val="21"/>
          <w:szCs w:val="21"/>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本竞争性磋商文件包括：</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竞争性磋商公告</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响应人须知</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评审办法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合同</w:t>
      </w:r>
    </w:p>
    <w:p>
      <w:pPr>
        <w:numPr>
          <w:ilvl w:val="0"/>
          <w:numId w:val="7"/>
        </w:numPr>
        <w:wordWrap/>
        <w:topLinePunct w:val="0"/>
        <w:autoSpaceDE w:val="0"/>
        <w:autoSpaceDN w:val="0"/>
        <w:adjustRightInd w:val="0"/>
        <w:spacing w:line="360" w:lineRule="auto"/>
        <w:ind w:left="987" w:leftChars="200" w:right="40" w:hanging="567"/>
        <w:jc w:val="left"/>
      </w:pPr>
      <w:r>
        <w:rPr>
          <w:rFonts w:hint="eastAsia" w:cs="微软雅黑"/>
          <w:kern w:val="0"/>
        </w:rPr>
        <w:t>工程量清单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图纸</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技术标准和要求</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磋商响应文件格式</w:t>
      </w:r>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根据本章第</w:t>
      </w:r>
      <w:r>
        <w:rPr>
          <w:rFonts w:cs="TimesNewRomanPSMT"/>
          <w:kern w:val="0"/>
        </w:rPr>
        <w:t>1.</w:t>
      </w:r>
      <w:r>
        <w:rPr>
          <w:rFonts w:hint="eastAsia" w:cs="TimesNewRomanPSMT"/>
          <w:kern w:val="0"/>
        </w:rPr>
        <w:t>9</w:t>
      </w:r>
      <w:r>
        <w:rPr>
          <w:rFonts w:hint="eastAsia" w:cs="FangSong_GB2312"/>
          <w:kern w:val="0"/>
        </w:rPr>
        <w:t>款、第</w:t>
      </w:r>
      <w:r>
        <w:rPr>
          <w:rFonts w:cs="TimesNewRomanPSMT"/>
          <w:kern w:val="0"/>
        </w:rPr>
        <w:t xml:space="preserve">2.2 </w:t>
      </w:r>
      <w:r>
        <w:rPr>
          <w:rFonts w:hint="eastAsia" w:cs="FangSong_GB2312"/>
          <w:kern w:val="0"/>
        </w:rPr>
        <w:t>款和第</w:t>
      </w:r>
      <w:r>
        <w:rPr>
          <w:rFonts w:cs="TimesNewRomanPSMT"/>
          <w:kern w:val="0"/>
        </w:rPr>
        <w:t xml:space="preserve">2.3 </w:t>
      </w:r>
      <w:r>
        <w:rPr>
          <w:rFonts w:hint="eastAsia" w:cs="FangSong_GB2312"/>
          <w:kern w:val="0"/>
        </w:rPr>
        <w:t>款对竞争性磋商文件所作的澄清、修改，构成竞争性磋商文件的组成部分。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59" w:name="_Toc269470309"/>
      <w:bookmarkStart w:id="160" w:name="_Toc462934289"/>
      <w:bookmarkStart w:id="161" w:name="_Toc270604590"/>
      <w:bookmarkStart w:id="162" w:name="_Toc455678115"/>
      <w:bookmarkStart w:id="163" w:name="_Toc13094"/>
      <w:bookmarkStart w:id="164" w:name="_Toc454788023"/>
      <w:bookmarkStart w:id="165" w:name="_Toc463011268"/>
      <w:bookmarkStart w:id="166" w:name="_Toc11511"/>
      <w:bookmarkStart w:id="167" w:name="_Toc428351643"/>
      <w:bookmarkStart w:id="168" w:name="_Toc428276583"/>
      <w:bookmarkStart w:id="169" w:name="_Toc270604817"/>
      <w:bookmarkStart w:id="170" w:name="_Toc5047"/>
      <w:bookmarkStart w:id="171" w:name="_Toc277149379"/>
      <w:r>
        <w:rPr>
          <w:rFonts w:hint="eastAsia" w:hAnsi="宋体" w:cs="黑体"/>
          <w:b/>
          <w:color w:val="auto"/>
          <w:sz w:val="21"/>
          <w:szCs w:val="21"/>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72" w:name="_Toc428351644"/>
      <w:bookmarkStart w:id="173" w:name="_Toc455678116"/>
      <w:bookmarkStart w:id="174" w:name="_Toc270604591"/>
      <w:bookmarkStart w:id="175" w:name="_Toc463011269"/>
      <w:bookmarkStart w:id="176" w:name="_Toc270604818"/>
      <w:bookmarkStart w:id="177" w:name="_Toc277149380"/>
      <w:bookmarkStart w:id="178" w:name="_Toc269470310"/>
      <w:bookmarkStart w:id="179" w:name="_Toc400"/>
      <w:bookmarkStart w:id="180" w:name="_Toc428276584"/>
      <w:bookmarkStart w:id="181" w:name="_Toc20316"/>
      <w:bookmarkStart w:id="182" w:name="_Toc462934290"/>
      <w:bookmarkStart w:id="183" w:name="_Toc454788024"/>
      <w:r>
        <w:rPr>
          <w:rFonts w:hint="eastAsia" w:hAnsi="宋体" w:cs="黑体"/>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4" w:name="_Toc5535"/>
      <w:r>
        <w:rPr>
          <w:rFonts w:hint="eastAsia" w:hAnsi="宋体" w:cs="黑体"/>
          <w:b/>
          <w:color w:val="auto"/>
          <w:sz w:val="21"/>
          <w:szCs w:val="21"/>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85" w:name="_Toc12045"/>
      <w:bookmarkStart w:id="186" w:name="_Toc270604592"/>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8"/>
        <w:numPr>
          <w:ilvl w:val="0"/>
          <w:numId w:val="5"/>
        </w:numPr>
        <w:tabs>
          <w:tab w:val="left" w:pos="360"/>
          <w:tab w:val="clear" w:pos="425"/>
        </w:tabs>
        <w:spacing w:line="360" w:lineRule="auto"/>
        <w:jc w:val="both"/>
        <w:outlineLvl w:val="1"/>
        <w:rPr>
          <w:rFonts w:hAnsi="宋体" w:cs="黑体"/>
          <w:b/>
          <w:color w:val="auto"/>
        </w:rPr>
      </w:pPr>
      <w:bookmarkStart w:id="187" w:name="_Toc28297"/>
      <w:bookmarkStart w:id="188" w:name="_Toc9050"/>
      <w:r>
        <w:rPr>
          <w:rFonts w:hint="eastAsia" w:hAnsi="宋体" w:cs="黑体"/>
          <w:b/>
          <w:color w:val="auto"/>
        </w:rPr>
        <w:t>磋商响应文件</w:t>
      </w:r>
      <w:bookmarkEnd w:id="185"/>
      <w:bookmarkEnd w:id="186"/>
      <w:r>
        <w:rPr>
          <w:rFonts w:hint="eastAsia" w:hAnsi="宋体" w:cs="黑体"/>
          <w:b/>
          <w:color w:val="auto"/>
        </w:rPr>
        <w:t>编写</w:t>
      </w:r>
      <w:bookmarkEnd w:id="187"/>
      <w:bookmarkEnd w:id="1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9" w:name="_Toc277149382"/>
      <w:bookmarkStart w:id="190" w:name="_Toc428351646"/>
      <w:bookmarkStart w:id="191" w:name="_Toc454788026"/>
      <w:bookmarkStart w:id="192" w:name="_Toc428276586"/>
      <w:bookmarkStart w:id="193" w:name="_Toc270604820"/>
      <w:bookmarkStart w:id="194" w:name="_Toc270604593"/>
      <w:bookmarkStart w:id="195" w:name="_Toc26455"/>
      <w:bookmarkStart w:id="196" w:name="_Toc462934292"/>
      <w:bookmarkStart w:id="197" w:name="_Toc463011271"/>
      <w:bookmarkStart w:id="198" w:name="_Toc455678118"/>
      <w:bookmarkStart w:id="199" w:name="_Toc20143"/>
      <w:bookmarkStart w:id="200" w:name="_Toc12181"/>
      <w:bookmarkStart w:id="201" w:name="_Toc269470312"/>
      <w:r>
        <w:rPr>
          <w:rFonts w:hint="eastAsia" w:hAnsi="宋体" w:cs="黑体"/>
          <w:b/>
          <w:color w:val="auto"/>
          <w:sz w:val="21"/>
          <w:szCs w:val="21"/>
        </w:rPr>
        <w:t>磋商响应文件的组成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8"/>
        <w:numPr>
          <w:ilvl w:val="0"/>
          <w:numId w:val="0"/>
        </w:numPr>
        <w:snapToGrid w:val="0"/>
        <w:spacing w:line="360" w:lineRule="auto"/>
        <w:ind w:left="540"/>
        <w:contextualSpacing/>
        <w:jc w:val="both"/>
        <w:rPr>
          <w:rFonts w:hAnsi="宋体" w:cs="黑体"/>
          <w:color w:val="auto"/>
          <w:sz w:val="21"/>
          <w:szCs w:val="21"/>
        </w:rPr>
      </w:pPr>
      <w:r>
        <w:rPr>
          <w:rFonts w:hint="eastAsia" w:hAnsi="宋体" w:cs="黑体"/>
          <w:color w:val="auto"/>
          <w:sz w:val="21"/>
          <w:szCs w:val="21"/>
        </w:rPr>
        <w:t>磋商响应文件应包括下列内容：</w:t>
      </w:r>
    </w:p>
    <w:p>
      <w:pPr>
        <w:wordWrap/>
        <w:topLinePunct w:val="0"/>
        <w:autoSpaceDE w:val="0"/>
        <w:autoSpaceDN w:val="0"/>
        <w:adjustRightInd w:val="0"/>
        <w:spacing w:line="360" w:lineRule="auto"/>
        <w:ind w:right="40" w:firstLine="420" w:firstLineChars="200"/>
        <w:jc w:val="left"/>
        <w:rPr>
          <w:rFonts w:cs="微软雅黑"/>
          <w:kern w:val="0"/>
        </w:rPr>
      </w:pPr>
      <w:bookmarkStart w:id="202" w:name="_Toc455678119"/>
      <w:bookmarkStart w:id="203" w:name="_Toc463011272"/>
      <w:bookmarkStart w:id="204" w:name="_Toc4803"/>
      <w:bookmarkStart w:id="205" w:name="_Toc21496"/>
      <w:bookmarkStart w:id="206" w:name="_Toc22898"/>
      <w:bookmarkStart w:id="207" w:name="_Toc462934293"/>
      <w:bookmarkStart w:id="208" w:name="_Toc270604595"/>
      <w:bookmarkStart w:id="209" w:name="_Toc277149384"/>
      <w:bookmarkStart w:id="210" w:name="_Toc269470314"/>
      <w:bookmarkStart w:id="211" w:name="_Toc270604822"/>
      <w:r>
        <w:rPr>
          <w:rFonts w:hint="eastAsia"/>
        </w:rPr>
        <w:t>（1）</w:t>
      </w:r>
      <w:r>
        <w:rPr>
          <w:rFonts w:hint="eastAsia" w:cs="微软雅黑"/>
          <w:kern w:val="0"/>
        </w:rPr>
        <w:t>报价函及报价函附录</w:t>
      </w:r>
    </w:p>
    <w:p>
      <w:pPr>
        <w:wordWrap/>
        <w:topLinePunct w:val="0"/>
        <w:spacing w:line="360" w:lineRule="auto"/>
        <w:ind w:firstLine="420" w:firstLineChars="200"/>
      </w:pPr>
      <w:r>
        <w:rPr>
          <w:rFonts w:hint="eastAsia"/>
        </w:rPr>
        <w:t>（2）法定代表人身份证明</w:t>
      </w:r>
      <w:r>
        <w:rPr>
          <w:rFonts w:hint="eastAsia" w:cs="微软雅黑"/>
          <w:kern w:val="0"/>
        </w:rPr>
        <w:t>或授权委托书</w:t>
      </w:r>
    </w:p>
    <w:p>
      <w:pPr>
        <w:wordWrap/>
        <w:topLinePunct w:val="0"/>
        <w:spacing w:line="360" w:lineRule="auto"/>
        <w:ind w:firstLine="420" w:firstLineChars="200"/>
      </w:pPr>
      <w:r>
        <w:rPr>
          <w:rFonts w:hint="eastAsia"/>
        </w:rPr>
        <w:t>（3）响应人资格审查资料</w:t>
      </w:r>
    </w:p>
    <w:p>
      <w:pPr>
        <w:wordWrap/>
        <w:topLinePunct w:val="0"/>
        <w:spacing w:line="360" w:lineRule="auto"/>
        <w:ind w:firstLine="420" w:firstLineChars="200"/>
      </w:pPr>
      <w:r>
        <w:rPr>
          <w:rFonts w:hint="eastAsia"/>
        </w:rPr>
        <w:t>（4）已标价工程量清单</w:t>
      </w:r>
    </w:p>
    <w:p>
      <w:pPr>
        <w:wordWrap/>
        <w:topLinePunct w:val="0"/>
        <w:spacing w:line="360" w:lineRule="auto"/>
        <w:ind w:firstLine="420" w:firstLineChars="200"/>
      </w:pPr>
      <w:r>
        <w:rPr>
          <w:rFonts w:hint="eastAsia"/>
        </w:rPr>
        <w:t>（5）施工组织设计</w:t>
      </w:r>
    </w:p>
    <w:p>
      <w:pPr>
        <w:wordWrap/>
        <w:topLinePunct w:val="0"/>
        <w:spacing w:line="360" w:lineRule="auto"/>
        <w:ind w:firstLine="420" w:firstLineChars="200"/>
      </w:pPr>
      <w:r>
        <w:rPr>
          <w:rFonts w:hint="eastAsia"/>
        </w:rPr>
        <w:t>（6）项目管理机构</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7</w:t>
      </w:r>
      <w:r>
        <w:rPr>
          <w:rFonts w:hint="eastAsia"/>
        </w:rPr>
        <w:t>）</w:t>
      </w:r>
      <w:r>
        <w:rPr>
          <w:rFonts w:hint="eastAsia" w:cs="微软雅黑"/>
          <w:kern w:val="0"/>
        </w:rPr>
        <w:t>服务承诺</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8</w:t>
      </w:r>
      <w:r>
        <w:rPr>
          <w:rFonts w:hint="eastAsia"/>
        </w:rPr>
        <w:t>）</w:t>
      </w:r>
      <w:r>
        <w:rPr>
          <w:rFonts w:hint="eastAsia" w:cs="微软雅黑"/>
          <w:kern w:val="0"/>
        </w:rPr>
        <w:t>反商业贿赂承诺书</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9</w:t>
      </w:r>
      <w:r>
        <w:rPr>
          <w:rFonts w:hint="eastAsia"/>
        </w:rPr>
        <w:t>）</w:t>
      </w:r>
      <w:r>
        <w:rPr>
          <w:rFonts w:hint="eastAsia" w:cs="微软雅黑"/>
          <w:kern w:val="0"/>
        </w:rPr>
        <w:t>中小企业声明函</w:t>
      </w:r>
    </w:p>
    <w:p>
      <w:pPr>
        <w:wordWrap/>
        <w:topLinePunct w:val="0"/>
        <w:autoSpaceDE w:val="0"/>
        <w:autoSpaceDN w:val="0"/>
        <w:adjustRightInd w:val="0"/>
        <w:spacing w:line="360" w:lineRule="auto"/>
        <w:ind w:right="40" w:firstLine="420" w:firstLineChars="200"/>
        <w:jc w:val="left"/>
      </w:pPr>
      <w:r>
        <w:rPr>
          <w:rFonts w:hint="eastAsia" w:cs="微软雅黑"/>
          <w:kern w:val="0"/>
        </w:rPr>
        <w:t>（1</w:t>
      </w:r>
      <w:r>
        <w:rPr>
          <w:rFonts w:hint="eastAsia" w:cs="微软雅黑"/>
          <w:kern w:val="0"/>
          <w:lang w:val="en-US" w:eastAsia="zh-CN"/>
        </w:rPr>
        <w:t>0</w:t>
      </w:r>
      <w:r>
        <w:rPr>
          <w:rFonts w:hint="eastAsia" w:cs="微软雅黑"/>
          <w:kern w:val="0"/>
        </w:rPr>
        <w:t>）残疾人福利性单位声明函</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（1</w:t>
      </w:r>
      <w:r>
        <w:rPr>
          <w:rFonts w:hint="eastAsia"/>
          <w:lang w:val="en-US" w:eastAsia="zh-CN"/>
        </w:rPr>
        <w:t>1</w:t>
      </w:r>
      <w:r>
        <w:rPr>
          <w:rFonts w:hint="eastAsia"/>
        </w:rPr>
        <w:t>）</w:t>
      </w:r>
      <w:r>
        <w:rPr>
          <w:rFonts w:hint="eastAsia" w:cs="微软雅黑"/>
          <w:kern w:val="0"/>
        </w:rPr>
        <w:t>其他资料</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磋商价格构成及报价要求</w:t>
      </w:r>
      <w:bookmarkEnd w:id="202"/>
      <w:bookmarkEnd w:id="203"/>
      <w:bookmarkEnd w:id="204"/>
      <w:bookmarkEnd w:id="205"/>
      <w:bookmarkEnd w:id="206"/>
      <w:bookmarkEnd w:id="20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212" w:name="_Toc454788028"/>
      <w:bookmarkStart w:id="213" w:name="_Toc9193"/>
      <w:bookmarkStart w:id="214" w:name="_Toc17969"/>
      <w:bookmarkStart w:id="215" w:name="_Toc428351648"/>
      <w:bookmarkStart w:id="216" w:name="_Toc428276588"/>
      <w:bookmarkStart w:id="217" w:name="_Toc462934294"/>
      <w:bookmarkStart w:id="218" w:name="_Toc463011273"/>
      <w:bookmarkStart w:id="219" w:name="_Toc455678120"/>
      <w:bookmarkStart w:id="220" w:name="_Toc58"/>
      <w:r>
        <w:rPr>
          <w:rFonts w:hint="eastAsia" w:hAnsi="宋体" w:cs="黑体"/>
          <w:color w:val="auto"/>
          <w:sz w:val="21"/>
          <w:szCs w:val="21"/>
        </w:rPr>
        <w:t>响应人应按第五章“工程量清单”的要求编制“已标价工程量清单”。</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采购人设有最高采购限价的，响应人的报价不得超过最高采购限价，最高采购限价或其计算方法在响应人须知前附表中载明。</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磋商报价应包括施工设备、劳务、管理、材料、维护、利润、税金、政策性文件规定及合同中包含的风险、责任以及投标人认为与工程有关的其他费用。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报，第二次报价（不得高于一次报价）即为最终报价。</w:t>
      </w:r>
    </w:p>
    <w:p>
      <w:pPr>
        <w:rPr>
          <w:rFonts w:hint="eastAsia" w:eastAsia="宋体"/>
          <w:lang w:val="en-US" w:eastAsia="zh-CN"/>
        </w:rPr>
      </w:pPr>
      <w:r>
        <w:rPr>
          <w:rFonts w:hint="eastAsia" w:cs="黑体"/>
          <w:b/>
          <w:bCs/>
          <w:color w:val="auto"/>
          <w:sz w:val="24"/>
          <w:szCs w:val="24"/>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磋商有效期见《响应人须知前附表》，从提交首次响应文件的截止之日起算。</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在磋商有效期内，响应人撤销响应文件的，应承担竞争性磋商文件和法律规定的责任。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1" w:name="_Toc23856"/>
      <w:bookmarkStart w:id="222" w:name="_Toc428276589"/>
      <w:bookmarkStart w:id="223" w:name="_Toc463011274"/>
      <w:bookmarkStart w:id="224" w:name="_Toc428351649"/>
      <w:bookmarkStart w:id="225" w:name="_Toc25039"/>
      <w:bookmarkStart w:id="226" w:name="_Toc455678121"/>
      <w:bookmarkStart w:id="227" w:name="_Toc454788029"/>
      <w:bookmarkStart w:id="228" w:name="_Toc15074"/>
      <w:bookmarkStart w:id="229" w:name="_Toc462934295"/>
      <w:r>
        <w:rPr>
          <w:rFonts w:hint="eastAsia" w:hAnsi="宋体" w:cs="黑体"/>
          <w:b/>
          <w:color w:val="auto"/>
          <w:sz w:val="21"/>
          <w:szCs w:val="21"/>
        </w:rPr>
        <w:t>磋商保证金</w:t>
      </w:r>
      <w:bookmarkEnd w:id="221"/>
      <w:bookmarkEnd w:id="222"/>
      <w:bookmarkEnd w:id="223"/>
      <w:bookmarkEnd w:id="224"/>
      <w:bookmarkEnd w:id="225"/>
      <w:bookmarkEnd w:id="226"/>
      <w:bookmarkEnd w:id="227"/>
      <w:bookmarkEnd w:id="228"/>
      <w:bookmarkEnd w:id="229"/>
    </w:p>
    <w:p>
      <w:pPr>
        <w:pStyle w:val="8"/>
        <w:numPr>
          <w:ilvl w:val="0"/>
          <w:numId w:val="0"/>
        </w:numPr>
        <w:tabs>
          <w:tab w:val="left" w:pos="425"/>
          <w:tab w:val="left" w:pos="540"/>
        </w:tabs>
        <w:spacing w:line="360" w:lineRule="auto"/>
        <w:ind w:left="540"/>
        <w:jc w:val="both"/>
        <w:outlineLvl w:val="1"/>
        <w:rPr>
          <w:rFonts w:hAnsi="宋体" w:cs="黑体"/>
          <w:b/>
          <w:color w:val="auto"/>
          <w:sz w:val="21"/>
          <w:szCs w:val="21"/>
        </w:rPr>
      </w:pPr>
      <w:r>
        <w:rPr>
          <w:rFonts w:hint="eastAsia" w:hAnsi="宋体" w:cs="黑体"/>
          <w:b/>
          <w:color w:val="auto"/>
          <w:sz w:val="21"/>
          <w:szCs w:val="21"/>
        </w:rPr>
        <w:t>本项目不缴纳磋商保证金</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30" w:name="_Toc428351650"/>
      <w:bookmarkStart w:id="231" w:name="_Toc455678122"/>
      <w:bookmarkStart w:id="232" w:name="_Toc270604596"/>
      <w:bookmarkStart w:id="233" w:name="_Toc4446"/>
      <w:bookmarkStart w:id="234" w:name="_Toc269470318"/>
      <w:bookmarkStart w:id="235" w:name="_Toc7919"/>
      <w:bookmarkStart w:id="236" w:name="_Toc428276590"/>
      <w:bookmarkStart w:id="237" w:name="_Toc462934296"/>
      <w:bookmarkStart w:id="238" w:name="_Toc270604823"/>
      <w:bookmarkStart w:id="239" w:name="_Toc277149385"/>
      <w:bookmarkStart w:id="240" w:name="_Toc32308"/>
      <w:bookmarkStart w:id="241" w:name="_Toc463011275"/>
      <w:bookmarkStart w:id="242" w:name="_Toc454788030"/>
      <w:r>
        <w:rPr>
          <w:rFonts w:hint="eastAsia" w:hAnsi="宋体" w:cs="黑体"/>
          <w:b/>
          <w:color w:val="auto"/>
          <w:sz w:val="21"/>
          <w:szCs w:val="21"/>
        </w:rPr>
        <w:t>磋商响应文件的编制</w:t>
      </w:r>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磋商响应文件应当对竞争性磋商文件有关磋商报价、计划工期、磋商有效期、质量标准等实质性内容作出响应。</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pPr>
        <w:pStyle w:val="8"/>
        <w:numPr>
          <w:ilvl w:val="0"/>
          <w:numId w:val="5"/>
        </w:numPr>
        <w:tabs>
          <w:tab w:val="left" w:pos="360"/>
          <w:tab w:val="clear" w:pos="425"/>
        </w:tabs>
        <w:spacing w:line="360" w:lineRule="auto"/>
        <w:jc w:val="both"/>
        <w:outlineLvl w:val="1"/>
        <w:rPr>
          <w:rFonts w:hAnsi="宋体" w:cs="黑体"/>
          <w:b/>
          <w:color w:val="auto"/>
        </w:rPr>
      </w:pPr>
      <w:bookmarkStart w:id="243" w:name="_Toc13452"/>
      <w:bookmarkStart w:id="244" w:name="_Toc12187"/>
      <w:bookmarkStart w:id="245" w:name="_Toc6530"/>
      <w:r>
        <w:rPr>
          <w:rFonts w:hint="eastAsia" w:hAnsi="宋体" w:cs="黑体"/>
          <w:b/>
          <w:color w:val="auto"/>
        </w:rPr>
        <w:t>响应文件的递交</w:t>
      </w:r>
      <w:bookmarkEnd w:id="243"/>
      <w:bookmarkEnd w:id="244"/>
      <w:bookmarkEnd w:id="2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46" w:name="_Toc454788032"/>
      <w:bookmarkStart w:id="247" w:name="_Toc462934298"/>
      <w:bookmarkStart w:id="248" w:name="_Toc463011277"/>
      <w:bookmarkStart w:id="249" w:name="_Toc428351652"/>
      <w:bookmarkStart w:id="250" w:name="_Toc31608"/>
      <w:bookmarkStart w:id="251" w:name="_Toc455678124"/>
      <w:bookmarkStart w:id="252" w:name="_Toc277149387"/>
      <w:bookmarkStart w:id="253" w:name="_Toc269470320"/>
      <w:bookmarkStart w:id="254" w:name="_Toc27477"/>
      <w:bookmarkStart w:id="255" w:name="_Toc428276592"/>
      <w:bookmarkStart w:id="256" w:name="_Toc270604598"/>
      <w:bookmarkStart w:id="257" w:name="_Toc270604825"/>
      <w:bookmarkStart w:id="258" w:name="_Toc21528"/>
      <w:r>
        <w:rPr>
          <w:rFonts w:hint="eastAsia" w:hAnsi="宋体" w:cs="黑体"/>
          <w:b/>
          <w:color w:val="auto"/>
          <w:sz w:val="21"/>
          <w:szCs w:val="21"/>
        </w:rPr>
        <w:t>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8"/>
        <w:numPr>
          <w:ilvl w:val="1"/>
          <w:numId w:val="0"/>
        </w:numPr>
        <w:tabs>
          <w:tab w:val="left" w:pos="0"/>
        </w:tabs>
        <w:spacing w:line="360" w:lineRule="auto"/>
        <w:ind w:left="420" w:leftChars="200"/>
        <w:jc w:val="both"/>
        <w:rPr>
          <w:rFonts w:hAnsi="宋体"/>
          <w:color w:val="auto"/>
          <w:szCs w:val="21"/>
        </w:rPr>
      </w:pPr>
      <w:r>
        <w:rPr>
          <w:rFonts w:hint="eastAsia" w:hAnsi="宋体" w:cs="黑体"/>
          <w:color w:val="auto"/>
          <w:sz w:val="21"/>
          <w:szCs w:val="21"/>
        </w:rPr>
        <w:t>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59" w:name="_Toc269470321"/>
      <w:bookmarkStart w:id="260" w:name="_Toc428276593"/>
      <w:bookmarkStart w:id="261" w:name="_Toc463011278"/>
      <w:bookmarkStart w:id="262" w:name="_Toc270604826"/>
      <w:bookmarkStart w:id="263" w:name="_Toc462934299"/>
      <w:bookmarkStart w:id="264" w:name="_Toc29167"/>
      <w:bookmarkStart w:id="265" w:name="_Toc270604599"/>
      <w:bookmarkStart w:id="266" w:name="_Toc277149388"/>
      <w:bookmarkStart w:id="267" w:name="_Toc5938"/>
      <w:bookmarkStart w:id="268" w:name="_Toc455678125"/>
      <w:bookmarkStart w:id="269" w:name="_Toc454788033"/>
      <w:bookmarkStart w:id="270" w:name="_Toc20197"/>
      <w:bookmarkStart w:id="271" w:name="_Toc428351653"/>
      <w:r>
        <w:rPr>
          <w:rFonts w:hint="eastAsia" w:hAnsi="宋体" w:cs="黑体"/>
          <w:b/>
          <w:color w:val="auto"/>
          <w:sz w:val="21"/>
          <w:szCs w:val="21"/>
        </w:rPr>
        <w:t>磋商响应文件的递交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响应人应在《响应人须知前附表》规定的提交首次响应文件截止时间前递交响应文件。</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响应人递交响应文件的地点：见《响应人须知前附表》。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除《响应人须知前附表》另有规定外响应人所递交的响应文件不予退还。</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72" w:name="_Toc269470322"/>
      <w:bookmarkStart w:id="273" w:name="_Toc27108"/>
      <w:bookmarkStart w:id="274" w:name="_Toc29096"/>
      <w:bookmarkStart w:id="275" w:name="_Toc270604827"/>
      <w:bookmarkStart w:id="276" w:name="_Toc462934300"/>
      <w:bookmarkStart w:id="277" w:name="_Toc428276594"/>
      <w:bookmarkStart w:id="278" w:name="_Toc26556"/>
      <w:bookmarkStart w:id="279" w:name="_Toc463011279"/>
      <w:bookmarkStart w:id="280" w:name="_Toc455678126"/>
      <w:bookmarkStart w:id="281" w:name="_Toc277149389"/>
      <w:bookmarkStart w:id="282" w:name="_Toc454788034"/>
      <w:bookmarkStart w:id="283" w:name="_Toc270604600"/>
      <w:bookmarkStart w:id="284" w:name="_Toc428351654"/>
      <w:r>
        <w:rPr>
          <w:rFonts w:hint="eastAsia" w:hAnsi="宋体" w:cs="黑体"/>
          <w:b/>
          <w:color w:val="auto"/>
          <w:sz w:val="21"/>
          <w:szCs w:val="21"/>
        </w:rPr>
        <w:t>磋商响应文件的补充、修改与撤回</w:t>
      </w:r>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在本章第4.2.1项规定的递交首次磋商截止时间前，响应人可以补充、修改或撤回已递交的磋商响应文件。</w:t>
      </w:r>
    </w:p>
    <w:p>
      <w:pPr>
        <w:pStyle w:val="8"/>
        <w:numPr>
          <w:ilvl w:val="0"/>
          <w:numId w:val="5"/>
        </w:numPr>
        <w:tabs>
          <w:tab w:val="left" w:pos="360"/>
          <w:tab w:val="clear" w:pos="425"/>
        </w:tabs>
        <w:spacing w:line="360" w:lineRule="auto"/>
        <w:jc w:val="both"/>
        <w:outlineLvl w:val="1"/>
        <w:rPr>
          <w:rFonts w:hAnsi="宋体" w:cs="黑体"/>
          <w:b/>
          <w:color w:val="auto"/>
        </w:rPr>
      </w:pPr>
      <w:bookmarkStart w:id="285" w:name="_Toc270604601"/>
      <w:bookmarkStart w:id="286" w:name="_Toc20799"/>
      <w:bookmarkStart w:id="287" w:name="_Toc5800"/>
      <w:bookmarkStart w:id="288" w:name="_Toc5513"/>
      <w:r>
        <w:rPr>
          <w:rFonts w:hint="eastAsia" w:hAnsi="宋体" w:cs="黑体"/>
          <w:b/>
          <w:color w:val="auto"/>
        </w:rPr>
        <w:t>竞争性</w:t>
      </w:r>
      <w:bookmarkEnd w:id="285"/>
      <w:r>
        <w:rPr>
          <w:rFonts w:hint="eastAsia" w:hAnsi="宋体" w:cs="黑体"/>
          <w:b/>
          <w:color w:val="auto"/>
        </w:rPr>
        <w:t>磋商</w:t>
      </w:r>
      <w:bookmarkEnd w:id="286"/>
      <w:bookmarkEnd w:id="287"/>
      <w:bookmarkEnd w:id="2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89" w:name="_Toc455678128"/>
      <w:bookmarkStart w:id="290" w:name="_Toc463011281"/>
      <w:bookmarkStart w:id="291" w:name="_Toc270604602"/>
      <w:bookmarkStart w:id="292" w:name="_Toc428276596"/>
      <w:bookmarkStart w:id="293" w:name="_Toc454788036"/>
      <w:bookmarkStart w:id="294" w:name="_Toc428351656"/>
      <w:bookmarkStart w:id="295" w:name="_Toc462934302"/>
      <w:bookmarkStart w:id="296" w:name="_Toc10079"/>
      <w:bookmarkStart w:id="297" w:name="_Toc27501"/>
      <w:bookmarkStart w:id="298" w:name="_Toc269470324"/>
      <w:bookmarkStart w:id="299" w:name="_Toc29475"/>
      <w:bookmarkStart w:id="300" w:name="_Toc270604829"/>
      <w:bookmarkStart w:id="301" w:name="_Toc277149391"/>
      <w:r>
        <w:rPr>
          <w:rFonts w:hint="eastAsia" w:hAnsi="宋体" w:cs="黑体"/>
          <w:b/>
          <w:color w:val="auto"/>
          <w:sz w:val="21"/>
          <w:szCs w:val="21"/>
        </w:rPr>
        <w:t>开启时间和地点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采购人在本章第</w:t>
      </w:r>
      <w:r>
        <w:rPr>
          <w:rFonts w:cs="TimesNewRomanPSMT"/>
          <w:kern w:val="0"/>
        </w:rPr>
        <w:t>4.2.1</w:t>
      </w:r>
      <w:r>
        <w:rPr>
          <w:rFonts w:hint="eastAsia" w:cs="FangSong_GB2312"/>
          <w:kern w:val="0"/>
        </w:rPr>
        <w:t>项规定的提交首次响应文件截止时间（开启时间）和</w:t>
      </w:r>
      <w:r>
        <w:rPr>
          <w:rFonts w:hint="eastAsia" w:cs="黑体"/>
        </w:rPr>
        <w:t>《响应人须知前附表》</w:t>
      </w:r>
      <w:r>
        <w:rPr>
          <w:rFonts w:hint="eastAsia" w:cs="FangSong_GB2312"/>
          <w:kern w:val="0"/>
        </w:rPr>
        <w:t>规定的地点进行竞争性磋商，并邀请所有响应人的法定代表人或其委托代理人准时参加。</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02" w:name="_Toc270604603"/>
      <w:bookmarkStart w:id="303" w:name="_Toc269470325"/>
      <w:bookmarkStart w:id="304" w:name="_Toc277149392"/>
      <w:bookmarkStart w:id="305" w:name="_Toc428351657"/>
      <w:bookmarkStart w:id="306" w:name="_Toc428276597"/>
      <w:bookmarkStart w:id="307" w:name="_Toc455678129"/>
      <w:bookmarkStart w:id="308" w:name="_Toc454788037"/>
      <w:bookmarkStart w:id="309" w:name="_Toc14109"/>
      <w:bookmarkStart w:id="310" w:name="_Toc21367"/>
      <w:bookmarkStart w:id="311" w:name="_Toc270604830"/>
      <w:bookmarkStart w:id="312" w:name="_Toc12033"/>
      <w:bookmarkStart w:id="313" w:name="_Toc462934303"/>
      <w:bookmarkStart w:id="314" w:name="_Toc463011282"/>
      <w:r>
        <w:rPr>
          <w:rFonts w:hint="eastAsia" w:hAnsi="宋体" w:cs="黑体"/>
          <w:b/>
          <w:color w:val="auto"/>
          <w:sz w:val="21"/>
          <w:szCs w:val="21"/>
        </w:rPr>
        <w:t>磋商程序</w:t>
      </w:r>
      <w:bookmarkEnd w:id="302"/>
      <w:bookmarkEnd w:id="303"/>
      <w:bookmarkEnd w:id="304"/>
      <w:bookmarkEnd w:id="305"/>
      <w:bookmarkEnd w:id="306"/>
      <w:bookmarkEnd w:id="307"/>
      <w:bookmarkEnd w:id="308"/>
      <w:bookmarkEnd w:id="309"/>
      <w:bookmarkEnd w:id="310"/>
      <w:bookmarkEnd w:id="311"/>
      <w:bookmarkEnd w:id="312"/>
      <w:bookmarkEnd w:id="313"/>
      <w:bookmarkEnd w:id="314"/>
    </w:p>
    <w:p>
      <w:pPr>
        <w:wordWrap/>
        <w:topLinePunct w:val="0"/>
        <w:spacing w:line="360" w:lineRule="auto"/>
        <w:rPr>
          <w:highlight w:val="yellow"/>
        </w:rPr>
      </w:pPr>
      <w:bookmarkStart w:id="315" w:name="_Toc269470330"/>
      <w:r>
        <w:t>1</w:t>
      </w:r>
      <w:r>
        <w:rPr>
          <w:rFonts w:hint="eastAsia"/>
        </w:rPr>
        <w:t>、供应商代表持本单位</w:t>
      </w:r>
      <w:r>
        <w:t xml:space="preserve">CA </w:t>
      </w:r>
      <w:r>
        <w:rPr>
          <w:rFonts w:hint="eastAsia"/>
        </w:rPr>
        <w:t>数字证书提前登录不见面开标系统并在线</w:t>
      </w:r>
    </w:p>
    <w:p>
      <w:pPr>
        <w:wordWrap/>
        <w:topLinePunct w:val="0"/>
        <w:spacing w:line="360" w:lineRule="auto"/>
        <w:rPr>
          <w:highlight w:val="yellow"/>
        </w:rPr>
      </w:pPr>
      <w:r>
        <w:t>2</w:t>
      </w:r>
      <w:r>
        <w:rPr>
          <w:rFonts w:hint="eastAsia"/>
        </w:rPr>
        <w:t>、开标时间到，在线公布供应商、采购人代表、监标人等有关名单。</w:t>
      </w:r>
    </w:p>
    <w:p>
      <w:pPr>
        <w:wordWrap/>
        <w:topLinePunct w:val="0"/>
        <w:spacing w:line="360" w:lineRule="auto"/>
      </w:pPr>
      <w:r>
        <w:t>3</w:t>
      </w:r>
      <w:r>
        <w:rPr>
          <w:rFonts w:hint="eastAsia"/>
        </w:rPr>
        <w:t>、开标顺序：</w:t>
      </w:r>
    </w:p>
    <w:p>
      <w:pPr>
        <w:pStyle w:val="37"/>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pPr>
        <w:pStyle w:val="37"/>
        <w:ind w:firstLine="0"/>
        <w:rPr>
          <w:kern w:val="2"/>
          <w:szCs w:val="21"/>
          <w:lang w:val="en-US"/>
        </w:rPr>
      </w:pPr>
      <w:r>
        <w:rPr>
          <w:rFonts w:hint="default"/>
          <w:kern w:val="2"/>
          <w:szCs w:val="21"/>
          <w:lang w:val="en-US"/>
        </w:rPr>
        <w:t>②</w:t>
      </w:r>
      <w:r>
        <w:rPr>
          <w:rFonts w:hint="eastAsia"/>
          <w:kern w:val="2"/>
          <w:szCs w:val="21"/>
          <w:lang w:val="en-US"/>
        </w:rPr>
        <w:t>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pPr>
        <w:pStyle w:val="37"/>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③采购人、监督人等相关人员在开标记录表上（可进入原评标系统直接打印）签字确认。⑤采购代理机构宣布开标结束，在评标系统中点击“开标结束”，并进行“采购文件导入”、“控制价文件导入”。</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6" w:name="_Toc8282"/>
      <w:bookmarkStart w:id="317" w:name="_Toc2705"/>
      <w:bookmarkStart w:id="318" w:name="_Toc31993"/>
      <w:bookmarkStart w:id="319" w:name="_Toc455678130"/>
      <w:bookmarkStart w:id="320" w:name="_Toc462934304"/>
      <w:bookmarkStart w:id="321" w:name="_Toc463011283"/>
      <w:r>
        <w:rPr>
          <w:rFonts w:hint="eastAsia" w:hAnsi="宋体" w:cs="黑体"/>
          <w:b/>
          <w:color w:val="auto"/>
          <w:sz w:val="21"/>
          <w:szCs w:val="21"/>
        </w:rPr>
        <w:t>磋商</w:t>
      </w:r>
      <w:bookmarkEnd w:id="316"/>
      <w:bookmarkEnd w:id="317"/>
      <w:bookmarkEnd w:id="318"/>
      <w:bookmarkEnd w:id="319"/>
      <w:bookmarkEnd w:id="320"/>
      <w:bookmarkEnd w:id="32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8"/>
        </w:numPr>
        <w:snapToGrid w:val="0"/>
        <w:spacing w:line="360" w:lineRule="auto"/>
        <w:ind w:left="0" w:firstLine="420" w:firstLineChars="200"/>
        <w:contextualSpacing/>
      </w:pPr>
      <w:r>
        <w:rPr>
          <w:rFonts w:hint="eastAsia"/>
        </w:rPr>
        <w:t>磋商工作由磋商小组独立进行，磋商小组由采购人代表1人和评</w:t>
      </w:r>
      <w:r>
        <w:rPr>
          <w:rFonts w:hint="eastAsia"/>
          <w:lang w:val="en-US" w:eastAsia="zh-CN"/>
        </w:rPr>
        <w:t>标</w:t>
      </w:r>
      <w:r>
        <w:rPr>
          <w:rFonts w:hint="eastAsia"/>
        </w:rPr>
        <w:t>专家2人组成，成员人数共3人，评</w:t>
      </w:r>
      <w:r>
        <w:rPr>
          <w:rFonts w:hint="eastAsia"/>
          <w:lang w:val="en-US" w:eastAsia="zh-CN"/>
        </w:rPr>
        <w:t>标</w:t>
      </w:r>
      <w:r>
        <w:rPr>
          <w:rFonts w:hint="eastAsia"/>
        </w:rPr>
        <w:t>专家确定方式：从相关专家库中随机抽取。</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9"/>
        </w:numPr>
        <w:snapToGrid w:val="0"/>
        <w:spacing w:line="360" w:lineRule="auto"/>
        <w:ind w:left="0" w:firstLine="420" w:firstLineChars="200"/>
        <w:contextualSpacing/>
      </w:pPr>
      <w:r>
        <w:rPr>
          <w:rFonts w:hint="eastAsia"/>
        </w:rPr>
        <w:t>磋商小组成员应当按照客观、公正、审慎的原则，根据竞争性磋商文件第三章规定的评审程序、评审方法和评审标准进行独立评审。</w:t>
      </w:r>
    </w:p>
    <w:p>
      <w:pPr>
        <w:numPr>
          <w:ilvl w:val="0"/>
          <w:numId w:val="9"/>
        </w:numPr>
        <w:snapToGrid w:val="0"/>
        <w:spacing w:line="360" w:lineRule="auto"/>
        <w:ind w:left="0" w:firstLine="420" w:firstLineChars="200"/>
        <w:contextualSpacing/>
      </w:pPr>
      <w:r>
        <w:rPr>
          <w:rFonts w:hint="eastAsia"/>
        </w:rPr>
        <w:t>竞争性磋商文件内容违反国家有关强制性规定的，磋商小组应当停止评审并向采购人或者采购代理机构说明情况。</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22" w:name="_Toc90713357"/>
      <w:bookmarkStart w:id="323" w:name="_Toc109537522"/>
      <w:bookmarkStart w:id="324" w:name="_Toc90712538"/>
      <w:bookmarkStart w:id="325" w:name="_Toc109550798"/>
      <w:r>
        <w:rPr>
          <w:rFonts w:hint="eastAsia" w:hAnsi="宋体" w:cs="黑体"/>
          <w:color w:val="auto"/>
          <w:sz w:val="21"/>
          <w:szCs w:val="21"/>
        </w:rPr>
        <w:t>评审报告</w:t>
      </w:r>
    </w:p>
    <w:p>
      <w:pPr>
        <w:snapToGrid w:val="0"/>
        <w:spacing w:line="360" w:lineRule="auto"/>
        <w:ind w:firstLine="420" w:firstLineChars="200"/>
        <w:contextualSpacing/>
      </w:pPr>
      <w:r>
        <w:rPr>
          <w:rFonts w:hint="eastAsia"/>
        </w:rPr>
        <w:t>磋商</w:t>
      </w:r>
      <w:r>
        <w:t>小组应当根据评审记录和评审结果编写评审报告，其主要内容包括：</w:t>
      </w:r>
    </w:p>
    <w:p>
      <w:pPr>
        <w:numPr>
          <w:ilvl w:val="0"/>
          <w:numId w:val="10"/>
        </w:numPr>
        <w:snapToGrid w:val="0"/>
        <w:spacing w:line="360" w:lineRule="auto"/>
        <w:ind w:left="0" w:firstLine="420" w:firstLineChars="200"/>
        <w:contextualSpacing/>
      </w:pPr>
      <w:r>
        <w:t>邀请</w:t>
      </w:r>
      <w:r>
        <w:rPr>
          <w:rFonts w:hint="eastAsia"/>
        </w:rPr>
        <w:t>响应人</w:t>
      </w:r>
      <w:r>
        <w:t>参加采购活动的具体方式和相关情况</w:t>
      </w:r>
      <w:r>
        <w:rPr>
          <w:rFonts w:hint="eastAsia"/>
        </w:rPr>
        <w:t>；</w:t>
      </w:r>
    </w:p>
    <w:p>
      <w:pPr>
        <w:numPr>
          <w:ilvl w:val="0"/>
          <w:numId w:val="10"/>
        </w:numPr>
        <w:snapToGrid w:val="0"/>
        <w:spacing w:line="360" w:lineRule="auto"/>
        <w:ind w:left="0" w:firstLine="420" w:firstLineChars="200"/>
        <w:contextualSpacing/>
      </w:pPr>
      <w:r>
        <w:t>响应文件开启日期和地点</w:t>
      </w:r>
      <w:r>
        <w:rPr>
          <w:rFonts w:hint="eastAsia"/>
        </w:rPr>
        <w:t>；</w:t>
      </w:r>
    </w:p>
    <w:p>
      <w:pPr>
        <w:numPr>
          <w:ilvl w:val="0"/>
          <w:numId w:val="10"/>
        </w:numPr>
        <w:snapToGrid w:val="0"/>
        <w:spacing w:line="360" w:lineRule="auto"/>
        <w:ind w:left="0" w:firstLine="420" w:firstLineChars="200"/>
        <w:contextualSpacing/>
      </w:pPr>
      <w:r>
        <w:t>获取竞争性磋商文件的</w:t>
      </w:r>
      <w:r>
        <w:rPr>
          <w:rFonts w:hint="eastAsia"/>
        </w:rPr>
        <w:t>响应人</w:t>
      </w:r>
      <w:r>
        <w:t>名单和磋商小组成员名单</w:t>
      </w:r>
      <w:r>
        <w:rPr>
          <w:rFonts w:hint="eastAsia"/>
        </w:rPr>
        <w:t>；</w:t>
      </w:r>
    </w:p>
    <w:p>
      <w:pPr>
        <w:numPr>
          <w:ilvl w:val="0"/>
          <w:numId w:val="10"/>
        </w:numPr>
        <w:snapToGrid w:val="0"/>
        <w:spacing w:line="360" w:lineRule="auto"/>
        <w:ind w:left="0" w:firstLine="420" w:firstLineChars="20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pPr>
        <w:numPr>
          <w:ilvl w:val="0"/>
          <w:numId w:val="10"/>
        </w:numPr>
        <w:snapToGrid w:val="0"/>
        <w:spacing w:line="360" w:lineRule="auto"/>
        <w:ind w:left="0" w:firstLine="420" w:firstLineChars="200"/>
        <w:contextualSpacing/>
      </w:pPr>
      <w:r>
        <w:t>提出的成交候选</w:t>
      </w:r>
      <w:r>
        <w:rPr>
          <w:rFonts w:hint="eastAsia"/>
        </w:rPr>
        <w:t>人</w:t>
      </w:r>
      <w:r>
        <w:t>的排序名单及理由。</w:t>
      </w:r>
    </w:p>
    <w:p>
      <w:pPr>
        <w:snapToGrid w:val="0"/>
        <w:spacing w:line="360" w:lineRule="auto"/>
        <w:ind w:firstLine="420" w:firstLineChars="20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snapToGrid w:val="0"/>
        <w:spacing w:line="360" w:lineRule="auto"/>
        <w:ind w:firstLine="420" w:firstLineChars="200"/>
        <w:contextualSpacing/>
      </w:pPr>
      <w:r>
        <w:rPr>
          <w:rFonts w:hint="eastAsia"/>
        </w:rPr>
        <w:t>评审完成后，磋商小组应当向采购人提交书面评审报告和成交候选人名单。磋商小组推荐成交候选人的人数见响应人须知前附表。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6" w:name="_Toc26984"/>
      <w:bookmarkStart w:id="327" w:name="_Toc462934305"/>
      <w:bookmarkStart w:id="328" w:name="_Toc428351659"/>
      <w:bookmarkStart w:id="329" w:name="_Toc19623"/>
      <w:bookmarkStart w:id="330" w:name="_Toc463011284"/>
      <w:bookmarkStart w:id="331" w:name="_Toc422126473"/>
      <w:bookmarkStart w:id="332" w:name="_Toc455678131"/>
      <w:bookmarkStart w:id="333" w:name="_Toc21137"/>
      <w:bookmarkStart w:id="334" w:name="_Toc454788039"/>
      <w:bookmarkStart w:id="335" w:name="_Toc428276599"/>
      <w:r>
        <w:rPr>
          <w:rFonts w:hint="eastAsia" w:hAnsi="宋体" w:cs="黑体"/>
          <w:b/>
          <w:color w:val="auto"/>
          <w:sz w:val="21"/>
          <w:szCs w:val="21"/>
        </w:rPr>
        <w:t>磋商过程的保密性</w:t>
      </w:r>
      <w:bookmarkEnd w:id="326"/>
      <w:bookmarkEnd w:id="327"/>
      <w:bookmarkEnd w:id="328"/>
      <w:bookmarkEnd w:id="329"/>
      <w:bookmarkEnd w:id="330"/>
      <w:bookmarkEnd w:id="331"/>
      <w:bookmarkEnd w:id="332"/>
      <w:bookmarkEnd w:id="333"/>
      <w:bookmarkEnd w:id="334"/>
      <w:bookmarkEnd w:id="33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磋商期间，直到授予成交人合同止，凡是与磋商响应文件审查、澄清、评价、比较以及推荐成交人等方面的情况，均不得向响应人或其他无关的人员透露。</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在磋商过程中，响应人如向磋商小组成员施加任何影响，都将会导致其磋商被拒绝，政府采购监管部门将记录其不良行为。</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36" w:name="_Toc462934306"/>
      <w:bookmarkStart w:id="337" w:name="_Toc5212"/>
      <w:bookmarkStart w:id="338" w:name="_Toc13834"/>
      <w:bookmarkStart w:id="339" w:name="_Toc463011285"/>
      <w:bookmarkStart w:id="340" w:name="_Toc21281"/>
      <w:bookmarkStart w:id="341" w:name="_Toc455678132"/>
      <w:r>
        <w:rPr>
          <w:rFonts w:hint="eastAsia" w:hAnsi="宋体" w:cs="黑体"/>
          <w:b/>
          <w:color w:val="auto"/>
          <w:sz w:val="21"/>
          <w:szCs w:val="21"/>
        </w:rPr>
        <w:t>终止竞争性磋商采购活动</w:t>
      </w:r>
      <w:bookmarkEnd w:id="336"/>
      <w:bookmarkEnd w:id="337"/>
      <w:bookmarkEnd w:id="338"/>
      <w:bookmarkEnd w:id="339"/>
      <w:bookmarkEnd w:id="340"/>
      <w:bookmarkEnd w:id="341"/>
    </w:p>
    <w:p>
      <w:pPr>
        <w:pStyle w:val="5"/>
        <w:snapToGrid w:val="0"/>
        <w:spacing w:line="360" w:lineRule="auto"/>
        <w:contextualSpacing/>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1"/>
        </w:numPr>
        <w:snapToGrid w:val="0"/>
        <w:spacing w:line="360" w:lineRule="auto"/>
        <w:ind w:left="0" w:firstLine="420" w:firstLineChars="200"/>
        <w:contextualSpacing/>
      </w:pPr>
      <w:r>
        <w:rPr>
          <w:rFonts w:hint="eastAsia"/>
        </w:rPr>
        <w:t>因情况变化，不再符合规定的竞争性磋商采购方式适用情形的；</w:t>
      </w:r>
    </w:p>
    <w:p>
      <w:pPr>
        <w:numPr>
          <w:ilvl w:val="0"/>
          <w:numId w:val="11"/>
        </w:numPr>
        <w:snapToGrid w:val="0"/>
        <w:spacing w:line="360" w:lineRule="auto"/>
        <w:ind w:left="0" w:firstLine="420" w:firstLineChars="200"/>
        <w:contextualSpacing/>
      </w:pPr>
      <w:r>
        <w:rPr>
          <w:rFonts w:hint="eastAsia"/>
        </w:rPr>
        <w:t>出现影响采购公正的违法、违规行为的；</w:t>
      </w:r>
    </w:p>
    <w:p>
      <w:pPr>
        <w:numPr>
          <w:ilvl w:val="0"/>
          <w:numId w:val="11"/>
        </w:numPr>
        <w:snapToGrid w:val="0"/>
        <w:spacing w:line="360" w:lineRule="auto"/>
        <w:ind w:left="0" w:firstLine="420" w:firstLineChars="200"/>
        <w:contextualSpacing/>
      </w:pPr>
      <w:r>
        <w:rPr>
          <w:rFonts w:hint="eastAsia"/>
        </w:rPr>
        <w:t>在采购过程中符合要求的响应人或者报价未超过采购预算的响应人不足3家的。</w:t>
      </w:r>
    </w:p>
    <w:bookmarkEnd w:id="322"/>
    <w:bookmarkEnd w:id="323"/>
    <w:bookmarkEnd w:id="324"/>
    <w:bookmarkEnd w:id="32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42" w:name="_Toc463011286"/>
      <w:bookmarkStart w:id="343" w:name="_Toc31756"/>
      <w:bookmarkStart w:id="344" w:name="_Toc12985"/>
      <w:bookmarkStart w:id="345" w:name="_Toc462934307"/>
      <w:bookmarkStart w:id="346" w:name="_Toc454788040"/>
      <w:bookmarkStart w:id="347" w:name="_Toc428276600"/>
      <w:bookmarkStart w:id="348" w:name="_Toc428351660"/>
      <w:bookmarkStart w:id="349" w:name="_Toc7308"/>
      <w:bookmarkStart w:id="350" w:name="_Toc455678133"/>
      <w:r>
        <w:rPr>
          <w:rFonts w:hint="eastAsia" w:hAnsi="宋体" w:cs="黑体"/>
          <w:b/>
          <w:color w:val="auto"/>
          <w:sz w:val="21"/>
          <w:szCs w:val="21"/>
        </w:rPr>
        <w:t>确定成交人</w:t>
      </w:r>
      <w:bookmarkEnd w:id="342"/>
      <w:bookmarkEnd w:id="343"/>
      <w:bookmarkEnd w:id="344"/>
      <w:bookmarkEnd w:id="345"/>
      <w:bookmarkEnd w:id="346"/>
      <w:bookmarkEnd w:id="347"/>
      <w:bookmarkEnd w:id="348"/>
      <w:bookmarkEnd w:id="349"/>
      <w:bookmarkEnd w:id="35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w:t>
      </w:r>
      <w:r>
        <w:rPr>
          <w:rFonts w:hint="eastAsia" w:hAnsi="宋体" w:cs="黑体"/>
          <w:color w:val="auto"/>
          <w:sz w:val="21"/>
          <w:szCs w:val="21"/>
          <w:lang w:val="en-US" w:eastAsia="zh-CN"/>
        </w:rPr>
        <w:t>1</w:t>
      </w:r>
      <w:r>
        <w:rPr>
          <w:rFonts w:hint="eastAsia" w:hAnsi="宋体" w:cs="黑体"/>
          <w:color w:val="auto"/>
          <w:sz w:val="21"/>
          <w:szCs w:val="21"/>
        </w:rPr>
        <w:t>个工作日内将评审报告送交采购人。采购人应当自收到评审报告之日起</w:t>
      </w:r>
      <w:r>
        <w:rPr>
          <w:rFonts w:hint="eastAsia" w:hAnsi="宋体" w:cs="黑体"/>
          <w:color w:val="auto"/>
          <w:sz w:val="21"/>
          <w:szCs w:val="21"/>
          <w:lang w:val="en-US" w:eastAsia="zh-CN"/>
        </w:rPr>
        <w:t>1</w:t>
      </w:r>
      <w:r>
        <w:rPr>
          <w:rFonts w:hint="eastAsia" w:hAnsi="宋体" w:cs="黑体"/>
          <w:color w:val="auto"/>
          <w:sz w:val="21"/>
          <w:szCs w:val="21"/>
        </w:rPr>
        <w:t>个工作日内在评审报告推荐的成交候选人中按顺序确定成交人。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1" w:name="_Toc455678134"/>
      <w:bookmarkStart w:id="352" w:name="_Toc428351661"/>
      <w:bookmarkStart w:id="353" w:name="_Toc428276601"/>
      <w:bookmarkStart w:id="354" w:name="_Toc422126474"/>
      <w:bookmarkStart w:id="355" w:name="_Toc454788041"/>
      <w:bookmarkStart w:id="356" w:name="_Toc2677"/>
      <w:bookmarkStart w:id="357" w:name="_Toc463011287"/>
      <w:bookmarkStart w:id="358" w:name="_Toc15190"/>
      <w:bookmarkStart w:id="359" w:name="_Toc462934308"/>
      <w:bookmarkStart w:id="360" w:name="_Toc16692"/>
      <w:r>
        <w:rPr>
          <w:rFonts w:hint="eastAsia" w:hAnsi="宋体" w:cs="黑体"/>
          <w:b/>
          <w:color w:val="auto"/>
          <w:sz w:val="21"/>
          <w:szCs w:val="21"/>
        </w:rPr>
        <w:t>成交结果</w:t>
      </w:r>
      <w:bookmarkEnd w:id="351"/>
      <w:bookmarkEnd w:id="352"/>
      <w:bookmarkEnd w:id="353"/>
      <w:bookmarkEnd w:id="354"/>
      <w:bookmarkEnd w:id="355"/>
      <w:r>
        <w:rPr>
          <w:rFonts w:hint="eastAsia" w:hAnsi="宋体" w:cs="黑体"/>
          <w:b/>
          <w:color w:val="auto"/>
          <w:sz w:val="21"/>
          <w:szCs w:val="21"/>
        </w:rPr>
        <w:t>公告</w:t>
      </w:r>
      <w:bookmarkEnd w:id="356"/>
      <w:bookmarkEnd w:id="357"/>
      <w:bookmarkEnd w:id="358"/>
      <w:bookmarkEnd w:id="359"/>
      <w:bookmarkEnd w:id="36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w:t>
      </w:r>
      <w:r>
        <w:rPr>
          <w:rFonts w:hint="eastAsia" w:hAnsi="宋体" w:cs="黑体"/>
          <w:color w:val="auto"/>
          <w:sz w:val="21"/>
          <w:szCs w:val="21"/>
          <w:lang w:val="en-US" w:eastAsia="zh-CN"/>
        </w:rPr>
        <w:t>1</w:t>
      </w:r>
      <w:r>
        <w:rPr>
          <w:rFonts w:hint="eastAsia" w:hAnsi="宋体" w:cs="黑体"/>
          <w:color w:val="auto"/>
          <w:sz w:val="21"/>
          <w:szCs w:val="21"/>
        </w:rPr>
        <w:t>个工作日内，在公告发布的同一媒介上公告成交结果，同时向成交人发出成交通知书，并将竞争性磋商文件随成交结果同时公告，公告期限1个工作日。</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1" w:name="_Toc270604607"/>
      <w:r>
        <w:rPr>
          <w:rFonts w:hint="eastAsia" w:hAnsi="宋体" w:cs="黑体"/>
          <w:color w:val="auto"/>
          <w:sz w:val="21"/>
          <w:szCs w:val="21"/>
        </w:rPr>
        <w:t>成交结果公告内容包括</w:t>
      </w:r>
      <w:bookmarkEnd w:id="315"/>
      <w:bookmarkEnd w:id="361"/>
      <w:r>
        <w:rPr>
          <w:rFonts w:hint="eastAsia" w:hAnsi="宋体" w:cs="黑体"/>
          <w:color w:val="auto"/>
          <w:sz w:val="21"/>
          <w:szCs w:val="21"/>
        </w:rPr>
        <w:t>采购人和采购代理机构的名称、地址和联系方式、项目名称和项目编号、成交人名称、地址和成交金额、主要成交标的的名称、规格型号、数量、单价、服务要求、磋商小组成员名单。</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62" w:name="_Toc455678136"/>
      <w:bookmarkStart w:id="363" w:name="_Toc11152"/>
      <w:bookmarkStart w:id="364" w:name="_Toc18026"/>
      <w:bookmarkStart w:id="365" w:name="_Toc4900"/>
      <w:bookmarkStart w:id="366" w:name="_Toc463011289"/>
      <w:bookmarkStart w:id="367" w:name="_Toc462934310"/>
      <w:r>
        <w:rPr>
          <w:rFonts w:hint="eastAsia" w:hAnsi="宋体" w:cs="黑体"/>
          <w:b/>
          <w:color w:val="auto"/>
          <w:sz w:val="21"/>
          <w:szCs w:val="21"/>
        </w:rPr>
        <w:t>成交通知书</w:t>
      </w:r>
      <w:bookmarkEnd w:id="362"/>
      <w:bookmarkEnd w:id="363"/>
      <w:bookmarkEnd w:id="364"/>
      <w:bookmarkEnd w:id="365"/>
      <w:bookmarkEnd w:id="366"/>
      <w:bookmarkEnd w:id="367"/>
      <w:bookmarkStart w:id="368" w:name="_Toc11018"/>
      <w:bookmarkStart w:id="369" w:name="_Toc462934311"/>
      <w:bookmarkStart w:id="370" w:name="_Toc463011290"/>
      <w:bookmarkStart w:id="371" w:name="_Toc455678137"/>
      <w:bookmarkStart w:id="372" w:name="_Toc23963"/>
      <w:bookmarkStart w:id="373" w:name="_Toc269470335"/>
    </w:p>
    <w:bookmarkEnd w:id="368"/>
    <w:bookmarkEnd w:id="369"/>
    <w:bookmarkEnd w:id="370"/>
    <w:bookmarkEnd w:id="371"/>
    <w:bookmarkEnd w:id="372"/>
    <w:p>
      <w:pPr>
        <w:wordWrap/>
        <w:topLinePunct w:val="0"/>
        <w:spacing w:line="360" w:lineRule="auto"/>
        <w:ind w:firstLine="420" w:firstLineChars="200"/>
      </w:pPr>
      <w:bookmarkStart w:id="374" w:name="_Toc10798"/>
      <w:bookmarkStart w:id="375" w:name="_Toc462934313"/>
      <w:bookmarkStart w:id="376" w:name="_Toc455678139"/>
      <w:bookmarkStart w:id="377" w:name="_Toc463011292"/>
      <w:bookmarkStart w:id="378" w:name="_Toc720"/>
      <w:r>
        <w:rPr>
          <w:rFonts w:hint="eastAsia"/>
        </w:rPr>
        <w:t>在公告成交结果的同时，采购人或者采购代理机构向成交人发出成交通知书，成交通知书将作为进行合同磋商和签订合同的依据。</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79" w:name="_Toc17481"/>
      <w:r>
        <w:rPr>
          <w:rFonts w:hint="eastAsia" w:hAnsi="宋体" w:cs="黑体"/>
          <w:b/>
          <w:color w:val="auto"/>
          <w:sz w:val="21"/>
          <w:szCs w:val="21"/>
        </w:rPr>
        <w:t>履约保证金</w:t>
      </w:r>
      <w:bookmarkEnd w:id="374"/>
      <w:bookmarkEnd w:id="375"/>
      <w:bookmarkEnd w:id="376"/>
      <w:bookmarkEnd w:id="377"/>
      <w:bookmarkEnd w:id="378"/>
      <w:bookmarkEnd w:id="379"/>
    </w:p>
    <w:p>
      <w:pPr>
        <w:ind w:firstLine="421"/>
        <w:rPr>
          <w:rFonts w:hint="eastAsia"/>
        </w:rPr>
      </w:pPr>
      <w:r>
        <w:rPr>
          <w:rFonts w:hint="eastAsia"/>
        </w:rPr>
        <w:t>不缴纳。</w:t>
      </w:r>
    </w:p>
    <w:p>
      <w:pPr>
        <w:widowControl/>
        <w:shd w:val="solid" w:color="FFFFFF" w:fill="auto"/>
        <w:wordWrap w:val="0"/>
        <w:spacing w:line="360" w:lineRule="auto"/>
        <w:rPr>
          <w:rFonts w:hint="eastAsia" w:cs="宋体"/>
          <w:b/>
          <w:bCs/>
          <w:szCs w:val="24"/>
        </w:rPr>
      </w:pPr>
      <w:r>
        <w:rPr>
          <w:rFonts w:hint="eastAsia" w:cs="宋体"/>
          <w:szCs w:val="24"/>
          <w:lang w:val="en-US" w:eastAsia="zh-CN"/>
        </w:rPr>
        <w:t>5.10</w:t>
      </w:r>
      <w:r>
        <w:rPr>
          <w:rFonts w:hint="eastAsia" w:cs="宋体"/>
          <w:b/>
          <w:bCs/>
          <w:szCs w:val="24"/>
        </w:rPr>
        <w:t>投标文件出现下列情况之一者，应当视为无效投标文件：</w:t>
      </w:r>
    </w:p>
    <w:p>
      <w:pPr>
        <w:widowControl/>
        <w:spacing w:line="360" w:lineRule="auto"/>
        <w:rPr>
          <w:rFonts w:hint="eastAsia" w:cs="宋体"/>
          <w:szCs w:val="24"/>
        </w:rPr>
      </w:pPr>
      <w:r>
        <w:rPr>
          <w:rFonts w:hint="eastAsia" w:cs="宋体"/>
          <w:szCs w:val="24"/>
        </w:rPr>
        <w:t xml:space="preserve"> 1)投标人不符合《中华人民共和国政府采购法》第二十二条规定,做无效标处理；</w:t>
      </w:r>
    </w:p>
    <w:p>
      <w:pPr>
        <w:widowControl/>
        <w:spacing w:line="360" w:lineRule="auto"/>
        <w:rPr>
          <w:rFonts w:hint="eastAsia" w:cs="宋体"/>
          <w:szCs w:val="24"/>
        </w:rPr>
      </w:pPr>
      <w:r>
        <w:rPr>
          <w:rFonts w:hint="eastAsia" w:cs="宋体"/>
          <w:szCs w:val="24"/>
        </w:rPr>
        <w:t xml:space="preserve"> 2)投标人以他人的名义投标、串通投标，做无效废标处理；</w:t>
      </w:r>
    </w:p>
    <w:p>
      <w:pPr>
        <w:widowControl/>
        <w:spacing w:line="360" w:lineRule="auto"/>
        <w:rPr>
          <w:rFonts w:hint="eastAsia" w:cs="宋体"/>
          <w:szCs w:val="24"/>
        </w:rPr>
      </w:pPr>
      <w:r>
        <w:rPr>
          <w:rFonts w:hint="eastAsia" w:cs="宋体"/>
          <w:szCs w:val="24"/>
        </w:rPr>
        <w:t xml:space="preserve"> 3)以不正当手段谋取中标的，做无效标处理；</w:t>
      </w:r>
    </w:p>
    <w:p>
      <w:pPr>
        <w:widowControl/>
        <w:spacing w:line="360" w:lineRule="auto"/>
        <w:rPr>
          <w:rFonts w:hint="eastAsia" w:cs="宋体"/>
          <w:szCs w:val="24"/>
        </w:rPr>
      </w:pPr>
      <w:r>
        <w:rPr>
          <w:rFonts w:hint="eastAsia" w:cs="宋体"/>
          <w:szCs w:val="24"/>
        </w:rPr>
        <w:t xml:space="preserve">      其形式有：a.投标人提供虚假材料谋取中标；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b.投标人干扰市场公平，采取赠送、赠予等方式谋取中标；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c.投标人以低于成本报价恶意竞标；</w:t>
      </w:r>
    </w:p>
    <w:p>
      <w:pPr>
        <w:widowControl/>
        <w:spacing w:line="360" w:lineRule="auto"/>
        <w:rPr>
          <w:rFonts w:hint="eastAsia" w:cs="宋体"/>
          <w:szCs w:val="24"/>
        </w:rPr>
      </w:pPr>
      <w:r>
        <w:rPr>
          <w:rFonts w:hint="eastAsia" w:cs="宋体"/>
          <w:szCs w:val="24"/>
        </w:rPr>
        <w:t xml:space="preserve">  4）交货期不确切、不肯定的投标，作无效标处理；</w:t>
      </w:r>
    </w:p>
    <w:p>
      <w:pPr>
        <w:widowControl/>
        <w:spacing w:line="360" w:lineRule="auto"/>
        <w:rPr>
          <w:rFonts w:hint="eastAsia" w:cs="宋体"/>
          <w:szCs w:val="24"/>
        </w:rPr>
      </w:pPr>
      <w:r>
        <w:rPr>
          <w:rFonts w:hint="eastAsia" w:cs="宋体"/>
          <w:szCs w:val="24"/>
        </w:rPr>
        <w:t xml:space="preserve">  5）投标人低于成本价竞标的，作废无效标处理；</w:t>
      </w:r>
    </w:p>
    <w:p>
      <w:pPr>
        <w:widowControl/>
        <w:spacing w:line="360" w:lineRule="auto"/>
        <w:rPr>
          <w:rFonts w:hint="eastAsia" w:cs="宋体"/>
          <w:szCs w:val="24"/>
        </w:rPr>
      </w:pPr>
      <w:r>
        <w:rPr>
          <w:rFonts w:hint="eastAsia" w:cs="宋体"/>
          <w:szCs w:val="24"/>
        </w:rPr>
        <w:t xml:space="preserve">  6）投标文件未按招标文件规定签字盖章的，作无效标处理； </w:t>
      </w:r>
    </w:p>
    <w:p>
      <w:pPr>
        <w:widowControl/>
        <w:spacing w:line="360" w:lineRule="auto"/>
        <w:rPr>
          <w:rFonts w:hint="eastAsia" w:cs="宋体"/>
          <w:szCs w:val="24"/>
        </w:rPr>
      </w:pPr>
      <w:r>
        <w:rPr>
          <w:rFonts w:hint="eastAsia" w:cs="宋体"/>
          <w:szCs w:val="24"/>
        </w:rPr>
        <w:t xml:space="preserve">  7）投标文件关键内容字迹模糊，无法辨认的，作无效标处理；</w:t>
      </w:r>
    </w:p>
    <w:p>
      <w:pPr>
        <w:widowControl/>
        <w:spacing w:line="360" w:lineRule="auto"/>
        <w:rPr>
          <w:rFonts w:hint="eastAsia" w:cs="宋体"/>
          <w:szCs w:val="24"/>
        </w:rPr>
      </w:pPr>
      <w:r>
        <w:rPr>
          <w:rFonts w:hint="eastAsia" w:cs="宋体"/>
          <w:szCs w:val="24"/>
        </w:rPr>
        <w:t xml:space="preserve">  8）投标文件不写投标报价或投标报价超过控制资金（不含等于控制资金）的，作无效标处理；</w:t>
      </w:r>
    </w:p>
    <w:p>
      <w:pPr>
        <w:widowControl/>
        <w:spacing w:line="360" w:lineRule="auto"/>
        <w:rPr>
          <w:rFonts w:hint="eastAsia" w:cs="宋体"/>
          <w:szCs w:val="24"/>
        </w:rPr>
      </w:pPr>
      <w:r>
        <w:rPr>
          <w:rFonts w:hint="eastAsia" w:cs="宋体"/>
          <w:szCs w:val="24"/>
        </w:rPr>
        <w:t xml:space="preserve">  9）审查不合格的，作无效标处理；</w:t>
      </w:r>
    </w:p>
    <w:p>
      <w:pPr>
        <w:widowControl/>
        <w:spacing w:line="360" w:lineRule="auto"/>
        <w:rPr>
          <w:rFonts w:hint="eastAsia" w:cs="宋体"/>
          <w:szCs w:val="24"/>
        </w:rPr>
      </w:pPr>
      <w:r>
        <w:rPr>
          <w:rFonts w:hint="eastAsia" w:cs="宋体"/>
          <w:szCs w:val="24"/>
        </w:rPr>
        <w:t xml:space="preserve">  10）附有招标人不能接受的条件的，作无效标处理；</w:t>
      </w:r>
    </w:p>
    <w:p>
      <w:pPr>
        <w:widowControl/>
        <w:spacing w:line="360" w:lineRule="auto"/>
        <w:rPr>
          <w:rFonts w:hint="eastAsia" w:cs="宋体"/>
          <w:szCs w:val="24"/>
        </w:rPr>
      </w:pPr>
      <w:r>
        <w:rPr>
          <w:rFonts w:hint="eastAsia" w:cs="宋体"/>
          <w:szCs w:val="24"/>
        </w:rPr>
        <w:t xml:space="preserve">  11) 未响应招标文件要求的；</w:t>
      </w:r>
    </w:p>
    <w:p>
      <w:pPr>
        <w:widowControl/>
        <w:spacing w:line="360" w:lineRule="auto"/>
        <w:rPr>
          <w:rFonts w:hint="eastAsia" w:cs="宋体"/>
          <w:szCs w:val="24"/>
        </w:rPr>
      </w:pPr>
      <w:r>
        <w:rPr>
          <w:rFonts w:hint="eastAsia" w:cs="宋体"/>
          <w:szCs w:val="24"/>
        </w:rPr>
        <w:t xml:space="preserve">  12）违反国家有关法律法规的，作无效标处理。</w:t>
      </w:r>
    </w:p>
    <w:p>
      <w:pPr>
        <w:widowControl/>
        <w:spacing w:line="360" w:lineRule="auto"/>
        <w:ind w:firstLine="210" w:firstLineChars="100"/>
        <w:rPr>
          <w:rFonts w:hint="eastAsia" w:cs="宋体"/>
          <w:szCs w:val="24"/>
        </w:rPr>
      </w:pPr>
      <w:r>
        <w:rPr>
          <w:rFonts w:hint="eastAsia" w:cs="宋体"/>
          <w:szCs w:val="24"/>
          <w:lang w:val="en-US" w:eastAsia="zh-CN"/>
        </w:rPr>
        <w:t>13</w:t>
      </w:r>
      <w:r>
        <w:rPr>
          <w:rFonts w:hint="eastAsia" w:cs="宋体"/>
          <w:szCs w:val="24"/>
        </w:rPr>
        <w:t>）不同供应商响应文件制作机器码一致的；</w:t>
      </w:r>
    </w:p>
    <w:p>
      <w:pPr>
        <w:widowControl/>
        <w:spacing w:line="360" w:lineRule="auto"/>
        <w:ind w:firstLine="210" w:firstLineChars="100"/>
        <w:rPr>
          <w:rFonts w:hint="eastAsia" w:cs="宋体"/>
          <w:szCs w:val="24"/>
        </w:rPr>
      </w:pPr>
      <w:r>
        <w:rPr>
          <w:rFonts w:hint="eastAsia" w:cs="宋体"/>
          <w:szCs w:val="24"/>
          <w:lang w:val="en-US" w:eastAsia="zh-CN"/>
        </w:rPr>
        <w:t>14</w:t>
      </w:r>
      <w:r>
        <w:rPr>
          <w:rFonts w:hint="eastAsia" w:cs="宋体"/>
          <w:szCs w:val="24"/>
        </w:rPr>
        <w:t>）不同供应商的报价文件异常一致或呈阶梯性规律变化的；</w:t>
      </w:r>
    </w:p>
    <w:p>
      <w:pPr>
        <w:widowControl/>
        <w:spacing w:line="360" w:lineRule="auto"/>
        <w:rPr>
          <w:rFonts w:hint="eastAsia" w:cs="宋体"/>
          <w:szCs w:val="24"/>
        </w:rPr>
      </w:pPr>
      <w:r>
        <w:rPr>
          <w:rFonts w:hint="eastAsia" w:cs="宋体"/>
          <w:szCs w:val="24"/>
          <w:lang w:val="en-US" w:eastAsia="zh-CN"/>
        </w:rPr>
        <w:t>5.11</w:t>
      </w:r>
      <w:r>
        <w:rPr>
          <w:rFonts w:hint="eastAsia" w:cs="宋体"/>
          <w:b/>
          <w:bCs/>
          <w:szCs w:val="24"/>
        </w:rPr>
        <w:t>有下列情形之一的，视为投标人串通投标，其投标无效：</w:t>
      </w:r>
    </w:p>
    <w:p>
      <w:pPr>
        <w:widowControl/>
        <w:spacing w:line="360" w:lineRule="auto"/>
        <w:rPr>
          <w:rFonts w:hint="eastAsia" w:cs="宋体"/>
          <w:szCs w:val="24"/>
        </w:rPr>
      </w:pPr>
      <w:r>
        <w:rPr>
          <w:rFonts w:hint="eastAsia" w:cs="宋体"/>
          <w:szCs w:val="24"/>
        </w:rPr>
        <w:t>（一）不同投标人的投标文件由同一单位或者个人编制；</w:t>
      </w:r>
    </w:p>
    <w:p>
      <w:pPr>
        <w:widowControl/>
        <w:spacing w:line="360" w:lineRule="auto"/>
        <w:rPr>
          <w:rFonts w:hint="eastAsia" w:cs="宋体"/>
          <w:szCs w:val="24"/>
        </w:rPr>
      </w:pPr>
      <w:r>
        <w:rPr>
          <w:rFonts w:hint="eastAsia" w:cs="宋体"/>
          <w:szCs w:val="24"/>
        </w:rPr>
        <w:t>（二）不同投标人委托同一单位或者个人办理投标事宜；</w:t>
      </w:r>
    </w:p>
    <w:p>
      <w:pPr>
        <w:widowControl/>
        <w:spacing w:line="360" w:lineRule="auto"/>
        <w:rPr>
          <w:rFonts w:hint="eastAsia" w:cs="宋体"/>
          <w:szCs w:val="24"/>
        </w:rPr>
      </w:pPr>
      <w:r>
        <w:rPr>
          <w:rFonts w:hint="eastAsia" w:cs="宋体"/>
          <w:szCs w:val="24"/>
        </w:rPr>
        <w:t>（三）不同投标人的投标文件载明的项目管理成员或者联系人员为同一人；</w:t>
      </w:r>
    </w:p>
    <w:p>
      <w:pPr>
        <w:widowControl/>
        <w:spacing w:line="360" w:lineRule="auto"/>
        <w:rPr>
          <w:rFonts w:hint="eastAsia" w:cs="宋体"/>
          <w:szCs w:val="24"/>
        </w:rPr>
      </w:pPr>
      <w:r>
        <w:rPr>
          <w:rFonts w:hint="eastAsia" w:cs="宋体"/>
          <w:szCs w:val="24"/>
        </w:rPr>
        <w:t>（四）不同投标人的投标文件异常一致或者投标报价呈规律性差异；</w:t>
      </w:r>
    </w:p>
    <w:p>
      <w:pPr>
        <w:widowControl/>
        <w:spacing w:line="360" w:lineRule="auto"/>
        <w:rPr>
          <w:rFonts w:hint="eastAsia" w:cs="宋体"/>
          <w:szCs w:val="24"/>
        </w:rPr>
      </w:pPr>
      <w:r>
        <w:rPr>
          <w:rFonts w:hint="eastAsia" w:cs="宋体"/>
          <w:szCs w:val="24"/>
        </w:rPr>
        <w:t>（五）不同投标人的投标文件相互混装；</w:t>
      </w:r>
    </w:p>
    <w:p>
      <w:pPr>
        <w:widowControl/>
        <w:spacing w:line="360" w:lineRule="auto"/>
      </w:pPr>
      <w:r>
        <w:rPr>
          <w:rFonts w:hint="eastAsia" w:cs="宋体"/>
          <w:szCs w:val="24"/>
        </w:rPr>
        <w:t>（六）不同投标人的投标保证金从同一单位或者个人的账户转出。</w:t>
      </w:r>
    </w:p>
    <w:p>
      <w:pPr>
        <w:pStyle w:val="8"/>
        <w:numPr>
          <w:ilvl w:val="0"/>
          <w:numId w:val="5"/>
        </w:numPr>
        <w:tabs>
          <w:tab w:val="left" w:pos="360"/>
          <w:tab w:val="clear" w:pos="425"/>
        </w:tabs>
        <w:spacing w:line="360" w:lineRule="auto"/>
        <w:jc w:val="both"/>
        <w:outlineLvl w:val="1"/>
        <w:rPr>
          <w:rFonts w:hAnsi="宋体" w:cs="黑体"/>
          <w:b/>
          <w:color w:val="auto"/>
        </w:rPr>
      </w:pPr>
      <w:bookmarkStart w:id="380" w:name="_Toc1471"/>
      <w:bookmarkStart w:id="381" w:name="_Toc23149"/>
      <w:r>
        <w:rPr>
          <w:rFonts w:hint="eastAsia" w:hAnsi="宋体" w:cs="黑体"/>
          <w:b/>
          <w:color w:val="auto"/>
        </w:rPr>
        <w:t>授予合同</w:t>
      </w:r>
      <w:bookmarkEnd w:id="380"/>
      <w:bookmarkEnd w:id="381"/>
      <w:bookmarkStart w:id="382" w:name="_Toc3276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3" w:name="_Toc8361"/>
      <w:bookmarkStart w:id="384" w:name="_Toc5672"/>
      <w:bookmarkStart w:id="385" w:name="_Toc26749"/>
      <w:r>
        <w:rPr>
          <w:rFonts w:hint="eastAsia" w:hAnsi="宋体" w:cs="黑体"/>
          <w:color w:val="auto"/>
          <w:sz w:val="21"/>
          <w:szCs w:val="21"/>
        </w:rPr>
        <w:t>采购人自成交通知书发出之日起</w:t>
      </w:r>
      <w:r>
        <w:rPr>
          <w:rFonts w:hint="eastAsia" w:hAnsi="宋体" w:cs="黑体"/>
          <w:color w:val="auto"/>
          <w:sz w:val="21"/>
          <w:szCs w:val="21"/>
          <w:lang w:val="en-US" w:eastAsia="zh-CN"/>
        </w:rPr>
        <w:t>1</w:t>
      </w:r>
      <w:r>
        <w:rPr>
          <w:rFonts w:hint="eastAsia" w:hAnsi="宋体" w:cs="黑体"/>
          <w:color w:val="auto"/>
          <w:sz w:val="21"/>
          <w:szCs w:val="21"/>
        </w:rPr>
        <w:t>日内，按照竞争性磋商文件和成交人响应文件的规定，与成交人签订书面合同。所签订的合同不得对竞争性磋商文件确定的事项和成交人响应文件作实质性修改。</w:t>
      </w:r>
      <w:bookmarkEnd w:id="382"/>
      <w:bookmarkEnd w:id="383"/>
      <w:bookmarkEnd w:id="384"/>
      <w:bookmarkEnd w:id="385"/>
      <w:bookmarkStart w:id="386" w:name="_Toc26954"/>
    </w:p>
    <w:bookmarkEnd w:id="386"/>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7" w:name="_Toc14039"/>
      <w:bookmarkStart w:id="388" w:name="_Toc10652"/>
      <w:bookmarkStart w:id="389" w:name="_Toc12834"/>
      <w:bookmarkStart w:id="390" w:name="_Toc21772"/>
      <w:r>
        <w:rPr>
          <w:rFonts w:hint="eastAsia" w:hAnsi="宋体" w:cs="黑体"/>
          <w:color w:val="auto"/>
          <w:sz w:val="21"/>
          <w:szCs w:val="21"/>
        </w:rPr>
        <w:t>竞争性磋商文件、成交人的响应文件和澄清文件等，均应作为签约的合同文本的基础。</w:t>
      </w:r>
      <w:bookmarkEnd w:id="387"/>
      <w:bookmarkEnd w:id="388"/>
      <w:bookmarkEnd w:id="389"/>
      <w:bookmarkEnd w:id="390"/>
      <w:bookmarkStart w:id="391" w:name="_Toc5481"/>
    </w:p>
    <w:bookmarkEnd w:id="391"/>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2" w:name="_Toc10089"/>
      <w:bookmarkStart w:id="393" w:name="_Toc4762"/>
      <w:bookmarkStart w:id="394" w:name="_Toc18228"/>
      <w:bookmarkStart w:id="395" w:name="_Toc12739"/>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392"/>
      <w:bookmarkEnd w:id="393"/>
      <w:bookmarkEnd w:id="394"/>
      <w:bookmarkEnd w:id="395"/>
      <w:bookmarkStart w:id="396" w:name="_Toc771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7" w:name="_Toc6035"/>
      <w:bookmarkStart w:id="398" w:name="_Toc5311"/>
      <w:bookmarkStart w:id="399" w:name="_Toc18078"/>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396"/>
      <w:bookmarkEnd w:id="397"/>
      <w:bookmarkEnd w:id="398"/>
      <w:bookmarkEnd w:id="399"/>
    </w:p>
    <w:bookmarkEnd w:id="373"/>
    <w:p>
      <w:pPr>
        <w:pStyle w:val="8"/>
        <w:numPr>
          <w:ilvl w:val="0"/>
          <w:numId w:val="5"/>
        </w:numPr>
        <w:tabs>
          <w:tab w:val="left" w:pos="360"/>
          <w:tab w:val="clear" w:pos="425"/>
        </w:tabs>
        <w:spacing w:line="360" w:lineRule="auto"/>
        <w:jc w:val="both"/>
        <w:outlineLvl w:val="1"/>
        <w:rPr>
          <w:rFonts w:hAnsi="宋体" w:cs="黑体"/>
          <w:b/>
          <w:color w:val="auto"/>
        </w:rPr>
      </w:pPr>
      <w:bookmarkStart w:id="400" w:name="_Toc25425"/>
      <w:bookmarkStart w:id="401" w:name="_Toc27882"/>
      <w:bookmarkStart w:id="402" w:name="_Toc24967"/>
      <w:bookmarkStart w:id="403" w:name="_Toc270604610"/>
      <w:bookmarkStart w:id="404" w:name="_Toc269470338"/>
      <w:r>
        <w:rPr>
          <w:rFonts w:hint="eastAsia" w:hAnsi="宋体" w:cs="黑体"/>
          <w:b/>
          <w:color w:val="auto"/>
        </w:rPr>
        <w:t>纪律和监督</w:t>
      </w:r>
      <w:bookmarkEnd w:id="400"/>
      <w:bookmarkEnd w:id="401"/>
      <w:bookmarkEnd w:id="402"/>
      <w:bookmarkEnd w:id="403"/>
      <w:bookmarkEnd w:id="404"/>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05" w:name="_Toc454788046"/>
      <w:bookmarkStart w:id="406" w:name="_Toc270604838"/>
      <w:bookmarkStart w:id="407" w:name="_Toc428351666"/>
      <w:bookmarkStart w:id="408" w:name="_Toc455678149"/>
      <w:bookmarkStart w:id="409" w:name="_Toc13152"/>
      <w:bookmarkStart w:id="410" w:name="_Toc462934323"/>
      <w:bookmarkStart w:id="411" w:name="_Toc463011302"/>
      <w:bookmarkStart w:id="412" w:name="_Toc2717"/>
      <w:bookmarkStart w:id="413" w:name="_Toc277149399"/>
      <w:bookmarkStart w:id="414" w:name="_Toc269470339"/>
      <w:bookmarkStart w:id="415" w:name="_Toc270604611"/>
      <w:bookmarkStart w:id="416" w:name="_Toc428276606"/>
      <w:bookmarkStart w:id="417" w:name="_Toc31772"/>
      <w:r>
        <w:rPr>
          <w:rFonts w:hint="eastAsia" w:hAnsi="宋体" w:cs="黑体"/>
          <w:b/>
          <w:color w:val="auto"/>
          <w:sz w:val="21"/>
          <w:szCs w:val="21"/>
        </w:rPr>
        <w:t>对采购人的纪律要求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采购人不得泄</w:t>
      </w:r>
      <w:r>
        <w:rPr>
          <w:rFonts w:hint="eastAsia" w:cs="FangSong_GB2312"/>
          <w:kern w:val="0"/>
          <w:lang w:eastAsia="zh-CN"/>
        </w:rPr>
        <w:t>露</w:t>
      </w:r>
      <w:r>
        <w:rPr>
          <w:rFonts w:hint="eastAsia" w:cs="FangSong_GB2312"/>
          <w:kern w:val="0"/>
        </w:rPr>
        <w:t>竞争性磋商中应当保密的情况和资料，不得与响应人串通损害国家利益、社会公共利益或者他人合法权益。</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18" w:name="_Toc270604839"/>
      <w:bookmarkStart w:id="419" w:name="_Toc428351667"/>
      <w:bookmarkStart w:id="420" w:name="_Toc463011303"/>
      <w:bookmarkStart w:id="421" w:name="_Toc277149400"/>
      <w:bookmarkStart w:id="422" w:name="_Toc24245"/>
      <w:bookmarkStart w:id="423" w:name="_Toc454788047"/>
      <w:bookmarkStart w:id="424" w:name="_Toc462934324"/>
      <w:bookmarkStart w:id="425" w:name="_Toc455678150"/>
      <w:bookmarkStart w:id="426" w:name="_Toc10123"/>
      <w:bookmarkStart w:id="427" w:name="_Toc1136"/>
      <w:bookmarkStart w:id="428" w:name="_Toc270604612"/>
      <w:bookmarkStart w:id="429" w:name="_Toc428276607"/>
      <w:bookmarkStart w:id="430" w:name="_Toc269470340"/>
      <w:r>
        <w:rPr>
          <w:rFonts w:hint="eastAsia" w:hAnsi="宋体" w:cs="黑体"/>
          <w:b/>
          <w:color w:val="auto"/>
          <w:sz w:val="21"/>
          <w:szCs w:val="21"/>
        </w:rPr>
        <w:t>对响应人的纪律要求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响应人不得相互串通或者与采购人串通，不得向采购人或者磋商小组成员行贿谋取成交，不得以他人名义磋商或者以其他方式弄虚作假骗取成交；响应人不得以任何方式干扰、影响磋商工作。</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31" w:name="_Toc270604840"/>
      <w:bookmarkStart w:id="432" w:name="_Toc454788048"/>
      <w:bookmarkStart w:id="433" w:name="_Toc455678151"/>
      <w:bookmarkStart w:id="434" w:name="_Toc23588"/>
      <w:bookmarkStart w:id="435" w:name="_Toc26184"/>
      <w:bookmarkStart w:id="436" w:name="_Toc269470341"/>
      <w:bookmarkStart w:id="437" w:name="_Toc462934325"/>
      <w:bookmarkStart w:id="438" w:name="_Toc463011304"/>
      <w:bookmarkStart w:id="439" w:name="_Toc277149401"/>
      <w:bookmarkStart w:id="440" w:name="_Toc428276608"/>
      <w:bookmarkStart w:id="441" w:name="_Toc428351668"/>
      <w:bookmarkStart w:id="442" w:name="_Toc15953"/>
      <w:bookmarkStart w:id="443" w:name="_Toc270604613"/>
      <w:r>
        <w:rPr>
          <w:rFonts w:hint="eastAsia" w:hAnsi="宋体" w:cs="黑体"/>
          <w:b/>
          <w:color w:val="auto"/>
          <w:sz w:val="21"/>
          <w:szCs w:val="21"/>
        </w:rPr>
        <w:t>对磋商小组成员的纪律要求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磋商小组成员不得收受他人的财物或者其他好处，不得向他人透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对磋商响应文件的评审和比较、成交候选人的推荐情况以及与磋商有关的其他情况。在磋商活动中，磋商小组成员不得擅离职守，影响磋商程序正常进行。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4" w:name="_Toc277149402"/>
      <w:bookmarkStart w:id="445" w:name="_Toc270604841"/>
      <w:bookmarkStart w:id="446" w:name="_Toc462934326"/>
      <w:bookmarkStart w:id="447" w:name="_Toc14202"/>
      <w:bookmarkStart w:id="448" w:name="_Toc455678152"/>
      <w:bookmarkStart w:id="449" w:name="_Toc454788049"/>
      <w:bookmarkStart w:id="450" w:name="_Toc269470342"/>
      <w:bookmarkStart w:id="451" w:name="_Toc428351669"/>
      <w:bookmarkStart w:id="452" w:name="_Toc4673"/>
      <w:bookmarkStart w:id="453" w:name="_Toc270604614"/>
      <w:bookmarkStart w:id="454" w:name="_Toc428276609"/>
      <w:bookmarkStart w:id="455" w:name="_Toc463011305"/>
      <w:bookmarkStart w:id="456" w:name="_Toc8563"/>
      <w:r>
        <w:rPr>
          <w:rFonts w:hint="eastAsia" w:hAnsi="宋体" w:cs="黑体"/>
          <w:b/>
          <w:color w:val="auto"/>
          <w:sz w:val="21"/>
          <w:szCs w:val="21"/>
        </w:rPr>
        <w:t>对与磋商活动有关的工作人员的纪律要求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与磋商活动有关的工作人员不得收受他人的财物或者其他好处，不得向他人透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对磋商响应文件的评审和比较、成交候选人的推荐情况以及与磋商有关的其他情况。在磋商活动中，与磋商活动有关的工作人员不得擅离职守，影响磋商程序正常进行。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57" w:name="_Toc428276610"/>
      <w:bookmarkStart w:id="458" w:name="_Toc454788050"/>
      <w:bookmarkStart w:id="459" w:name="_Toc269470343"/>
      <w:bookmarkStart w:id="460" w:name="_Toc29089"/>
      <w:bookmarkStart w:id="461" w:name="_Toc428351670"/>
      <w:bookmarkStart w:id="462" w:name="_Toc27033"/>
      <w:bookmarkStart w:id="463" w:name="_Toc270604842"/>
      <w:bookmarkStart w:id="464" w:name="_Toc277149403"/>
      <w:bookmarkStart w:id="465" w:name="_Toc270604615"/>
      <w:r>
        <w:rPr>
          <w:rFonts w:hint="eastAsia" w:hAnsi="宋体" w:cs="黑体"/>
          <w:b/>
          <w:color w:val="auto"/>
          <w:sz w:val="21"/>
          <w:szCs w:val="21"/>
        </w:rPr>
        <w:t>询问、质疑和投诉</w:t>
      </w:r>
      <w:bookmarkEnd w:id="457"/>
      <w:bookmarkEnd w:id="458"/>
      <w:bookmarkEnd w:id="459"/>
      <w:bookmarkEnd w:id="460"/>
      <w:bookmarkEnd w:id="461"/>
      <w:bookmarkEnd w:id="462"/>
      <w:bookmarkEnd w:id="463"/>
      <w:bookmarkEnd w:id="464"/>
      <w:bookmarkEnd w:id="465"/>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66" w:name="_Toc11785"/>
      <w:bookmarkStart w:id="467" w:name="_Toc463011307"/>
      <w:bookmarkStart w:id="468" w:name="_Toc455678154"/>
      <w:bookmarkStart w:id="469" w:name="_Toc17445"/>
      <w:bookmarkStart w:id="470" w:name="_Toc462934328"/>
      <w:r>
        <w:rPr>
          <w:rFonts w:hint="eastAsia" w:hAnsi="宋体" w:cs="黑体"/>
          <w:color w:val="auto"/>
          <w:sz w:val="21"/>
          <w:szCs w:val="21"/>
        </w:rPr>
        <w:t>响应人或有关当事人对磋商过程、成交结果有异议的，可以向采购人或者采购代理机构提出询问。</w:t>
      </w:r>
      <w:bookmarkEnd w:id="466"/>
      <w:bookmarkEnd w:id="467"/>
      <w:bookmarkEnd w:id="468"/>
      <w:bookmarkEnd w:id="469"/>
      <w:bookmarkEnd w:id="470"/>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71" w:name="_Toc24621"/>
      <w:bookmarkStart w:id="472" w:name="_Toc463011308"/>
      <w:bookmarkStart w:id="473" w:name="_Toc462934329"/>
      <w:bookmarkStart w:id="474" w:name="_Toc27421"/>
      <w:bookmarkStart w:id="475" w:name="_Toc455678155"/>
      <w:r>
        <w:rPr>
          <w:rFonts w:hint="eastAsia" w:hAnsi="宋体" w:cs="黑体"/>
          <w:color w:val="auto"/>
          <w:sz w:val="21"/>
          <w:szCs w:val="21"/>
        </w:rPr>
        <w:t>采购人或者采购代理机构应当在三个工作日内对响应人依法提出的询问作出答复。</w:t>
      </w:r>
      <w:bookmarkEnd w:id="471"/>
      <w:bookmarkEnd w:id="472"/>
      <w:bookmarkEnd w:id="473"/>
      <w:bookmarkEnd w:id="474"/>
      <w:bookmarkEnd w:id="475"/>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76" w:name="_Toc28381"/>
      <w:bookmarkStart w:id="477" w:name="_Toc462934330"/>
      <w:bookmarkStart w:id="478" w:name="_Toc30298"/>
      <w:bookmarkStart w:id="479" w:name="_Toc455678156"/>
      <w:bookmarkStart w:id="480" w:name="_Toc463011309"/>
      <w:r>
        <w:rPr>
          <w:rFonts w:hint="eastAsia" w:hAnsi="宋体" w:cs="黑体"/>
          <w:color w:val="auto"/>
          <w:sz w:val="21"/>
          <w:szCs w:val="21"/>
        </w:rPr>
        <w:t>响应人认为竞争性磋商文件、采购过程使自己的权益受到损害的，可以在知道或者应知其权益受到损害之日起七个工作日内，以书面形式向采购人提出质疑。</w:t>
      </w:r>
      <w:bookmarkEnd w:id="476"/>
      <w:bookmarkEnd w:id="477"/>
      <w:bookmarkEnd w:id="478"/>
      <w:bookmarkEnd w:id="479"/>
      <w:bookmarkEnd w:id="480"/>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81" w:name="_Toc16614"/>
      <w:bookmarkStart w:id="482" w:name="_Toc288"/>
      <w:bookmarkStart w:id="483" w:name="_Toc462934331"/>
      <w:bookmarkStart w:id="484" w:name="_Toc463011310"/>
      <w:r>
        <w:rPr>
          <w:rFonts w:hint="eastAsia" w:hAnsi="宋体" w:cs="黑体"/>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481"/>
      <w:bookmarkEnd w:id="482"/>
      <w:bookmarkEnd w:id="483"/>
      <w:bookmarkEnd w:id="484"/>
      <w:r>
        <w:rPr>
          <w:rFonts w:hint="eastAsia" w:hAnsi="宋体" w:cs="黑体"/>
          <w:color w:val="auto"/>
          <w:sz w:val="21"/>
          <w:szCs w:val="21"/>
        </w:rPr>
        <w:t>在法定质疑期内响应人针对同一采购程序环节的质疑应当一次性提出。</w:t>
      </w:r>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85" w:name="_Toc5258"/>
      <w:bookmarkStart w:id="486" w:name="_Toc18478"/>
      <w:bookmarkStart w:id="487" w:name="_Toc462934332"/>
      <w:bookmarkStart w:id="488" w:name="_Toc463011311"/>
      <w:bookmarkStart w:id="489" w:name="_Toc455678157"/>
      <w:r>
        <w:rPr>
          <w:rFonts w:hint="eastAsia" w:hAnsi="宋体" w:cs="黑体"/>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485"/>
      <w:bookmarkEnd w:id="486"/>
      <w:bookmarkEnd w:id="487"/>
      <w:bookmarkEnd w:id="488"/>
      <w:bookmarkEnd w:id="489"/>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90" w:name="_Toc21390"/>
      <w:bookmarkStart w:id="491" w:name="_Toc463011312"/>
      <w:bookmarkStart w:id="492" w:name="_Toc455678158"/>
      <w:bookmarkStart w:id="493" w:name="_Toc462934333"/>
      <w:bookmarkStart w:id="494" w:name="_Toc4898"/>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490"/>
      <w:bookmarkEnd w:id="491"/>
      <w:bookmarkEnd w:id="492"/>
      <w:bookmarkEnd w:id="493"/>
      <w:bookmarkEnd w:id="494"/>
    </w:p>
    <w:p>
      <w:pPr>
        <w:pStyle w:val="8"/>
        <w:keepNext w:val="0"/>
        <w:keepLines w:val="0"/>
        <w:pageBreakBefore w:val="0"/>
        <w:widowControl w:val="0"/>
        <w:numPr>
          <w:ilvl w:val="2"/>
          <w:numId w:val="5"/>
        </w:numPr>
        <w:tabs>
          <w:tab w:val="left" w:pos="0"/>
          <w:tab w:val="clear" w:pos="1418"/>
        </w:tabs>
        <w:kinsoku/>
        <w:wordWrap/>
        <w:overflowPunct/>
        <w:topLinePunct w:val="0"/>
        <w:autoSpaceDE w:val="0"/>
        <w:autoSpaceDN w:val="0"/>
        <w:bidi w:val="0"/>
        <w:adjustRightInd w:val="0"/>
        <w:snapToGrid/>
        <w:spacing w:line="400" w:lineRule="exact"/>
        <w:ind w:left="420" w:leftChars="200" w:firstLine="0"/>
        <w:jc w:val="both"/>
        <w:textAlignment w:val="auto"/>
        <w:rPr>
          <w:rFonts w:hAnsi="宋体" w:cs="黑体"/>
          <w:color w:val="auto"/>
          <w:sz w:val="21"/>
          <w:szCs w:val="21"/>
        </w:rPr>
      </w:pPr>
      <w:bookmarkStart w:id="495" w:name="_Toc17682"/>
      <w:bookmarkStart w:id="496" w:name="_Toc455678159"/>
      <w:bookmarkStart w:id="497" w:name="_Toc463011313"/>
      <w:bookmarkStart w:id="498" w:name="_Toc11631"/>
      <w:bookmarkStart w:id="499" w:name="_Toc462934334"/>
      <w:r>
        <w:rPr>
          <w:rFonts w:hint="eastAsia" w:hAnsi="宋体" w:cs="黑体"/>
          <w:color w:val="auto"/>
          <w:sz w:val="21"/>
          <w:szCs w:val="21"/>
        </w:rPr>
        <w:t>响应人质疑、投诉应当有明确的请求和必要的证明材料。响应人投诉的事项不得超出已质疑事项的范围。</w:t>
      </w:r>
      <w:bookmarkEnd w:id="495"/>
      <w:bookmarkEnd w:id="496"/>
      <w:bookmarkEnd w:id="497"/>
      <w:bookmarkEnd w:id="498"/>
      <w:bookmarkEnd w:id="499"/>
    </w:p>
    <w:p>
      <w:pPr>
        <w:pStyle w:val="8"/>
        <w:numPr>
          <w:ilvl w:val="0"/>
          <w:numId w:val="5"/>
        </w:numPr>
        <w:tabs>
          <w:tab w:val="left" w:pos="360"/>
          <w:tab w:val="clear" w:pos="425"/>
        </w:tabs>
        <w:spacing w:line="360" w:lineRule="auto"/>
        <w:jc w:val="both"/>
        <w:outlineLvl w:val="1"/>
        <w:rPr>
          <w:rFonts w:hAnsi="宋体" w:cs="黑体"/>
          <w:b/>
          <w:color w:val="auto"/>
        </w:rPr>
      </w:pPr>
      <w:bookmarkStart w:id="500" w:name="_Toc5729"/>
      <w:bookmarkStart w:id="501" w:name="_Toc13477"/>
      <w:r>
        <w:rPr>
          <w:rFonts w:hint="eastAsia" w:hAnsi="宋体" w:cs="黑体"/>
          <w:b/>
          <w:color w:val="auto"/>
        </w:rPr>
        <w:t>需要补充的其他内容</w:t>
      </w:r>
      <w:bookmarkEnd w:id="500"/>
      <w:bookmarkEnd w:id="501"/>
    </w:p>
    <w:p>
      <w:pPr>
        <w:autoSpaceDE w:val="0"/>
        <w:autoSpaceDN w:val="0"/>
        <w:adjustRightInd w:val="0"/>
        <w:snapToGrid w:val="0"/>
        <w:spacing w:line="360" w:lineRule="auto"/>
        <w:ind w:firstLine="420" w:firstLineChars="200"/>
        <w:contextualSpacing/>
        <w:jc w:val="left"/>
        <w:rPr>
          <w:rFonts w:hint="eastAsia"/>
          <w:b/>
          <w:sz w:val="32"/>
          <w:szCs w:val="32"/>
        </w:rPr>
      </w:pPr>
      <w:r>
        <w:rPr>
          <w:rFonts w:hint="eastAsia" w:cs="FangSong_GB2312"/>
          <w:kern w:val="0"/>
        </w:rPr>
        <w:t>需要补充的其他内容：见</w:t>
      </w:r>
      <w:r>
        <w:rPr>
          <w:rFonts w:hint="eastAsia" w:cs="黑体"/>
        </w:rPr>
        <w:t>《响应人须知前附表》</w:t>
      </w:r>
      <w:r>
        <w:rPr>
          <w:rFonts w:hint="eastAsia" w:cs="FangSong_GB2312"/>
          <w:kern w:val="0"/>
        </w:rPr>
        <w:t>。</w:t>
      </w:r>
      <w:bookmarkStart w:id="502" w:name="_Toc72694686"/>
      <w:bookmarkStart w:id="503" w:name="_Toc1582"/>
      <w:bookmarkStart w:id="504" w:name="_Toc26850"/>
      <w:bookmarkStart w:id="505" w:name="_Toc72695358"/>
      <w:bookmarkStart w:id="506" w:name="_Toc16950"/>
      <w:bookmarkStart w:id="507" w:name="_Toc14114"/>
      <w:bookmarkStart w:id="508" w:name="_Toc16535"/>
      <w:bookmarkStart w:id="509" w:name="_Toc22649"/>
      <w:bookmarkStart w:id="510" w:name="_Toc1534"/>
      <w:bookmarkStart w:id="511" w:name="_Toc23659"/>
      <w:bookmarkStart w:id="512" w:name="_Toc22753"/>
      <w:bookmarkStart w:id="513" w:name="_Toc21398"/>
      <w:bookmarkStart w:id="514" w:name="_Toc12415"/>
      <w:bookmarkStart w:id="515" w:name="_Toc4734"/>
      <w:bookmarkStart w:id="516" w:name="_Toc6633"/>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rPr>
          <w:rFonts w:hint="eastAsia"/>
          <w:b/>
          <w:sz w:val="32"/>
          <w:szCs w:val="32"/>
        </w:rPr>
      </w:pPr>
    </w:p>
    <w:p>
      <w:pPr>
        <w:pStyle w:val="2"/>
        <w:rPr>
          <w:rFonts w:hint="eastAsia"/>
          <w:b/>
          <w:sz w:val="32"/>
          <w:szCs w:val="32"/>
        </w:rPr>
      </w:pPr>
    </w:p>
    <w:p>
      <w:pPr>
        <w:rPr>
          <w:rFonts w:hint="eastAsia"/>
          <w:b/>
          <w:sz w:val="32"/>
          <w:szCs w:val="32"/>
        </w:rPr>
      </w:pPr>
    </w:p>
    <w:p>
      <w:pPr>
        <w:pStyle w:val="2"/>
        <w:rPr>
          <w:rFonts w:hint="eastAsia"/>
        </w:rPr>
      </w:pPr>
    </w:p>
    <w:p>
      <w:pPr>
        <w:rPr>
          <w:rFonts w:hint="eastAsia"/>
          <w:b/>
          <w:sz w:val="32"/>
          <w:szCs w:val="32"/>
        </w:rPr>
      </w:pPr>
    </w:p>
    <w:p>
      <w:pPr>
        <w:jc w:val="center"/>
        <w:outlineLvl w:val="0"/>
        <w:rPr>
          <w:b/>
          <w:sz w:val="32"/>
          <w:szCs w:val="32"/>
        </w:rPr>
      </w:pPr>
      <w:r>
        <w:rPr>
          <w:rFonts w:hint="eastAsia"/>
          <w:b/>
          <w:sz w:val="32"/>
          <w:szCs w:val="32"/>
        </w:rPr>
        <w:t>第三章  评审办法</w:t>
      </w:r>
      <w:bookmarkEnd w:id="502"/>
      <w:bookmarkEnd w:id="503"/>
      <w:bookmarkEnd w:id="504"/>
      <w:bookmarkEnd w:id="505"/>
    </w:p>
    <w:bookmarkEnd w:id="506"/>
    <w:bookmarkEnd w:id="507"/>
    <w:bookmarkEnd w:id="508"/>
    <w:bookmarkEnd w:id="509"/>
    <w:bookmarkEnd w:id="510"/>
    <w:bookmarkEnd w:id="511"/>
    <w:bookmarkEnd w:id="512"/>
    <w:bookmarkEnd w:id="513"/>
    <w:bookmarkEnd w:id="514"/>
    <w:bookmarkEnd w:id="515"/>
    <w:bookmarkEnd w:id="516"/>
    <w:p>
      <w:pPr>
        <w:pStyle w:val="13"/>
        <w:spacing w:beforeLines="100" w:afterLines="100" w:line="276" w:lineRule="auto"/>
        <w:jc w:val="center"/>
        <w:outlineLvl w:val="1"/>
        <w:rPr>
          <w:rFonts w:hAnsi="宋体"/>
          <w:b/>
          <w:bCs/>
          <w:sz w:val="32"/>
          <w:szCs w:val="32"/>
        </w:rPr>
      </w:pPr>
      <w:bookmarkStart w:id="517" w:name="_Toc72694687"/>
      <w:r>
        <w:rPr>
          <w:rFonts w:hint="eastAsia" w:hAnsi="宋体"/>
          <w:b/>
          <w:bCs/>
          <w:sz w:val="32"/>
          <w:szCs w:val="32"/>
        </w:rPr>
        <w:t>评审办法前附表</w:t>
      </w:r>
      <w:bookmarkEnd w:id="517"/>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29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37"/>
              <w:ind w:firstLine="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294" w:type="dxa"/>
            <w:noWrap/>
            <w:vAlign w:val="center"/>
          </w:tcPr>
          <w:p>
            <w:pPr>
              <w:widowControl/>
              <w:spacing w:line="360" w:lineRule="auto"/>
              <w:jc w:val="center"/>
              <w:rPr>
                <w:kern w:val="0"/>
              </w:rPr>
            </w:pPr>
            <w:r>
              <w:rPr>
                <w:rFonts w:hint="eastAsia"/>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29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响应人名称</w:t>
            </w:r>
          </w:p>
        </w:tc>
        <w:tc>
          <w:tcPr>
            <w:tcW w:w="529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29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276" w:lineRule="auto"/>
              <w:jc w:val="center"/>
              <w:rPr>
                <w:kern w:val="0"/>
              </w:rPr>
            </w:pPr>
            <w:r>
              <w:rPr>
                <w:rFonts w:hint="eastAsia"/>
              </w:rPr>
              <w:t>《中华人民共和国政府采购法》第二十二条</w:t>
            </w:r>
          </w:p>
        </w:tc>
        <w:tc>
          <w:tcPr>
            <w:tcW w:w="5294" w:type="dxa"/>
            <w:noWrap/>
            <w:vAlign w:val="center"/>
          </w:tcPr>
          <w:p>
            <w:pPr>
              <w:widowControl/>
              <w:spacing w:line="276"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营业执照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资质等级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安全生产许可证</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项目经理</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rPr>
                <w:kern w:val="0"/>
              </w:rPr>
            </w:pPr>
            <w:r>
              <w:rPr>
                <w:rFonts w:hint="eastAsia"/>
                <w:kern w:val="0"/>
              </w:rPr>
              <w:t>其他要求</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294" w:type="dxa"/>
            <w:noWrap/>
            <w:vAlign w:val="center"/>
          </w:tcPr>
          <w:p>
            <w:pPr>
              <w:widowControl/>
              <w:spacing w:line="276" w:lineRule="auto"/>
              <w:jc w:val="left"/>
              <w:rPr>
                <w:kern w:val="0"/>
              </w:rPr>
            </w:pPr>
            <w:r>
              <w:rPr>
                <w:rFonts w:hint="eastAsia"/>
                <w:kern w:val="0"/>
                <w:highlight w:val="none"/>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294" w:type="dxa"/>
            <w:noWrap/>
            <w:vAlign w:val="center"/>
          </w:tcPr>
          <w:p>
            <w:pPr>
              <w:widowControl/>
              <w:spacing w:line="276" w:lineRule="auto"/>
              <w:jc w:val="center"/>
              <w:rPr>
                <w:kern w:val="0"/>
              </w:rPr>
            </w:pPr>
            <w:r>
              <w:rPr>
                <w:rFonts w:hint="eastAsia"/>
                <w:kern w:val="0"/>
              </w:rPr>
              <w:t>符合第二章“响应人须知前附表”第10项规定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工期</w:t>
            </w:r>
          </w:p>
        </w:tc>
        <w:tc>
          <w:tcPr>
            <w:tcW w:w="5294" w:type="dxa"/>
            <w:noWrap/>
            <w:vAlign w:val="center"/>
          </w:tcPr>
          <w:p>
            <w:pPr>
              <w:widowControl/>
              <w:spacing w:line="276" w:lineRule="auto"/>
              <w:jc w:val="center"/>
              <w:rPr>
                <w:kern w:val="0"/>
              </w:rPr>
            </w:pPr>
            <w:r>
              <w:rPr>
                <w:rFonts w:hint="eastAsia"/>
                <w:kern w:val="0"/>
              </w:rPr>
              <w:t>符合第二章“响应人须知前附表”第11项规定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质量标准</w:t>
            </w:r>
          </w:p>
        </w:tc>
        <w:tc>
          <w:tcPr>
            <w:tcW w:w="5294" w:type="dxa"/>
            <w:noWrap/>
            <w:vAlign w:val="center"/>
          </w:tcPr>
          <w:p>
            <w:pPr>
              <w:widowControl/>
              <w:spacing w:line="276" w:lineRule="auto"/>
              <w:jc w:val="center"/>
              <w:rPr>
                <w:kern w:val="0"/>
              </w:rPr>
            </w:pPr>
            <w:r>
              <w:rPr>
                <w:rFonts w:hint="eastAsia"/>
                <w:kern w:val="0"/>
              </w:rPr>
              <w:t>符合第二章“响应人须知前附表”第12项规定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rPr>
              <w:t>磋商有效期</w:t>
            </w:r>
          </w:p>
        </w:tc>
        <w:tc>
          <w:tcPr>
            <w:tcW w:w="5294" w:type="dxa"/>
            <w:noWrap/>
            <w:vAlign w:val="center"/>
          </w:tcPr>
          <w:p>
            <w:pPr>
              <w:widowControl/>
              <w:spacing w:line="276" w:lineRule="auto"/>
              <w:jc w:val="center"/>
              <w:rPr>
                <w:kern w:val="0"/>
              </w:rPr>
            </w:pPr>
            <w:r>
              <w:rPr>
                <w:rFonts w:hint="eastAsia"/>
                <w:kern w:val="0"/>
              </w:rPr>
              <w:t>符合第二章“响应人须知前附表”第26项规定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spacing w:line="276" w:lineRule="auto"/>
              <w:jc w:val="center"/>
            </w:pPr>
            <w:r>
              <w:t>已标价工程量清单</w:t>
            </w:r>
          </w:p>
        </w:tc>
        <w:tc>
          <w:tcPr>
            <w:tcW w:w="5294" w:type="dxa"/>
            <w:noWrap/>
            <w:vAlign w:val="center"/>
          </w:tcPr>
          <w:p>
            <w:pPr>
              <w:spacing w:line="276" w:lineRule="auto"/>
              <w:ind w:firstLine="420" w:firstLineChars="200"/>
              <w:rPr>
                <w:kern w:val="0"/>
              </w:rPr>
            </w:pPr>
            <w:r>
              <w:t>符合第</w:t>
            </w:r>
            <w:r>
              <w:rPr>
                <w:rFonts w:hint="eastAsia"/>
              </w:rPr>
              <w:t>五</w:t>
            </w:r>
            <w:r>
              <w:t>章“工程量清单”</w:t>
            </w:r>
            <w:r>
              <w:rPr>
                <w:rFonts w:hint="eastAsia"/>
              </w:rPr>
              <w:t>要求</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条款内容</w:t>
            </w:r>
          </w:p>
        </w:tc>
        <w:tc>
          <w:tcPr>
            <w:tcW w:w="5294" w:type="dxa"/>
            <w:noWrap/>
            <w:vAlign w:val="center"/>
          </w:tcPr>
          <w:p>
            <w:pPr>
              <w:autoSpaceDE w:val="0"/>
              <w:autoSpaceDN w:val="0"/>
              <w:adjustRightInd w:val="0"/>
              <w:spacing w:line="360" w:lineRule="auto"/>
              <w:ind w:left="38" w:leftChars="18"/>
              <w:jc w:val="center"/>
              <w:rPr>
                <w:kern w:val="0"/>
              </w:rPr>
            </w:pPr>
            <w:r>
              <w:rPr>
                <w:rFonts w:hint="eastAsia"/>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noWrap/>
            <w:vAlign w:val="center"/>
          </w:tcPr>
          <w:p>
            <w:pPr>
              <w:autoSpaceDE w:val="0"/>
              <w:autoSpaceDN w:val="0"/>
              <w:adjustRightInd w:val="0"/>
              <w:spacing w:line="276" w:lineRule="auto"/>
              <w:ind w:left="38" w:leftChars="18"/>
              <w:jc w:val="center"/>
              <w:rPr>
                <w:kern w:val="0"/>
              </w:rPr>
            </w:pPr>
            <w:r>
              <w:rPr>
                <w:rFonts w:hint="eastAsia"/>
                <w:kern w:val="0"/>
              </w:rPr>
              <w:t>2.2.1</w:t>
            </w:r>
          </w:p>
        </w:tc>
        <w:tc>
          <w:tcPr>
            <w:tcW w:w="2212" w:type="dxa"/>
            <w:noWrap/>
            <w:vAlign w:val="center"/>
          </w:tcPr>
          <w:p>
            <w:pPr>
              <w:autoSpaceDE w:val="0"/>
              <w:autoSpaceDN w:val="0"/>
              <w:adjustRightInd w:val="0"/>
              <w:spacing w:line="276" w:lineRule="auto"/>
              <w:ind w:left="38" w:leftChars="18"/>
              <w:jc w:val="center"/>
              <w:rPr>
                <w:kern w:val="0"/>
              </w:rPr>
            </w:pPr>
            <w:r>
              <w:rPr>
                <w:rFonts w:hint="eastAsia"/>
                <w:kern w:val="0"/>
              </w:rPr>
              <w:t>分值构成</w:t>
            </w:r>
          </w:p>
          <w:p>
            <w:pPr>
              <w:autoSpaceDE w:val="0"/>
              <w:autoSpaceDN w:val="0"/>
              <w:adjustRightInd w:val="0"/>
              <w:spacing w:line="276" w:lineRule="auto"/>
              <w:ind w:left="38" w:leftChars="18"/>
              <w:jc w:val="center"/>
              <w:rPr>
                <w:kern w:val="0"/>
              </w:rPr>
            </w:pPr>
            <w:r>
              <w:rPr>
                <w:rFonts w:hint="eastAsia"/>
                <w:kern w:val="0"/>
              </w:rPr>
              <w:t>(总分100分)</w:t>
            </w:r>
          </w:p>
        </w:tc>
        <w:tc>
          <w:tcPr>
            <w:tcW w:w="5294" w:type="dxa"/>
            <w:noWrap/>
            <w:vAlign w:val="center"/>
          </w:tcPr>
          <w:p>
            <w:pPr>
              <w:autoSpaceDE w:val="0"/>
              <w:autoSpaceDN w:val="0"/>
              <w:adjustRightInd w:val="0"/>
              <w:spacing w:line="276" w:lineRule="auto"/>
              <w:ind w:left="38" w:leftChars="18"/>
              <w:jc w:val="left"/>
              <w:rPr>
                <w:b/>
                <w:bCs/>
                <w:kern w:val="0"/>
              </w:rPr>
            </w:pPr>
            <w:r>
              <w:rPr>
                <w:rFonts w:hint="eastAsia"/>
                <w:b/>
                <w:bCs/>
                <w:kern w:val="0"/>
              </w:rPr>
              <w:t>报价得分：30分</w:t>
            </w:r>
          </w:p>
          <w:p>
            <w:pPr>
              <w:autoSpaceDE w:val="0"/>
              <w:autoSpaceDN w:val="0"/>
              <w:adjustRightInd w:val="0"/>
              <w:spacing w:line="276" w:lineRule="auto"/>
              <w:ind w:left="38" w:leftChars="18"/>
              <w:jc w:val="left"/>
              <w:rPr>
                <w:b/>
              </w:rPr>
            </w:pPr>
            <w:r>
              <w:rPr>
                <w:rFonts w:hint="eastAsia"/>
                <w:b/>
              </w:rPr>
              <w:t>技术部分：50分</w:t>
            </w:r>
          </w:p>
          <w:p>
            <w:pPr>
              <w:autoSpaceDE w:val="0"/>
              <w:autoSpaceDN w:val="0"/>
              <w:adjustRightInd w:val="0"/>
              <w:spacing w:line="276" w:lineRule="auto"/>
              <w:ind w:left="38" w:leftChars="18"/>
              <w:jc w:val="left"/>
              <w:rPr>
                <w:b/>
              </w:rPr>
            </w:pPr>
            <w:r>
              <w:rPr>
                <w:rFonts w:hint="eastAsia"/>
                <w:b/>
              </w:rPr>
              <w:t>综合实力：20分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评分因素</w:t>
            </w:r>
          </w:p>
        </w:tc>
        <w:tc>
          <w:tcPr>
            <w:tcW w:w="5294" w:type="dxa"/>
            <w:noWrap/>
            <w:vAlign w:val="center"/>
          </w:tcPr>
          <w:p>
            <w:pPr>
              <w:autoSpaceDE w:val="0"/>
              <w:autoSpaceDN w:val="0"/>
              <w:adjustRightInd w:val="0"/>
              <w:spacing w:line="360" w:lineRule="auto"/>
              <w:ind w:left="38" w:leftChars="18" w:firstLine="1890" w:firstLineChars="900"/>
              <w:rPr>
                <w:b/>
              </w:rPr>
            </w:pPr>
            <w:r>
              <w:rPr>
                <w:rFonts w:hint="eastAsia"/>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015" w:type="dxa"/>
            <w:noWrap/>
            <w:vAlign w:val="center"/>
          </w:tcPr>
          <w:p>
            <w:pPr>
              <w:widowControl/>
              <w:spacing w:line="360" w:lineRule="auto"/>
              <w:jc w:val="center"/>
              <w:rPr>
                <w:kern w:val="0"/>
              </w:rPr>
            </w:pPr>
            <w:r>
              <w:rPr>
                <w:rFonts w:hint="eastAsia"/>
                <w:kern w:val="0"/>
              </w:rPr>
              <w:t>2.2.2（1）</w:t>
            </w:r>
          </w:p>
        </w:tc>
        <w:tc>
          <w:tcPr>
            <w:tcW w:w="879" w:type="dxa"/>
            <w:vAlign w:val="center"/>
          </w:tcPr>
          <w:p>
            <w:pPr>
              <w:widowControl/>
              <w:spacing w:line="360" w:lineRule="auto"/>
              <w:jc w:val="center"/>
              <w:rPr>
                <w:b/>
              </w:rPr>
            </w:pPr>
            <w:r>
              <w:rPr>
                <w:rFonts w:hint="eastAsia"/>
                <w:b/>
              </w:rPr>
              <w:t>报价</w:t>
            </w:r>
          </w:p>
          <w:p>
            <w:pPr>
              <w:widowControl/>
              <w:spacing w:line="360" w:lineRule="auto"/>
              <w:jc w:val="center"/>
              <w:rPr>
                <w:b/>
              </w:rPr>
            </w:pPr>
            <w:r>
              <w:rPr>
                <w:rFonts w:hint="eastAsia"/>
                <w:b/>
              </w:rPr>
              <w:t>得分</w:t>
            </w:r>
          </w:p>
          <w:p>
            <w:pPr>
              <w:widowControl/>
              <w:spacing w:line="360" w:lineRule="auto"/>
              <w:jc w:val="center"/>
              <w:rPr>
                <w:b/>
              </w:rPr>
            </w:pPr>
            <w:r>
              <w:rPr>
                <w:rFonts w:hint="eastAsia"/>
                <w:b/>
              </w:rPr>
              <w:t>（30分）</w:t>
            </w:r>
          </w:p>
        </w:tc>
        <w:tc>
          <w:tcPr>
            <w:tcW w:w="2212" w:type="dxa"/>
            <w:noWrap/>
            <w:vAlign w:val="center"/>
          </w:tcPr>
          <w:p>
            <w:pPr>
              <w:pStyle w:val="37"/>
              <w:ind w:firstLine="0"/>
            </w:pPr>
            <w:r>
              <w:rPr>
                <w:rFonts w:hint="eastAsia"/>
                <w:b/>
              </w:rPr>
              <w:t>磋商报价评分标准</w:t>
            </w:r>
          </w:p>
        </w:tc>
        <w:tc>
          <w:tcPr>
            <w:tcW w:w="5294" w:type="dxa"/>
            <w:noWrap/>
            <w:vAlign w:val="center"/>
          </w:tcPr>
          <w:p>
            <w:pPr>
              <w:widowControl/>
              <w:spacing w:line="360" w:lineRule="auto"/>
              <w:jc w:val="left"/>
              <w:rPr>
                <w:rFonts w:hint="eastAsia"/>
              </w:rPr>
            </w:pPr>
            <w:r>
              <w:rPr>
                <w:rFonts w:hint="eastAsia"/>
                <w:lang w:eastAsia="zh-CN"/>
              </w:rPr>
              <w:t>注：</w:t>
            </w:r>
            <w:r>
              <w:rPr>
                <w:rFonts w:hint="eastAsia"/>
              </w:rPr>
              <w:t>（一）促进中小企业发展和支持监狱企业发展：</w:t>
            </w:r>
          </w:p>
          <w:p>
            <w:pPr>
              <w:widowControl/>
              <w:spacing w:line="360" w:lineRule="auto"/>
              <w:jc w:val="left"/>
              <w:rPr>
                <w:rFonts w:hint="eastAsia"/>
              </w:rPr>
            </w:pPr>
            <w:r>
              <w:rPr>
                <w:rFonts w:hint="eastAsia"/>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lang w:val="en-US" w:eastAsia="zh-CN"/>
              </w:rPr>
              <w:t>5</w:t>
            </w:r>
            <w:r>
              <w:rPr>
                <w:rFonts w:hint="eastAsia"/>
              </w:rPr>
              <w:t>%后参与评审。（注：多品目投标时所有产品的生产企业须同时为小型、微型企业才能享受价格扣除政策）</w:t>
            </w:r>
          </w:p>
          <w:p>
            <w:pPr>
              <w:widowControl/>
              <w:spacing w:line="360" w:lineRule="auto"/>
              <w:jc w:val="left"/>
              <w:rPr>
                <w:rFonts w:hint="eastAsia"/>
              </w:rPr>
            </w:pPr>
            <w:r>
              <w:rPr>
                <w:rFonts w:hint="eastAsia"/>
              </w:rPr>
              <w:t>中小企业划分标准以工信部联企业【2011】300号《工业和信息化部国家统计局国家发展和改革委财政部关于印发中小企业划型标准规定的通知》为依据。</w:t>
            </w:r>
          </w:p>
          <w:p>
            <w:pPr>
              <w:widowControl/>
              <w:spacing w:line="360" w:lineRule="auto"/>
              <w:jc w:val="left"/>
              <w:rPr>
                <w:rFonts w:hint="eastAsia"/>
              </w:rPr>
            </w:pPr>
            <w:r>
              <w:rPr>
                <w:rFonts w:hint="eastAsia"/>
              </w:rPr>
              <w:t>（二）强制采购节能产品、信息安全产品，优先采购环境标志产品政策。</w:t>
            </w:r>
          </w:p>
          <w:p>
            <w:pPr>
              <w:widowControl/>
              <w:spacing w:line="360" w:lineRule="auto"/>
              <w:jc w:val="left"/>
              <w:rPr>
                <w:rFonts w:hint="eastAsia"/>
              </w:rPr>
            </w:pPr>
            <w:r>
              <w:rPr>
                <w:rFonts w:hint="eastAsia"/>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spacing w:line="360" w:lineRule="auto"/>
              <w:jc w:val="left"/>
              <w:rPr>
                <w:rFonts w:hint="eastAsia"/>
              </w:rPr>
            </w:pPr>
            <w:r>
              <w:rPr>
                <w:rFonts w:hint="eastAsia"/>
              </w:rPr>
              <w:t>提供的产品属于信息安全产品的，供应商应当选择经国家认证的信息安全产品投标，并提供由中国信息安全认证中心按国家标准认证颁发的有效认证证书复印件。</w:t>
            </w:r>
          </w:p>
          <w:p>
            <w:pPr>
              <w:widowControl/>
              <w:spacing w:line="360" w:lineRule="auto"/>
              <w:jc w:val="left"/>
              <w:rPr>
                <w:rFonts w:hint="eastAsia"/>
              </w:rPr>
            </w:pPr>
            <w:r>
              <w:rPr>
                <w:rFonts w:hint="eastAsia"/>
              </w:rPr>
              <w:t>提供的产品属于政府强制采购节能产品的，供应商应当选择《节能产品政府采购清单》中的产品投标，并提供有效的节能产品认证证书复印件。</w:t>
            </w:r>
          </w:p>
          <w:p>
            <w:pPr>
              <w:widowControl/>
              <w:spacing w:line="360" w:lineRule="auto"/>
              <w:jc w:val="left"/>
              <w:rPr>
                <w:rFonts w:hint="eastAsia"/>
              </w:rPr>
            </w:pPr>
            <w:r>
              <w:rPr>
                <w:rFonts w:hint="eastAsia"/>
              </w:rPr>
              <w:t>满足磋商文件要求且响应价格最低的响应报价为基准价，其价格分为满分。其他供应商的价格分统一按照下列公式计算：</w:t>
            </w:r>
          </w:p>
          <w:p>
            <w:pPr>
              <w:widowControl/>
              <w:spacing w:line="360" w:lineRule="auto"/>
              <w:jc w:val="left"/>
              <w:rPr>
                <w:b/>
              </w:rPr>
            </w:pPr>
            <w:r>
              <w:rPr>
                <w:rFonts w:hint="eastAsia"/>
              </w:rPr>
              <w:t>报价得分=(基准价／最后报价)×</w:t>
            </w:r>
            <w:r>
              <w:rPr>
                <w:rFonts w:hint="eastAsia"/>
                <w:lang w:val="en-US" w:eastAsia="zh-CN"/>
              </w:rPr>
              <w:t>30</w:t>
            </w: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2.2.2（2）</w:t>
            </w:r>
          </w:p>
        </w:tc>
        <w:tc>
          <w:tcPr>
            <w:tcW w:w="879" w:type="dxa"/>
            <w:vMerge w:val="restart"/>
            <w:noWrap/>
            <w:vAlign w:val="center"/>
          </w:tcPr>
          <w:p>
            <w:pPr>
              <w:widowControl/>
              <w:spacing w:line="360" w:lineRule="auto"/>
              <w:rPr>
                <w:b/>
              </w:rPr>
            </w:pPr>
            <w:r>
              <w:rPr>
                <w:rFonts w:hint="eastAsia"/>
                <w:b/>
              </w:rPr>
              <w:t>技术部分（5</w:t>
            </w:r>
            <w:r>
              <w:rPr>
                <w:rFonts w:hint="eastAsia"/>
                <w:b/>
                <w:lang w:val="en-US" w:eastAsia="zh-CN"/>
              </w:rPr>
              <w:t>5</w:t>
            </w:r>
            <w:r>
              <w:rPr>
                <w:rFonts w:hint="eastAsia"/>
                <w:b/>
              </w:rPr>
              <w:t>）</w:t>
            </w:r>
          </w:p>
        </w:tc>
        <w:tc>
          <w:tcPr>
            <w:tcW w:w="2212" w:type="dxa"/>
            <w:noWrap/>
            <w:vAlign w:val="top"/>
          </w:tcPr>
          <w:p>
            <w:pPr>
              <w:widowControl/>
              <w:spacing w:line="360" w:lineRule="auto"/>
              <w:jc w:val="left"/>
              <w:rPr>
                <w:kern w:val="0"/>
              </w:rPr>
            </w:pPr>
            <w:r>
              <w:rPr>
                <w:rFonts w:hint="eastAsia"/>
              </w:rPr>
              <w:t>1.内容完整性和编制水平</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内容完整性和编制水平</w:t>
            </w:r>
            <w:r>
              <w:rPr>
                <w:rFonts w:hint="eastAsia" w:ascii="宋体" w:hAnsi="宋体" w:cs="宋体"/>
                <w:szCs w:val="21"/>
              </w:rPr>
              <w:t>准确</w:t>
            </w:r>
            <w:r>
              <w:rPr>
                <w:rFonts w:hint="eastAsia" w:ascii="宋体" w:hAnsi="宋体" w:cs="宋体"/>
                <w:szCs w:val="21"/>
                <w:lang w:eastAsia="zh-CN"/>
              </w:rPr>
              <w:t>、合理的得</w:t>
            </w:r>
            <w:r>
              <w:rPr>
                <w:rFonts w:hint="eastAsia" w:ascii="宋体" w:hAnsi="宋体" w:cs="宋体"/>
                <w:szCs w:val="21"/>
                <w:lang w:val="en-US" w:eastAsia="zh-CN"/>
              </w:rPr>
              <w:t>3-</w:t>
            </w:r>
            <w:r>
              <w:rPr>
                <w:rFonts w:hint="eastAsia" w:cs="宋体"/>
                <w:szCs w:val="21"/>
                <w:lang w:val="en-US" w:eastAsia="zh-CN"/>
              </w:rPr>
              <w:t>6</w:t>
            </w:r>
            <w:r>
              <w:rPr>
                <w:rFonts w:hint="eastAsia" w:ascii="宋体" w:hAnsi="宋体" w:cs="宋体"/>
                <w:szCs w:val="21"/>
                <w:lang w:val="en-US" w:eastAsia="zh-CN"/>
              </w:rPr>
              <w:t>分。</w:t>
            </w:r>
          </w:p>
          <w:p>
            <w:pPr>
              <w:spacing w:line="320" w:lineRule="exact"/>
              <w:rPr>
                <w:rFonts w:hint="eastAsia" w:ascii="宋体" w:hAnsi="宋体" w:cs="宋体"/>
                <w:szCs w:val="21"/>
                <w:lang w:val="en-US" w:eastAsia="zh-CN"/>
              </w:rPr>
            </w:pPr>
            <w:r>
              <w:rPr>
                <w:rFonts w:hint="eastAsia" w:ascii="宋体" w:hAnsi="宋体" w:cs="宋体"/>
                <w:szCs w:val="21"/>
                <w:lang w:eastAsia="zh-CN"/>
              </w:rPr>
              <w:t>第二档：</w:t>
            </w:r>
            <w:r>
              <w:rPr>
                <w:rFonts w:hint="eastAsia"/>
              </w:rPr>
              <w:t>内容完整性和编制水平</w:t>
            </w:r>
            <w:r>
              <w:rPr>
                <w:rFonts w:hint="eastAsia" w:ascii="宋体" w:hAnsi="宋体" w:cs="宋体"/>
                <w:szCs w:val="21"/>
                <w:lang w:eastAsia="zh-CN"/>
              </w:rPr>
              <w:t>简洁、合理的得</w:t>
            </w:r>
            <w:r>
              <w:rPr>
                <w:rFonts w:hint="eastAsia" w:ascii="宋体" w:hAnsi="宋体" w:cs="宋体"/>
                <w:szCs w:val="21"/>
                <w:lang w:val="en-US" w:eastAsia="zh-CN"/>
              </w:rPr>
              <w:t>1-</w:t>
            </w:r>
            <w:r>
              <w:rPr>
                <w:rFonts w:hint="eastAsia" w:cs="宋体"/>
                <w:szCs w:val="21"/>
                <w:lang w:val="en-US" w:eastAsia="zh-CN"/>
              </w:rPr>
              <w:t>3</w:t>
            </w:r>
            <w:r>
              <w:rPr>
                <w:rFonts w:hint="eastAsia" w:ascii="宋体" w:hAnsi="宋体" w:cs="宋体"/>
                <w:szCs w:val="21"/>
                <w:lang w:val="en-US" w:eastAsia="zh-CN"/>
              </w:rPr>
              <w:t>分。</w:t>
            </w:r>
          </w:p>
          <w:p>
            <w:pPr>
              <w:widowControl/>
              <w:spacing w:line="360" w:lineRule="auto"/>
              <w:jc w:val="left"/>
              <w:rPr>
                <w:kern w:val="0"/>
              </w:rPr>
            </w:pPr>
            <w:r>
              <w:rPr>
                <w:rFonts w:hint="eastAsia" w:ascii="宋体" w:hAnsi="宋体" w:cs="宋体"/>
                <w:szCs w:val="21"/>
                <w:lang w:eastAsia="zh-CN"/>
              </w:rPr>
              <w:t>第三档：</w:t>
            </w:r>
            <w:r>
              <w:rPr>
                <w:rFonts w:hint="eastAsia"/>
              </w:rPr>
              <w:t>内容完整性和编制水平</w:t>
            </w:r>
            <w:r>
              <w:rPr>
                <w:rFonts w:hint="eastAsia" w:ascii="宋体" w:hAnsi="宋体" w:cs="宋体"/>
                <w:szCs w:val="21"/>
                <w:lang w:eastAsia="zh-CN"/>
              </w:rPr>
              <w:t>提供不健全的得</w:t>
            </w:r>
            <w:r>
              <w:rPr>
                <w:rFonts w:hint="eastAsia" w:ascii="宋体" w:hAnsi="宋体" w:cs="宋体"/>
                <w:szCs w:val="21"/>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2.施工方案与技术措施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施工方案与技术措施可实施性</w:t>
            </w:r>
            <w:r>
              <w:rPr>
                <w:rFonts w:hint="eastAsia"/>
                <w:lang w:eastAsia="zh-CN"/>
              </w:rPr>
              <w:t>强的得</w:t>
            </w:r>
            <w:r>
              <w:rPr>
                <w:rFonts w:hint="eastAsia"/>
                <w:lang w:val="en-US" w:eastAsia="zh-CN"/>
              </w:rPr>
              <w:t>3-6分。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施工方案与技术措施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施工方案与技术措施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3.质量管理体系与措施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质量管理体系与措施</w:t>
            </w:r>
            <w:r>
              <w:rPr>
                <w:rFonts w:hint="eastAsia" w:ascii="Times New Roman" w:hAnsi="Times New Roman" w:eastAsia="宋体" w:cs="Times New Roman"/>
              </w:rPr>
              <w:t>可靠</w:t>
            </w:r>
            <w:r>
              <w:rPr>
                <w:rFonts w:hint="eastAsia" w:ascii="Times New Roman" w:hAnsi="Times New Roman" w:eastAsia="宋体" w:cs="Times New Roman"/>
                <w:lang w:eastAsia="zh-CN"/>
              </w:rPr>
              <w:t>、充分的得</w:t>
            </w:r>
            <w:r>
              <w:rPr>
                <w:rFonts w:hint="eastAsia" w:ascii="Times New Roman" w:hAnsi="Times New Roman" w:eastAsia="宋体" w:cs="Times New Roman"/>
                <w:lang w:val="en-US" w:eastAsia="zh-CN"/>
              </w:rPr>
              <w:t>3-</w:t>
            </w:r>
            <w:r>
              <w:rPr>
                <w:rFonts w:hint="eastAsia" w:ascii="Times New Roman" w:hAnsi="Times New Roman" w:cs="Times New Roman"/>
                <w:lang w:val="en-US" w:eastAsia="zh-CN"/>
              </w:rPr>
              <w:t>6</w:t>
            </w:r>
            <w:r>
              <w:rPr>
                <w:rFonts w:hint="eastAsia" w:ascii="Times New Roman" w:hAnsi="Times New Roman" w:eastAsia="宋体" w:cs="Times New Roman"/>
                <w:lang w:val="en-US" w:eastAsia="zh-CN"/>
              </w:rPr>
              <w:t>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质量管理体系与措施</w:t>
            </w:r>
            <w:r>
              <w:rPr>
                <w:rFonts w:hint="eastAsia" w:ascii="Times New Roman" w:hAnsi="Times New Roman" w:eastAsia="宋体" w:cs="Times New Roman"/>
                <w:lang w:val="en-US" w:eastAsia="zh-CN"/>
              </w:rPr>
              <w:t>合理、科学的得1-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质量管理体系与措施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4.安全管理体系与措施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安全管理体系与措施</w:t>
            </w:r>
            <w:r>
              <w:rPr>
                <w:rFonts w:hint="eastAsia" w:ascii="Times New Roman" w:hAnsi="Times New Roman" w:eastAsia="宋体" w:cs="Times New Roman"/>
                <w:lang w:eastAsia="zh-CN"/>
              </w:rPr>
              <w:t>符合工程建设强制性标准且有效性、实施性强的得</w:t>
            </w:r>
            <w:r>
              <w:rPr>
                <w:rFonts w:hint="eastAsia" w:ascii="Times New Roman" w:hAnsi="Times New Roman" w:eastAsia="宋体" w:cs="Times New Roman"/>
                <w:lang w:val="en-US" w:eastAsia="zh-CN"/>
              </w:rPr>
              <w:t>3-5分。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安全管理体系与措施</w:t>
            </w:r>
            <w:r>
              <w:rPr>
                <w:rFonts w:hint="eastAsia" w:ascii="Times New Roman" w:hAnsi="Times New Roman" w:eastAsia="宋体" w:cs="Times New Roman"/>
                <w:lang w:eastAsia="zh-CN"/>
              </w:rPr>
              <w:t>符合工程建设强制性标准的得</w:t>
            </w:r>
            <w:r>
              <w:rPr>
                <w:rFonts w:hint="eastAsia" w:ascii="Times New Roman" w:hAnsi="Times New Roman" w:eastAsia="宋体" w:cs="Times New Roman"/>
                <w:lang w:val="en-US" w:eastAsia="zh-CN"/>
              </w:rPr>
              <w:t>1-</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安全管理体系与措施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5.文明施工管理体系与措施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文明施工管理体系与措施</w:t>
            </w:r>
            <w:r>
              <w:rPr>
                <w:rFonts w:hint="eastAsia"/>
                <w:lang w:eastAsia="zh-CN"/>
              </w:rPr>
              <w:t>充分可靠且有效性强的得</w:t>
            </w:r>
            <w:r>
              <w:rPr>
                <w:rFonts w:hint="eastAsia"/>
                <w:lang w:val="en-US" w:eastAsia="zh-CN"/>
              </w:rPr>
              <w:t>3-6分。</w:t>
            </w:r>
          </w:p>
          <w:p>
            <w:pPr>
              <w:spacing w:line="320" w:lineRule="exact"/>
              <w:rPr>
                <w:rFonts w:hint="eastAsia"/>
                <w:lang w:val="en-US" w:eastAsia="zh-CN"/>
              </w:rPr>
            </w:pPr>
            <w:r>
              <w:rPr>
                <w:rFonts w:hint="eastAsia"/>
                <w:lang w:eastAsia="zh-CN"/>
              </w:rPr>
              <w:t>第二档：</w:t>
            </w:r>
            <w:r>
              <w:rPr>
                <w:rFonts w:hint="eastAsia"/>
              </w:rPr>
              <w:t>文明施工管理体系与措施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文明施工管理体系与措施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6.环境保护管理体系与措施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环境保护管理体系与措施</w:t>
            </w:r>
            <w:r>
              <w:rPr>
                <w:rFonts w:hint="eastAsia"/>
                <w:lang w:eastAsia="zh-CN"/>
              </w:rPr>
              <w:t>充分可靠且有效性强的得</w:t>
            </w:r>
            <w:r>
              <w:rPr>
                <w:rFonts w:hint="eastAsia"/>
                <w:lang w:val="en-US" w:eastAsia="zh-CN"/>
              </w:rPr>
              <w:t>3-5分。</w:t>
            </w:r>
          </w:p>
          <w:p>
            <w:pPr>
              <w:spacing w:line="320" w:lineRule="exact"/>
              <w:rPr>
                <w:rFonts w:hint="eastAsia"/>
                <w:lang w:val="en-US" w:eastAsia="zh-CN"/>
              </w:rPr>
            </w:pPr>
            <w:r>
              <w:rPr>
                <w:rFonts w:hint="eastAsia"/>
                <w:lang w:eastAsia="zh-CN"/>
              </w:rPr>
              <w:t>第二档：</w:t>
            </w:r>
            <w:r>
              <w:rPr>
                <w:rFonts w:hint="eastAsia"/>
              </w:rPr>
              <w:t>环境保护管理体系与措施</w:t>
            </w:r>
            <w:r>
              <w:rPr>
                <w:rFonts w:hint="eastAsia"/>
                <w:lang w:eastAsia="zh-CN"/>
              </w:rPr>
              <w:t>充分合理的得</w:t>
            </w:r>
            <w:r>
              <w:rPr>
                <w:rFonts w:hint="eastAsia"/>
                <w:lang w:val="en-US" w:eastAsia="zh-CN"/>
              </w:rPr>
              <w:t>1-3分。</w:t>
            </w:r>
          </w:p>
          <w:p>
            <w:pPr>
              <w:widowControl/>
              <w:spacing w:line="360" w:lineRule="auto"/>
              <w:jc w:val="left"/>
              <w:rPr>
                <w:kern w:val="0"/>
              </w:rPr>
            </w:pPr>
            <w:r>
              <w:rPr>
                <w:rFonts w:hint="eastAsia"/>
                <w:lang w:eastAsia="zh-CN"/>
              </w:rPr>
              <w:t>第三档：</w:t>
            </w:r>
            <w:r>
              <w:rPr>
                <w:rFonts w:hint="eastAsia"/>
              </w:rPr>
              <w:t>环境保护管理体系与措施</w:t>
            </w:r>
            <w:r>
              <w:rPr>
                <w:rFonts w:hint="eastAsia"/>
                <w:lang w:eastAsia="zh-CN"/>
              </w:rPr>
              <w:t>提供不健全的得</w:t>
            </w:r>
            <w:r>
              <w:rPr>
                <w:rFonts w:hint="eastAsia"/>
                <w:lang w:val="en-US" w:eastAsia="zh-CN"/>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7.工程进度计划与措施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工程进度计划与措施可实施性</w:t>
            </w:r>
            <w:r>
              <w:rPr>
                <w:rFonts w:hint="eastAsia"/>
                <w:lang w:eastAsia="zh-CN"/>
              </w:rPr>
              <w:t>强的得</w:t>
            </w:r>
            <w:r>
              <w:rPr>
                <w:rFonts w:hint="eastAsia"/>
                <w:lang w:val="en-US" w:eastAsia="zh-CN"/>
              </w:rPr>
              <w:t>3-6分。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工程进度计划与措施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工程进度计划与措施</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8.资源配备计划（人员和设备等）</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资源配备计划（人员和设备等）可实施性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资源配备计划（人员和设备等）</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资源配备计划（人员和设备等）</w:t>
            </w:r>
            <w:r>
              <w:rPr>
                <w:rFonts w:hint="eastAsia" w:ascii="Times New Roman" w:hAnsi="Times New Roman" w:eastAsia="宋体" w:cs="Times New Roman"/>
                <w:lang w:val="en-US" w:eastAsia="zh-CN"/>
              </w:rPr>
              <w:t>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9.新工艺、新技术、新设备、新材料的采用程度，其在确保质量、降低成本、缩短工期、减轻劳动强度、提高工效等方面的作用。</w:t>
            </w:r>
          </w:p>
        </w:tc>
        <w:tc>
          <w:tcPr>
            <w:tcW w:w="5294" w:type="dxa"/>
            <w:noWrap/>
            <w:vAlign w:val="top"/>
          </w:tcPr>
          <w:p>
            <w:pPr>
              <w:widowControl/>
              <w:spacing w:line="360" w:lineRule="auto"/>
              <w:jc w:val="left"/>
            </w:pPr>
          </w:p>
          <w:p>
            <w:pPr>
              <w:spacing w:line="320" w:lineRule="exact"/>
              <w:rPr>
                <w:rFonts w:hint="eastAsia"/>
                <w:lang w:val="en-US" w:eastAsia="zh-CN"/>
              </w:rPr>
            </w:pPr>
            <w:r>
              <w:rPr>
                <w:rFonts w:hint="eastAsia"/>
                <w:lang w:eastAsia="zh-CN"/>
              </w:rPr>
              <w:t>第一档：</w:t>
            </w:r>
            <w:r>
              <w:rPr>
                <w:rFonts w:hint="eastAsia"/>
              </w:rPr>
              <w:t>可实施性</w:t>
            </w:r>
            <w:r>
              <w:rPr>
                <w:rFonts w:hint="eastAsia"/>
                <w:lang w:eastAsia="zh-CN"/>
              </w:rPr>
              <w:t>强的得</w:t>
            </w:r>
            <w:r>
              <w:rPr>
                <w:rFonts w:hint="eastAsia"/>
                <w:lang w:val="en-US" w:eastAsia="zh-CN"/>
              </w:rPr>
              <w:t>3-5分。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第三档：提供不健全的得0-1分。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10.施工总进度表及施工总平面图</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施工总进度表及施工总平面图</w:t>
            </w:r>
            <w:r>
              <w:rPr>
                <w:rFonts w:hint="eastAsia" w:ascii="宋体" w:hAnsi="宋体" w:cs="宋体"/>
                <w:szCs w:val="21"/>
                <w:lang w:eastAsia="zh-CN"/>
              </w:rPr>
              <w:t>实施性强的得</w:t>
            </w:r>
            <w:r>
              <w:rPr>
                <w:rFonts w:hint="eastAsia" w:cs="宋体"/>
                <w:szCs w:val="21"/>
                <w:lang w:val="en-US" w:eastAsia="zh-CN"/>
              </w:rPr>
              <w:t>3</w:t>
            </w:r>
            <w:r>
              <w:rPr>
                <w:rFonts w:hint="eastAsia" w:ascii="宋体" w:hAnsi="宋体" w:cs="宋体"/>
                <w:szCs w:val="21"/>
                <w:lang w:val="en-US" w:eastAsia="zh-CN"/>
              </w:rPr>
              <w:t>-5分。</w:t>
            </w:r>
          </w:p>
          <w:p>
            <w:pPr>
              <w:spacing w:line="320" w:lineRule="exact"/>
              <w:rPr>
                <w:rFonts w:hint="eastAsia" w:ascii="宋体" w:hAnsi="宋体" w:cs="宋体"/>
                <w:szCs w:val="21"/>
                <w:lang w:val="en-US" w:eastAsia="zh-CN"/>
              </w:rPr>
            </w:pPr>
            <w:r>
              <w:rPr>
                <w:rFonts w:hint="eastAsia" w:ascii="宋体" w:hAnsi="宋体" w:cs="宋体"/>
                <w:szCs w:val="21"/>
                <w:lang w:val="en-US" w:eastAsia="zh-CN"/>
              </w:rPr>
              <w:t>第二档：</w:t>
            </w:r>
            <w:r>
              <w:rPr>
                <w:rFonts w:hint="eastAsia"/>
              </w:rPr>
              <w:t>施工总进度表及施工总平面图</w:t>
            </w:r>
            <w:r>
              <w:rPr>
                <w:rFonts w:hint="eastAsia" w:ascii="宋体" w:hAnsi="宋体" w:cs="宋体"/>
                <w:szCs w:val="21"/>
                <w:lang w:eastAsia="zh-CN"/>
              </w:rPr>
              <w:t>科学、合理的得</w:t>
            </w:r>
            <w:r>
              <w:rPr>
                <w:rFonts w:hint="eastAsia" w:cs="宋体"/>
                <w:szCs w:val="21"/>
                <w:lang w:val="en-US" w:eastAsia="zh-CN"/>
              </w:rPr>
              <w:t>1</w:t>
            </w:r>
            <w:r>
              <w:rPr>
                <w:rFonts w:hint="eastAsia" w:ascii="宋体" w:hAnsi="宋体" w:cs="宋体"/>
                <w:szCs w:val="21"/>
                <w:lang w:val="en-US" w:eastAsia="zh-CN"/>
              </w:rPr>
              <w:t>-3分。</w:t>
            </w:r>
          </w:p>
          <w:p>
            <w:pPr>
              <w:widowControl/>
              <w:spacing w:line="360" w:lineRule="auto"/>
              <w:jc w:val="left"/>
              <w:rPr>
                <w:kern w:val="0"/>
              </w:rPr>
            </w:pPr>
            <w:r>
              <w:rPr>
                <w:rFonts w:hint="eastAsia" w:ascii="宋体" w:hAnsi="宋体" w:cs="宋体"/>
                <w:szCs w:val="21"/>
                <w:lang w:eastAsia="zh-CN"/>
              </w:rPr>
              <w:t>第三档：</w:t>
            </w:r>
            <w:r>
              <w:rPr>
                <w:rFonts w:hint="eastAsia"/>
              </w:rPr>
              <w:t>施工总进度表及施工总平面图</w:t>
            </w:r>
            <w:r>
              <w:rPr>
                <w:rFonts w:hint="eastAsia" w:ascii="宋体" w:hAnsi="宋体" w:cs="宋体"/>
                <w:szCs w:val="21"/>
                <w:lang w:eastAsia="zh-CN"/>
              </w:rPr>
              <w:t>提供不健全的得</w:t>
            </w:r>
            <w:r>
              <w:rPr>
                <w:rFonts w:hint="eastAsia" w:ascii="宋体" w:hAnsi="宋体" w:cs="宋体"/>
                <w:szCs w:val="21"/>
                <w:lang w:val="en-US" w:eastAsia="zh-CN"/>
              </w:rPr>
              <w:t>0-</w:t>
            </w:r>
            <w:r>
              <w:rPr>
                <w:rFonts w:hint="eastAsia" w:cs="宋体"/>
                <w:szCs w:val="21"/>
                <w:lang w:val="en-US" w:eastAsia="zh-CN"/>
              </w:rPr>
              <w:t>1</w:t>
            </w:r>
            <w:r>
              <w:rPr>
                <w:rFonts w:hint="eastAsia" w:ascii="宋体" w:hAnsi="宋体" w:cs="宋体"/>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7506" w:type="dxa"/>
            <w:gridSpan w:val="2"/>
            <w:noWrap/>
            <w:vAlign w:val="center"/>
          </w:tcPr>
          <w:p>
            <w:pPr>
              <w:wordWrap/>
              <w:topLinePunct w:val="0"/>
              <w:adjustRightInd w:val="0"/>
              <w:snapToGrid w:val="0"/>
              <w:spacing w:line="360" w:lineRule="auto"/>
              <w:jc w:val="left"/>
              <w:rPr>
                <w:kern w:val="0"/>
              </w:rPr>
            </w:pPr>
            <w:r>
              <w:rPr>
                <w:rFonts w:hint="eastAsia"/>
                <w:b/>
                <w:spacing w:val="1"/>
              </w:rPr>
              <w:t>以上1-10项若有缺项的，该项为0分；不缺项的，不低于最低分。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15" w:type="dxa"/>
            <w:vMerge w:val="restart"/>
            <w:noWrap/>
            <w:vAlign w:val="center"/>
          </w:tcPr>
          <w:p>
            <w:pPr>
              <w:widowControl/>
              <w:spacing w:line="360" w:lineRule="auto"/>
              <w:jc w:val="center"/>
              <w:rPr>
                <w:kern w:val="0"/>
              </w:rPr>
            </w:pPr>
            <w:r>
              <w:rPr>
                <w:rFonts w:hint="eastAsia"/>
                <w:kern w:val="0"/>
              </w:rPr>
              <w:t>2.2.2（3）</w:t>
            </w:r>
          </w:p>
        </w:tc>
        <w:tc>
          <w:tcPr>
            <w:tcW w:w="879" w:type="dxa"/>
            <w:vMerge w:val="restart"/>
            <w:noWrap/>
            <w:vAlign w:val="center"/>
          </w:tcPr>
          <w:p>
            <w:pPr>
              <w:wordWrap/>
              <w:topLinePunct w:val="0"/>
              <w:spacing w:line="360" w:lineRule="auto"/>
              <w:jc w:val="center"/>
              <w:rPr>
                <w:b/>
              </w:rPr>
            </w:pPr>
            <w:r>
              <w:rPr>
                <w:rFonts w:hint="eastAsia"/>
                <w:b/>
                <w:bCs/>
              </w:rPr>
              <w:t>综合实力（</w:t>
            </w:r>
            <w:r>
              <w:rPr>
                <w:rFonts w:hint="eastAsia"/>
                <w:b/>
                <w:bCs/>
                <w:lang w:val="en-US" w:eastAsia="zh-CN"/>
              </w:rPr>
              <w:t>15</w:t>
            </w:r>
            <w:r>
              <w:rPr>
                <w:rFonts w:hint="eastAsia"/>
                <w:b/>
                <w:bCs/>
              </w:rPr>
              <w:t>分</w:t>
            </w:r>
            <w:r>
              <w:rPr>
                <w:rFonts w:hint="eastAsia"/>
                <w:b/>
              </w:rPr>
              <w:t>）</w:t>
            </w:r>
          </w:p>
          <w:p>
            <w:pPr>
              <w:widowControl/>
              <w:spacing w:line="360" w:lineRule="auto"/>
              <w:jc w:val="center"/>
              <w:rPr>
                <w:b/>
              </w:rPr>
            </w:pPr>
          </w:p>
        </w:tc>
        <w:tc>
          <w:tcPr>
            <w:tcW w:w="2212" w:type="dxa"/>
            <w:noWrap/>
            <w:vAlign w:val="center"/>
          </w:tcPr>
          <w:p>
            <w:pPr>
              <w:spacing w:line="276" w:lineRule="auto"/>
              <w:jc w:val="center"/>
            </w:pPr>
            <w:r>
              <w:rPr>
                <w:rFonts w:hint="eastAsia"/>
              </w:rPr>
              <w:t>投标人施工技术力量及项目管理机构（2分）</w:t>
            </w:r>
          </w:p>
        </w:tc>
        <w:tc>
          <w:tcPr>
            <w:tcW w:w="5294" w:type="dxa"/>
            <w:noWrap/>
            <w:vAlign w:val="center"/>
          </w:tcPr>
          <w:p>
            <w:pPr>
              <w:spacing w:line="276" w:lineRule="auto"/>
              <w:jc w:val="left"/>
            </w:pPr>
            <w:r>
              <w:rPr>
                <w:rFonts w:hint="eastAsia"/>
              </w:rPr>
              <w:t>对项目配备人员进行综合评审，具备施工员、质量员、资料员、材料员的得2 分，本项共2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restart"/>
            <w:noWrap/>
            <w:vAlign w:val="center"/>
          </w:tcPr>
          <w:p>
            <w:pPr>
              <w:spacing w:line="276" w:lineRule="auto"/>
              <w:jc w:val="center"/>
            </w:pPr>
            <w:r>
              <w:rPr>
                <w:rFonts w:hint="eastAsia"/>
              </w:rPr>
              <w:t>服务承诺（</w:t>
            </w:r>
            <w:r>
              <w:rPr>
                <w:rFonts w:hint="eastAsia"/>
                <w:lang w:val="en-US" w:eastAsia="zh-CN"/>
              </w:rPr>
              <w:t>12</w:t>
            </w:r>
            <w:r>
              <w:rPr>
                <w:rFonts w:hint="eastAsia"/>
              </w:rPr>
              <w:t>分）</w:t>
            </w:r>
          </w:p>
        </w:tc>
        <w:tc>
          <w:tcPr>
            <w:tcW w:w="5294" w:type="dxa"/>
            <w:noWrap/>
            <w:vAlign w:val="center"/>
          </w:tcPr>
          <w:p>
            <w:pPr>
              <w:spacing w:line="276" w:lineRule="auto"/>
              <w:jc w:val="left"/>
              <w:rPr>
                <w:shd w:val="clear" w:color="auto" w:fill="FFFFFF"/>
              </w:rPr>
            </w:pPr>
            <w:r>
              <w:rPr>
                <w:rFonts w:hint="eastAsia"/>
              </w:rPr>
              <w:t>工程质量保修期内、外的优惠及服务承诺（0-</w:t>
            </w:r>
            <w:r>
              <w:rPr>
                <w:rFonts w:hint="eastAsia"/>
                <w:lang w:val="en-US" w:eastAsia="zh-CN"/>
              </w:rPr>
              <w:t>6</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其他优惠服务承诺（0-</w:t>
            </w:r>
            <w:r>
              <w:rPr>
                <w:rFonts w:hint="eastAsia"/>
                <w:lang w:val="en-US" w:eastAsia="zh-CN"/>
              </w:rPr>
              <w:t>6</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left"/>
              <w:rPr>
                <w:bCs/>
                <w:kern w:val="0"/>
              </w:rPr>
            </w:pPr>
            <w:r>
              <w:rPr>
                <w:rFonts w:hint="eastAsia"/>
                <w:bCs/>
                <w:kern w:val="0"/>
              </w:rPr>
              <w:t>节能清单产品</w:t>
            </w:r>
            <w:r>
              <w:rPr>
                <w:rFonts w:hint="eastAsia"/>
              </w:rPr>
              <w:t>（0.5分）</w:t>
            </w:r>
          </w:p>
          <w:p>
            <w:pPr>
              <w:widowControl/>
              <w:spacing w:line="360" w:lineRule="auto"/>
              <w:jc w:val="center"/>
              <w:rPr>
                <w:bCs/>
                <w:kern w:val="0"/>
              </w:rPr>
            </w:pPr>
          </w:p>
        </w:tc>
        <w:tc>
          <w:tcPr>
            <w:tcW w:w="5294" w:type="dxa"/>
            <w:noWrap/>
            <w:vAlign w:val="center"/>
          </w:tcPr>
          <w:p>
            <w:pPr>
              <w:widowControl/>
              <w:wordWrap/>
              <w:topLinePunct w:val="0"/>
              <w:spacing w:line="276" w:lineRule="auto"/>
              <w:ind w:firstLine="420" w:firstLineChars="200"/>
              <w:jc w:val="left"/>
              <w:rPr>
                <w:kern w:val="0"/>
              </w:rPr>
            </w:pPr>
            <w:r>
              <w:rPr>
                <w:rFonts w:hint="eastAsia"/>
                <w:kern w:val="0"/>
              </w:rPr>
              <w:t>所投建筑材料如为“节能产品政府采购清单”内的非强制节能产品的，每有一项加0.5分，最多加0.5分。</w:t>
            </w:r>
          </w:p>
          <w:p>
            <w:pPr>
              <w:widowControl/>
              <w:wordWrap/>
              <w:topLinePunct w:val="0"/>
              <w:spacing w:line="276" w:lineRule="auto"/>
              <w:ind w:firstLine="420" w:firstLineChars="200"/>
              <w:jc w:val="left"/>
              <w:rPr>
                <w:kern w:val="0"/>
              </w:rPr>
            </w:pPr>
            <w:r>
              <w:rPr>
                <w:rFonts w:hint="eastAsia"/>
                <w:kern w:val="0"/>
              </w:rPr>
              <w:t>响应人须在响应文件中附该产品在国家有关部门公布的最新一期节能清单中所在页的复印件</w:t>
            </w:r>
            <w:r>
              <w:rPr>
                <w:rFonts w:hint="eastAsia"/>
                <w:b/>
                <w:bCs/>
                <w:kern w:val="0"/>
              </w:rPr>
              <w:t>（若政府采购活动开始后，尚未进入评审环节前，相关部门重新发布新一期《节能产品政府采购清单》的，可同时执行上期和最新一期节能清单）</w:t>
            </w:r>
            <w:r>
              <w:rPr>
                <w:rFonts w:hint="eastAsia"/>
                <w:kern w:val="0"/>
              </w:rPr>
              <w:t>，及</w:t>
            </w:r>
            <w:r>
              <w:rPr>
                <w:rFonts w:hint="eastAsia"/>
              </w:rPr>
              <w:t>在有效期内的《国家节能产品认证证书》</w:t>
            </w:r>
            <w:r>
              <w:rPr>
                <w:rFonts w:hint="eastAsia"/>
                <w:kern w:val="0"/>
              </w:rPr>
              <w:t>复印件，否则磋商小组有权不予认可。清单可在中华人民共和国财政部网站（http://www.mof.gov.cn）、中国政府采购网（http://www.ccgp.gov.cn/）查阅。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left"/>
              <w:rPr>
                <w:bCs/>
                <w:kern w:val="0"/>
              </w:rPr>
            </w:pPr>
            <w:r>
              <w:rPr>
                <w:rFonts w:hint="eastAsia"/>
                <w:bCs/>
                <w:kern w:val="0"/>
              </w:rPr>
              <w:t>环保清单产品</w:t>
            </w:r>
            <w:r>
              <w:rPr>
                <w:rFonts w:hint="eastAsia"/>
              </w:rPr>
              <w:t>（0.5分）</w:t>
            </w:r>
          </w:p>
          <w:p>
            <w:pPr>
              <w:widowControl/>
              <w:spacing w:line="276" w:lineRule="auto"/>
              <w:jc w:val="center"/>
              <w:rPr>
                <w:bCs/>
                <w:kern w:val="0"/>
              </w:rPr>
            </w:pPr>
          </w:p>
        </w:tc>
        <w:tc>
          <w:tcPr>
            <w:tcW w:w="5294" w:type="dxa"/>
            <w:noWrap/>
            <w:vAlign w:val="center"/>
          </w:tcPr>
          <w:p>
            <w:pPr>
              <w:widowControl/>
              <w:wordWrap/>
              <w:topLinePunct w:val="0"/>
              <w:spacing w:line="276" w:lineRule="auto"/>
              <w:ind w:firstLine="420" w:firstLineChars="200"/>
              <w:jc w:val="left"/>
            </w:pPr>
            <w:r>
              <w:rPr>
                <w:rFonts w:hint="eastAsia"/>
              </w:rPr>
              <w:t>所投建筑材料如为“环境标志产品政府采购清单”内的产品的，每有一项加0.5分，最多加0.5分。</w:t>
            </w:r>
          </w:p>
          <w:p>
            <w:pPr>
              <w:widowControl/>
              <w:wordWrap/>
              <w:topLinePunct w:val="0"/>
              <w:spacing w:line="276" w:lineRule="auto"/>
              <w:ind w:firstLine="420" w:firstLineChars="200"/>
              <w:jc w:val="left"/>
            </w:pPr>
            <w:r>
              <w:rPr>
                <w:rFonts w:hint="eastAsia"/>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bl>
    <w:p>
      <w:pPr>
        <w:pStyle w:val="13"/>
        <w:spacing w:beforeLines="100" w:afterLines="100" w:line="276" w:lineRule="auto"/>
        <w:jc w:val="both"/>
        <w:outlineLvl w:val="1"/>
        <w:rPr>
          <w:rFonts w:hAnsi="宋体"/>
          <w:b/>
          <w:bCs/>
          <w:sz w:val="32"/>
          <w:szCs w:val="32"/>
        </w:rPr>
      </w:pPr>
    </w:p>
    <w:p>
      <w:pPr>
        <w:pStyle w:val="8"/>
        <w:numPr>
          <w:ilvl w:val="0"/>
          <w:numId w:val="12"/>
        </w:numPr>
        <w:tabs>
          <w:tab w:val="left" w:pos="360"/>
        </w:tabs>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pPr>
        <w:pStyle w:val="8"/>
        <w:numPr>
          <w:ilvl w:val="0"/>
          <w:numId w:val="12"/>
        </w:numPr>
        <w:tabs>
          <w:tab w:val="left" w:pos="360"/>
        </w:tabs>
        <w:spacing w:line="360" w:lineRule="auto"/>
        <w:outlineLvl w:val="1"/>
        <w:rPr>
          <w:rFonts w:hAnsi="宋体" w:cs="黑体"/>
          <w:b/>
          <w:color w:val="auto"/>
        </w:rPr>
      </w:pPr>
      <w:bookmarkStart w:id="518" w:name="_Toc26533"/>
      <w:bookmarkStart w:id="519" w:name="_Toc30234"/>
      <w:bookmarkStart w:id="520" w:name="_Toc5920"/>
      <w:bookmarkStart w:id="521" w:name="_Toc13454"/>
      <w:bookmarkStart w:id="522" w:name="_Toc6135"/>
      <w:bookmarkStart w:id="523" w:name="_Toc4003"/>
      <w:bookmarkStart w:id="524" w:name="_Toc3406"/>
      <w:bookmarkStart w:id="525" w:name="_Toc9376"/>
      <w:bookmarkStart w:id="526" w:name="_Toc17219"/>
      <w:bookmarkStart w:id="527" w:name="_Toc30895"/>
      <w:r>
        <w:rPr>
          <w:rFonts w:hint="eastAsia" w:hAnsi="宋体" w:cs="黑体"/>
          <w:b/>
          <w:color w:val="auto"/>
        </w:rPr>
        <w:t>评审标准</w:t>
      </w:r>
      <w:bookmarkEnd w:id="518"/>
      <w:bookmarkEnd w:id="519"/>
      <w:bookmarkEnd w:id="520"/>
      <w:bookmarkEnd w:id="521"/>
      <w:bookmarkEnd w:id="522"/>
      <w:bookmarkEnd w:id="523"/>
      <w:bookmarkEnd w:id="524"/>
      <w:bookmarkEnd w:id="525"/>
      <w:bookmarkEnd w:id="526"/>
      <w:bookmarkEnd w:id="527"/>
    </w:p>
    <w:p>
      <w:pPr>
        <w:pStyle w:val="2"/>
        <w:numPr>
          <w:ilvl w:val="1"/>
          <w:numId w:val="13"/>
        </w:numPr>
        <w:rPr>
          <w:sz w:val="21"/>
        </w:rPr>
      </w:pPr>
      <w:bookmarkStart w:id="528" w:name="_Toc25181"/>
      <w:bookmarkStart w:id="529" w:name="_Toc11754"/>
      <w:bookmarkStart w:id="530" w:name="_Toc28336"/>
      <w:bookmarkStart w:id="531" w:name="_Toc10856"/>
      <w:bookmarkStart w:id="532" w:name="_Toc27094"/>
      <w:bookmarkStart w:id="533" w:name="_Toc5467"/>
      <w:bookmarkStart w:id="534" w:name="_Toc17735"/>
      <w:bookmarkStart w:id="535" w:name="_Toc31651"/>
      <w:bookmarkStart w:id="536" w:name="_Toc6724"/>
      <w:bookmarkStart w:id="537" w:name="_Toc29139"/>
      <w:bookmarkStart w:id="538" w:name="_Toc7259"/>
      <w:r>
        <w:rPr>
          <w:rFonts w:hint="eastAsia"/>
          <w:sz w:val="21"/>
        </w:rPr>
        <w:t>初步评审标准</w:t>
      </w:r>
      <w:bookmarkEnd w:id="528"/>
      <w:bookmarkEnd w:id="529"/>
    </w:p>
    <w:p>
      <w:pPr>
        <w:numPr>
          <w:ilvl w:val="2"/>
          <w:numId w:val="14"/>
        </w:numPr>
        <w:spacing w:line="360" w:lineRule="auto"/>
        <w:jc w:val="left"/>
      </w:pPr>
      <w:r>
        <w:rPr>
          <w:rFonts w:hint="eastAsia"/>
        </w:rPr>
        <w:t>形式评审标准：见评审办法前附表。</w:t>
      </w:r>
    </w:p>
    <w:p>
      <w:pPr>
        <w:numPr>
          <w:ilvl w:val="2"/>
          <w:numId w:val="14"/>
        </w:numPr>
        <w:spacing w:line="360" w:lineRule="auto"/>
        <w:jc w:val="left"/>
      </w:pPr>
      <w:r>
        <w:rPr>
          <w:rFonts w:hint="eastAsia"/>
        </w:rPr>
        <w:t>资格评审标准：见评审办法前附表。</w:t>
      </w:r>
    </w:p>
    <w:p>
      <w:pPr>
        <w:numPr>
          <w:ilvl w:val="2"/>
          <w:numId w:val="14"/>
        </w:numPr>
        <w:spacing w:line="360" w:lineRule="auto"/>
        <w:jc w:val="left"/>
      </w:pPr>
      <w:r>
        <w:rPr>
          <w:rFonts w:hint="eastAsia"/>
        </w:rPr>
        <w:t>响应性评审标准：见评审办法前附表。</w:t>
      </w:r>
    </w:p>
    <w:p>
      <w:pPr>
        <w:pStyle w:val="2"/>
        <w:numPr>
          <w:ilvl w:val="1"/>
          <w:numId w:val="13"/>
        </w:numPr>
        <w:rPr>
          <w:sz w:val="21"/>
        </w:rPr>
      </w:pPr>
      <w:bookmarkStart w:id="539" w:name="_Toc3639"/>
      <w:bookmarkStart w:id="540" w:name="_Toc8909"/>
      <w:r>
        <w:rPr>
          <w:rFonts w:hint="eastAsia"/>
          <w:sz w:val="21"/>
        </w:rPr>
        <w:t>分值构成与评分标准</w:t>
      </w:r>
      <w:bookmarkEnd w:id="530"/>
      <w:bookmarkEnd w:id="531"/>
      <w:bookmarkEnd w:id="532"/>
      <w:bookmarkEnd w:id="533"/>
      <w:bookmarkEnd w:id="534"/>
      <w:bookmarkEnd w:id="535"/>
      <w:bookmarkEnd w:id="536"/>
      <w:bookmarkEnd w:id="537"/>
      <w:bookmarkEnd w:id="538"/>
      <w:bookmarkEnd w:id="539"/>
      <w:bookmarkEnd w:id="540"/>
    </w:p>
    <w:p>
      <w:pPr>
        <w:numPr>
          <w:ilvl w:val="2"/>
          <w:numId w:val="15"/>
        </w:numPr>
        <w:autoSpaceDE w:val="0"/>
        <w:autoSpaceDN w:val="0"/>
        <w:adjustRightInd w:val="0"/>
        <w:spacing w:line="360" w:lineRule="auto"/>
        <w:ind w:right="-23"/>
        <w:jc w:val="left"/>
        <w:rPr>
          <w:kern w:val="0"/>
        </w:rPr>
      </w:pPr>
      <w:r>
        <w:rPr>
          <w:rFonts w:hint="eastAsia"/>
          <w:kern w:val="0"/>
        </w:rPr>
        <w:t>分值构成</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综合实力部分：见评审办法前附表；</w:t>
      </w:r>
    </w:p>
    <w:p>
      <w:pPr>
        <w:numPr>
          <w:ilvl w:val="2"/>
          <w:numId w:val="15"/>
        </w:numPr>
        <w:autoSpaceDE w:val="0"/>
        <w:autoSpaceDN w:val="0"/>
        <w:adjustRightInd w:val="0"/>
        <w:spacing w:line="360" w:lineRule="auto"/>
        <w:ind w:right="-23"/>
        <w:jc w:val="left"/>
        <w:rPr>
          <w:kern w:val="0"/>
        </w:rPr>
      </w:pPr>
      <w:r>
        <w:rPr>
          <w:rFonts w:hint="eastAsia"/>
          <w:kern w:val="0"/>
        </w:rPr>
        <w:t>评分标准</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综合实力标准：见评审办法前附表；</w:t>
      </w:r>
    </w:p>
    <w:p>
      <w:pPr>
        <w:pStyle w:val="8"/>
        <w:numPr>
          <w:ilvl w:val="0"/>
          <w:numId w:val="12"/>
        </w:numPr>
        <w:tabs>
          <w:tab w:val="left" w:pos="360"/>
        </w:tabs>
        <w:spacing w:line="360" w:lineRule="auto"/>
        <w:jc w:val="both"/>
        <w:outlineLvl w:val="1"/>
        <w:rPr>
          <w:rFonts w:hAnsi="宋体" w:cs="黑体"/>
          <w:b/>
          <w:color w:val="auto"/>
        </w:rPr>
      </w:pPr>
      <w:bookmarkStart w:id="541" w:name="_Toc29125"/>
      <w:bookmarkStart w:id="542" w:name="_Toc22175"/>
      <w:bookmarkStart w:id="543" w:name="_Toc5605"/>
      <w:bookmarkStart w:id="544" w:name="_Toc16356"/>
      <w:bookmarkStart w:id="545" w:name="_Toc21732"/>
      <w:bookmarkStart w:id="546" w:name="_Toc26726"/>
      <w:bookmarkStart w:id="547" w:name="_Toc4338"/>
      <w:bookmarkStart w:id="548" w:name="_Toc1740"/>
      <w:bookmarkStart w:id="549" w:name="_Toc28724"/>
      <w:bookmarkStart w:id="550" w:name="_Toc5149"/>
      <w:r>
        <w:rPr>
          <w:rFonts w:hint="eastAsia" w:hAnsi="宋体" w:cs="黑体"/>
          <w:b/>
          <w:color w:val="auto"/>
        </w:rPr>
        <w:t>评审程序</w:t>
      </w:r>
      <w:bookmarkEnd w:id="541"/>
      <w:bookmarkEnd w:id="542"/>
      <w:bookmarkEnd w:id="543"/>
      <w:bookmarkEnd w:id="544"/>
      <w:bookmarkEnd w:id="545"/>
      <w:bookmarkEnd w:id="546"/>
      <w:bookmarkEnd w:id="547"/>
      <w:bookmarkEnd w:id="548"/>
      <w:bookmarkEnd w:id="549"/>
      <w:bookmarkEnd w:id="550"/>
    </w:p>
    <w:p>
      <w:pPr>
        <w:pStyle w:val="2"/>
        <w:numPr>
          <w:ilvl w:val="1"/>
          <w:numId w:val="18"/>
        </w:numPr>
        <w:rPr>
          <w:sz w:val="21"/>
        </w:rPr>
      </w:pPr>
      <w:bookmarkStart w:id="551" w:name="_Toc18983"/>
      <w:bookmarkStart w:id="552" w:name="_Toc3824"/>
      <w:bookmarkStart w:id="553" w:name="_Toc9443"/>
      <w:bookmarkStart w:id="554" w:name="_Toc32083"/>
      <w:bookmarkStart w:id="555" w:name="_Toc17957"/>
      <w:bookmarkStart w:id="556" w:name="_Toc7036"/>
      <w:bookmarkStart w:id="557" w:name="_Toc9613"/>
      <w:bookmarkStart w:id="558" w:name="_Toc10682"/>
      <w:bookmarkStart w:id="559" w:name="_Toc26056"/>
      <w:bookmarkStart w:id="560" w:name="_Toc1654"/>
      <w:bookmarkStart w:id="561" w:name="_Toc5708"/>
      <w:r>
        <w:rPr>
          <w:rFonts w:hint="eastAsia"/>
          <w:sz w:val="21"/>
        </w:rPr>
        <w:t>初步评审</w:t>
      </w:r>
      <w:bookmarkEnd w:id="551"/>
      <w:bookmarkEnd w:id="552"/>
      <w:bookmarkEnd w:id="553"/>
      <w:bookmarkEnd w:id="554"/>
      <w:bookmarkEnd w:id="555"/>
      <w:bookmarkEnd w:id="556"/>
      <w:bookmarkEnd w:id="557"/>
      <w:bookmarkEnd w:id="558"/>
      <w:bookmarkEnd w:id="559"/>
      <w:bookmarkEnd w:id="560"/>
      <w:bookmarkEnd w:id="561"/>
    </w:p>
    <w:p>
      <w:pPr>
        <w:numPr>
          <w:ilvl w:val="2"/>
          <w:numId w:val="19"/>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pPr>
        <w:numPr>
          <w:ilvl w:val="2"/>
          <w:numId w:val="19"/>
        </w:numPr>
        <w:autoSpaceDE w:val="0"/>
        <w:autoSpaceDN w:val="0"/>
        <w:adjustRightInd w:val="0"/>
        <w:spacing w:line="360" w:lineRule="auto"/>
        <w:ind w:right="-23"/>
        <w:jc w:val="left"/>
        <w:rPr>
          <w:kern w:val="0"/>
        </w:rPr>
      </w:pPr>
      <w:r>
        <w:rPr>
          <w:rFonts w:hint="eastAsia"/>
          <w:kern w:val="0"/>
        </w:rPr>
        <w:t>磋商报价有算术错误及其他错误的。</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大写金额和小写金额不一致的，以大写金额为准。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总价金额与按单价汇总金额不一致的，以单价金额计算结果为准。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单价金额小数点或者百分比有明显错位的，以总价为准。</w:t>
      </w:r>
    </w:p>
    <w:p>
      <w:pPr>
        <w:pStyle w:val="2"/>
        <w:numPr>
          <w:ilvl w:val="1"/>
          <w:numId w:val="18"/>
        </w:numPr>
        <w:rPr>
          <w:sz w:val="21"/>
        </w:rPr>
      </w:pPr>
      <w:r>
        <w:rPr>
          <w:rFonts w:hint="eastAsia"/>
          <w:sz w:val="21"/>
        </w:rPr>
        <w:t>详细磋商</w:t>
      </w:r>
    </w:p>
    <w:p>
      <w:pPr>
        <w:numPr>
          <w:ilvl w:val="2"/>
          <w:numId w:val="21"/>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pPr>
        <w:numPr>
          <w:ilvl w:val="2"/>
          <w:numId w:val="21"/>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pPr>
        <w:numPr>
          <w:ilvl w:val="2"/>
          <w:numId w:val="21"/>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pPr>
        <w:numPr>
          <w:ilvl w:val="2"/>
          <w:numId w:val="21"/>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pPr>
        <w:pStyle w:val="2"/>
        <w:numPr>
          <w:ilvl w:val="1"/>
          <w:numId w:val="18"/>
        </w:numPr>
        <w:rPr>
          <w:sz w:val="21"/>
        </w:rPr>
      </w:pPr>
      <w:bookmarkStart w:id="562" w:name="_Toc13336"/>
      <w:bookmarkStart w:id="563" w:name="_Toc24391"/>
      <w:bookmarkStart w:id="564" w:name="_Toc22449"/>
      <w:bookmarkStart w:id="565" w:name="_Toc30428"/>
      <w:bookmarkStart w:id="566" w:name="_Toc18705"/>
      <w:bookmarkStart w:id="567" w:name="_Toc26213"/>
      <w:bookmarkStart w:id="568" w:name="_Toc12089"/>
      <w:bookmarkStart w:id="569" w:name="_Toc10132"/>
      <w:bookmarkStart w:id="570" w:name="_Toc1221"/>
      <w:bookmarkStart w:id="571" w:name="_Toc8285"/>
      <w:bookmarkStart w:id="572" w:name="_Toc18430"/>
      <w:r>
        <w:rPr>
          <w:rFonts w:hint="eastAsia"/>
          <w:sz w:val="21"/>
        </w:rPr>
        <w:t>详细评审</w:t>
      </w:r>
      <w:bookmarkEnd w:id="562"/>
      <w:bookmarkEnd w:id="563"/>
      <w:bookmarkEnd w:id="564"/>
      <w:bookmarkEnd w:id="565"/>
      <w:bookmarkEnd w:id="566"/>
      <w:bookmarkEnd w:id="567"/>
      <w:bookmarkEnd w:id="568"/>
      <w:bookmarkEnd w:id="569"/>
      <w:bookmarkEnd w:id="570"/>
      <w:bookmarkEnd w:id="571"/>
      <w:bookmarkEnd w:id="572"/>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pPr>
        <w:pStyle w:val="2"/>
        <w:numPr>
          <w:ilvl w:val="1"/>
          <w:numId w:val="18"/>
        </w:numPr>
        <w:rPr>
          <w:sz w:val="21"/>
        </w:rPr>
      </w:pPr>
      <w:r>
        <w:rPr>
          <w:rFonts w:hint="eastAsia"/>
          <w:sz w:val="21"/>
        </w:rPr>
        <w:t>评审结果</w:t>
      </w:r>
    </w:p>
    <w:p>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pPr>
        <w:wordWrap/>
        <w:topLinePunct w:val="0"/>
        <w:autoSpaceDE w:val="0"/>
        <w:autoSpaceDN w:val="0"/>
        <w:adjustRightInd w:val="0"/>
        <w:spacing w:before="40" w:line="360" w:lineRule="auto"/>
        <w:ind w:left="425" w:right="142"/>
        <w:jc w:val="left"/>
        <w:rPr>
          <w:rFonts w:hint="eastAsia"/>
          <w:b/>
          <w:sz w:val="32"/>
          <w:szCs w:val="32"/>
        </w:rPr>
      </w:pPr>
      <w:r>
        <w:rPr>
          <w:rFonts w:hint="eastAsia"/>
          <w:bCs/>
          <w:kern w:val="0"/>
        </w:rPr>
        <w:t>3.4.2磋商小组完成评审后，应当向采购人提交书面评审报告和成交候选人名单并编写评审报告。</w:t>
      </w:r>
      <w:bookmarkStart w:id="573" w:name="_Toc72695359"/>
      <w:bookmarkStart w:id="574" w:name="_Toc28722"/>
      <w:bookmarkStart w:id="575" w:name="_Toc72694688"/>
    </w:p>
    <w:p>
      <w:pPr>
        <w:pageBreakBefore/>
        <w:adjustRightInd w:val="0"/>
        <w:snapToGrid w:val="0"/>
        <w:spacing w:line="360" w:lineRule="auto"/>
        <w:jc w:val="center"/>
        <w:outlineLvl w:val="0"/>
        <w:rPr>
          <w:rFonts w:hint="eastAsia" w:ascii="宋体" w:hAnsi="宋体" w:cs="宋体"/>
          <w:b/>
          <w:bCs/>
          <w:color w:val="000000"/>
          <w:spacing w:val="4"/>
          <w:sz w:val="32"/>
          <w:szCs w:val="32"/>
        </w:rPr>
      </w:pPr>
      <w:r>
        <w:rPr>
          <w:rFonts w:hint="eastAsia"/>
          <w:b/>
          <w:sz w:val="32"/>
          <w:szCs w:val="32"/>
        </w:rPr>
        <w:t xml:space="preserve">第四章  </w:t>
      </w:r>
      <w:bookmarkEnd w:id="573"/>
      <w:bookmarkEnd w:id="574"/>
      <w:bookmarkEnd w:id="575"/>
      <w:r>
        <w:rPr>
          <w:rFonts w:hint="eastAsia" w:ascii="宋体" w:hAnsi="宋体" w:cs="宋体"/>
          <w:b/>
          <w:bCs/>
          <w:color w:val="000000"/>
          <w:spacing w:val="4"/>
          <w:sz w:val="32"/>
          <w:szCs w:val="32"/>
        </w:rPr>
        <w:t>采购合同（</w:t>
      </w:r>
      <w:r>
        <w:rPr>
          <w:rFonts w:hint="eastAsia" w:cs="宋体"/>
          <w:b/>
          <w:bCs/>
          <w:color w:val="000000"/>
          <w:spacing w:val="4"/>
          <w:sz w:val="32"/>
          <w:szCs w:val="32"/>
          <w:lang w:val="en-US" w:eastAsia="zh-CN"/>
        </w:rPr>
        <w:t>仅供参考</w:t>
      </w:r>
      <w:r>
        <w:rPr>
          <w:rFonts w:hint="eastAsia" w:ascii="宋体" w:hAnsi="宋体" w:cs="宋体"/>
          <w:b/>
          <w:bCs/>
          <w:color w:val="000000"/>
          <w:spacing w:val="4"/>
          <w:sz w:val="32"/>
          <w:szCs w:val="32"/>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采购合同编号：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采购人（甲方）：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供应商（乙方）：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根据《中华人民共和国民法典》及有关法律规定，遵循平等、自愿、公平和诚实信用的原则，双方就</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工程施工及有关事项协商一致，共同达成如下协议：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1. 工程概况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（1）工程项目名称：</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（2）工程地点：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（3）工程立项批准文号：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（4）资金来源：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（5）工程内容：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2.合同工期</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计划开工日期：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计划竣工日期：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工期总日历天数：</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天。工期总日历天数与根据前述计划开竣工日期计算的工期天数不一致的，以工期总日历天数为准。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质量标准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w:t>
      </w:r>
      <w:r>
        <w:rPr>
          <w:rFonts w:hint="eastAsia" w:ascii="仿宋" w:hAnsi="仿宋" w:eastAsia="仿宋" w:cs="Times New Roman"/>
          <w:sz w:val="24"/>
          <w:szCs w:val="18"/>
          <w:u w:val="none"/>
          <w:lang w:val="en-US" w:eastAsia="zh-CN"/>
        </w:rPr>
        <w:t>:合格</w:t>
      </w:r>
      <w:r>
        <w:rPr>
          <w:rFonts w:hint="default"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4. 合同金额 </w:t>
      </w:r>
    </w:p>
    <w:p>
      <w:pPr>
        <w:ind w:firstLine="480" w:firstLineChars="200"/>
        <w:jc w:val="left"/>
        <w:rPr>
          <w:rFonts w:hint="default" w:ascii="仿宋" w:hAnsi="仿宋" w:eastAsia="仿宋" w:cs="Times New Roman"/>
          <w:sz w:val="24"/>
          <w:szCs w:val="18"/>
          <w:u w:val="single"/>
          <w:lang w:val="en-US" w:eastAsia="zh-CN"/>
        </w:rPr>
      </w:pPr>
      <w:r>
        <w:rPr>
          <w:rFonts w:hint="default" w:ascii="仿宋" w:hAnsi="仿宋" w:eastAsia="仿宋" w:cs="Times New Roman"/>
          <w:sz w:val="24"/>
          <w:szCs w:val="18"/>
          <w:u w:val="none"/>
          <w:lang w:val="en-US" w:eastAsia="zh-CN"/>
        </w:rPr>
        <w:t>（1）合同金额小写：</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元   大写：</w:t>
      </w:r>
      <w:r>
        <w:rPr>
          <w:rFonts w:hint="eastAsia"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（2）具体标的见附件。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（3）合同价格形式：固定总价合同。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（4）付款进度安排：合同签订生效后，施工企业进驻且施工准备阶段，支付合同价款的50%;主体工程完成时，支付合同价款的30%;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（5）资金支付方式：对公转账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5.合同文件构成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本协议书与下列文件一起构成合同文件：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（1）中标通知书（如果有）；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（2）投标函及其附录（如果有）；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（3）专用合同条款及其附件；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（4）通用合同条款；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（5）技术标准和要求；</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（6）图纸；</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（7）已标价工程量清单或预算书；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（8）其他合同文件。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在合同订立及履行过程中形成的与合同有关的文件均构成合同文件组成部分。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6.承诺</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1.发包人承诺按照法律规定履行项目审批手续、筹集工程建设资金并按照合同约定的期限和方式支付合同价款。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2.承包人承诺按照法律规定及合同约定组织完成工程施工，确保工程质量和安全，不进行转包及违法分包，并在缺陷责任期及保修期内承担相应的工程维修责任。</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3.发包人和承包人通过招投标形式签订合同的，双方理解并承诺不再就同一工程另行签订与合同实质性内容相背离的协议。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7.词语含义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本协议书中词语含义与第二部分通用合同条款中赋予的含义相同。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8.签订时间</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本合同于</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9.签订地点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本合同在</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10.补充协议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合同未尽事宜，合同当事人另行签订补充协议，补充协议是合同的组成部分。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11.合同生效</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本合同一式</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份，均具有同等法律效力，甲方执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份，乙方执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甲 方：（公章）                    乙 方：（公章）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法定代表人：                       法定代表人：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委托代理人：                      委托代理人：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组织机构代码：                    组织机构代码：</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电 话：                            电 话：</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开户银行：                         开户银行：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账号：                             账号：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地址：                             地址：</w:t>
      </w:r>
    </w:p>
    <w:p>
      <w:pPr>
        <w:widowControl/>
        <w:spacing w:line="440" w:lineRule="atLeast"/>
        <w:ind w:left="718"/>
        <w:rPr>
          <w:rFonts w:hint="eastAsia" w:ascii="宋体" w:hAnsi="宋体" w:cs="宋体"/>
          <w:kern w:val="0"/>
          <w:sz w:val="24"/>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pStyle w:val="2"/>
        <w:rPr>
          <w:rFonts w:hint="eastAsia"/>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rFonts w:hint="eastAsia" w:eastAsia="宋体"/>
          <w:b/>
          <w:sz w:val="30"/>
          <w:szCs w:val="30"/>
          <w:lang w:eastAsia="zh-CN"/>
        </w:rPr>
      </w:pPr>
      <w:bookmarkStart w:id="576" w:name="_Toc22360"/>
      <w:bookmarkStart w:id="577" w:name="_Toc72695360"/>
      <w:r>
        <w:rPr>
          <w:rFonts w:hint="eastAsia"/>
          <w:b/>
          <w:sz w:val="32"/>
          <w:szCs w:val="32"/>
        </w:rPr>
        <w:t>第五章  工程量清单</w:t>
      </w:r>
      <w:bookmarkEnd w:id="576"/>
      <w:bookmarkEnd w:id="577"/>
      <w:r>
        <w:rPr>
          <w:rFonts w:hint="eastAsia"/>
          <w:b/>
          <w:sz w:val="32"/>
          <w:szCs w:val="32"/>
          <w:lang w:eastAsia="zh-CN"/>
        </w:rPr>
        <w:t>（另附）</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rPr>
          <w:rFonts w:ascii="宋体" w:hAnsi="宋体"/>
          <w:b/>
          <w:sz w:val="24"/>
          <w:szCs w:val="24"/>
        </w:rPr>
      </w:pPr>
    </w:p>
    <w:p>
      <w:pPr>
        <w:pStyle w:val="22"/>
        <w:rPr>
          <w:rFonts w:ascii="宋体" w:hAnsi="宋体"/>
          <w:b/>
          <w:sz w:val="24"/>
          <w:szCs w:val="24"/>
        </w:rPr>
      </w:pPr>
    </w:p>
    <w:p>
      <w:pPr>
        <w:pStyle w:val="21"/>
        <w:rPr>
          <w:rFonts w:ascii="宋体" w:hAnsi="宋体"/>
          <w:b/>
          <w:sz w:val="24"/>
          <w:szCs w:val="24"/>
        </w:rPr>
      </w:pPr>
    </w:p>
    <w:p>
      <w:pPr>
        <w:pStyle w:val="22"/>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rPr>
          <w:rFonts w:ascii="宋体" w:hAnsi="宋体"/>
          <w:b/>
          <w:sz w:val="24"/>
          <w:szCs w:val="24"/>
        </w:rPr>
      </w:pPr>
    </w:p>
    <w:p>
      <w:pPr>
        <w:pStyle w:val="22"/>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2"/>
          <w:szCs w:val="32"/>
        </w:rPr>
      </w:pPr>
      <w:bookmarkStart w:id="578" w:name="_Toc72695361"/>
      <w:bookmarkStart w:id="579" w:name="_Toc12052"/>
      <w:bookmarkStart w:id="580" w:name="_Toc72694689"/>
      <w:r>
        <w:rPr>
          <w:rFonts w:hint="eastAsia"/>
          <w:b/>
          <w:sz w:val="32"/>
          <w:szCs w:val="32"/>
        </w:rPr>
        <w:t>第六章  图纸</w:t>
      </w:r>
      <w:bookmarkEnd w:id="578"/>
      <w:bookmarkEnd w:id="579"/>
      <w:bookmarkEnd w:id="580"/>
    </w:p>
    <w:p>
      <w:pPr>
        <w:spacing w:line="360" w:lineRule="auto"/>
        <w:ind w:firstLine="422" w:firstLineChars="200"/>
        <w:jc w:val="center"/>
        <w:rPr>
          <w:b/>
        </w:rPr>
      </w:pPr>
      <w:r>
        <w:rPr>
          <w:rFonts w:hint="eastAsia"/>
          <w:b/>
        </w:rPr>
        <w:t xml:space="preserve"> （</w:t>
      </w:r>
      <w:r>
        <w:rPr>
          <w:rFonts w:hint="eastAsia"/>
          <w:b/>
          <w:lang w:val="en-US" w:eastAsia="zh-CN"/>
        </w:rPr>
        <w:t>如</w:t>
      </w:r>
      <w:r>
        <w:rPr>
          <w:rFonts w:hint="eastAsia"/>
          <w:b/>
        </w:rPr>
        <w:t>有</w:t>
      </w:r>
      <w:r>
        <w:rPr>
          <w:rFonts w:hint="eastAsia"/>
          <w:b/>
          <w:lang w:val="en-US" w:eastAsia="zh-CN"/>
        </w:rPr>
        <w:t>另附</w:t>
      </w:r>
      <w:r>
        <w:rPr>
          <w:rFonts w:hint="eastAsia"/>
          <w:b/>
        </w:rPr>
        <w:t>）</w:t>
      </w: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lang w:val="en-US"/>
        </w:rPr>
      </w:pPr>
    </w:p>
    <w:p>
      <w:pPr>
        <w:pStyle w:val="37"/>
        <w:spacing w:line="360" w:lineRule="auto"/>
        <w:rPr>
          <w:b/>
          <w:lang w:val="en-US"/>
        </w:rPr>
      </w:pPr>
    </w:p>
    <w:p>
      <w:pPr>
        <w:jc w:val="center"/>
        <w:outlineLvl w:val="0"/>
        <w:rPr>
          <w:b/>
          <w:sz w:val="32"/>
          <w:szCs w:val="32"/>
        </w:rPr>
      </w:pPr>
      <w:bookmarkStart w:id="581" w:name="_Toc72694690"/>
      <w:bookmarkStart w:id="582" w:name="_Toc72695362"/>
      <w:bookmarkStart w:id="583" w:name="_Toc13065"/>
      <w:r>
        <w:rPr>
          <w:rFonts w:hint="eastAsia"/>
          <w:b/>
          <w:sz w:val="32"/>
          <w:szCs w:val="32"/>
        </w:rPr>
        <w:t>第七章  技术标准和要求</w:t>
      </w:r>
      <w:bookmarkEnd w:id="581"/>
      <w:bookmarkEnd w:id="582"/>
      <w:bookmarkEnd w:id="583"/>
    </w:p>
    <w:p>
      <w:pPr>
        <w:spacing w:line="360" w:lineRule="auto"/>
        <w:ind w:firstLine="420" w:firstLineChars="200"/>
        <w:rPr>
          <w:kern w:val="0"/>
          <w:highlight w:val="none"/>
        </w:rPr>
      </w:pPr>
      <w:bookmarkStart w:id="584" w:name="_Toc246931736"/>
      <w:bookmarkStart w:id="585" w:name="_Toc279505674"/>
      <w:bookmarkStart w:id="586" w:name="_Toc278558603"/>
      <w:bookmarkStart w:id="587" w:name="_Toc246930466"/>
      <w:r>
        <w:rPr>
          <w:rFonts w:hint="eastAsia"/>
          <w:kern w:val="0"/>
          <w:highlight w:val="none"/>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20" w:firstLineChars="200"/>
        <w:rPr>
          <w:kern w:val="0"/>
          <w:highlight w:val="none"/>
        </w:rPr>
      </w:pPr>
      <w:r>
        <w:rPr>
          <w:rFonts w:hint="eastAsia"/>
          <w:kern w:val="0"/>
          <w:highlight w:val="none"/>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pPr>
        <w:spacing w:line="360" w:lineRule="auto"/>
        <w:ind w:firstLine="420" w:firstLineChars="200"/>
        <w:rPr>
          <w:kern w:val="0"/>
          <w:highlight w:val="none"/>
        </w:rPr>
      </w:pPr>
      <w:r>
        <w:rPr>
          <w:rFonts w:hint="eastAsia"/>
          <w:kern w:val="0"/>
          <w:highlight w:val="none"/>
        </w:rPr>
        <w:t>未尽项均执行现行规范及标准,以上规范如有变化，以最新发布的为准。</w:t>
      </w:r>
    </w:p>
    <w:bookmarkEnd w:id="584"/>
    <w:bookmarkEnd w:id="585"/>
    <w:bookmarkEnd w:id="586"/>
    <w:bookmarkEnd w:id="587"/>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center"/>
        <w:outlineLvl w:val="0"/>
      </w:pPr>
      <w:bookmarkStart w:id="588" w:name="_Toc72694691"/>
      <w:bookmarkStart w:id="589" w:name="_Toc15058_WPSOffice_Level1"/>
      <w:bookmarkStart w:id="590" w:name="_Toc3615"/>
      <w:bookmarkStart w:id="591" w:name="_Toc11677"/>
      <w:bookmarkStart w:id="592" w:name="_Toc72695363"/>
      <w:r>
        <w:rPr>
          <w:rFonts w:hint="eastAsia"/>
          <w:b/>
          <w:sz w:val="32"/>
          <w:szCs w:val="32"/>
        </w:rPr>
        <w:t xml:space="preserve">第八章  </w:t>
      </w:r>
      <w:bookmarkEnd w:id="588"/>
      <w:bookmarkEnd w:id="589"/>
      <w:bookmarkEnd w:id="590"/>
      <w:bookmarkEnd w:id="591"/>
      <w:bookmarkEnd w:id="592"/>
      <w:r>
        <w:rPr>
          <w:rFonts w:hint="eastAsia"/>
          <w:b/>
          <w:sz w:val="32"/>
          <w:szCs w:val="32"/>
        </w:rPr>
        <w:t>磋商响应文件格式</w:t>
      </w:r>
    </w:p>
    <w:p>
      <w:pPr>
        <w:pStyle w:val="13"/>
        <w:spacing w:beforeLines="100" w:afterLines="100" w:line="360" w:lineRule="auto"/>
        <w:ind w:firstLine="7280" w:firstLineChars="2600"/>
        <w:jc w:val="left"/>
        <w:rPr>
          <w:rFonts w:hAnsi="宋体"/>
          <w:bCs/>
          <w:sz w:val="28"/>
          <w:szCs w:val="28"/>
        </w:rPr>
      </w:pPr>
    </w:p>
    <w:p>
      <w:pPr>
        <w:pStyle w:val="13"/>
        <w:spacing w:beforeLines="100" w:afterLines="100" w:line="360" w:lineRule="auto"/>
        <w:jc w:val="center"/>
        <w:rPr>
          <w:rFonts w:hint="eastAsia" w:hAnsi="宋体"/>
          <w:b/>
          <w:sz w:val="44"/>
          <w:szCs w:val="44"/>
        </w:rPr>
      </w:pPr>
      <w:bookmarkStart w:id="593" w:name="_Toc31859_WPSOffice_Level1"/>
      <w:bookmarkStart w:id="594" w:name="_Toc2821_WPSOffice_Level1"/>
      <w:bookmarkStart w:id="595" w:name="_Toc7266_WPSOffice_Level1"/>
      <w:r>
        <w:rPr>
          <w:rFonts w:hint="eastAsia" w:hAnsi="宋体"/>
          <w:b/>
          <w:sz w:val="44"/>
          <w:szCs w:val="44"/>
          <w:u w:val="single"/>
        </w:rPr>
        <w:t xml:space="preserve">    </w:t>
      </w:r>
      <w:r>
        <w:rPr>
          <w:rFonts w:hint="eastAsia" w:hAnsi="宋体"/>
          <w:b/>
          <w:sz w:val="44"/>
          <w:szCs w:val="44"/>
        </w:rPr>
        <w:t>项目</w:t>
      </w:r>
    </w:p>
    <w:p>
      <w:pPr>
        <w:pStyle w:val="13"/>
        <w:spacing w:beforeLines="100" w:afterLines="100" w:line="360" w:lineRule="auto"/>
        <w:jc w:val="center"/>
        <w:rPr>
          <w:rFonts w:hAnsi="宋体"/>
          <w:b/>
          <w:bCs/>
          <w:sz w:val="84"/>
          <w:szCs w:val="84"/>
        </w:rPr>
      </w:pPr>
      <w:r>
        <w:rPr>
          <w:rFonts w:hint="eastAsia" w:hAnsi="宋体"/>
          <w:b/>
          <w:sz w:val="44"/>
          <w:szCs w:val="44"/>
        </w:rPr>
        <w:t>竞争性磋商</w:t>
      </w:r>
      <w:bookmarkEnd w:id="593"/>
      <w:bookmarkEnd w:id="594"/>
      <w:bookmarkEnd w:id="595"/>
      <w:bookmarkStart w:id="596" w:name="_Toc22990_WPSOffice_Level1"/>
      <w:bookmarkStart w:id="597" w:name="_Toc22398_WPSOffice_Level1"/>
      <w:bookmarkStart w:id="598" w:name="_Toc9678_WPSOffice_Level1"/>
      <w:r>
        <w:rPr>
          <w:rFonts w:hint="eastAsia" w:ascii="宋体" w:hAnsi="宋体" w:eastAsia="宋体"/>
          <w:b/>
          <w:sz w:val="44"/>
          <w:szCs w:val="44"/>
        </w:rPr>
        <w:t>响应文件</w:t>
      </w:r>
      <w:bookmarkEnd w:id="596"/>
      <w:bookmarkEnd w:id="597"/>
      <w:bookmarkEnd w:id="598"/>
    </w:p>
    <w:p>
      <w:pPr>
        <w:pStyle w:val="13"/>
        <w:spacing w:beforeLines="100" w:afterLines="100" w:line="360" w:lineRule="auto"/>
        <w:jc w:val="center"/>
        <w:rPr>
          <w:rFonts w:hAnsi="宋体"/>
          <w:b/>
          <w:bCs/>
          <w:sz w:val="30"/>
          <w:szCs w:val="30"/>
        </w:rPr>
      </w:pPr>
      <w:bookmarkStart w:id="599" w:name="_Toc26187_WPSOffice_Level1"/>
      <w:bookmarkStart w:id="600" w:name="_Toc29975_WPSOffice_Level1"/>
      <w:bookmarkStart w:id="601" w:name="_Toc26010_WPSOffice_Level1"/>
      <w:r>
        <w:rPr>
          <w:rFonts w:hint="eastAsia" w:hAnsi="宋体"/>
          <w:b/>
          <w:bCs/>
          <w:sz w:val="30"/>
          <w:szCs w:val="30"/>
        </w:rPr>
        <w:t>采购编号：</w:t>
      </w:r>
      <w:bookmarkEnd w:id="599"/>
      <w:bookmarkEnd w:id="600"/>
      <w:bookmarkEnd w:id="601"/>
    </w:p>
    <w:p>
      <w:pPr>
        <w:pStyle w:val="13"/>
        <w:spacing w:beforeLines="100" w:afterLines="100" w:line="360" w:lineRule="auto"/>
        <w:jc w:val="center"/>
        <w:rPr>
          <w:rFonts w:hAnsi="宋体"/>
          <w:bCs/>
          <w:sz w:val="32"/>
        </w:rPr>
      </w:pPr>
      <w:bookmarkStart w:id="602" w:name="_Toc31498_WPSOffice_Level1"/>
      <w:bookmarkStart w:id="603" w:name="_Toc21750_WPSOffice_Level1"/>
      <w:bookmarkStart w:id="604" w:name="_Toc25149_WPSOffice_Level1"/>
      <w:r>
        <w:rPr>
          <w:rFonts w:hint="eastAsia" w:hAnsi="宋体"/>
          <w:bCs/>
          <w:sz w:val="32"/>
        </w:rPr>
        <w:t>（封面）</w:t>
      </w:r>
      <w:bookmarkEnd w:id="602"/>
      <w:bookmarkEnd w:id="603"/>
      <w:bookmarkEnd w:id="604"/>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bookmarkStart w:id="605" w:name="_Toc25325_WPSOffice_Level1"/>
      <w:bookmarkStart w:id="606" w:name="_Toc7166_WPSOffice_Level1"/>
      <w:bookmarkStart w:id="607" w:name="_Toc25974_WPSOffice_Level1"/>
      <w:r>
        <w:rPr>
          <w:rFonts w:hint="eastAsia" w:hAnsi="宋体"/>
          <w:b/>
          <w:bCs/>
          <w:sz w:val="32"/>
        </w:rPr>
        <w:t>供  应  商：（电子签章）</w:t>
      </w:r>
      <w:bookmarkEnd w:id="605"/>
      <w:bookmarkEnd w:id="606"/>
      <w:bookmarkEnd w:id="607"/>
    </w:p>
    <w:p>
      <w:pPr>
        <w:pStyle w:val="13"/>
        <w:spacing w:beforeLines="100" w:afterLines="100" w:line="360" w:lineRule="auto"/>
        <w:ind w:firstLine="596" w:firstLineChars="198"/>
        <w:rPr>
          <w:rFonts w:hAnsi="宋体"/>
          <w:b/>
          <w:bCs/>
          <w:sz w:val="30"/>
          <w:szCs w:val="30"/>
        </w:rPr>
      </w:pPr>
      <w:bookmarkStart w:id="608" w:name="_Toc21858_WPSOffice_Level1"/>
      <w:bookmarkStart w:id="609" w:name="_Toc31393_WPSOffice_Level1"/>
      <w:bookmarkStart w:id="610" w:name="_Toc29840_WPSOffice_Level1"/>
      <w:r>
        <w:rPr>
          <w:rFonts w:hint="eastAsia" w:hAnsi="宋体"/>
          <w:b/>
          <w:bCs/>
          <w:sz w:val="30"/>
          <w:szCs w:val="30"/>
        </w:rPr>
        <w:t>法定代表人或其委托代理人：（电子签名）</w:t>
      </w:r>
      <w:bookmarkEnd w:id="608"/>
      <w:bookmarkEnd w:id="609"/>
      <w:bookmarkEnd w:id="610"/>
    </w:p>
    <w:p>
      <w:pPr>
        <w:pStyle w:val="11"/>
        <w:spacing w:line="360" w:lineRule="auto"/>
        <w:ind w:left="0" w:leftChars="0" w:firstLine="2129" w:firstLineChars="707"/>
        <w:rPr>
          <w:rFonts w:ascii="宋体" w:hAnsi="宋体"/>
          <w:b/>
          <w:bCs/>
          <w:sz w:val="30"/>
          <w:szCs w:val="30"/>
        </w:rPr>
      </w:pPr>
      <w:bookmarkStart w:id="611" w:name="_Toc32012_WPSOffice_Level1"/>
      <w:bookmarkStart w:id="612" w:name="_Toc15496_WPSOffice_Level1"/>
      <w:bookmarkStart w:id="613" w:name="_Toc11679_WPSOffice_Level1"/>
      <w:r>
        <w:rPr>
          <w:rFonts w:hint="eastAsia" w:ascii="宋体" w:hAnsi="宋体"/>
          <w:b/>
          <w:bCs/>
          <w:sz w:val="30"/>
          <w:szCs w:val="30"/>
        </w:rPr>
        <w:t>日      期：       年    月    日</w:t>
      </w:r>
      <w:bookmarkEnd w:id="611"/>
      <w:bookmarkEnd w:id="612"/>
      <w:bookmarkEnd w:id="613"/>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pPr>
    </w:p>
    <w:p>
      <w:pPr>
        <w:pStyle w:val="22"/>
        <w:spacing w:line="360" w:lineRule="auto"/>
        <w:ind w:left="0" w:leftChars="0" w:firstLine="0" w:firstLineChars="0"/>
        <w:rPr>
          <w:rFonts w:ascii="宋体" w:hAnsi="宋体"/>
          <w:b/>
          <w:sz w:val="24"/>
          <w:szCs w:val="24"/>
        </w:rPr>
      </w:pPr>
    </w:p>
    <w:p>
      <w:pPr>
        <w:spacing w:line="360" w:lineRule="auto"/>
        <w:jc w:val="center"/>
        <w:rPr>
          <w:b/>
          <w:sz w:val="28"/>
          <w:szCs w:val="28"/>
        </w:rPr>
      </w:pPr>
      <w:bookmarkStart w:id="614" w:name="_Toc11715_WPSOffice_Level1"/>
      <w:bookmarkStart w:id="615" w:name="_Toc502_WPSOffice_Level1"/>
      <w:bookmarkStart w:id="616" w:name="_Toc20683_WPSOffice_Level1"/>
      <w:r>
        <w:rPr>
          <w:rFonts w:hint="eastAsia"/>
          <w:b/>
          <w:sz w:val="28"/>
          <w:szCs w:val="28"/>
        </w:rPr>
        <w:t>响应文件目录</w:t>
      </w:r>
      <w:bookmarkEnd w:id="614"/>
      <w:bookmarkEnd w:id="615"/>
      <w:bookmarkEnd w:id="616"/>
    </w:p>
    <w:p>
      <w:pPr>
        <w:wordWrap/>
        <w:topLinePunct w:val="0"/>
        <w:autoSpaceDE w:val="0"/>
        <w:autoSpaceDN w:val="0"/>
        <w:adjustRightInd w:val="0"/>
        <w:spacing w:line="360" w:lineRule="auto"/>
        <w:ind w:right="40" w:firstLine="420" w:firstLineChars="200"/>
        <w:jc w:val="left"/>
        <w:rPr>
          <w:rFonts w:cs="微软雅黑"/>
          <w:kern w:val="0"/>
        </w:rPr>
      </w:pPr>
      <w:bookmarkStart w:id="617" w:name="_Toc11154_WPSOffice_Level1"/>
      <w:bookmarkStart w:id="618" w:name="_Toc22859_WPSOffice_Level1"/>
      <w:bookmarkStart w:id="619" w:name="_Toc2989_WPSOffice_Level1"/>
      <w:r>
        <w:rPr>
          <w:rFonts w:hint="eastAsia"/>
        </w:rPr>
        <w:t>一、</w:t>
      </w:r>
      <w:r>
        <w:rPr>
          <w:rFonts w:hint="eastAsia" w:cs="微软雅黑"/>
          <w:kern w:val="0"/>
        </w:rPr>
        <w:t>报价函及报价函附录</w:t>
      </w:r>
      <w:bookmarkEnd w:id="617"/>
      <w:bookmarkEnd w:id="618"/>
      <w:bookmarkEnd w:id="619"/>
    </w:p>
    <w:p>
      <w:pPr>
        <w:wordWrap/>
        <w:topLinePunct w:val="0"/>
        <w:spacing w:line="360" w:lineRule="auto"/>
        <w:ind w:firstLine="420" w:firstLineChars="200"/>
        <w:rPr>
          <w:kern w:val="0"/>
        </w:rPr>
      </w:pPr>
      <w:bookmarkStart w:id="620" w:name="_Toc13949_WPSOffice_Level1"/>
      <w:bookmarkStart w:id="621" w:name="_Toc7550_WPSOffice_Level1"/>
      <w:bookmarkStart w:id="622" w:name="_Toc6626_WPSOffice_Level1"/>
      <w:r>
        <w:rPr>
          <w:rFonts w:hint="eastAsia"/>
        </w:rPr>
        <w:t>二、法定代表人身份证明</w:t>
      </w:r>
      <w:r>
        <w:rPr>
          <w:rFonts w:hint="eastAsia"/>
          <w:kern w:val="0"/>
        </w:rPr>
        <w:t>或授权委托书</w:t>
      </w:r>
      <w:bookmarkEnd w:id="620"/>
      <w:bookmarkEnd w:id="621"/>
      <w:bookmarkEnd w:id="622"/>
    </w:p>
    <w:p>
      <w:pPr>
        <w:wordWrap/>
        <w:topLinePunct w:val="0"/>
        <w:spacing w:line="360" w:lineRule="auto"/>
        <w:ind w:firstLine="420" w:firstLineChars="200"/>
      </w:pPr>
      <w:bookmarkStart w:id="623" w:name="_Toc31278_WPSOffice_Level1"/>
      <w:bookmarkStart w:id="624" w:name="_Toc19690_WPSOffice_Level1"/>
      <w:bookmarkStart w:id="625" w:name="_Toc32584_WPSOffice_Level1"/>
      <w:r>
        <w:rPr>
          <w:rFonts w:hint="eastAsia"/>
        </w:rPr>
        <w:t>三、响应人资格审查资料</w:t>
      </w:r>
      <w:bookmarkEnd w:id="623"/>
      <w:bookmarkEnd w:id="624"/>
      <w:bookmarkEnd w:id="625"/>
    </w:p>
    <w:p>
      <w:pPr>
        <w:wordWrap/>
        <w:topLinePunct w:val="0"/>
        <w:spacing w:line="360" w:lineRule="auto"/>
        <w:ind w:firstLine="420" w:firstLineChars="200"/>
      </w:pPr>
      <w:bookmarkStart w:id="626" w:name="_Toc4041_WPSOffice_Level1"/>
      <w:bookmarkStart w:id="627" w:name="_Toc16168_WPSOffice_Level1"/>
      <w:bookmarkStart w:id="628" w:name="_Toc19781_WPSOffice_Level1"/>
      <w:r>
        <w:rPr>
          <w:rFonts w:hint="eastAsia"/>
        </w:rPr>
        <w:t>四、已标价工程量清单</w:t>
      </w:r>
      <w:bookmarkEnd w:id="626"/>
      <w:bookmarkEnd w:id="627"/>
      <w:bookmarkEnd w:id="628"/>
    </w:p>
    <w:p>
      <w:pPr>
        <w:wordWrap/>
        <w:topLinePunct w:val="0"/>
        <w:spacing w:line="360" w:lineRule="auto"/>
        <w:ind w:firstLine="420" w:firstLineChars="200"/>
      </w:pPr>
      <w:bookmarkStart w:id="629" w:name="_Toc10286_WPSOffice_Level1"/>
      <w:bookmarkStart w:id="630" w:name="_Toc18132_WPSOffice_Level1"/>
      <w:bookmarkStart w:id="631" w:name="_Toc4809_WPSOffice_Level1"/>
      <w:r>
        <w:rPr>
          <w:rFonts w:hint="eastAsia"/>
        </w:rPr>
        <w:t>五、施工组织设计</w:t>
      </w:r>
      <w:bookmarkEnd w:id="629"/>
      <w:bookmarkEnd w:id="630"/>
      <w:bookmarkEnd w:id="631"/>
    </w:p>
    <w:p>
      <w:pPr>
        <w:wordWrap/>
        <w:topLinePunct w:val="0"/>
        <w:spacing w:line="360" w:lineRule="auto"/>
        <w:ind w:firstLine="420" w:firstLineChars="200"/>
      </w:pPr>
      <w:bookmarkStart w:id="632" w:name="_Toc14778_WPSOffice_Level1"/>
      <w:bookmarkStart w:id="633" w:name="_Toc10069_WPSOffice_Level1"/>
      <w:bookmarkStart w:id="634" w:name="_Toc23500_WPSOffice_Level1"/>
      <w:r>
        <w:rPr>
          <w:rFonts w:hint="eastAsia"/>
        </w:rPr>
        <w:t>六、项目管理机构</w:t>
      </w:r>
      <w:bookmarkEnd w:id="632"/>
      <w:bookmarkEnd w:id="633"/>
      <w:bookmarkEnd w:id="634"/>
    </w:p>
    <w:p>
      <w:pPr>
        <w:wordWrap/>
        <w:topLinePunct w:val="0"/>
        <w:autoSpaceDE w:val="0"/>
        <w:autoSpaceDN w:val="0"/>
        <w:adjustRightInd w:val="0"/>
        <w:spacing w:line="360" w:lineRule="auto"/>
        <w:ind w:right="40" w:firstLine="420" w:firstLineChars="200"/>
        <w:jc w:val="left"/>
        <w:rPr>
          <w:rFonts w:cs="微软雅黑"/>
          <w:kern w:val="0"/>
        </w:rPr>
      </w:pPr>
      <w:bookmarkStart w:id="635" w:name="_Toc10657_WPSOffice_Level1"/>
      <w:bookmarkStart w:id="636" w:name="_Toc9873_WPSOffice_Level1"/>
      <w:bookmarkStart w:id="637" w:name="_Toc31174_WPSOffice_Level1"/>
      <w:r>
        <w:rPr>
          <w:rFonts w:hint="eastAsia"/>
          <w:lang w:val="en-US" w:eastAsia="zh-CN"/>
        </w:rPr>
        <w:t>七</w:t>
      </w:r>
      <w:r>
        <w:rPr>
          <w:rFonts w:hint="eastAsia"/>
        </w:rPr>
        <w:t>、</w:t>
      </w:r>
      <w:r>
        <w:rPr>
          <w:rFonts w:hint="eastAsia" w:cs="微软雅黑"/>
          <w:kern w:val="0"/>
        </w:rPr>
        <w:t>服务承诺</w:t>
      </w:r>
      <w:bookmarkEnd w:id="635"/>
      <w:bookmarkEnd w:id="636"/>
      <w:bookmarkEnd w:id="637"/>
    </w:p>
    <w:p>
      <w:pPr>
        <w:wordWrap/>
        <w:topLinePunct w:val="0"/>
        <w:autoSpaceDE w:val="0"/>
        <w:autoSpaceDN w:val="0"/>
        <w:adjustRightInd w:val="0"/>
        <w:spacing w:line="360" w:lineRule="auto"/>
        <w:ind w:right="40" w:firstLine="420" w:firstLineChars="200"/>
        <w:jc w:val="left"/>
        <w:rPr>
          <w:rFonts w:cs="微软雅黑"/>
          <w:kern w:val="0"/>
        </w:rPr>
      </w:pPr>
      <w:bookmarkStart w:id="638" w:name="_Toc31900_WPSOffice_Level1"/>
      <w:bookmarkStart w:id="639" w:name="_Toc16358_WPSOffice_Level1"/>
      <w:bookmarkStart w:id="640" w:name="_Toc18831_WPSOffice_Level1"/>
      <w:r>
        <w:rPr>
          <w:rFonts w:hint="eastAsia" w:cs="微软雅黑"/>
          <w:kern w:val="0"/>
          <w:lang w:val="en-US" w:eastAsia="zh-CN"/>
        </w:rPr>
        <w:t>八</w:t>
      </w:r>
      <w:r>
        <w:rPr>
          <w:rFonts w:hint="eastAsia" w:cs="微软雅黑"/>
          <w:kern w:val="0"/>
        </w:rPr>
        <w:t>、反商业贿赂承诺书</w:t>
      </w:r>
      <w:bookmarkEnd w:id="638"/>
      <w:bookmarkEnd w:id="639"/>
      <w:bookmarkEnd w:id="640"/>
    </w:p>
    <w:p>
      <w:pPr>
        <w:wordWrap/>
        <w:topLinePunct w:val="0"/>
        <w:autoSpaceDE w:val="0"/>
        <w:autoSpaceDN w:val="0"/>
        <w:adjustRightInd w:val="0"/>
        <w:spacing w:line="360" w:lineRule="auto"/>
        <w:ind w:right="40" w:firstLine="420" w:firstLineChars="200"/>
        <w:jc w:val="left"/>
        <w:rPr>
          <w:rFonts w:cs="微软雅黑"/>
          <w:kern w:val="0"/>
        </w:rPr>
      </w:pPr>
      <w:bookmarkStart w:id="641" w:name="_Toc527_WPSOffice_Level1"/>
      <w:bookmarkStart w:id="642" w:name="_Toc25410_WPSOffice_Level1"/>
      <w:bookmarkStart w:id="643" w:name="_Toc25044_WPSOffice_Level1"/>
      <w:r>
        <w:rPr>
          <w:rFonts w:hint="eastAsia" w:cs="微软雅黑"/>
          <w:kern w:val="0"/>
          <w:lang w:val="en-US" w:eastAsia="zh-CN"/>
        </w:rPr>
        <w:t>九</w:t>
      </w:r>
      <w:r>
        <w:rPr>
          <w:rFonts w:hint="eastAsia" w:cs="微软雅黑"/>
          <w:kern w:val="0"/>
        </w:rPr>
        <w:t>、中小企业声明函</w:t>
      </w:r>
      <w:bookmarkEnd w:id="641"/>
      <w:bookmarkEnd w:id="642"/>
      <w:bookmarkEnd w:id="643"/>
    </w:p>
    <w:p>
      <w:pPr>
        <w:wordWrap/>
        <w:topLinePunct w:val="0"/>
        <w:autoSpaceDE w:val="0"/>
        <w:autoSpaceDN w:val="0"/>
        <w:adjustRightInd w:val="0"/>
        <w:spacing w:line="360" w:lineRule="auto"/>
        <w:ind w:right="40" w:firstLine="420" w:firstLineChars="200"/>
        <w:jc w:val="left"/>
        <w:rPr>
          <w:rFonts w:cs="微软雅黑"/>
          <w:kern w:val="0"/>
        </w:rPr>
      </w:pPr>
      <w:bookmarkStart w:id="644" w:name="_Toc21910_WPSOffice_Level1"/>
      <w:bookmarkStart w:id="645" w:name="_Toc14706_WPSOffice_Level1"/>
      <w:bookmarkStart w:id="646" w:name="_Toc29336_WPSOffice_Level1"/>
      <w:r>
        <w:rPr>
          <w:rFonts w:hint="eastAsia" w:cs="微软雅黑"/>
          <w:kern w:val="0"/>
        </w:rPr>
        <w:t>十、残疾人福利性单位声明函</w:t>
      </w:r>
      <w:bookmarkEnd w:id="644"/>
      <w:bookmarkEnd w:id="645"/>
      <w:bookmarkEnd w:id="646"/>
    </w:p>
    <w:p>
      <w:pPr>
        <w:wordWrap/>
        <w:topLinePunct w:val="0"/>
        <w:autoSpaceDE w:val="0"/>
        <w:autoSpaceDN w:val="0"/>
        <w:adjustRightInd w:val="0"/>
        <w:spacing w:line="360" w:lineRule="auto"/>
        <w:ind w:right="40" w:firstLine="420" w:firstLineChars="200"/>
        <w:jc w:val="left"/>
        <w:rPr>
          <w:rFonts w:cs="微软雅黑"/>
          <w:kern w:val="0"/>
        </w:rPr>
      </w:pPr>
      <w:bookmarkStart w:id="647" w:name="_Toc10752_WPSOffice_Level1"/>
      <w:bookmarkStart w:id="648" w:name="_Toc27164_WPSOffice_Level1"/>
      <w:bookmarkStart w:id="649" w:name="_Toc27516_WPSOffice_Level1"/>
      <w:r>
        <w:rPr>
          <w:rFonts w:hint="eastAsia" w:cs="微软雅黑"/>
          <w:kern w:val="0"/>
        </w:rPr>
        <w:t>十</w:t>
      </w:r>
      <w:r>
        <w:rPr>
          <w:rFonts w:hint="eastAsia" w:cs="微软雅黑"/>
          <w:kern w:val="0"/>
          <w:lang w:val="en-US" w:eastAsia="zh-CN"/>
        </w:rPr>
        <w:t>一</w:t>
      </w:r>
      <w:r>
        <w:rPr>
          <w:rFonts w:hint="eastAsia" w:cs="微软雅黑"/>
          <w:kern w:val="0"/>
        </w:rPr>
        <w:t>、其他资料</w:t>
      </w:r>
      <w:bookmarkEnd w:id="647"/>
      <w:bookmarkEnd w:id="648"/>
      <w:bookmarkEnd w:id="649"/>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rPr>
          <w:rFonts w:ascii="宋体" w:hAnsi="宋体"/>
          <w:b/>
          <w:sz w:val="24"/>
          <w:szCs w:val="24"/>
        </w:rPr>
      </w:pPr>
    </w:p>
    <w:p>
      <w:pPr>
        <w:pStyle w:val="22"/>
        <w:rPr>
          <w:rFonts w:ascii="宋体" w:hAnsi="宋体"/>
          <w:b/>
          <w:sz w:val="24"/>
          <w:szCs w:val="24"/>
        </w:rPr>
      </w:pPr>
    </w:p>
    <w:p>
      <w:pPr>
        <w:pStyle w:val="21"/>
      </w:pPr>
    </w:p>
    <w:p>
      <w:pPr>
        <w:pStyle w:val="22"/>
        <w:spacing w:line="360" w:lineRule="auto"/>
        <w:ind w:firstLine="482"/>
        <w:rPr>
          <w:rFonts w:ascii="宋体" w:hAnsi="宋体"/>
          <w:b/>
          <w:sz w:val="24"/>
          <w:szCs w:val="24"/>
        </w:rPr>
      </w:pPr>
    </w:p>
    <w:p>
      <w:pPr>
        <w:pStyle w:val="21"/>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
        <w:numPr>
          <w:ilvl w:val="0"/>
          <w:numId w:val="24"/>
        </w:numPr>
        <w:tabs>
          <w:tab w:val="left" w:pos="425"/>
        </w:tabs>
        <w:rPr>
          <w:szCs w:val="24"/>
        </w:rPr>
      </w:pPr>
      <w:bookmarkStart w:id="650" w:name="_Toc29365"/>
      <w:bookmarkStart w:id="651" w:name="_Toc32417_WPSOffice_Level1"/>
      <w:bookmarkStart w:id="652" w:name="_Toc7590_WPSOffice_Level1"/>
      <w:bookmarkStart w:id="653" w:name="_Toc11653_WPSOffice_Level1"/>
      <w:r>
        <w:rPr>
          <w:rFonts w:hint="eastAsia"/>
          <w:szCs w:val="24"/>
          <w:lang w:val="zh-CN"/>
        </w:rPr>
        <w:t>报价函及报价函附录</w:t>
      </w:r>
      <w:bookmarkEnd w:id="650"/>
      <w:bookmarkEnd w:id="651"/>
      <w:bookmarkEnd w:id="652"/>
      <w:bookmarkEnd w:id="653"/>
    </w:p>
    <w:p>
      <w:pPr>
        <w:pStyle w:val="4"/>
        <w:numPr>
          <w:ilvl w:val="0"/>
          <w:numId w:val="25"/>
        </w:numPr>
        <w:jc w:val="center"/>
        <w:rPr>
          <w:sz w:val="28"/>
          <w:szCs w:val="28"/>
        </w:rPr>
      </w:pPr>
      <w:r>
        <w:rPr>
          <w:rFonts w:hint="eastAsia"/>
          <w:sz w:val="28"/>
          <w:szCs w:val="28"/>
          <w:lang w:val="zh-CN"/>
        </w:rPr>
        <w:t>报价函</w:t>
      </w:r>
    </w:p>
    <w:p>
      <w:pPr>
        <w:spacing w:line="360" w:lineRule="auto"/>
      </w:pPr>
      <w:r>
        <w:rPr>
          <w:rFonts w:hint="eastAsia"/>
        </w:rPr>
        <w:t>致：（</w:t>
      </w:r>
      <w:r>
        <w:rPr>
          <w:rFonts w:hint="eastAsia"/>
          <w:u w:val="single"/>
        </w:rPr>
        <w:t>采购人或采购代理机构名称</w:t>
      </w:r>
      <w:r>
        <w:rPr>
          <w:rFonts w:hint="eastAsia"/>
        </w:rPr>
        <w:t>）</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我方已仔细研究了</w:t>
      </w:r>
      <w:r>
        <w:rPr>
          <w:rFonts w:hint="eastAsia"/>
          <w:sz w:val="21"/>
          <w:u w:val="single"/>
        </w:rPr>
        <w:tab/>
      </w:r>
      <w:r>
        <w:rPr>
          <w:rFonts w:hint="eastAsia"/>
          <w:sz w:val="21"/>
          <w:u w:val="single"/>
          <w:lang w:val="en-US" w:eastAsia="zh-CN"/>
        </w:rPr>
        <w:t xml:space="preserve">   </w:t>
      </w:r>
      <w:r>
        <w:rPr>
          <w:rFonts w:hint="eastAsia"/>
          <w:sz w:val="21"/>
        </w:rPr>
        <w:t>（项目名称）采购项目竞争性磋商文件的全部内容，愿意以人民币</w:t>
      </w:r>
      <w:r>
        <w:rPr>
          <w:rFonts w:hint="eastAsia"/>
          <w:sz w:val="21"/>
          <w:lang w:val="en-US" w:eastAsia="zh-CN"/>
        </w:rPr>
        <w:t xml:space="preserve">   </w:t>
      </w:r>
      <w:r>
        <w:rPr>
          <w:rFonts w:hint="eastAsia"/>
          <w:sz w:val="21"/>
          <w:u w:val="single"/>
          <w:lang w:val="en-US" w:eastAsia="zh-CN"/>
        </w:rPr>
        <w:t xml:space="preserve">     </w:t>
      </w:r>
      <w:r>
        <w:rPr>
          <w:rFonts w:hint="eastAsia"/>
          <w:sz w:val="21"/>
        </w:rPr>
        <w:t>（大写）（¥</w:t>
      </w:r>
      <w:r>
        <w:rPr>
          <w:rFonts w:hint="eastAsia"/>
          <w:sz w:val="21"/>
          <w:lang w:val="en-US" w:eastAsia="zh-CN"/>
        </w:rPr>
        <w:t xml:space="preserve"> </w:t>
      </w:r>
      <w:r>
        <w:rPr>
          <w:rFonts w:hint="eastAsia"/>
          <w:sz w:val="21"/>
          <w:u w:val="single"/>
        </w:rPr>
        <w:tab/>
      </w:r>
      <w:r>
        <w:rPr>
          <w:rFonts w:hint="eastAsia"/>
          <w:sz w:val="21"/>
          <w:u w:val="single"/>
          <w:lang w:val="en-US" w:eastAsia="zh-CN"/>
        </w:rPr>
        <w:t xml:space="preserve"> </w:t>
      </w:r>
      <w:r>
        <w:rPr>
          <w:rFonts w:hint="eastAsia"/>
          <w:sz w:val="21"/>
        </w:rPr>
        <w:t>）的磋商总报价，计划工期</w:t>
      </w:r>
      <w:r>
        <w:rPr>
          <w:rFonts w:hint="eastAsia"/>
          <w:sz w:val="21"/>
          <w:u w:val="single"/>
        </w:rPr>
        <w:t xml:space="preserve">      </w:t>
      </w:r>
      <w:r>
        <w:rPr>
          <w:rFonts w:hint="eastAsia"/>
          <w:sz w:val="21"/>
        </w:rPr>
        <w:t>日历天，按合同约定完成全部工作。</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pPr>
        <w:pStyle w:val="12"/>
        <w:numPr>
          <w:ilvl w:val="0"/>
          <w:numId w:val="26"/>
        </w:numPr>
        <w:tabs>
          <w:tab w:val="left" w:pos="720"/>
          <w:tab w:val="clear" w:pos="420"/>
        </w:tabs>
        <w:spacing w:after="0" w:line="360" w:lineRule="auto"/>
        <w:ind w:left="0" w:firstLine="315" w:firstLineChars="150"/>
        <w:rPr>
          <w:sz w:val="21"/>
        </w:rPr>
      </w:pPr>
      <w:r>
        <w:rPr>
          <w:rFonts w:hint="eastAsia"/>
          <w:sz w:val="21"/>
        </w:rPr>
        <w:t>我方已详细审查全部竞争性磋商文件，包括修改文件以及全部参考资料和有关附件。我方完全理解并同意放弃对这方面有不明及误解的权力。</w:t>
      </w:r>
    </w:p>
    <w:p>
      <w:pPr>
        <w:pStyle w:val="12"/>
        <w:numPr>
          <w:ilvl w:val="0"/>
          <w:numId w:val="26"/>
        </w:numPr>
        <w:tabs>
          <w:tab w:val="left" w:pos="720"/>
          <w:tab w:val="clear" w:pos="4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60  </w:t>
      </w:r>
      <w:r>
        <w:rPr>
          <w:rFonts w:hint="eastAsia"/>
          <w:sz w:val="21"/>
        </w:rPr>
        <w:t>日历天。</w:t>
      </w:r>
    </w:p>
    <w:p>
      <w:pPr>
        <w:pStyle w:val="12"/>
        <w:numPr>
          <w:ilvl w:val="0"/>
          <w:numId w:val="26"/>
        </w:numPr>
        <w:tabs>
          <w:tab w:val="left" w:pos="720"/>
          <w:tab w:val="clear" w:pos="420"/>
        </w:tabs>
        <w:spacing w:after="0" w:line="360" w:lineRule="auto"/>
        <w:ind w:left="0" w:firstLine="360"/>
        <w:rPr>
          <w:sz w:val="21"/>
        </w:rPr>
      </w:pPr>
      <w:r>
        <w:rPr>
          <w:rFonts w:hint="eastAsia"/>
          <w:sz w:val="21"/>
        </w:rPr>
        <w:t>如果在规定的开启时间后，我方在磋商有效期内撤回响应文件，磋商保证金将不予退回。</w:t>
      </w:r>
    </w:p>
    <w:p>
      <w:pPr>
        <w:pStyle w:val="12"/>
        <w:numPr>
          <w:ilvl w:val="0"/>
          <w:numId w:val="26"/>
        </w:numPr>
        <w:tabs>
          <w:tab w:val="left" w:pos="720"/>
          <w:tab w:val="clear" w:pos="420"/>
        </w:tabs>
        <w:spacing w:after="0" w:line="360" w:lineRule="auto"/>
        <w:ind w:left="0" w:firstLine="360"/>
        <w:rPr>
          <w:sz w:val="21"/>
        </w:rPr>
      </w:pPr>
      <w:r>
        <w:rPr>
          <w:rFonts w:hint="eastAsia"/>
          <w:sz w:val="21"/>
        </w:rPr>
        <w:t>我方在此声明，所递交的响应文件及有关资料内容完整、真实和准确，且不存在第二章“响应人须知”第 1.4.3项规定的任何一种情形。</w:t>
      </w:r>
    </w:p>
    <w:p>
      <w:pPr>
        <w:pStyle w:val="12"/>
        <w:numPr>
          <w:ilvl w:val="0"/>
          <w:numId w:val="26"/>
        </w:numPr>
        <w:tabs>
          <w:tab w:val="left" w:pos="720"/>
          <w:tab w:val="clear" w:pos="4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pPr>
        <w:spacing w:line="360" w:lineRule="auto"/>
      </w:pPr>
    </w:p>
    <w:p>
      <w:pPr>
        <w:pStyle w:val="11"/>
        <w:spacing w:line="360" w:lineRule="auto"/>
        <w:ind w:left="1" w:leftChars="0" w:firstLine="420" w:firstLineChars="200"/>
        <w:rPr>
          <w:rFonts w:ascii="宋体" w:hAnsi="宋体" w:cs="宋体"/>
        </w:rPr>
      </w:pPr>
      <w:r>
        <w:rPr>
          <w:rFonts w:hint="eastAsia" w:ascii="宋体" w:hAnsi="宋体" w:cs="宋体"/>
        </w:rPr>
        <w:t xml:space="preserve">地    址：                  邮政编码：               </w:t>
      </w:r>
    </w:p>
    <w:p>
      <w:pPr>
        <w:pStyle w:val="11"/>
        <w:spacing w:line="360" w:lineRule="auto"/>
        <w:ind w:left="1" w:leftChars="0" w:firstLine="420" w:firstLineChars="200"/>
        <w:rPr>
          <w:rFonts w:ascii="宋体" w:hAnsi="宋体" w:cs="宋体"/>
        </w:rPr>
      </w:pPr>
      <w:r>
        <w:rPr>
          <w:rFonts w:hint="eastAsia" w:ascii="宋体" w:hAnsi="宋体" w:cs="宋体"/>
        </w:rPr>
        <w:t xml:space="preserve">电    话：                  传    真：               </w:t>
      </w:r>
    </w:p>
    <w:p>
      <w:pPr>
        <w:pStyle w:val="11"/>
        <w:spacing w:line="360" w:lineRule="auto"/>
        <w:ind w:left="1" w:leftChars="0" w:firstLine="420" w:firstLineChars="200"/>
        <w:rPr>
          <w:rFonts w:ascii="宋体" w:hAnsi="宋体" w:cs="宋体"/>
        </w:rPr>
      </w:pPr>
    </w:p>
    <w:p>
      <w:pPr>
        <w:pStyle w:val="11"/>
        <w:spacing w:line="360" w:lineRule="auto"/>
        <w:ind w:left="1" w:leftChars="0" w:firstLine="420" w:firstLineChars="200"/>
        <w:jc w:val="right"/>
        <w:rPr>
          <w:rFonts w:ascii="宋体" w:hAnsi="宋体" w:cs="宋体"/>
        </w:rPr>
      </w:pPr>
      <w:r>
        <w:rPr>
          <w:rFonts w:hint="eastAsia" w:ascii="宋体" w:hAnsi="宋体" w:cs="宋体"/>
        </w:rPr>
        <w:t>响应人：（电子签章）</w:t>
      </w:r>
    </w:p>
    <w:p>
      <w:pPr>
        <w:pStyle w:val="11"/>
        <w:spacing w:line="360" w:lineRule="auto"/>
        <w:ind w:left="1" w:leftChars="0" w:firstLine="420" w:firstLineChars="200"/>
        <w:jc w:val="right"/>
        <w:rPr>
          <w:rFonts w:hint="eastAsia" w:ascii="宋体" w:hAnsi="宋体" w:cs="宋体"/>
        </w:rPr>
      </w:pPr>
      <w:r>
        <w:rPr>
          <w:rFonts w:hint="eastAsia" w:ascii="宋体" w:hAnsi="宋体" w:cs="宋体"/>
        </w:rPr>
        <w:t>法定代表人或其委托代理人：（电子签名）</w:t>
      </w:r>
    </w:p>
    <w:p>
      <w:pPr>
        <w:pStyle w:val="11"/>
        <w:wordWrap w:val="0"/>
        <w:spacing w:line="360" w:lineRule="auto"/>
        <w:ind w:left="1" w:leftChars="0" w:firstLine="420" w:firstLineChars="200"/>
        <w:jc w:val="right"/>
        <w:rPr>
          <w:rFonts w:hint="eastAsia" w:ascii="宋体" w:hAnsi="宋体" w:cs="宋体"/>
          <w:u w:val="single"/>
          <w:lang w:val="en-US" w:eastAsia="zh-CN"/>
        </w:rPr>
      </w:pPr>
      <w:r>
        <w:rPr>
          <w:rFonts w:hint="eastAsia" w:ascii="宋体" w:hAnsi="宋体" w:cs="宋体"/>
          <w:lang w:val="en-US" w:eastAsia="zh-CN"/>
        </w:rPr>
        <w:t xml:space="preserve">投标联系人; </w:t>
      </w:r>
      <w:r>
        <w:rPr>
          <w:rFonts w:hint="eastAsia" w:ascii="宋体" w:hAnsi="宋体" w:cs="宋体"/>
          <w:u w:val="single"/>
          <w:lang w:val="en-US" w:eastAsia="zh-CN"/>
        </w:rPr>
        <w:t xml:space="preserve">                           </w:t>
      </w:r>
    </w:p>
    <w:p>
      <w:pPr>
        <w:pStyle w:val="11"/>
        <w:wordWrap w:val="0"/>
        <w:spacing w:line="360" w:lineRule="auto"/>
        <w:ind w:left="1" w:leftChars="0" w:firstLine="420" w:firstLineChars="200"/>
        <w:jc w:val="right"/>
        <w:rPr>
          <w:rFonts w:hint="default" w:ascii="宋体" w:hAnsi="宋体" w:cs="宋体"/>
          <w:u w:val="single"/>
          <w:lang w:val="en-US" w:eastAsia="zh-CN"/>
        </w:rPr>
      </w:pPr>
      <w:r>
        <w:rPr>
          <w:rFonts w:hint="eastAsia" w:ascii="宋体" w:hAnsi="宋体" w:cs="宋体"/>
          <w:u w:val="none"/>
          <w:lang w:val="en-US" w:eastAsia="zh-CN"/>
        </w:rPr>
        <w:t xml:space="preserve">联系电话（手机号码）; </w:t>
      </w:r>
      <w:r>
        <w:rPr>
          <w:rFonts w:hint="eastAsia" w:ascii="宋体" w:hAnsi="宋体" w:cs="宋体"/>
          <w:u w:val="single"/>
          <w:lang w:val="en-US" w:eastAsia="zh-CN"/>
        </w:rPr>
        <w:t xml:space="preserve">                 </w:t>
      </w:r>
    </w:p>
    <w:p>
      <w:pPr>
        <w:pStyle w:val="11"/>
        <w:spacing w:line="360" w:lineRule="auto"/>
        <w:ind w:left="1" w:leftChars="0" w:firstLine="420" w:firstLineChars="200"/>
        <w:jc w:val="right"/>
        <w:rPr>
          <w:rFonts w:ascii="宋体" w:hAnsi="宋体"/>
          <w:b/>
          <w:sz w:val="24"/>
          <w:szCs w:val="24"/>
        </w:rPr>
      </w:pPr>
      <w:r>
        <w:rPr>
          <w:rFonts w:hint="eastAsia" w:ascii="宋体" w:hAnsi="宋体" w:cs="宋体"/>
        </w:rPr>
        <w:t>日期：     年    月    日</w:t>
      </w:r>
    </w:p>
    <w:p>
      <w:pPr>
        <w:pStyle w:val="5"/>
      </w:pPr>
    </w:p>
    <w:p>
      <w:pPr>
        <w:pStyle w:val="4"/>
        <w:numPr>
          <w:ilvl w:val="0"/>
          <w:numId w:val="25"/>
        </w:numPr>
        <w:jc w:val="center"/>
        <w:rPr>
          <w:sz w:val="28"/>
          <w:szCs w:val="28"/>
          <w:lang w:val="zh-CN"/>
        </w:rPr>
      </w:pPr>
      <w:bookmarkStart w:id="654" w:name="_Toc21386"/>
      <w:r>
        <w:rPr>
          <w:rFonts w:hint="eastAsia"/>
          <w:sz w:val="28"/>
          <w:szCs w:val="28"/>
          <w:lang w:val="zh-CN"/>
        </w:rPr>
        <w:t>报价函附录（第一轮报价）</w:t>
      </w:r>
      <w:bookmarkEnd w:id="654"/>
    </w:p>
    <w:p>
      <w:pPr>
        <w:spacing w:line="360" w:lineRule="auto"/>
        <w:rPr>
          <w:lang w:val="zh-CN"/>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响应人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gridSpan w:val="3"/>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（响应人应在此填列第一次报价，但以响应人最后一次的磋商报价为成交价）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项目经理</w:t>
            </w:r>
          </w:p>
        </w:tc>
        <w:tc>
          <w:tcPr>
            <w:tcW w:w="3016"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c>
          <w:tcPr>
            <w:tcW w:w="698"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r>
              <w:rPr>
                <w:rFonts w:hint="eastAsia"/>
              </w:rPr>
              <w:t>证书编号</w:t>
            </w:r>
          </w:p>
        </w:tc>
        <w:tc>
          <w:tcPr>
            <w:tcW w:w="2631"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计划工期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质量</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投标有效期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优惠与</w:t>
            </w:r>
          </w:p>
          <w:p>
            <w:pPr>
              <w:widowControl/>
              <w:spacing w:line="360" w:lineRule="auto"/>
              <w:jc w:val="center"/>
            </w:pPr>
            <w:r>
              <w:rPr>
                <w:rFonts w:hint="eastAsia"/>
              </w:rPr>
              <w:t>服务承诺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响应人：（电子签章）</w:t>
      </w:r>
    </w:p>
    <w:p>
      <w:pPr>
        <w:spacing w:line="360" w:lineRule="auto"/>
        <w:jc w:val="right"/>
      </w:pPr>
    </w:p>
    <w:p>
      <w:pPr>
        <w:spacing w:line="360" w:lineRule="auto"/>
        <w:jc w:val="right"/>
      </w:pPr>
      <w:r>
        <w:rPr>
          <w:rFonts w:hint="eastAsia"/>
        </w:rPr>
        <w:t>法定代表人或其委托代理人：（电子签名）</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8"/>
        <w:numPr>
          <w:ilvl w:val="1"/>
          <w:numId w:val="0"/>
        </w:numPr>
        <w:spacing w:line="360" w:lineRule="auto"/>
        <w:rPr>
          <w:rFonts w:hAnsi="宋体"/>
          <w:color w:val="auto"/>
        </w:rPr>
      </w:pPr>
    </w:p>
    <w:p>
      <w:pPr>
        <w:pStyle w:val="2"/>
        <w:numPr>
          <w:ilvl w:val="0"/>
          <w:numId w:val="24"/>
        </w:numPr>
        <w:tabs>
          <w:tab w:val="left" w:pos="425"/>
        </w:tabs>
        <w:rPr>
          <w:szCs w:val="24"/>
          <w:lang w:val="zh-CN"/>
        </w:rPr>
      </w:pPr>
      <w:bookmarkStart w:id="655" w:name="_Toc22490_WPSOffice_Level1"/>
      <w:bookmarkStart w:id="656" w:name="_Toc3479_WPSOffice_Level1"/>
      <w:bookmarkStart w:id="657" w:name="_Toc5242_WPSOffice_Level1"/>
      <w:r>
        <w:rPr>
          <w:rFonts w:hint="eastAsia"/>
          <w:szCs w:val="24"/>
          <w:lang w:val="zh-CN"/>
        </w:rPr>
        <w:t>法定代表人身份证明</w:t>
      </w:r>
      <w:bookmarkEnd w:id="655"/>
      <w:bookmarkEnd w:id="656"/>
      <w:bookmarkEnd w:id="657"/>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u w:val="single"/>
        </w:rPr>
      </w:pPr>
      <w:r>
        <w:rPr>
          <w:rFonts w:hint="eastAsia"/>
          <w:kern w:val="0"/>
        </w:rPr>
        <w:t>响应人名称：</w:t>
      </w:r>
    </w:p>
    <w:p>
      <w:pPr>
        <w:wordWrap/>
        <w:topLinePunct w:val="0"/>
        <w:autoSpaceDE w:val="0"/>
        <w:autoSpaceDN w:val="0"/>
        <w:adjustRightInd w:val="0"/>
        <w:spacing w:line="360" w:lineRule="auto"/>
        <w:ind w:firstLine="420" w:firstLineChars="200"/>
        <w:rPr>
          <w:kern w:val="0"/>
          <w:u w:val="single"/>
        </w:rPr>
      </w:pPr>
      <w:r>
        <w:rPr>
          <w:rFonts w:hint="eastAsia"/>
          <w:kern w:val="0"/>
        </w:rPr>
        <w:t>姓名： 性别： 年龄： 职务：系（响应人名称）的法定代表人。</w:t>
      </w:r>
    </w:p>
    <w:p>
      <w:pPr>
        <w:wordWrap/>
        <w:topLinePunct w:val="0"/>
        <w:autoSpaceDE w:val="0"/>
        <w:autoSpaceDN w:val="0"/>
        <w:adjustRightInd w:val="0"/>
        <w:spacing w:line="360" w:lineRule="auto"/>
        <w:rPr>
          <w:kern w:val="0"/>
        </w:rPr>
      </w:pPr>
      <w:r>
        <w:rPr>
          <w:rFonts w:hint="eastAsia"/>
          <w:kern w:val="0"/>
        </w:rPr>
        <w:t>特此证明。</w:t>
      </w:r>
    </w:p>
    <w:p>
      <w:pPr>
        <w:wordWrap/>
        <w:topLinePunct w:val="0"/>
        <w:autoSpaceDE w:val="0"/>
        <w:autoSpaceDN w:val="0"/>
        <w:adjustRightInd w:val="0"/>
        <w:spacing w:line="360" w:lineRule="auto"/>
        <w:rPr>
          <w:kern w:val="0"/>
        </w:rPr>
      </w:pPr>
      <w:r>
        <w:rPr>
          <w:rFonts w:hint="eastAsia"/>
          <w:kern w:val="0"/>
        </w:rPr>
        <w:t xml:space="preserve">附：法定代表人身份证复印件。 </w:t>
      </w:r>
    </w:p>
    <w:p>
      <w:pPr>
        <w:wordWrap/>
        <w:topLinePunct w:val="0"/>
        <w:autoSpaceDE w:val="0"/>
        <w:autoSpaceDN w:val="0"/>
        <w:adjustRightInd w:val="0"/>
        <w:spacing w:line="360" w:lineRule="auto"/>
        <w:rPr>
          <w:kern w:val="0"/>
        </w:rPr>
      </w:pPr>
      <w:r>
        <w:rPr>
          <w:rFonts w:hint="eastAsia"/>
          <w:kern w:val="0"/>
        </w:rPr>
        <w:t>注：本身份证明需由响应人加盖单位公章。</w:t>
      </w: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spacing w:line="360" w:lineRule="auto"/>
        <w:jc w:val="right"/>
      </w:pPr>
      <w:r>
        <w:rPr>
          <w:rFonts w:hint="eastAsia"/>
        </w:rPr>
        <w:t>响应人：（电子签章）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left="0" w:leftChars="0" w:firstLine="0" w:firstLineChars="0"/>
        <w:rPr>
          <w:rFonts w:ascii="宋体" w:hAnsi="宋体"/>
          <w:b/>
          <w:sz w:val="24"/>
          <w:szCs w:val="24"/>
        </w:rPr>
      </w:pPr>
    </w:p>
    <w:p>
      <w:pPr>
        <w:pStyle w:val="5"/>
      </w:pPr>
    </w:p>
    <w:p>
      <w:pPr>
        <w:spacing w:line="360" w:lineRule="auto"/>
        <w:jc w:val="center"/>
        <w:rPr>
          <w:b/>
          <w:bCs/>
          <w:sz w:val="32"/>
          <w:szCs w:val="32"/>
          <w:lang w:val="zh-CN"/>
        </w:rPr>
      </w:pPr>
      <w:bookmarkStart w:id="658" w:name="_Toc21662_WPSOffice_Level1"/>
      <w:bookmarkStart w:id="659" w:name="_Toc6674"/>
      <w:bookmarkStart w:id="660" w:name="_Toc12134"/>
      <w:bookmarkStart w:id="661" w:name="_Toc7315_WPSOffice_Level1"/>
      <w:bookmarkStart w:id="662" w:name="_Toc11816"/>
      <w:bookmarkStart w:id="663" w:name="_Toc28309"/>
      <w:bookmarkStart w:id="664" w:name="_Toc31474_WPSOffice_Level1"/>
      <w:r>
        <w:rPr>
          <w:rFonts w:hint="eastAsia"/>
          <w:b/>
          <w:bCs/>
          <w:sz w:val="32"/>
          <w:szCs w:val="32"/>
          <w:lang w:val="zh-CN"/>
        </w:rPr>
        <w:t>法定代表人授权委托书</w:t>
      </w:r>
      <w:bookmarkEnd w:id="658"/>
      <w:bookmarkEnd w:id="659"/>
      <w:bookmarkEnd w:id="660"/>
      <w:bookmarkEnd w:id="661"/>
      <w:bookmarkEnd w:id="662"/>
      <w:bookmarkEnd w:id="663"/>
      <w:bookmarkEnd w:id="664"/>
    </w:p>
    <w:p>
      <w:pPr>
        <w:autoSpaceDE w:val="0"/>
        <w:autoSpaceDN w:val="0"/>
        <w:adjustRightInd w:val="0"/>
        <w:spacing w:line="360" w:lineRule="auto"/>
        <w:rPr>
          <w:rFonts w:cs="微软雅黑"/>
          <w:kern w:val="0"/>
          <w:sz w:val="20"/>
          <w:szCs w:val="20"/>
        </w:rPr>
      </w:pPr>
    </w:p>
    <w:p>
      <w:pPr>
        <w:tabs>
          <w:tab w:val="left" w:pos="3880"/>
        </w:tabs>
        <w:wordWrap/>
        <w:topLinePunct w:val="0"/>
        <w:autoSpaceDE w:val="0"/>
        <w:autoSpaceDN w:val="0"/>
        <w:adjustRightInd w:val="0"/>
        <w:spacing w:line="360" w:lineRule="auto"/>
        <w:ind w:firstLine="420" w:firstLineChars="20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pPr>
        <w:wordWrap/>
        <w:topLinePunct w:val="0"/>
        <w:spacing w:line="360" w:lineRule="auto"/>
        <w:ind w:firstLine="420"/>
      </w:pPr>
    </w:p>
    <w:p>
      <w:pPr>
        <w:spacing w:line="360" w:lineRule="auto"/>
        <w:ind w:firstLine="420" w:firstLineChars="200"/>
        <w:rPr>
          <w:u w:val="single"/>
        </w:rPr>
      </w:pPr>
      <w:r>
        <w:rPr>
          <w:rFonts w:hint="eastAsia"/>
        </w:rPr>
        <w:t>委托期限：</w:t>
      </w:r>
    </w:p>
    <w:p>
      <w:pPr>
        <w:spacing w:line="360" w:lineRule="auto"/>
        <w:ind w:firstLine="420" w:firstLineChars="200"/>
      </w:pPr>
      <w:r>
        <w:rPr>
          <w:rFonts w:hint="eastAsia"/>
        </w:rPr>
        <w:t>代理人无转委托权。</w:t>
      </w:r>
    </w:p>
    <w:p>
      <w:pPr>
        <w:spacing w:line="360" w:lineRule="auto"/>
        <w:ind w:firstLine="420" w:firstLineChars="20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pPr>
        <w:spacing w:line="360" w:lineRule="auto"/>
      </w:pPr>
    </w:p>
    <w:p>
      <w:pPr>
        <w:spacing w:line="360" w:lineRule="auto"/>
      </w:pPr>
    </w:p>
    <w:p>
      <w:pPr>
        <w:spacing w:line="360" w:lineRule="auto"/>
      </w:pPr>
      <w:r>
        <w:rPr>
          <w:rFonts w:hint="eastAsia"/>
        </w:rPr>
        <w:t>响应人：（电子签章）</w:t>
      </w:r>
    </w:p>
    <w:p>
      <w:pPr>
        <w:pStyle w:val="8"/>
        <w:numPr>
          <w:ilvl w:val="0"/>
          <w:numId w:val="0"/>
        </w:numPr>
        <w:spacing w:line="360" w:lineRule="auto"/>
        <w:ind w:left="575" w:hanging="575"/>
        <w:rPr>
          <w:rFonts w:hAnsi="宋体"/>
          <w:color w:val="auto"/>
          <w:kern w:val="2"/>
          <w:sz w:val="21"/>
          <w:szCs w:val="21"/>
        </w:rPr>
      </w:pPr>
      <w:r>
        <w:rPr>
          <w:rFonts w:hint="eastAsia" w:hAnsi="宋体"/>
          <w:color w:val="auto"/>
          <w:kern w:val="2"/>
          <w:sz w:val="21"/>
          <w:szCs w:val="21"/>
        </w:rPr>
        <w:t>法定代表人：（电子签名）</w:t>
      </w:r>
    </w:p>
    <w:p>
      <w:pPr>
        <w:pStyle w:val="8"/>
        <w:numPr>
          <w:ilvl w:val="0"/>
          <w:numId w:val="0"/>
        </w:numPr>
        <w:spacing w:line="360" w:lineRule="auto"/>
        <w:ind w:left="575" w:hanging="575"/>
        <w:rPr>
          <w:rFonts w:hAnsi="宋体"/>
          <w:color w:val="auto"/>
          <w:kern w:val="2"/>
          <w:sz w:val="21"/>
          <w:szCs w:val="21"/>
          <w:u w:val="single"/>
        </w:rPr>
      </w:pPr>
      <w:r>
        <w:rPr>
          <w:rFonts w:hint="eastAsia" w:hAnsi="宋体"/>
          <w:color w:val="auto"/>
          <w:kern w:val="2"/>
          <w:sz w:val="21"/>
          <w:szCs w:val="21"/>
        </w:rPr>
        <w:t>身份证号：</w:t>
      </w:r>
    </w:p>
    <w:p>
      <w:pPr>
        <w:spacing w:line="360" w:lineRule="auto"/>
      </w:pPr>
      <w:r>
        <w:rPr>
          <w:rFonts w:hint="eastAsia"/>
        </w:rPr>
        <w:t>委托代理人：（电子签名）</w:t>
      </w:r>
    </w:p>
    <w:p>
      <w:pPr>
        <w:spacing w:line="360" w:lineRule="auto"/>
        <w:rPr>
          <w:u w:val="single"/>
        </w:rPr>
      </w:pPr>
      <w:r>
        <w:rPr>
          <w:rFonts w:hint="eastAsia"/>
        </w:rPr>
        <w:t>身份证号：</w:t>
      </w:r>
    </w:p>
    <w:p>
      <w:pPr>
        <w:spacing w:line="360" w:lineRule="auto"/>
        <w:rPr>
          <w:kern w:val="0"/>
          <w:u w:val="single"/>
        </w:rPr>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jc w:val="right"/>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
        <w:tabs>
          <w:tab w:val="left" w:pos="425"/>
        </w:tabs>
        <w:ind w:left="0"/>
        <w:rPr>
          <w:szCs w:val="24"/>
          <w:lang w:val="zh-CN"/>
        </w:rPr>
      </w:pPr>
    </w:p>
    <w:p>
      <w:pPr>
        <w:pStyle w:val="5"/>
        <w:rPr>
          <w:lang w:val="zh-CN"/>
        </w:rPr>
      </w:pPr>
    </w:p>
    <w:p>
      <w:pPr>
        <w:pStyle w:val="5"/>
        <w:spacing w:line="360" w:lineRule="auto"/>
        <w:rPr>
          <w:rFonts w:ascii="宋体" w:hAnsi="宋体"/>
          <w:lang w:val="zh-CN"/>
        </w:rPr>
      </w:pPr>
    </w:p>
    <w:p>
      <w:pPr>
        <w:pStyle w:val="2"/>
        <w:numPr>
          <w:ilvl w:val="0"/>
          <w:numId w:val="24"/>
        </w:numPr>
        <w:tabs>
          <w:tab w:val="left" w:pos="425"/>
        </w:tabs>
        <w:rPr>
          <w:szCs w:val="24"/>
          <w:lang w:val="zh-CN"/>
        </w:rPr>
      </w:pPr>
      <w:bookmarkStart w:id="665" w:name="_Toc10033_WPSOffice_Level1"/>
      <w:bookmarkStart w:id="666" w:name="_Toc15417_WPSOffice_Level1"/>
      <w:bookmarkStart w:id="667" w:name="_Toc108_WPSOffice_Level1"/>
      <w:r>
        <w:rPr>
          <w:rFonts w:hint="eastAsia"/>
          <w:szCs w:val="24"/>
          <w:lang w:val="zh-CN"/>
        </w:rPr>
        <w:t>响应人资格审查资料</w:t>
      </w:r>
      <w:bookmarkEnd w:id="665"/>
      <w:bookmarkEnd w:id="666"/>
      <w:bookmarkEnd w:id="667"/>
    </w:p>
    <w:p>
      <w:pPr>
        <w:spacing w:line="360" w:lineRule="auto"/>
      </w:pPr>
    </w:p>
    <w:p>
      <w:pPr>
        <w:spacing w:line="360" w:lineRule="auto"/>
        <w:jc w:val="center"/>
        <w:rPr>
          <w:b/>
        </w:rPr>
      </w:pPr>
      <w:r>
        <w:rPr>
          <w:rFonts w:hint="eastAsia"/>
          <w:b/>
        </w:rPr>
        <w:t>（一）响应人基本情况表</w:t>
      </w:r>
    </w:p>
    <w:tbl>
      <w:tblPr>
        <w:tblStyle w:val="23"/>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响应人名称</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4"/>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网址</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组织结构</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6"/>
            <w:noWrap/>
            <w:vAlign w:val="center"/>
          </w:tcPr>
          <w:p>
            <w:pPr>
              <w:spacing w:line="360" w:lineRule="auto"/>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营业执照号</w:t>
            </w:r>
          </w:p>
        </w:tc>
        <w:tc>
          <w:tcPr>
            <w:tcW w:w="2786" w:type="dxa"/>
            <w:gridSpan w:val="2"/>
            <w:noWrap/>
            <w:vAlign w:val="center"/>
          </w:tcPr>
          <w:p>
            <w:pPr>
              <w:spacing w:line="360" w:lineRule="auto"/>
            </w:pPr>
          </w:p>
        </w:tc>
        <w:tc>
          <w:tcPr>
            <w:tcW w:w="691" w:type="dxa"/>
            <w:vMerge w:val="restart"/>
            <w:noWrap/>
            <w:vAlign w:val="center"/>
          </w:tcPr>
          <w:p>
            <w:pPr>
              <w:spacing w:line="360" w:lineRule="auto"/>
            </w:pPr>
            <w:r>
              <w:rPr>
                <w:rFonts w:hint="eastAsia"/>
              </w:rPr>
              <w:t>其中</w:t>
            </w:r>
          </w:p>
        </w:tc>
        <w:tc>
          <w:tcPr>
            <w:tcW w:w="1744" w:type="dxa"/>
            <w:gridSpan w:val="3"/>
            <w:noWrap/>
            <w:vAlign w:val="center"/>
          </w:tcPr>
          <w:p>
            <w:pPr>
              <w:spacing w:line="360" w:lineRule="auto"/>
            </w:pPr>
            <w:r>
              <w:rPr>
                <w:rFonts w:hint="eastAsia"/>
              </w:rPr>
              <w:t>项目经理</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注册资金</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高级职称人员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开户银行</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中级职称人员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账号</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初级职称人员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noWrap/>
            <w:vAlign w:val="center"/>
          </w:tcPr>
          <w:p>
            <w:pPr>
              <w:spacing w:line="360" w:lineRule="auto"/>
            </w:pP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技工</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8"/>
            <w:noWrap/>
          </w:tcPr>
          <w:p>
            <w:pPr>
              <w:spacing w:line="360" w:lineRule="auto"/>
              <w:ind w:firstLine="420" w:firstLineChars="200"/>
            </w:pPr>
          </w:p>
        </w:tc>
      </w:tr>
    </w:tbl>
    <w:p>
      <w:pPr>
        <w:spacing w:line="360" w:lineRule="auto"/>
        <w:rPr>
          <w:b/>
        </w:rPr>
      </w:pPr>
    </w:p>
    <w:p>
      <w:pPr>
        <w:autoSpaceDE w:val="0"/>
        <w:autoSpaceDN w:val="0"/>
        <w:adjustRightInd w:val="0"/>
        <w:spacing w:line="360" w:lineRule="auto"/>
        <w:jc w:val="left"/>
        <w:rPr>
          <w:bCs/>
        </w:rPr>
      </w:pPr>
    </w:p>
    <w:p>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复印件</w:t>
      </w:r>
    </w:p>
    <w:p>
      <w:pPr>
        <w:pStyle w:val="37"/>
        <w:spacing w:line="360" w:lineRule="auto"/>
        <w:ind w:firstLine="0"/>
        <w:rPr>
          <w:lang w:val="en-US"/>
        </w:rPr>
      </w:pP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Lines="50" w:afterLines="50" w:line="360" w:lineRule="auto"/>
        <w:ind w:left="687" w:leftChars="227" w:hanging="210" w:hangingChars="100"/>
        <w:rPr>
          <w:highlight w:val="yellow"/>
          <w:u w:val="single"/>
        </w:rPr>
      </w:pPr>
      <w:r>
        <w:rPr>
          <w:rFonts w:hint="eastAsia"/>
        </w:rPr>
        <w:t>采购人名称：</w:t>
      </w:r>
    </w:p>
    <w:p>
      <w:pPr>
        <w:spacing w:beforeLines="50" w:afterLines="50" w:line="360" w:lineRule="auto"/>
        <w:ind w:left="689" w:leftChars="328" w:firstLine="210" w:firstLineChars="100"/>
      </w:pPr>
      <w:r>
        <w:rPr>
          <w:rFonts w:hint="eastAsia"/>
        </w:rPr>
        <w:t>我单位在参加政府采购活动前3年在经营活动中没有重大违法记录，特此声明。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line="360" w:lineRule="auto"/>
        <w:rPr>
          <w:b/>
        </w:rPr>
      </w:pPr>
    </w:p>
    <w:p>
      <w:pPr>
        <w:pStyle w:val="8"/>
        <w:numPr>
          <w:ilvl w:val="0"/>
          <w:numId w:val="0"/>
        </w:numPr>
        <w:spacing w:line="360" w:lineRule="auto"/>
        <w:ind w:left="424" w:leftChars="202" w:firstLine="1050" w:firstLineChars="500"/>
        <w:rPr>
          <w:rFonts w:hAnsi="宋体"/>
          <w:b/>
          <w:color w:val="auto"/>
          <w:kern w:val="2"/>
          <w:sz w:val="21"/>
          <w:szCs w:val="21"/>
        </w:rPr>
      </w:pPr>
      <w:r>
        <w:rPr>
          <w:rFonts w:hAnsi="宋体"/>
          <w:color w:val="auto"/>
          <w:sz w:val="21"/>
        </w:rPr>
        <w:br w:type="page"/>
      </w:r>
      <w:r>
        <w:rPr>
          <w:rFonts w:hint="eastAsia" w:hAnsi="宋体"/>
          <w:b/>
          <w:color w:val="auto"/>
          <w:kern w:val="2"/>
          <w:sz w:val="21"/>
          <w:szCs w:val="21"/>
        </w:rPr>
        <w:t>（三）具备履行合同所必需的设备和专业技术能力的证明材料</w:t>
      </w:r>
    </w:p>
    <w:p>
      <w:pPr>
        <w:pStyle w:val="8"/>
        <w:numPr>
          <w:ilvl w:val="0"/>
          <w:numId w:val="0"/>
        </w:numPr>
        <w:spacing w:line="360" w:lineRule="auto"/>
        <w:ind w:left="425"/>
        <w:rPr>
          <w:rFonts w:hAnsi="宋体" w:cs="黑体"/>
          <w:b/>
          <w:color w:val="auto"/>
          <w:sz w:val="28"/>
          <w:szCs w:val="28"/>
        </w:rPr>
      </w:pPr>
    </w:p>
    <w:p>
      <w:pPr>
        <w:spacing w:beforeLines="50" w:afterLines="50" w:line="360" w:lineRule="auto"/>
        <w:ind w:left="687" w:leftChars="227" w:hanging="210" w:hangingChars="100"/>
        <w:rPr>
          <w:highlight w:val="yellow"/>
        </w:rPr>
      </w:pPr>
      <w:r>
        <w:rPr>
          <w:rFonts w:hint="eastAsia"/>
        </w:rPr>
        <w:t>采购人名称：</w:t>
      </w:r>
    </w:p>
    <w:p>
      <w:pPr>
        <w:spacing w:beforeLines="50" w:afterLines="50" w:line="360" w:lineRule="auto"/>
        <w:ind w:left="689" w:leftChars="328" w:firstLine="210" w:firstLineChars="100"/>
      </w:pPr>
      <w:r>
        <w:rPr>
          <w:rFonts w:hint="eastAsia"/>
        </w:rPr>
        <w:t>我单位具备履行合同所必需的设备和专业技术能力，特此声明。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beforeLines="50" w:afterLines="50" w:line="360" w:lineRule="auto"/>
        <w:ind w:left="687" w:leftChars="227" w:hanging="210" w:hangingChars="100"/>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22"/>
        <w:spacing w:line="360" w:lineRule="auto"/>
        <w:rPr>
          <w:rFonts w:ascii="宋体" w:hAnsi="宋体" w:cs="宋体"/>
        </w:rPr>
      </w:pPr>
    </w:p>
    <w:p>
      <w:pPr>
        <w:pStyle w:val="22"/>
        <w:spacing w:line="360" w:lineRule="auto"/>
        <w:rPr>
          <w:rFonts w:ascii="宋体" w:hAnsi="宋体" w:cs="宋体"/>
        </w:rPr>
      </w:pPr>
    </w:p>
    <w:p>
      <w:pPr>
        <w:pStyle w:val="22"/>
        <w:spacing w:line="360" w:lineRule="auto"/>
        <w:ind w:left="0" w:leftChars="0" w:firstLine="0" w:firstLineChars="0"/>
        <w:rPr>
          <w:rFonts w:ascii="宋体" w:hAnsi="宋体" w:cs="宋体"/>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附件：</w:t>
      </w:r>
    </w:p>
    <w:p>
      <w:pPr>
        <w:rPr>
          <w:rFonts w:hint="eastAsia" w:ascii="仿宋" w:hAnsi="仿宋" w:eastAsia="仿宋" w:cs="仿宋"/>
          <w:sz w:val="22"/>
          <w:szCs w:val="28"/>
        </w:rPr>
      </w:pPr>
    </w:p>
    <w:p>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社旗县</w:t>
      </w:r>
      <w:r>
        <w:rPr>
          <w:rFonts w:hint="eastAsia" w:ascii="宋体" w:hAnsi="宋体" w:eastAsia="宋体" w:cs="宋体"/>
          <w:b/>
          <w:bCs/>
          <w:sz w:val="28"/>
          <w:szCs w:val="36"/>
        </w:rPr>
        <w:t>政府采购供应商信用承诺函</w:t>
      </w:r>
    </w:p>
    <w:p>
      <w:pPr>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致(采购人或采购代理机构):</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单位名称：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统一社会信用代码：</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法定代表人：</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联系地址和电话：</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(五)参加政府采购活动前三年内，在经营活动中没有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rPr>
      </w:pPr>
      <w:r>
        <w:rPr>
          <w:rFonts w:hint="eastAsia" w:ascii="仿宋" w:hAnsi="仿宋" w:eastAsia="仿宋" w:cs="仿宋"/>
          <w:sz w:val="22"/>
          <w:szCs w:val="28"/>
        </w:rPr>
        <w:t>重大违法记录；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rPr>
      </w:pPr>
      <w:r>
        <w:rPr>
          <w:rFonts w:hint="eastAsia" w:ascii="仿宋" w:hAnsi="仿宋" w:eastAsia="仿宋" w:cs="仿宋"/>
          <w:sz w:val="22"/>
          <w:szCs w:val="28"/>
        </w:rPr>
        <w:t>投标人(企业电子章):</w:t>
      </w:r>
    </w:p>
    <w:p>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rPr>
      </w:pPr>
      <w:r>
        <w:rPr>
          <w:rFonts w:hint="eastAsia" w:ascii="仿宋" w:hAnsi="仿宋" w:eastAsia="仿宋" w:cs="仿宋"/>
          <w:sz w:val="22"/>
          <w:szCs w:val="28"/>
        </w:rPr>
        <w:t>法定代表人或授权代表(签字或电子印章):</w:t>
      </w:r>
    </w:p>
    <w:p>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rPr>
      </w:pPr>
      <w:r>
        <w:rPr>
          <w:rFonts w:hint="eastAsia" w:ascii="仿宋" w:hAnsi="仿宋" w:eastAsia="仿宋" w:cs="仿宋"/>
          <w:sz w:val="22"/>
          <w:szCs w:val="28"/>
        </w:rPr>
        <w:t>日期：        年     月    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1、投标人须在投标文件中按此模板提供承诺函，未提供视为未实质性响应招标文件要求，按无效投标处理。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2、投标人的法定代表人或者授权代表的签字或盖章应 真实、有效，如由授权代表签字或盖章的，应提供“法定代表人授权书”。</w:t>
      </w:r>
    </w:p>
    <w:p/>
    <w:p>
      <w:pPr>
        <w:pStyle w:val="22"/>
        <w:spacing w:line="360" w:lineRule="auto"/>
        <w:ind w:left="0" w:leftChars="0" w:firstLine="0" w:firstLineChars="0"/>
        <w:rPr>
          <w:rFonts w:ascii="宋体" w:hAnsi="宋体" w:cs="宋体"/>
        </w:rPr>
      </w:pPr>
    </w:p>
    <w:p>
      <w:pPr>
        <w:spacing w:beforeLines="50" w:afterLines="50" w:line="360" w:lineRule="auto"/>
        <w:jc w:val="center"/>
        <w:rPr>
          <w:rFonts w:hint="eastAsia"/>
          <w:b/>
        </w:rPr>
      </w:pPr>
    </w:p>
    <w:p>
      <w:pPr>
        <w:spacing w:beforeLines="50" w:afterLines="50" w:line="360" w:lineRule="auto"/>
        <w:jc w:val="center"/>
        <w:rPr>
          <w:rFonts w:hint="eastAsia"/>
          <w:b/>
        </w:rPr>
      </w:pPr>
    </w:p>
    <w:p>
      <w:pPr>
        <w:spacing w:beforeLines="50" w:afterLines="50" w:line="360" w:lineRule="auto"/>
        <w:jc w:val="center"/>
        <w:rPr>
          <w:b/>
        </w:rPr>
      </w:pPr>
      <w:r>
        <w:rPr>
          <w:rFonts w:hint="eastAsia"/>
          <w:b/>
        </w:rPr>
        <w:t>（四）其他资料</w:t>
      </w:r>
    </w:p>
    <w:p>
      <w:pPr>
        <w:spacing w:line="360" w:lineRule="auto"/>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1"/>
        <w:rPr>
          <w:rFonts w:ascii="宋体" w:hAnsi="宋体"/>
        </w:rPr>
      </w:pPr>
    </w:p>
    <w:p>
      <w:pPr>
        <w:pStyle w:val="22"/>
        <w:rPr>
          <w:rFonts w:ascii="宋体" w:hAnsi="宋体"/>
        </w:rPr>
      </w:pPr>
    </w:p>
    <w:p>
      <w:pPr>
        <w:pStyle w:val="21"/>
        <w:rPr>
          <w:rFonts w:ascii="宋体" w:hAnsi="宋体"/>
        </w:rPr>
      </w:pPr>
    </w:p>
    <w:p>
      <w:pPr>
        <w:pStyle w:val="45"/>
        <w:jc w:val="center"/>
        <w:rPr>
          <w:rFonts w:hint="eastAsia" w:ascii="宋体" w:hAnsi="宋体" w:eastAsia="宋体"/>
          <w:b/>
          <w:szCs w:val="24"/>
          <w:lang w:eastAsia="zh-CN"/>
        </w:rPr>
      </w:pPr>
      <w:r>
        <w:rPr>
          <w:rFonts w:hint="eastAsia" w:ascii="宋体" w:hAnsi="宋体" w:eastAsia="宋体"/>
          <w:b/>
          <w:sz w:val="32"/>
          <w:szCs w:val="32"/>
          <w:lang w:eastAsia="zh-CN"/>
        </w:rPr>
        <w:t>南阳市政府采购供应商信用记录表</w:t>
      </w:r>
    </w:p>
    <w:p>
      <w:pPr>
        <w:rPr>
          <w:rFonts w:hint="eastAsia" w:ascii="Cambria" w:hAnsi="Cambria"/>
        </w:rPr>
      </w:pPr>
      <w: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ascii="宋体" w:hAnsi="宋体"/>
          <w:sz w:val="24"/>
          <w:szCs w:val="24"/>
        </w:rPr>
        <w:t>注：根据</w:t>
      </w:r>
      <w:r>
        <w:rPr>
          <w:rFonts w:hint="eastAsia" w:ascii="宋体" w:hAnsi="宋体"/>
          <w:sz w:val="24"/>
          <w:szCs w:val="24"/>
          <w:lang w:eastAsia="zh-CN"/>
        </w:rPr>
        <w:t>社旗县</w:t>
      </w:r>
      <w:r>
        <w:rPr>
          <w:rFonts w:hint="eastAsia" w:ascii="宋体" w:hAnsi="宋体"/>
          <w:sz w:val="24"/>
          <w:szCs w:val="24"/>
        </w:rPr>
        <w:t>财政局</w:t>
      </w:r>
      <w:r>
        <w:rPr>
          <w:rFonts w:hint="eastAsia" w:ascii="宋体" w:hAnsi="宋体"/>
          <w:sz w:val="24"/>
          <w:szCs w:val="24"/>
          <w:lang w:eastAsia="zh-CN"/>
        </w:rPr>
        <w:t>规定</w:t>
      </w:r>
      <w:r>
        <w:rPr>
          <w:rFonts w:hint="eastAsia"/>
          <w:sz w:val="24"/>
          <w:szCs w:val="24"/>
          <w:lang w:val="en-US" w:eastAsia="zh-CN"/>
        </w:rPr>
        <w:t>2023</w:t>
      </w:r>
      <w:r>
        <w:rPr>
          <w:rFonts w:hint="eastAsia" w:ascii="宋体" w:hAnsi="宋体"/>
          <w:sz w:val="24"/>
          <w:szCs w:val="24"/>
        </w:rPr>
        <w:t>年</w:t>
      </w:r>
      <w:r>
        <w:rPr>
          <w:rFonts w:hint="eastAsia"/>
          <w:sz w:val="24"/>
          <w:szCs w:val="24"/>
          <w:lang w:val="en-US" w:eastAsia="zh-CN"/>
        </w:rPr>
        <w:t>1</w:t>
      </w:r>
      <w:r>
        <w:rPr>
          <w:rFonts w:hint="eastAsia" w:ascii="宋体" w:hAnsi="宋体"/>
          <w:sz w:val="24"/>
          <w:szCs w:val="24"/>
        </w:rPr>
        <w:t>月</w:t>
      </w:r>
      <w:r>
        <w:rPr>
          <w:rFonts w:hint="eastAsia"/>
          <w:sz w:val="24"/>
          <w:szCs w:val="24"/>
          <w:lang w:val="en-US" w:eastAsia="zh-CN"/>
        </w:rPr>
        <w:t>1</w:t>
      </w:r>
      <w:r>
        <w:rPr>
          <w:rFonts w:hint="eastAsia" w:ascii="宋体" w:hAnsi="宋体"/>
          <w:sz w:val="24"/>
          <w:szCs w:val="24"/>
        </w:rPr>
        <w:t>日</w:t>
      </w:r>
      <w:r>
        <w:rPr>
          <w:rFonts w:hint="eastAsia" w:ascii="宋体" w:hAnsi="宋体"/>
          <w:sz w:val="24"/>
          <w:szCs w:val="24"/>
          <w:lang w:eastAsia="zh-CN"/>
        </w:rPr>
        <w:t>起</w:t>
      </w:r>
      <w:r>
        <w:rPr>
          <w:rFonts w:hint="eastAsia" w:ascii="宋体" w:hAnsi="宋体"/>
          <w:sz w:val="24"/>
          <w:szCs w:val="24"/>
        </w:rPr>
        <w:t>按照《社旗县政府采购信用评价实施办法》的规定，由供应商在投标（响应）文件中提供“社旗县政府采购供应商信用记录表”（由供应商注册后在系统内打印），供应商按照该文件要求进入</w:t>
      </w:r>
      <w:r>
        <w:rPr>
          <w:rFonts w:hint="eastAsia"/>
          <w:sz w:val="24"/>
          <w:szCs w:val="24"/>
        </w:rPr>
        <w:t>http://sheqi.nanyangzcxy.cn/</w:t>
      </w:r>
      <w:r>
        <w:rPr>
          <w:rFonts w:hint="eastAsia" w:ascii="宋体" w:hAnsi="宋体"/>
          <w:sz w:val="24"/>
          <w:szCs w:val="24"/>
        </w:rPr>
        <w:t>，完善供应商信息并打印信用记录附于此处。</w:t>
      </w: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
        <w:numPr>
          <w:ilvl w:val="0"/>
          <w:numId w:val="24"/>
        </w:numPr>
        <w:tabs>
          <w:tab w:val="left" w:pos="425"/>
        </w:tabs>
        <w:rPr>
          <w:szCs w:val="24"/>
          <w:lang w:val="zh-CN"/>
        </w:rPr>
      </w:pPr>
      <w:bookmarkStart w:id="668" w:name="_Toc12164_WPSOffice_Level1"/>
      <w:bookmarkStart w:id="669" w:name="_Toc16259"/>
      <w:bookmarkStart w:id="670" w:name="_Toc10021_WPSOffice_Level1"/>
      <w:bookmarkStart w:id="671" w:name="_Toc17461_WPSOffice_Level1"/>
      <w:r>
        <w:rPr>
          <w:rFonts w:hint="eastAsia"/>
          <w:szCs w:val="24"/>
          <w:lang w:val="zh-CN"/>
        </w:rPr>
        <w:t>已标价工程量清单</w:t>
      </w:r>
      <w:bookmarkEnd w:id="668"/>
      <w:bookmarkEnd w:id="669"/>
      <w:bookmarkEnd w:id="670"/>
      <w:bookmarkEnd w:id="671"/>
    </w:p>
    <w:p>
      <w:pPr>
        <w:pStyle w:val="2"/>
        <w:tabs>
          <w:tab w:val="left" w:pos="840"/>
        </w:tabs>
        <w:ind w:left="0"/>
        <w:rPr>
          <w:bCs w:val="0"/>
          <w:szCs w:val="24"/>
          <w:lang w:val="zh-CN"/>
        </w:rPr>
      </w:pPr>
      <w:r>
        <w:rPr>
          <w:rFonts w:hint="eastAsia"/>
          <w:bCs w:val="0"/>
          <w:szCs w:val="24"/>
          <w:lang w:val="zh-CN"/>
        </w:rPr>
        <w:br w:type="page"/>
      </w:r>
      <w:bookmarkStart w:id="672" w:name="_Toc29835_WPSOffice_Level1"/>
      <w:bookmarkStart w:id="673" w:name="_Toc28662"/>
      <w:bookmarkStart w:id="674" w:name="_Toc25723_WPSOffice_Level1"/>
      <w:bookmarkStart w:id="675" w:name="_Toc21612_WPSOffice_Level1"/>
      <w:r>
        <w:rPr>
          <w:rFonts w:hint="eastAsia"/>
          <w:bCs w:val="0"/>
          <w:szCs w:val="24"/>
          <w:highlight w:val="none"/>
          <w:lang w:val="zh-CN"/>
        </w:rPr>
        <w:t>五、</w:t>
      </w:r>
      <w:r>
        <w:rPr>
          <w:rFonts w:hint="eastAsia"/>
          <w:szCs w:val="24"/>
          <w:lang w:val="zh-CN"/>
        </w:rPr>
        <w:t>施工组织设计</w:t>
      </w:r>
      <w:bookmarkEnd w:id="672"/>
      <w:bookmarkEnd w:id="673"/>
      <w:bookmarkEnd w:id="674"/>
      <w:bookmarkEnd w:id="675"/>
    </w:p>
    <w:p>
      <w:pPr>
        <w:spacing w:line="360" w:lineRule="auto"/>
        <w:ind w:firstLine="420" w:firstLineChars="200"/>
      </w:pPr>
      <w:r>
        <w:rPr>
          <w:rFonts w:hint="eastAsia"/>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pPr>
        <w:tabs>
          <w:tab w:val="left" w:pos="720"/>
        </w:tabs>
        <w:spacing w:line="360" w:lineRule="auto"/>
        <w:ind w:firstLine="420" w:firstLineChars="200"/>
      </w:pPr>
      <w:r>
        <w:rPr>
          <w:rFonts w:hint="eastAsia"/>
        </w:rPr>
        <w:t xml:space="preserve">2. </w:t>
      </w:r>
      <w:r>
        <w:rPr>
          <w:rFonts w:hint="eastAsia"/>
        </w:rPr>
        <w:tab/>
      </w:r>
      <w:r>
        <w:rPr>
          <w:rFonts w:hint="eastAsia"/>
        </w:rPr>
        <w:t>施工组织设计除采用文字表述外可附下列图表，图表及格式要求附后。</w:t>
      </w:r>
    </w:p>
    <w:p>
      <w:pPr>
        <w:tabs>
          <w:tab w:val="left" w:pos="720"/>
        </w:tabs>
        <w:spacing w:line="360" w:lineRule="auto"/>
        <w:ind w:firstLine="756" w:firstLineChars="360"/>
      </w:pPr>
      <w:r>
        <w:rPr>
          <w:rFonts w:hint="eastAsia"/>
        </w:rPr>
        <w:t>附表一  拟投入本项目的主要施工设备表</w:t>
      </w:r>
    </w:p>
    <w:p>
      <w:pPr>
        <w:tabs>
          <w:tab w:val="left" w:pos="720"/>
        </w:tabs>
        <w:spacing w:line="360" w:lineRule="auto"/>
        <w:ind w:firstLine="756" w:firstLineChars="360"/>
      </w:pPr>
      <w:r>
        <w:rPr>
          <w:rFonts w:hint="eastAsia"/>
        </w:rPr>
        <w:t>附表二  拟配备本项目的试验和检测仪器设备表</w:t>
      </w:r>
    </w:p>
    <w:p>
      <w:pPr>
        <w:tabs>
          <w:tab w:val="left" w:pos="720"/>
        </w:tabs>
        <w:spacing w:line="360" w:lineRule="auto"/>
        <w:ind w:firstLine="756" w:firstLineChars="360"/>
      </w:pPr>
      <w:r>
        <w:rPr>
          <w:rFonts w:hint="eastAsia"/>
        </w:rPr>
        <w:t>附表三  劳动力计划表</w:t>
      </w:r>
    </w:p>
    <w:p>
      <w:pPr>
        <w:tabs>
          <w:tab w:val="left" w:pos="720"/>
        </w:tabs>
        <w:spacing w:line="360" w:lineRule="auto"/>
        <w:ind w:firstLine="756" w:firstLineChars="360"/>
      </w:pPr>
      <w:r>
        <w:rPr>
          <w:rFonts w:hint="eastAsia"/>
        </w:rPr>
        <w:t>附表四  计划开、竣工日期和施工进度网络图</w:t>
      </w:r>
    </w:p>
    <w:p>
      <w:pPr>
        <w:tabs>
          <w:tab w:val="left" w:pos="720"/>
        </w:tabs>
        <w:spacing w:line="360" w:lineRule="auto"/>
        <w:ind w:firstLine="756" w:firstLineChars="360"/>
      </w:pPr>
      <w:r>
        <w:rPr>
          <w:rFonts w:hint="eastAsia"/>
        </w:rPr>
        <w:t>附表五  施工总平面图</w:t>
      </w:r>
    </w:p>
    <w:p>
      <w:pPr>
        <w:tabs>
          <w:tab w:val="left" w:pos="720"/>
        </w:tabs>
        <w:spacing w:line="360" w:lineRule="auto"/>
        <w:ind w:firstLine="756" w:firstLineChars="360"/>
      </w:pPr>
      <w:r>
        <w:rPr>
          <w:rFonts w:hint="eastAsia"/>
        </w:rPr>
        <w:t>附表六  临时用地表</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rPr>
          <w:rFonts w:hint="eastAsia"/>
        </w:rPr>
      </w:pPr>
      <w:bookmarkStart w:id="676" w:name="_Toc152042586"/>
      <w:bookmarkStart w:id="677" w:name="_Toc251248802"/>
      <w:bookmarkStart w:id="678" w:name="_Toc152045797"/>
      <w:bookmarkStart w:id="679" w:name="_Toc314125025"/>
      <w:bookmarkStart w:id="680" w:name="_Toc144974865"/>
    </w:p>
    <w:p>
      <w:pPr>
        <w:spacing w:line="360" w:lineRule="auto"/>
      </w:pPr>
      <w:r>
        <w:rPr>
          <w:rFonts w:hint="eastAsia"/>
        </w:rPr>
        <w:t>附表一：拟投入本项目的主要施工设备表</w:t>
      </w:r>
      <w:bookmarkEnd w:id="676"/>
      <w:bookmarkEnd w:id="677"/>
      <w:bookmarkEnd w:id="678"/>
      <w:bookmarkEnd w:id="679"/>
      <w:bookmarkEnd w:id="680"/>
    </w:p>
    <w:tbl>
      <w:tblPr>
        <w:tblStyle w:val="23"/>
        <w:tblW w:w="96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pPr>
            <w:r>
              <w:rPr>
                <w:rFonts w:hint="eastAsia"/>
              </w:rPr>
              <w:t>序号</w:t>
            </w:r>
          </w:p>
        </w:tc>
        <w:tc>
          <w:tcPr>
            <w:tcW w:w="1198" w:type="dxa"/>
            <w:noWrap/>
            <w:vAlign w:val="center"/>
          </w:tcPr>
          <w:p>
            <w:pPr>
              <w:spacing w:line="360" w:lineRule="auto"/>
              <w:jc w:val="center"/>
            </w:pPr>
            <w:r>
              <w:rPr>
                <w:rFonts w:hint="eastAsia"/>
              </w:rPr>
              <w:t>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2" w:type="dxa"/>
            <w:noWrap/>
            <w:vAlign w:val="center"/>
          </w:tcPr>
          <w:p>
            <w:pPr>
              <w:spacing w:line="360" w:lineRule="auto"/>
              <w:jc w:val="center"/>
            </w:pPr>
            <w:r>
              <w:rPr>
                <w:rFonts w:hint="eastAsia"/>
              </w:rPr>
              <w:t>数量</w:t>
            </w:r>
          </w:p>
        </w:tc>
        <w:tc>
          <w:tcPr>
            <w:tcW w:w="741"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额定功率</w:t>
            </w:r>
          </w:p>
          <w:p>
            <w:pPr>
              <w:spacing w:line="360" w:lineRule="auto"/>
              <w:jc w:val="center"/>
            </w:pPr>
            <w:r>
              <w:rPr>
                <w:rFonts w:hint="eastAsia"/>
              </w:rPr>
              <w:t>（KW）</w:t>
            </w:r>
          </w:p>
        </w:tc>
        <w:tc>
          <w:tcPr>
            <w:tcW w:w="964" w:type="dxa"/>
            <w:noWrap/>
            <w:vAlign w:val="center"/>
          </w:tcPr>
          <w:p>
            <w:pPr>
              <w:spacing w:line="360" w:lineRule="auto"/>
              <w:jc w:val="center"/>
            </w:pPr>
            <w:r>
              <w:rPr>
                <w:rFonts w:hint="eastAsia"/>
              </w:rPr>
              <w:t>生产</w:t>
            </w:r>
          </w:p>
          <w:p>
            <w:pPr>
              <w:spacing w:line="360" w:lineRule="auto"/>
              <w:jc w:val="center"/>
            </w:pPr>
            <w:r>
              <w:rPr>
                <w:rFonts w:hint="eastAsia"/>
              </w:rPr>
              <w:t>能力</w:t>
            </w:r>
          </w:p>
        </w:tc>
        <w:tc>
          <w:tcPr>
            <w:tcW w:w="1163" w:type="dxa"/>
            <w:noWrap/>
            <w:vAlign w:val="center"/>
          </w:tcPr>
          <w:p>
            <w:pPr>
              <w:spacing w:line="360" w:lineRule="auto"/>
              <w:jc w:val="center"/>
            </w:pPr>
            <w:r>
              <w:rPr>
                <w:rFonts w:hint="eastAsia"/>
              </w:rPr>
              <w:t>用于施工部位</w:t>
            </w:r>
          </w:p>
        </w:tc>
        <w:tc>
          <w:tcPr>
            <w:tcW w:w="762"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r>
        <w:rPr>
          <w:rFonts w:hint="eastAsia" w:ascii="宋体" w:hAnsi="宋体" w:cs="宋体"/>
          <w:b/>
        </w:rPr>
        <w:br w:type="page"/>
      </w:r>
    </w:p>
    <w:p>
      <w:pPr>
        <w:spacing w:line="360" w:lineRule="auto"/>
      </w:pPr>
      <w:bookmarkStart w:id="681" w:name="_Toc251248803"/>
      <w:bookmarkStart w:id="682" w:name="_Toc314125026"/>
      <w:bookmarkStart w:id="683" w:name="_Toc152042587"/>
      <w:bookmarkStart w:id="684" w:name="_Toc152045798"/>
      <w:bookmarkStart w:id="685" w:name="_Toc144974866"/>
      <w:r>
        <w:rPr>
          <w:rFonts w:hint="eastAsia"/>
        </w:rPr>
        <w:t>附表二：拟配备本项目的试验和检测仪器设备表</w:t>
      </w:r>
      <w:bookmarkEnd w:id="681"/>
      <w:bookmarkEnd w:id="682"/>
      <w:bookmarkEnd w:id="683"/>
      <w:bookmarkEnd w:id="684"/>
      <w:bookmarkEnd w:id="685"/>
    </w:p>
    <w:tbl>
      <w:tblPr>
        <w:tblStyle w:val="23"/>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pPr>
            <w:r>
              <w:rPr>
                <w:rFonts w:hint="eastAsia"/>
              </w:rPr>
              <w:t>序号</w:t>
            </w:r>
          </w:p>
        </w:tc>
        <w:tc>
          <w:tcPr>
            <w:tcW w:w="1199" w:type="dxa"/>
            <w:noWrap/>
            <w:vAlign w:val="center"/>
          </w:tcPr>
          <w:p>
            <w:pPr>
              <w:spacing w:line="360" w:lineRule="auto"/>
              <w:jc w:val="center"/>
            </w:pPr>
            <w:r>
              <w:rPr>
                <w:rFonts w:hint="eastAsia"/>
              </w:rPr>
              <w:t>仪器设备名称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3" w:type="dxa"/>
            <w:noWrap/>
            <w:vAlign w:val="center"/>
          </w:tcPr>
          <w:p>
            <w:pPr>
              <w:spacing w:line="360" w:lineRule="auto"/>
              <w:jc w:val="center"/>
            </w:pPr>
            <w:r>
              <w:rPr>
                <w:rFonts w:hint="eastAsia"/>
              </w:rPr>
              <w:t>数量</w:t>
            </w:r>
          </w:p>
        </w:tc>
        <w:tc>
          <w:tcPr>
            <w:tcW w:w="742"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已使用台</w:t>
            </w:r>
          </w:p>
          <w:p>
            <w:pPr>
              <w:spacing w:line="360" w:lineRule="auto"/>
              <w:jc w:val="center"/>
            </w:pPr>
            <w:r>
              <w:rPr>
                <w:rFonts w:hint="eastAsia"/>
              </w:rPr>
              <w:t>时数</w:t>
            </w:r>
          </w:p>
        </w:tc>
        <w:tc>
          <w:tcPr>
            <w:tcW w:w="1823" w:type="dxa"/>
            <w:noWrap/>
            <w:vAlign w:val="center"/>
          </w:tcPr>
          <w:p>
            <w:pPr>
              <w:spacing w:line="360" w:lineRule="auto"/>
              <w:jc w:val="center"/>
            </w:pPr>
            <w:r>
              <w:rPr>
                <w:rFonts w:hint="eastAsia"/>
              </w:rPr>
              <w:t>用途</w:t>
            </w:r>
          </w:p>
        </w:tc>
        <w:tc>
          <w:tcPr>
            <w:tcW w:w="758"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pPr>
    </w:p>
    <w:p>
      <w:pPr>
        <w:spacing w:line="360" w:lineRule="auto"/>
      </w:pPr>
      <w:bookmarkStart w:id="686" w:name="_Toc251248804"/>
      <w:bookmarkStart w:id="687" w:name="_Toc314125027"/>
      <w:bookmarkStart w:id="688" w:name="_Toc152042588"/>
      <w:bookmarkStart w:id="689" w:name="_Toc144974867"/>
      <w:bookmarkStart w:id="690" w:name="_Toc152045799"/>
      <w:r>
        <w:rPr>
          <w:rFonts w:hint="eastAsia"/>
        </w:rPr>
        <w:t>附表三：劳动力计划表</w:t>
      </w:r>
      <w:bookmarkEnd w:id="686"/>
      <w:bookmarkEnd w:id="687"/>
      <w:bookmarkEnd w:id="688"/>
      <w:bookmarkEnd w:id="689"/>
      <w:bookmarkEnd w:id="690"/>
    </w:p>
    <w:p>
      <w:pPr>
        <w:spacing w:line="360" w:lineRule="auto"/>
        <w:ind w:right="200"/>
        <w:jc w:val="right"/>
      </w:pPr>
      <w:r>
        <w:rPr>
          <w:rFonts w:hint="eastAsia"/>
        </w:rPr>
        <w:t>单位：人</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r>
              <w:rPr>
                <w:rFonts w:hint="eastAsia"/>
              </w:rPr>
              <w:t>工种</w:t>
            </w:r>
          </w:p>
        </w:tc>
        <w:tc>
          <w:tcPr>
            <w:tcW w:w="8486" w:type="dxa"/>
            <w:gridSpan w:val="7"/>
            <w:noWrap/>
            <w:vAlign w:val="center"/>
          </w:tcPr>
          <w:p>
            <w:pPr>
              <w:spacing w:line="360" w:lineRule="auto"/>
              <w:jc w:val="center"/>
            </w:pPr>
            <w:r>
              <w:rPr>
                <w:rFonts w:hint="eastAsia"/>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spacing w:line="360" w:lineRule="auto"/>
      </w:pPr>
      <w:bookmarkStart w:id="691" w:name="_Toc314125028"/>
      <w:bookmarkStart w:id="692" w:name="_Toc251248805"/>
      <w:bookmarkStart w:id="693" w:name="_Toc144974868"/>
      <w:bookmarkStart w:id="694" w:name="_Toc152045800"/>
      <w:bookmarkStart w:id="695" w:name="_Toc152042589"/>
      <w:r>
        <w:rPr>
          <w:rFonts w:hint="eastAsia"/>
        </w:rPr>
        <w:br w:type="page"/>
      </w:r>
      <w:r>
        <w:rPr>
          <w:rFonts w:hint="eastAsia"/>
        </w:rPr>
        <w:t>附表四：计划开、竣工日期和施工进度网络图</w:t>
      </w:r>
      <w:bookmarkEnd w:id="691"/>
      <w:bookmarkEnd w:id="692"/>
      <w:bookmarkEnd w:id="693"/>
      <w:bookmarkEnd w:id="694"/>
      <w:bookmarkEnd w:id="695"/>
    </w:p>
    <w:p>
      <w:pPr>
        <w:spacing w:line="360" w:lineRule="auto"/>
        <w:rPr>
          <w:sz w:val="20"/>
          <w:szCs w:val="20"/>
        </w:rPr>
      </w:pPr>
    </w:p>
    <w:p>
      <w:pPr>
        <w:spacing w:line="360" w:lineRule="auto"/>
        <w:ind w:firstLine="420" w:firstLineChars="200"/>
      </w:pPr>
      <w:r>
        <w:rPr>
          <w:rFonts w:hint="eastAsia"/>
        </w:rPr>
        <w:t>1. 响应人应递交施工进度网络图或施工进度表，说明按招标文件要求的计划工期进行施工的各个关键日期。</w:t>
      </w:r>
    </w:p>
    <w:p>
      <w:pPr>
        <w:spacing w:line="360" w:lineRule="auto"/>
        <w:ind w:firstLine="420" w:firstLineChars="200"/>
      </w:pPr>
      <w:r>
        <w:rPr>
          <w:rFonts w:hint="eastAsia"/>
        </w:rPr>
        <w:t>2. 施工进度表可采用网络图（或横道图）表示。</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37"/>
        <w:rPr>
          <w:lang w:val="en-US"/>
        </w:rPr>
      </w:pPr>
    </w:p>
    <w:p>
      <w:pPr>
        <w:pStyle w:val="37"/>
        <w:rPr>
          <w:lang w:val="en-US"/>
        </w:rPr>
      </w:pPr>
    </w:p>
    <w:p>
      <w:pPr>
        <w:spacing w:line="360" w:lineRule="auto"/>
        <w:rPr>
          <w:sz w:val="24"/>
        </w:rPr>
      </w:pPr>
    </w:p>
    <w:p>
      <w:pPr>
        <w:spacing w:line="360" w:lineRule="auto"/>
      </w:pPr>
      <w:bookmarkStart w:id="696" w:name="_Toc152045801"/>
      <w:bookmarkStart w:id="697" w:name="_Toc144974869"/>
      <w:bookmarkStart w:id="698" w:name="_Toc314125029"/>
      <w:bookmarkStart w:id="699" w:name="_Toc251248806"/>
      <w:bookmarkStart w:id="700" w:name="_Toc152042590"/>
      <w:r>
        <w:rPr>
          <w:rFonts w:hint="eastAsia"/>
        </w:rPr>
        <w:t>附表五：施工总平面图</w:t>
      </w:r>
      <w:bookmarkEnd w:id="696"/>
      <w:bookmarkEnd w:id="697"/>
      <w:bookmarkEnd w:id="698"/>
      <w:bookmarkEnd w:id="699"/>
      <w:bookmarkEnd w:id="700"/>
    </w:p>
    <w:p>
      <w:pPr>
        <w:spacing w:line="360" w:lineRule="auto"/>
        <w:rPr>
          <w:sz w:val="20"/>
          <w:szCs w:val="20"/>
        </w:rPr>
      </w:pPr>
      <w:r>
        <w:rPr>
          <w:rFonts w:hint="eastAsia"/>
          <w:sz w:val="20"/>
          <w:szCs w:val="20"/>
        </w:rPr>
        <w:tab/>
      </w:r>
    </w:p>
    <w:p>
      <w:pPr>
        <w:spacing w:line="360" w:lineRule="auto"/>
        <w:ind w:firstLine="420" w:firstLineChars="200"/>
      </w:pPr>
      <w:r>
        <w:rPr>
          <w:rFonts w:hint="eastAsia"/>
        </w:rPr>
        <w:t>响应人应递交一份施工总平面图，绘出现场临时设施布置图表并附文字说明，说明临时设施、加工车间、现场办公、设备及仓储、供电、供水、卫生、生活、道路、消防等设施的情况和布置。</w:t>
      </w:r>
    </w:p>
    <w:p>
      <w:pPr>
        <w:spacing w:line="360" w:lineRule="auto"/>
        <w:rPr>
          <w:sz w:val="24"/>
        </w:rPr>
      </w:pPr>
    </w:p>
    <w:p>
      <w:pPr>
        <w:spacing w:line="360" w:lineRule="auto"/>
        <w:rPr>
          <w:sz w:val="24"/>
        </w:rPr>
      </w:pPr>
    </w:p>
    <w:p>
      <w:pPr>
        <w:spacing w:line="360" w:lineRule="auto"/>
        <w:rPr>
          <w:sz w:val="24"/>
        </w:rPr>
      </w:pPr>
    </w:p>
    <w:p>
      <w:pPr>
        <w:spacing w:line="360" w:lineRule="auto"/>
      </w:pPr>
      <w:bookmarkStart w:id="701" w:name="_Toc144974870"/>
      <w:bookmarkStart w:id="702" w:name="_Toc152045802"/>
      <w:bookmarkStart w:id="703" w:name="_Toc152042591"/>
      <w:bookmarkStart w:id="704" w:name="_Toc251248807"/>
      <w:bookmarkStart w:id="705" w:name="_Toc314125030"/>
      <w:r>
        <w:rPr>
          <w:rFonts w:hint="eastAsia"/>
        </w:rPr>
        <w:br w:type="page"/>
      </w:r>
      <w:r>
        <w:rPr>
          <w:rFonts w:hint="eastAsia"/>
        </w:rPr>
        <w:t>附表六：临时用地表</w:t>
      </w:r>
      <w:bookmarkEnd w:id="701"/>
      <w:bookmarkEnd w:id="702"/>
      <w:bookmarkEnd w:id="703"/>
      <w:bookmarkEnd w:id="704"/>
      <w:bookmarkEnd w:id="705"/>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jc w:val="center"/>
            </w:pPr>
            <w:r>
              <w:rPr>
                <w:rFonts w:hint="eastAsia"/>
              </w:rPr>
              <w:t>用 途</w:t>
            </w:r>
          </w:p>
        </w:tc>
        <w:tc>
          <w:tcPr>
            <w:tcW w:w="2350" w:type="dxa"/>
            <w:noWrap/>
          </w:tcPr>
          <w:p>
            <w:pPr>
              <w:spacing w:line="360" w:lineRule="auto"/>
              <w:jc w:val="center"/>
            </w:pPr>
            <w:r>
              <w:rPr>
                <w:rFonts w:hint="eastAsia"/>
              </w:rPr>
              <w:t>面 积（平方米）</w:t>
            </w:r>
          </w:p>
        </w:tc>
        <w:tc>
          <w:tcPr>
            <w:tcW w:w="2350" w:type="dxa"/>
            <w:noWrap/>
          </w:tcPr>
          <w:p>
            <w:pPr>
              <w:spacing w:line="360" w:lineRule="auto"/>
              <w:jc w:val="center"/>
            </w:pPr>
            <w:r>
              <w:rPr>
                <w:rFonts w:hint="eastAsia"/>
              </w:rPr>
              <w:t>位 置</w:t>
            </w:r>
          </w:p>
        </w:tc>
        <w:tc>
          <w:tcPr>
            <w:tcW w:w="2350" w:type="dxa"/>
            <w:noWrap/>
          </w:tcPr>
          <w:p>
            <w:pPr>
              <w:spacing w:line="360" w:lineRule="auto"/>
              <w:jc w:val="center"/>
            </w:pPr>
            <w:r>
              <w:rPr>
                <w:rFonts w:hint="eastAsia"/>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bl>
    <w:p>
      <w:pPr>
        <w:pStyle w:val="22"/>
        <w:spacing w:line="360" w:lineRule="auto"/>
        <w:ind w:left="0" w:leftChars="0" w:firstLine="0" w:firstLineChars="0"/>
        <w:rPr>
          <w:rFonts w:ascii="宋体" w:hAnsi="宋体"/>
        </w:rPr>
      </w:pPr>
    </w:p>
    <w:p>
      <w:pPr>
        <w:pStyle w:val="2"/>
        <w:tabs>
          <w:tab w:val="left" w:pos="425"/>
        </w:tabs>
        <w:ind w:left="0"/>
        <w:rPr>
          <w:szCs w:val="24"/>
          <w:lang w:val="zh-CN"/>
        </w:rPr>
      </w:pPr>
      <w:bookmarkStart w:id="706" w:name="_Toc26359_WPSOffice_Level1"/>
      <w:bookmarkStart w:id="707" w:name="_Toc6830_WPSOffice_Level1"/>
      <w:bookmarkStart w:id="708" w:name="_Toc14509"/>
      <w:bookmarkStart w:id="709" w:name="_Toc28787_WPSOffice_Level1"/>
      <w:r>
        <w:rPr>
          <w:rFonts w:hint="eastAsia"/>
          <w:szCs w:val="24"/>
          <w:highlight w:val="none"/>
          <w:lang w:val="zh-CN"/>
        </w:rPr>
        <w:t>六、</w:t>
      </w:r>
      <w:r>
        <w:rPr>
          <w:rFonts w:hint="eastAsia"/>
          <w:szCs w:val="24"/>
          <w:lang w:val="zh-CN"/>
        </w:rPr>
        <w:t>项目管理机构</w:t>
      </w:r>
      <w:bookmarkEnd w:id="706"/>
      <w:bookmarkEnd w:id="707"/>
      <w:bookmarkEnd w:id="708"/>
      <w:bookmarkEnd w:id="709"/>
    </w:p>
    <w:p>
      <w:pPr>
        <w:numPr>
          <w:ilvl w:val="0"/>
          <w:numId w:val="27"/>
        </w:numPr>
        <w:spacing w:line="360" w:lineRule="auto"/>
        <w:jc w:val="center"/>
        <w:rPr>
          <w:b/>
          <w:bCs/>
          <w:sz w:val="24"/>
          <w:szCs w:val="24"/>
        </w:rPr>
      </w:pPr>
      <w:r>
        <w:rPr>
          <w:rFonts w:hint="eastAsia"/>
          <w:b/>
          <w:bCs/>
          <w:sz w:val="24"/>
          <w:szCs w:val="24"/>
        </w:rPr>
        <w:t>项目管理机构组成表</w:t>
      </w: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ign w:val="center"/>
          </w:tcPr>
          <w:p>
            <w:pPr>
              <w:spacing w:line="360" w:lineRule="auto"/>
              <w:jc w:val="center"/>
            </w:pPr>
            <w:r>
              <w:rPr>
                <w:rFonts w:hint="eastAsia"/>
              </w:rPr>
              <w:t>职务</w:t>
            </w:r>
          </w:p>
        </w:tc>
        <w:tc>
          <w:tcPr>
            <w:tcW w:w="709" w:type="dxa"/>
            <w:vMerge w:val="restart"/>
            <w:noWrap/>
            <w:vAlign w:val="center"/>
          </w:tcPr>
          <w:p>
            <w:pPr>
              <w:spacing w:line="360" w:lineRule="auto"/>
              <w:jc w:val="center"/>
            </w:pPr>
            <w:r>
              <w:rPr>
                <w:rFonts w:hint="eastAsia"/>
              </w:rPr>
              <w:t>姓名</w:t>
            </w:r>
          </w:p>
        </w:tc>
        <w:tc>
          <w:tcPr>
            <w:tcW w:w="709" w:type="dxa"/>
            <w:vMerge w:val="restart"/>
            <w:noWrap/>
            <w:vAlign w:val="center"/>
          </w:tcPr>
          <w:p>
            <w:pPr>
              <w:spacing w:line="360" w:lineRule="auto"/>
              <w:jc w:val="center"/>
            </w:pPr>
            <w:r>
              <w:rPr>
                <w:rFonts w:hint="eastAsia"/>
              </w:rPr>
              <w:t>职称</w:t>
            </w:r>
          </w:p>
        </w:tc>
        <w:tc>
          <w:tcPr>
            <w:tcW w:w="5670" w:type="dxa"/>
            <w:gridSpan w:val="5"/>
            <w:noWrap/>
            <w:vAlign w:val="center"/>
          </w:tcPr>
          <w:p>
            <w:pPr>
              <w:spacing w:line="360" w:lineRule="auto"/>
              <w:jc w:val="center"/>
            </w:pPr>
            <w:r>
              <w:rPr>
                <w:rFonts w:hint="eastAsia"/>
              </w:rPr>
              <w:t>执业或职业资格证明</w:t>
            </w:r>
          </w:p>
        </w:tc>
        <w:tc>
          <w:tcPr>
            <w:tcW w:w="708" w:type="dxa"/>
            <w:vMerge w:val="restart"/>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1134" w:type="dxa"/>
            <w:noWrap/>
            <w:vAlign w:val="center"/>
          </w:tcPr>
          <w:p>
            <w:pPr>
              <w:spacing w:line="360" w:lineRule="auto"/>
              <w:jc w:val="center"/>
            </w:pPr>
            <w:r>
              <w:rPr>
                <w:rFonts w:hint="eastAsia"/>
              </w:rPr>
              <w:t>证书名称</w:t>
            </w:r>
          </w:p>
        </w:tc>
        <w:tc>
          <w:tcPr>
            <w:tcW w:w="771" w:type="dxa"/>
            <w:noWrap/>
            <w:vAlign w:val="center"/>
          </w:tcPr>
          <w:p>
            <w:pPr>
              <w:spacing w:line="360" w:lineRule="auto"/>
              <w:jc w:val="center"/>
            </w:pPr>
            <w:r>
              <w:rPr>
                <w:rFonts w:hint="eastAsia"/>
              </w:rPr>
              <w:t>级别</w:t>
            </w:r>
          </w:p>
        </w:tc>
        <w:tc>
          <w:tcPr>
            <w:tcW w:w="788" w:type="dxa"/>
            <w:noWrap/>
            <w:vAlign w:val="center"/>
          </w:tcPr>
          <w:p>
            <w:pPr>
              <w:spacing w:line="360" w:lineRule="auto"/>
              <w:jc w:val="center"/>
            </w:pPr>
            <w:r>
              <w:rPr>
                <w:rFonts w:hint="eastAsia"/>
              </w:rPr>
              <w:t>证号</w:t>
            </w:r>
          </w:p>
        </w:tc>
        <w:tc>
          <w:tcPr>
            <w:tcW w:w="850" w:type="dxa"/>
            <w:noWrap/>
            <w:vAlign w:val="center"/>
          </w:tcPr>
          <w:p>
            <w:pPr>
              <w:spacing w:line="360" w:lineRule="auto"/>
              <w:jc w:val="center"/>
            </w:pPr>
            <w:r>
              <w:rPr>
                <w:rFonts w:hint="eastAsia"/>
              </w:rPr>
              <w:t>专业</w:t>
            </w:r>
          </w:p>
        </w:tc>
        <w:tc>
          <w:tcPr>
            <w:tcW w:w="2127" w:type="dxa"/>
            <w:noWrap/>
            <w:vAlign w:val="center"/>
          </w:tcPr>
          <w:p>
            <w:pPr>
              <w:spacing w:line="360" w:lineRule="auto"/>
              <w:jc w:val="center"/>
            </w:pPr>
            <w:r>
              <w:rPr>
                <w:rFonts w:hint="eastAsia"/>
              </w:rPr>
              <w:t>养老保险</w:t>
            </w:r>
          </w:p>
        </w:tc>
        <w:tc>
          <w:tcPr>
            <w:tcW w:w="708" w:type="dxa"/>
            <w:vMerge w:val="continue"/>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bl>
    <w:p>
      <w:pPr>
        <w:spacing w:line="360" w:lineRule="auto"/>
      </w:pPr>
    </w:p>
    <w:p>
      <w:pPr>
        <w:numPr>
          <w:ilvl w:val="0"/>
          <w:numId w:val="27"/>
        </w:numPr>
        <w:spacing w:line="360" w:lineRule="auto"/>
        <w:jc w:val="center"/>
        <w:rPr>
          <w:sz w:val="24"/>
        </w:rPr>
      </w:pPr>
      <w:r>
        <w:br w:type="page"/>
      </w:r>
      <w:r>
        <w:rPr>
          <w:rFonts w:hint="eastAsia"/>
          <w:b/>
          <w:bCs/>
          <w:sz w:val="24"/>
          <w:szCs w:val="24"/>
        </w:rPr>
        <w:t>主要人员简历表</w:t>
      </w:r>
    </w:p>
    <w:p>
      <w:pPr>
        <w:spacing w:beforeLines="50" w:afterLines="100" w:line="360" w:lineRule="auto"/>
        <w:rPr>
          <w:b/>
          <w:bCs/>
        </w:rPr>
      </w:pPr>
      <w:r>
        <w:rPr>
          <w:rFonts w:hint="eastAsia"/>
          <w:b/>
          <w:bCs/>
        </w:rPr>
        <w:t>附1：项目经理简历表</w:t>
      </w:r>
    </w:p>
    <w:p>
      <w:pPr>
        <w:wordWrap/>
        <w:topLinePunct w:val="0"/>
        <w:adjustRightInd w:val="0"/>
        <w:snapToGrid w:val="0"/>
        <w:spacing w:line="360" w:lineRule="auto"/>
        <w:ind w:firstLine="420" w:firstLineChars="200"/>
      </w:pPr>
      <w:r>
        <w:rPr>
          <w:rFonts w:hint="eastAsia"/>
        </w:rPr>
        <w:t>项目经理应附建造师执业资格证书、注册证书、安全生产考核合格证书、身份证、养老保险复印件及未担任其他在施建设工程项目项目经理的承诺书，管理过的项目业绩须附合同协议书和竣工验收备案登记表复印件。类似项目限于以项目经理身份参与的项目。</w:t>
      </w:r>
    </w:p>
    <w:tbl>
      <w:tblPr>
        <w:tblStyle w:val="2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35"/>
        <w:gridCol w:w="1134"/>
        <w:gridCol w:w="1275"/>
        <w:gridCol w:w="1843"/>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年  龄</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学历</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职  务</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拟在本工程任职</w:t>
            </w:r>
          </w:p>
        </w:tc>
        <w:tc>
          <w:tcPr>
            <w:tcW w:w="2198" w:type="dxa"/>
            <w:noWrap/>
            <w:vAlign w:val="center"/>
          </w:tcPr>
          <w:p>
            <w:pPr>
              <w:spacing w:line="360" w:lineRule="auto"/>
              <w:jc w:val="center"/>
            </w:pP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注册建造师执业资格等级</w:t>
            </w:r>
          </w:p>
        </w:tc>
        <w:tc>
          <w:tcPr>
            <w:tcW w:w="1275" w:type="dxa"/>
            <w:noWrap/>
            <w:vAlign w:val="center"/>
          </w:tcPr>
          <w:p>
            <w:pPr>
              <w:spacing w:line="360" w:lineRule="auto"/>
              <w:jc w:val="center"/>
            </w:pPr>
            <w:r>
              <w:rPr>
                <w:rFonts w:hint="eastAsia"/>
              </w:rPr>
              <w:t xml:space="preserve">      级</w:t>
            </w:r>
          </w:p>
        </w:tc>
        <w:tc>
          <w:tcPr>
            <w:tcW w:w="1843" w:type="dxa"/>
            <w:noWrap/>
            <w:vAlign w:val="center"/>
          </w:tcPr>
          <w:p>
            <w:pPr>
              <w:spacing w:line="360" w:lineRule="auto"/>
              <w:jc w:val="center"/>
            </w:pPr>
            <w:r>
              <w:rPr>
                <w:rFonts w:hint="eastAsia"/>
              </w:rPr>
              <w:t>建造师专业</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安全生产考核合格证书</w:t>
            </w:r>
          </w:p>
        </w:tc>
        <w:tc>
          <w:tcPr>
            <w:tcW w:w="5316" w:type="dxa"/>
            <w:gridSpan w:val="3"/>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毕业学校</w:t>
            </w:r>
          </w:p>
        </w:tc>
        <w:tc>
          <w:tcPr>
            <w:tcW w:w="7485"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8"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时  间</w:t>
            </w:r>
          </w:p>
        </w:tc>
        <w:tc>
          <w:tcPr>
            <w:tcW w:w="3444" w:type="dxa"/>
            <w:gridSpan w:val="3"/>
            <w:noWrap/>
            <w:vAlign w:val="center"/>
          </w:tcPr>
          <w:p>
            <w:pPr>
              <w:spacing w:line="360" w:lineRule="auto"/>
              <w:jc w:val="center"/>
            </w:pPr>
            <w:r>
              <w:rPr>
                <w:rFonts w:hint="eastAsia"/>
              </w:rPr>
              <w:t>参加过的类似项目名称</w:t>
            </w:r>
          </w:p>
        </w:tc>
        <w:tc>
          <w:tcPr>
            <w:tcW w:w="1843" w:type="dxa"/>
            <w:noWrap/>
            <w:vAlign w:val="center"/>
          </w:tcPr>
          <w:p>
            <w:pPr>
              <w:spacing w:line="360" w:lineRule="auto"/>
              <w:jc w:val="center"/>
            </w:pPr>
            <w:r>
              <w:rPr>
                <w:rFonts w:hint="eastAsia"/>
              </w:rPr>
              <w:t>工程概况说明</w:t>
            </w:r>
          </w:p>
        </w:tc>
        <w:tc>
          <w:tcPr>
            <w:tcW w:w="2198"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bl>
    <w:p>
      <w:pPr>
        <w:spacing w:line="360" w:lineRule="auto"/>
      </w:pPr>
    </w:p>
    <w:p>
      <w:pPr>
        <w:spacing w:line="360" w:lineRule="auto"/>
      </w:pPr>
      <w:r>
        <w:br w:type="page"/>
      </w:r>
      <w:r>
        <w:rPr>
          <w:rFonts w:hint="eastAsia"/>
          <w:b/>
          <w:bCs/>
        </w:rPr>
        <w:t>附1-1：承诺书</w:t>
      </w:r>
    </w:p>
    <w:p>
      <w:pPr>
        <w:spacing w:beforeLines="100" w:afterLines="100" w:line="360" w:lineRule="auto"/>
        <w:jc w:val="center"/>
        <w:rPr>
          <w:b/>
          <w:bCs/>
          <w:sz w:val="28"/>
          <w:szCs w:val="28"/>
        </w:rPr>
      </w:pPr>
      <w:bookmarkStart w:id="710" w:name="_Toc7463_WPSOffice_Level1"/>
      <w:bookmarkStart w:id="711" w:name="_Toc3519_WPSOffice_Level1"/>
      <w:bookmarkStart w:id="712" w:name="_Toc25779_WPSOffice_Level1"/>
      <w:r>
        <w:rPr>
          <w:rFonts w:hint="eastAsia"/>
          <w:b/>
          <w:bCs/>
          <w:sz w:val="28"/>
          <w:szCs w:val="28"/>
        </w:rPr>
        <w:t>承诺书</w:t>
      </w:r>
      <w:bookmarkEnd w:id="710"/>
      <w:bookmarkEnd w:id="711"/>
      <w:bookmarkEnd w:id="712"/>
    </w:p>
    <w:p>
      <w:pPr>
        <w:spacing w:afterLines="100" w:line="360" w:lineRule="auto"/>
        <w:ind w:firstLine="210" w:firstLineChars="100"/>
      </w:pPr>
      <w:r>
        <w:rPr>
          <w:rFonts w:hint="eastAsia"/>
          <w:u w:val="single"/>
        </w:rPr>
        <w:t>（采购人名称）</w:t>
      </w:r>
      <w:r>
        <w:rPr>
          <w:rFonts w:hint="eastAsia"/>
        </w:rPr>
        <w:t>:</w:t>
      </w:r>
    </w:p>
    <w:p>
      <w:pPr>
        <w:spacing w:line="360" w:lineRule="auto"/>
        <w:ind w:firstLine="420" w:firstLineChars="200"/>
      </w:pPr>
      <w:r>
        <w:rPr>
          <w:rFonts w:hint="eastAsia"/>
        </w:rPr>
        <w:t>我方在此声明，我方拟派往（项目名称）标段（以下简称“本工程”）的项目经理（项目经理姓名）现阶段没有担任任何在施建设工程项目的项目经理。</w:t>
      </w:r>
    </w:p>
    <w:p>
      <w:pPr>
        <w:spacing w:line="360" w:lineRule="auto"/>
        <w:ind w:firstLine="420" w:firstLineChars="200"/>
      </w:pPr>
      <w:r>
        <w:rPr>
          <w:rFonts w:hint="eastAsia"/>
        </w:rPr>
        <w:t>我方保证上述信息的真实和准确，并愿意承担因我方就此弄虚作假所引起的一切法律后果。</w:t>
      </w: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特此承诺</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right="420"/>
        <w:jc w:val="right"/>
      </w:pPr>
      <w:r>
        <w:rPr>
          <w:rFonts w:hint="eastAsia"/>
        </w:rPr>
        <w:t>响应人：（电子签章）</w:t>
      </w:r>
    </w:p>
    <w:p>
      <w:pPr>
        <w:spacing w:line="360" w:lineRule="auto"/>
        <w:jc w:val="right"/>
      </w:pPr>
      <w:r>
        <w:rPr>
          <w:rFonts w:hint="eastAsia"/>
        </w:rPr>
        <w:t>法定代表人或其委托代理人：（电子签名）</w:t>
      </w:r>
    </w:p>
    <w:p>
      <w:pPr>
        <w:spacing w:line="360" w:lineRule="auto"/>
        <w:jc w:val="right"/>
      </w:pPr>
    </w:p>
    <w:p>
      <w:pPr>
        <w:spacing w:line="360" w:lineRule="auto"/>
        <w:jc w:val="right"/>
        <w:rPr>
          <w:rFonts w:cs="Times New Roman"/>
          <w:sz w:val="24"/>
          <w:szCs w:val="24"/>
          <w:lang w:val="zh-CN"/>
        </w:rPr>
      </w:pPr>
      <w:r>
        <w:rPr>
          <w:rFonts w:hint="eastAsia"/>
        </w:rPr>
        <w:t>日期：  年 月 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before="84"/>
        <w:ind w:left="3892" w:right="0" w:firstLine="0"/>
        <w:jc w:val="left"/>
        <w:rPr>
          <w:b/>
          <w:sz w:val="24"/>
        </w:rPr>
      </w:pPr>
      <w:r>
        <w:rPr>
          <w:b/>
          <w:sz w:val="24"/>
        </w:rPr>
        <w:t>信用承诺书</w:t>
      </w:r>
    </w:p>
    <w:p>
      <w:pPr>
        <w:pStyle w:val="7"/>
        <w:spacing w:before="7"/>
        <w:ind w:left="0"/>
        <w:rPr>
          <w:b/>
          <w:sz w:val="10"/>
        </w:rPr>
      </w:pPr>
    </w:p>
    <w:p>
      <w:pPr>
        <w:spacing w:before="66"/>
        <w:ind w:left="3618" w:right="0" w:firstLine="0"/>
        <w:jc w:val="left"/>
        <w:rPr>
          <w:b/>
          <w:sz w:val="24"/>
        </w:rPr>
      </w:pPr>
      <w:r>
        <w:rPr>
          <w:b/>
          <w:sz w:val="24"/>
        </w:rPr>
        <w:t>（投标单位范本）</w:t>
      </w:r>
    </w:p>
    <w:p>
      <w:pPr>
        <w:pStyle w:val="7"/>
        <w:spacing w:before="161" w:line="312" w:lineRule="auto"/>
        <w:ind w:right="237" w:firstLine="566"/>
      </w:pPr>
      <w:r>
        <w:t>为营造公开、公平、公正、诚实守信的公共资源交易环境，树立诚信守法的供应商形象，本人代表本单位作出以下承诺：</w:t>
      </w:r>
    </w:p>
    <w:p>
      <w:pPr>
        <w:pStyle w:val="7"/>
        <w:spacing w:before="2" w:line="312" w:lineRule="auto"/>
        <w:ind w:right="117" w:firstLine="566"/>
      </w:pPr>
      <w:r>
        <w:t>（一）本单位对所提交的企（事）业单位基本信息、企（事）业负责人、项目</w:t>
      </w:r>
      <w:r>
        <w:rPr>
          <w:spacing w:val="-15"/>
        </w:rPr>
        <w:t>负责人、技术负责人、从业资质和资格、业绩、财务状况、信誉等所有资料，均合法、</w:t>
      </w:r>
      <w:r>
        <w:t>真实、准确、有效，无任何伪造、修改、虚假成份，并对所提供资料的真实性负责。</w:t>
      </w:r>
    </w:p>
    <w:p>
      <w:pPr>
        <w:pStyle w:val="7"/>
        <w:spacing w:before="2" w:line="312" w:lineRule="auto"/>
        <w:ind w:right="117" w:firstLine="566"/>
      </w:pPr>
      <w:r>
        <w:t>（二）严格依照国家和河南省关于招标投标的法律、法规、规章、规范性文件， 参加公共资源招标投标活动，不挂靠、借用、出租、出借、转让资质，积极履行社会责任，促进廉政建设。</w:t>
      </w:r>
    </w:p>
    <w:p>
      <w:pPr>
        <w:pStyle w:val="7"/>
        <w:spacing w:before="2" w:line="312" w:lineRule="auto"/>
        <w:ind w:right="117" w:firstLine="566"/>
      </w:pPr>
      <w:r>
        <w:t>（三）自我约束、自我管理，守合同、重信用，不参与围标串标、弄虚作假、骗取中标、干扰评标、胁迫他人投标（放弃中标）、恶意投诉、违约毁约等行为，自觉维护公共资源招标投标的良好秩序。</w:t>
      </w:r>
    </w:p>
    <w:p>
      <w:pPr>
        <w:pStyle w:val="7"/>
        <w:spacing w:before="2" w:line="312" w:lineRule="auto"/>
        <w:ind w:right="117" w:firstLine="566"/>
      </w:pPr>
      <w:r>
        <w:t>（四）本单位及项目经办人员信用状况良好，未被列为失信惩戒对象或“老赖”，符合参与公共资源交易活动的相关要求。</w:t>
      </w:r>
    </w:p>
    <w:p>
      <w:pPr>
        <w:pStyle w:val="7"/>
        <w:spacing w:before="2" w:line="312" w:lineRule="auto"/>
        <w:ind w:right="117" w:firstLine="566"/>
      </w:pPr>
      <w: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pPr>
        <w:pStyle w:val="7"/>
        <w:spacing w:before="2" w:line="312" w:lineRule="auto"/>
        <w:ind w:right="117" w:firstLine="566"/>
      </w:pPr>
      <w:r>
        <w:t>（六）若中标，本单位将在规定的时间内与招标人签订合同并自觉履行合同义务，不转包或违法分包中标项目。</w:t>
      </w:r>
    </w:p>
    <w:p>
      <w:pPr>
        <w:pStyle w:val="7"/>
        <w:spacing w:before="2" w:line="312" w:lineRule="auto"/>
        <w:ind w:right="117" w:firstLine="566"/>
      </w:pPr>
      <w:r>
        <w:t>（七）自觉接受政府、行业组织、社会公众、新闻舆论的监督。</w:t>
      </w:r>
    </w:p>
    <w:p>
      <w:pPr>
        <w:pStyle w:val="7"/>
        <w:spacing w:before="2" w:line="312" w:lineRule="auto"/>
        <w:ind w:right="117" w:firstLine="566"/>
      </w:pPr>
      <w: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7"/>
        <w:spacing w:before="2" w:line="312" w:lineRule="auto"/>
        <w:ind w:right="117" w:firstLine="566"/>
      </w:pPr>
      <w:r>
        <w:t>（九）本人已认真阅读了上述承诺，并向本单位员工作了宣传教育。</w:t>
      </w:r>
    </w:p>
    <w:p>
      <w:pPr>
        <w:pStyle w:val="7"/>
        <w:spacing w:before="2" w:line="312" w:lineRule="auto"/>
        <w:ind w:right="117" w:firstLine="566"/>
      </w:pPr>
    </w:p>
    <w:p>
      <w:pPr>
        <w:pStyle w:val="7"/>
        <w:spacing w:before="11"/>
        <w:ind w:left="0"/>
        <w:rPr>
          <w:sz w:val="19"/>
        </w:rPr>
      </w:pPr>
    </w:p>
    <w:p>
      <w:pPr>
        <w:pStyle w:val="7"/>
        <w:spacing w:before="93" w:line="312" w:lineRule="auto"/>
        <w:ind w:right="237" w:firstLine="566"/>
        <w:jc w:val="both"/>
        <w:rPr>
          <w:spacing w:val="-10"/>
        </w:rPr>
      </w:pPr>
      <w:r>
        <w:rPr>
          <w:spacing w:val="-10"/>
        </w:rPr>
        <w:t>供应商（全称）：（电子签章）</w:t>
      </w:r>
    </w:p>
    <w:p>
      <w:pPr>
        <w:pStyle w:val="7"/>
        <w:spacing w:before="93" w:line="312" w:lineRule="auto"/>
        <w:ind w:right="237" w:firstLine="566"/>
        <w:jc w:val="both"/>
        <w:rPr>
          <w:spacing w:val="-10"/>
        </w:rPr>
      </w:pPr>
      <w:r>
        <w:rPr>
          <w:spacing w:val="-10"/>
        </w:rPr>
        <w:t>法定代表人（负责人）或其授权代表（电子签章/签名）：</w:t>
      </w:r>
    </w:p>
    <w:p>
      <w:pPr>
        <w:pStyle w:val="7"/>
        <w:spacing w:before="93" w:line="312" w:lineRule="auto"/>
        <w:ind w:right="237" w:firstLine="566"/>
        <w:jc w:val="both"/>
        <w:rPr>
          <w:spacing w:val="-10"/>
        </w:rPr>
      </w:pPr>
      <w:r>
        <w:rPr>
          <w:spacing w:val="-10"/>
        </w:rPr>
        <w:t>日期：</w:t>
      </w:r>
    </w:p>
    <w:p>
      <w:pPr>
        <w:spacing w:line="360" w:lineRule="auto"/>
        <w:rPr>
          <w:rFonts w:hint="eastAsia"/>
          <w:b/>
          <w:bCs/>
        </w:rPr>
      </w:pPr>
    </w:p>
    <w:p>
      <w:pPr>
        <w:spacing w:line="360" w:lineRule="auto"/>
        <w:rPr>
          <w:rFonts w:hint="eastAsia"/>
          <w:b/>
          <w:bCs/>
        </w:rPr>
      </w:pPr>
    </w:p>
    <w:p>
      <w:pPr>
        <w:spacing w:line="360" w:lineRule="auto"/>
      </w:pPr>
      <w:r>
        <w:rPr>
          <w:rFonts w:hint="eastAsia"/>
          <w:b/>
          <w:bCs/>
        </w:rPr>
        <w:t>附2：主要项目管理人员简历表</w:t>
      </w:r>
      <w:bookmarkStart w:id="713" w:name="_Toc26247"/>
    </w:p>
    <w:p>
      <w:pPr>
        <w:pStyle w:val="37"/>
        <w:rPr>
          <w:lang w:val="en-US"/>
        </w:rPr>
      </w:pPr>
    </w:p>
    <w:p>
      <w:pPr>
        <w:spacing w:line="360" w:lineRule="auto"/>
        <w:ind w:firstLine="420" w:firstLineChars="200"/>
      </w:pPr>
      <w:r>
        <w:rPr>
          <w:rFonts w:hint="eastAsia"/>
        </w:rPr>
        <w:t>项目负责人应附身份证、劳动合同、</w:t>
      </w:r>
      <w:r>
        <w:rPr>
          <w:rFonts w:hint="eastAsia"/>
          <w:kern w:val="0"/>
        </w:rPr>
        <w:t>养老保险</w:t>
      </w:r>
      <w:r>
        <w:rPr>
          <w:rFonts w:hint="eastAsia"/>
        </w:rPr>
        <w:t>、管理过的项目业绩须附证明其所任技术职务的企业文件或用户证明；专职安全员，应附身份证、安全生产考核合格证、劳动合同、</w:t>
      </w:r>
      <w:r>
        <w:rPr>
          <w:rFonts w:hint="eastAsia"/>
          <w:kern w:val="0"/>
        </w:rPr>
        <w:t>养老保险</w:t>
      </w:r>
      <w:r>
        <w:rPr>
          <w:rFonts w:hint="eastAsia"/>
        </w:rPr>
        <w:t>交纳证明等相关证明；其他主要人员应附身份证、职称证（执业证或上岗证书）。</w:t>
      </w:r>
    </w:p>
    <w:p>
      <w:pPr>
        <w:spacing w:line="360" w:lineRule="auto"/>
      </w:pP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5"/>
        <w:gridCol w:w="1133"/>
        <w:gridCol w:w="1274"/>
        <w:gridCol w:w="184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年  龄</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学历</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职  务</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拟在本工程任职</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毕业学校</w:t>
            </w:r>
          </w:p>
        </w:tc>
        <w:tc>
          <w:tcPr>
            <w:tcW w:w="7409"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0"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时  间</w:t>
            </w:r>
          </w:p>
        </w:tc>
        <w:tc>
          <w:tcPr>
            <w:tcW w:w="3442" w:type="dxa"/>
            <w:gridSpan w:val="3"/>
            <w:noWrap/>
            <w:vAlign w:val="center"/>
          </w:tcPr>
          <w:p>
            <w:pPr>
              <w:spacing w:line="360" w:lineRule="auto"/>
              <w:jc w:val="center"/>
            </w:pPr>
            <w:r>
              <w:rPr>
                <w:rFonts w:hint="eastAsia"/>
              </w:rPr>
              <w:t>参加过的类似项目名称</w:t>
            </w:r>
          </w:p>
        </w:tc>
        <w:tc>
          <w:tcPr>
            <w:tcW w:w="1842" w:type="dxa"/>
            <w:noWrap/>
            <w:vAlign w:val="center"/>
          </w:tcPr>
          <w:p>
            <w:pPr>
              <w:spacing w:line="360" w:lineRule="auto"/>
              <w:jc w:val="center"/>
            </w:pPr>
            <w:r>
              <w:rPr>
                <w:rFonts w:hint="eastAsia"/>
              </w:rPr>
              <w:t>担任职务</w:t>
            </w:r>
          </w:p>
        </w:tc>
        <w:tc>
          <w:tcPr>
            <w:tcW w:w="2125"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bl>
    <w:p>
      <w:pPr>
        <w:spacing w:line="360" w:lineRule="auto"/>
        <w:rPr>
          <w:rFonts w:cs="Times New Roman"/>
          <w:sz w:val="24"/>
          <w:szCs w:val="24"/>
          <w:lang w:val="zh-CN"/>
        </w:rPr>
      </w:pPr>
    </w:p>
    <w:bookmarkEnd w:id="713"/>
    <w:p>
      <w:pPr>
        <w:pStyle w:val="5"/>
        <w:spacing w:line="360" w:lineRule="auto"/>
        <w:ind w:left="0" w:leftChars="0" w:firstLine="0" w:firstLineChars="0"/>
        <w:rPr>
          <w:rFonts w:ascii="宋体" w:hAnsi="宋体"/>
        </w:rPr>
      </w:pPr>
    </w:p>
    <w:p>
      <w:pPr>
        <w:pStyle w:val="5"/>
        <w:spacing w:line="360" w:lineRule="auto"/>
        <w:rPr>
          <w:rFonts w:ascii="宋体" w:hAnsi="宋体"/>
        </w:rPr>
      </w:pPr>
    </w:p>
    <w:p>
      <w:pPr>
        <w:pStyle w:val="2"/>
        <w:numPr>
          <w:ilvl w:val="0"/>
          <w:numId w:val="0"/>
        </w:numPr>
        <w:tabs>
          <w:tab w:val="left" w:pos="425"/>
        </w:tabs>
        <w:ind w:leftChars="0"/>
        <w:jc w:val="center"/>
        <w:rPr>
          <w:szCs w:val="24"/>
          <w:lang w:val="zh-CN"/>
        </w:rPr>
      </w:pPr>
      <w:bookmarkStart w:id="714" w:name="_Toc7818_WPSOffice_Level1"/>
      <w:bookmarkStart w:id="715" w:name="_Toc16999"/>
      <w:bookmarkStart w:id="716" w:name="_Toc19513_WPSOffice_Level1"/>
      <w:bookmarkStart w:id="717" w:name="_Toc13447_WPSOffice_Level1"/>
      <w:bookmarkStart w:id="718" w:name="_Toc20487"/>
      <w:bookmarkStart w:id="719" w:name="_Toc355809725"/>
      <w:bookmarkStart w:id="720" w:name="_Toc28100"/>
      <w:bookmarkStart w:id="721" w:name="_Toc339972632"/>
      <w:bookmarkStart w:id="722" w:name="_Toc275795959"/>
      <w:r>
        <w:rPr>
          <w:rFonts w:hint="eastAsia"/>
          <w:szCs w:val="24"/>
          <w:lang w:val="en-US" w:eastAsia="zh-CN"/>
        </w:rPr>
        <w:t>七、</w:t>
      </w:r>
      <w:r>
        <w:rPr>
          <w:rFonts w:hint="eastAsia"/>
          <w:szCs w:val="24"/>
          <w:lang w:val="zh-CN"/>
        </w:rPr>
        <w:t>服务承诺</w:t>
      </w:r>
      <w:bookmarkEnd w:id="714"/>
      <w:bookmarkEnd w:id="715"/>
      <w:bookmarkEnd w:id="716"/>
      <w:bookmarkEnd w:id="717"/>
    </w:p>
    <w:p>
      <w:pPr>
        <w:pStyle w:val="2"/>
        <w:numPr>
          <w:ilvl w:val="0"/>
          <w:numId w:val="28"/>
        </w:numPr>
        <w:tabs>
          <w:tab w:val="left" w:pos="840"/>
        </w:tabs>
        <w:rPr>
          <w:szCs w:val="24"/>
        </w:rPr>
      </w:pPr>
      <w:r>
        <w:rPr>
          <w:rFonts w:hint="eastAsia"/>
          <w:bCs w:val="0"/>
          <w:szCs w:val="24"/>
          <w:lang w:val="zh-CN"/>
        </w:rPr>
        <w:br w:type="page"/>
      </w:r>
      <w:bookmarkStart w:id="723" w:name="_Toc12975_WPSOffice_Level1"/>
      <w:bookmarkStart w:id="724" w:name="_Toc31795_WPSOffice_Level1"/>
      <w:bookmarkStart w:id="725" w:name="_Toc11065_WPSOffice_Level1"/>
      <w:bookmarkStart w:id="726" w:name="_Toc17966"/>
      <w:r>
        <w:rPr>
          <w:rFonts w:hint="eastAsia"/>
          <w:szCs w:val="24"/>
          <w:lang w:val="zh-CN"/>
        </w:rPr>
        <w:t>反商业贿赂承诺书</w:t>
      </w:r>
      <w:bookmarkEnd w:id="718"/>
      <w:bookmarkEnd w:id="719"/>
      <w:bookmarkEnd w:id="720"/>
      <w:bookmarkEnd w:id="721"/>
      <w:bookmarkEnd w:id="722"/>
      <w:bookmarkEnd w:id="723"/>
      <w:bookmarkEnd w:id="724"/>
      <w:bookmarkEnd w:id="725"/>
      <w:bookmarkEnd w:id="726"/>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spacing w:line="360" w:lineRule="auto"/>
        <w:ind w:firstLine="555"/>
      </w:pPr>
    </w:p>
    <w:p>
      <w:pPr>
        <w:spacing w:line="360" w:lineRule="auto"/>
        <w:ind w:firstLine="2880"/>
        <w:jc w:val="right"/>
        <w:rPr>
          <w:u w:val="single"/>
        </w:rPr>
      </w:pPr>
      <w:r>
        <w:rPr>
          <w:rFonts w:hint="eastAsia"/>
        </w:rPr>
        <w:t>公司法人代表（电子签名）：</w:t>
      </w:r>
    </w:p>
    <w:p>
      <w:pPr>
        <w:spacing w:line="360" w:lineRule="auto"/>
        <w:ind w:firstLine="2880"/>
        <w:jc w:val="right"/>
        <w:rPr>
          <w:u w:val="single"/>
        </w:rPr>
      </w:pPr>
      <w:r>
        <w:rPr>
          <w:rFonts w:hint="eastAsia"/>
        </w:rPr>
        <w:t>法人授权代表（电子签名）：</w:t>
      </w:r>
    </w:p>
    <w:p>
      <w:pPr>
        <w:spacing w:line="360" w:lineRule="auto"/>
        <w:ind w:firstLine="555"/>
        <w:jc w:val="right"/>
      </w:pPr>
      <w:r>
        <w:rPr>
          <w:rFonts w:hint="eastAsia"/>
        </w:rPr>
        <w:t>响应人：（电子签章）</w:t>
      </w:r>
    </w:p>
    <w:p>
      <w:pPr>
        <w:spacing w:line="360" w:lineRule="auto"/>
        <w:ind w:firstLine="555"/>
        <w:jc w:val="right"/>
      </w:pPr>
      <w:r>
        <w:rPr>
          <w:rFonts w:hint="eastAsia"/>
        </w:rPr>
        <w:t>日期： 年  月  日</w:t>
      </w:r>
    </w:p>
    <w:p>
      <w:pPr>
        <w:spacing w:line="360" w:lineRule="auto"/>
        <w:jc w:val="right"/>
      </w:pPr>
    </w:p>
    <w:p>
      <w:pPr>
        <w:pStyle w:val="2"/>
        <w:numPr>
          <w:ilvl w:val="0"/>
          <w:numId w:val="28"/>
        </w:numPr>
        <w:tabs>
          <w:tab w:val="left" w:pos="840"/>
        </w:tabs>
        <w:rPr>
          <w:bCs w:val="0"/>
          <w:szCs w:val="24"/>
          <w:lang w:val="zh-CN"/>
        </w:rPr>
      </w:pPr>
      <w:bookmarkStart w:id="727" w:name="_Toc13712"/>
      <w:r>
        <w:rPr>
          <w:rFonts w:hint="eastAsia"/>
          <w:szCs w:val="24"/>
          <w:lang w:eastAsia="zh-CN"/>
        </w:rPr>
        <w:br w:type="page"/>
      </w:r>
      <w:bookmarkEnd w:id="727"/>
      <w:bookmarkStart w:id="728" w:name="_Toc27715_WPSOffice_Level1"/>
      <w:bookmarkStart w:id="729" w:name="_Toc18051_WPSOffice_Level1"/>
      <w:bookmarkStart w:id="730" w:name="_Toc8534_WPSOffice_Level1"/>
      <w:bookmarkStart w:id="731" w:name="_Toc13391"/>
      <w:bookmarkStart w:id="732" w:name="_Toc15983"/>
      <w:r>
        <w:rPr>
          <w:rFonts w:hint="eastAsia"/>
          <w:szCs w:val="24"/>
          <w:lang w:val="zh-CN"/>
        </w:rPr>
        <w:t>中小企业声明函</w:t>
      </w:r>
      <w:bookmarkEnd w:id="728"/>
      <w:bookmarkEnd w:id="729"/>
      <w:bookmarkEnd w:id="730"/>
      <w:bookmarkEnd w:id="731"/>
      <w:bookmarkEnd w:id="732"/>
    </w:p>
    <w:p>
      <w:pPr>
        <w:spacing w:line="360" w:lineRule="auto"/>
        <w:ind w:left="59" w:leftChars="28"/>
        <w:jc w:val="center"/>
      </w:pPr>
      <w:r>
        <w:rPr>
          <w:rFonts w:hint="eastAsia"/>
        </w:rPr>
        <w:t>（属于中小微企业的填写，不属于的无需填写此项内容）</w:t>
      </w:r>
    </w:p>
    <w:p>
      <w:pPr>
        <w:spacing w:line="360" w:lineRule="auto"/>
        <w:ind w:firstLine="472" w:firstLineChars="225"/>
      </w:pPr>
    </w:p>
    <w:p>
      <w:pPr>
        <w:spacing w:line="360" w:lineRule="auto"/>
        <w:ind w:firstLine="472" w:firstLineChars="225"/>
      </w:pPr>
      <w:r>
        <w:t>本公司郑重声明，根据</w:t>
      </w:r>
      <w:r>
        <w:rPr>
          <w:rFonts w:hint="eastAsia"/>
          <w:lang w:eastAsia="zh-CN"/>
        </w:rPr>
        <w:t>《政府采购促进中小企业发展管理办法》（财库（2020）46号）</w:t>
      </w:r>
      <w:r>
        <w:t>的规定，本公司为</w:t>
      </w:r>
      <w:r>
        <w:rPr>
          <w:rFonts w:hint="eastAsia"/>
          <w:u w:val="single"/>
          <w:lang w:val="en-US" w:eastAsia="zh-CN"/>
        </w:rPr>
        <w:t xml:space="preserve">     </w:t>
      </w:r>
      <w:r>
        <w:t>（请填写：中型、小型、微型）企业。即，本公司同时满足以下条件：</w:t>
      </w:r>
    </w:p>
    <w:p>
      <w:pPr>
        <w:spacing w:line="360" w:lineRule="auto"/>
        <w:ind w:firstLine="472" w:firstLineChars="225"/>
      </w:pPr>
      <w: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72" w:firstLineChars="225"/>
      </w:pPr>
      <w:r>
        <w:t>2.本公司参加单位的项目采购活动提供本企业制造的货物，由本企业承担项目、提供服务，或者提供其他______（请填写：中型、小型、微型）企业制造的货物。本条所称货物不包括使用大型企业注册商标的货物。</w:t>
      </w:r>
    </w:p>
    <w:p>
      <w:pPr>
        <w:spacing w:line="360" w:lineRule="auto"/>
        <w:ind w:firstLine="472" w:firstLineChars="225"/>
      </w:pPr>
      <w:r>
        <w:t>本公司对上述声明的真实性负责。如有虚假，将依法承担相应责任。</w:t>
      </w:r>
    </w:p>
    <w:p>
      <w:pPr>
        <w:spacing w:line="360" w:lineRule="auto"/>
        <w:ind w:firstLine="472" w:firstLineChars="225"/>
      </w:pPr>
    </w:p>
    <w:p>
      <w:pPr>
        <w:spacing w:line="360" w:lineRule="auto"/>
        <w:ind w:firstLine="472" w:firstLineChars="225"/>
      </w:pPr>
    </w:p>
    <w:p>
      <w:pPr>
        <w:spacing w:line="360" w:lineRule="auto"/>
        <w:ind w:firstLine="472" w:firstLineChars="225"/>
        <w:jc w:val="right"/>
      </w:pPr>
      <w:r>
        <w:t>企业名称：（</w:t>
      </w:r>
      <w:r>
        <w:rPr>
          <w:rFonts w:hint="eastAsia"/>
        </w:rPr>
        <w:t>电子签章</w:t>
      </w:r>
      <w:r>
        <w:t>）</w:t>
      </w:r>
    </w:p>
    <w:p>
      <w:pPr>
        <w:spacing w:line="360" w:lineRule="auto"/>
        <w:ind w:firstLine="472" w:firstLineChars="225"/>
        <w:jc w:val="right"/>
        <w:rPr>
          <w:spacing w:val="6"/>
        </w:rPr>
      </w:pPr>
      <w:r>
        <w:t>日 期：年月日</w:t>
      </w:r>
    </w:p>
    <w:p>
      <w:pPr>
        <w:wordWrap/>
        <w:topLinePunct w:val="0"/>
        <w:spacing w:line="360" w:lineRule="auto"/>
        <w:ind w:firstLine="420" w:firstLineChars="200"/>
      </w:pPr>
      <w:r>
        <w:rPr>
          <w:rFonts w:hint="eastAsia"/>
        </w:rPr>
        <w:t>财政部、工信部关于印发《政府采购促进中小企业发展</w:t>
      </w:r>
      <w:r>
        <w:rPr>
          <w:rFonts w:hint="eastAsia"/>
          <w:lang w:eastAsia="zh-CN"/>
        </w:rPr>
        <w:t>管理</w:t>
      </w:r>
      <w:r>
        <w:rPr>
          <w:rFonts w:hint="eastAsia"/>
        </w:rPr>
        <w:t>办法》的通知（财库（2020）46号）第二条规定：中小企业（含中型、小型、微型企业）应当同时符合以下条件：</w:t>
      </w:r>
    </w:p>
    <w:p>
      <w:pPr>
        <w:wordWrap/>
        <w:topLinePunct w:val="0"/>
        <w:spacing w:line="360" w:lineRule="auto"/>
        <w:ind w:firstLine="420" w:firstLineChars="20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pPr>
        <w:wordWrap/>
        <w:topLinePunct w:val="0"/>
        <w:spacing w:line="360" w:lineRule="auto"/>
        <w:ind w:firstLine="420" w:firstLineChars="200"/>
      </w:pPr>
      <w:r>
        <w:rPr>
          <w:rFonts w:hint="eastAsia"/>
        </w:rPr>
        <w:t>2. 提供本企业制造的货物、承担的工程或者服务，或者提供其他小微企业制造的货物。本项所称货物不包括使用大型企业注册商标的货物。</w:t>
      </w:r>
    </w:p>
    <w:p>
      <w:pPr>
        <w:wordWrap/>
        <w:topLinePunct w:val="0"/>
        <w:spacing w:line="360" w:lineRule="auto"/>
        <w:ind w:firstLine="420" w:firstLineChars="200"/>
      </w:pPr>
      <w:r>
        <w:rPr>
          <w:rFonts w:hint="eastAsia"/>
        </w:rPr>
        <w:t>3. 本办法所称中小企业划分标准，是指国务院有关部门根据企业从业人员、营业收入、资产总额等指标制定的中小企业划型标准。</w:t>
      </w:r>
    </w:p>
    <w:p>
      <w:pPr>
        <w:wordWrap/>
        <w:topLinePunct w:val="0"/>
        <w:spacing w:line="360" w:lineRule="auto"/>
        <w:ind w:firstLine="420" w:firstLineChars="200"/>
      </w:pPr>
      <w:r>
        <w:rPr>
          <w:rFonts w:hint="eastAsia"/>
        </w:rPr>
        <w:t>4. 小型、微型企业提供中型企业制造的货物的，视同为中型企业。</w:t>
      </w:r>
    </w:p>
    <w:p>
      <w:pPr>
        <w:wordWrap/>
        <w:topLinePunct w:val="0"/>
        <w:spacing w:line="360" w:lineRule="auto"/>
      </w:pPr>
    </w:p>
    <w:p>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pPr>
        <w:pStyle w:val="2"/>
        <w:numPr>
          <w:ilvl w:val="0"/>
          <w:numId w:val="28"/>
        </w:numPr>
        <w:tabs>
          <w:tab w:val="left" w:pos="840"/>
        </w:tabs>
        <w:rPr>
          <w:bCs w:val="0"/>
          <w:szCs w:val="24"/>
          <w:lang w:eastAsia="zh-CN"/>
        </w:rPr>
      </w:pPr>
      <w:bookmarkStart w:id="733" w:name="_Toc9983"/>
      <w:bookmarkStart w:id="734" w:name="_Toc28975"/>
      <w:r>
        <w:rPr>
          <w:rFonts w:hint="eastAsia"/>
          <w:bCs w:val="0"/>
          <w:szCs w:val="24"/>
          <w:lang w:eastAsia="zh-CN"/>
        </w:rPr>
        <w:br w:type="page"/>
      </w:r>
      <w:bookmarkStart w:id="735" w:name="_Toc23233"/>
      <w:bookmarkStart w:id="736" w:name="_Toc5859_WPSOffice_Level1"/>
      <w:bookmarkStart w:id="737" w:name="_Toc25619_WPSOffice_Level1"/>
      <w:bookmarkStart w:id="738" w:name="_Toc30034_WPSOffice_Level1"/>
      <w:bookmarkStart w:id="739" w:name="_Toc2499"/>
      <w:bookmarkStart w:id="740" w:name="_Toc14029"/>
      <w:bookmarkStart w:id="741" w:name="_Toc21261"/>
      <w:bookmarkStart w:id="742" w:name="OLE_LINK14"/>
      <w:bookmarkStart w:id="743" w:name="OLE_LINK13"/>
      <w:r>
        <w:rPr>
          <w:rFonts w:hint="eastAsia"/>
          <w:szCs w:val="24"/>
          <w:lang w:eastAsia="zh-CN"/>
        </w:rPr>
        <w:t>残疾人福利性单位声明函</w:t>
      </w:r>
      <w:bookmarkEnd w:id="735"/>
      <w:bookmarkEnd w:id="736"/>
      <w:bookmarkEnd w:id="737"/>
      <w:bookmarkEnd w:id="738"/>
      <w:bookmarkEnd w:id="739"/>
      <w:bookmarkEnd w:id="740"/>
      <w:bookmarkEnd w:id="741"/>
    </w:p>
    <w:bookmarkEnd w:id="742"/>
    <w:bookmarkEnd w:id="743"/>
    <w:p>
      <w:pPr>
        <w:spacing w:line="360" w:lineRule="auto"/>
        <w:rPr>
          <w:b/>
          <w:spacing w:val="6"/>
        </w:rPr>
      </w:pPr>
    </w:p>
    <w:p>
      <w:pPr>
        <w:spacing w:line="360" w:lineRule="auto"/>
        <w:ind w:firstLine="44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spacing w:val="6"/>
        </w:rPr>
      </w:pPr>
      <w:r>
        <w:rPr>
          <w:rFonts w:hint="eastAsia"/>
          <w:spacing w:val="6"/>
        </w:rPr>
        <w:t>本单位对上述声明的真实性负责。如有虚假，将依法承担相应责任。</w:t>
      </w:r>
    </w:p>
    <w:p>
      <w:pPr>
        <w:spacing w:line="360" w:lineRule="auto"/>
        <w:ind w:firstLine="444" w:firstLineChars="200"/>
        <w:rPr>
          <w:spacing w:val="6"/>
        </w:rPr>
      </w:pPr>
    </w:p>
    <w:p>
      <w:pPr>
        <w:spacing w:line="360" w:lineRule="auto"/>
        <w:ind w:firstLine="444" w:firstLineChars="200"/>
        <w:rPr>
          <w:spacing w:val="6"/>
        </w:rPr>
      </w:pPr>
    </w:p>
    <w:p>
      <w:pPr>
        <w:tabs>
          <w:tab w:val="left" w:pos="4860"/>
        </w:tabs>
        <w:spacing w:line="360" w:lineRule="auto"/>
        <w:ind w:right="1560" w:firstLine="444" w:firstLineChars="200"/>
        <w:jc w:val="right"/>
        <w:rPr>
          <w:spacing w:val="6"/>
          <w:u w:val="single"/>
        </w:rPr>
      </w:pPr>
      <w:r>
        <w:rPr>
          <w:rFonts w:hint="eastAsia"/>
          <w:spacing w:val="6"/>
        </w:rPr>
        <w:t xml:space="preserve">                 单位名称：（电子签章）</w:t>
      </w:r>
    </w:p>
    <w:p>
      <w:pPr>
        <w:tabs>
          <w:tab w:val="left" w:pos="4860"/>
        </w:tabs>
        <w:spacing w:line="360" w:lineRule="auto"/>
        <w:ind w:right="1560" w:firstLine="444" w:firstLineChars="200"/>
        <w:jc w:val="right"/>
        <w:rPr>
          <w:spacing w:val="6"/>
        </w:rPr>
      </w:pPr>
      <w:r>
        <w:rPr>
          <w:rFonts w:hint="eastAsia"/>
          <w:spacing w:val="6"/>
        </w:rPr>
        <w:t xml:space="preserve">       日  期：  年 月 日</w:t>
      </w:r>
    </w:p>
    <w:p>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pPr>
        <w:widowControl/>
        <w:spacing w:line="360" w:lineRule="auto"/>
        <w:rPr>
          <w:b/>
        </w:rPr>
      </w:pPr>
      <w:r>
        <w:rPr>
          <w:rFonts w:hint="eastAsia"/>
          <w:b/>
        </w:rPr>
        <w:t>》。否则，因此导致虚假投标的后果由响应人自行承担。）</w:t>
      </w:r>
    </w:p>
    <w:p>
      <w:pPr>
        <w:tabs>
          <w:tab w:val="left" w:pos="840"/>
        </w:tabs>
        <w:autoSpaceDE w:val="0"/>
        <w:autoSpaceDN w:val="0"/>
        <w:adjustRightInd w:val="0"/>
        <w:spacing w:line="360" w:lineRule="auto"/>
        <w:rPr>
          <w:b/>
          <w:sz w:val="24"/>
        </w:rPr>
      </w:pPr>
    </w:p>
    <w:p>
      <w:pPr>
        <w:spacing w:line="360" w:lineRule="auto"/>
      </w:pPr>
      <w:r>
        <w:rPr>
          <w:rFonts w:hint="eastAsia"/>
        </w:rPr>
        <w:t>《财政部民政部中国残疾人联合会关于促进残疾人就业政府采购政策的通知》（财库（2017〔141〕号）的规定：</w:t>
      </w:r>
    </w:p>
    <w:p>
      <w:pPr>
        <w:spacing w:line="360" w:lineRule="auto"/>
        <w:ind w:firstLine="420" w:firstLineChars="200"/>
      </w:pPr>
      <w:r>
        <w:rPr>
          <w:rFonts w:hint="eastAsia"/>
        </w:rPr>
        <w:t>1. 享受政府采购支持政策的残疾人福利性单位应当同时满足以下条件：</w:t>
      </w:r>
    </w:p>
    <w:p>
      <w:pPr>
        <w:spacing w:line="360" w:lineRule="auto"/>
      </w:pPr>
      <w:r>
        <w:rPr>
          <w:rFonts w:hint="eastAsia"/>
        </w:rPr>
        <w:t>（1）安置的残疾人占本单位在职职工人数的比例不低于25%（含25%），并且安置的残疾人人数不少于10人（含10人）；</w:t>
      </w:r>
    </w:p>
    <w:p>
      <w:pPr>
        <w:spacing w:line="360" w:lineRule="auto"/>
      </w:pPr>
      <w:r>
        <w:rPr>
          <w:rFonts w:hint="eastAsia"/>
        </w:rPr>
        <w:t>（2）依法与安置的每位残疾人签订了一年以上（含一年）的劳动合同或服务协议；</w:t>
      </w:r>
    </w:p>
    <w:p>
      <w:pPr>
        <w:spacing w:line="360" w:lineRule="auto"/>
      </w:pPr>
      <w:r>
        <w:rPr>
          <w:rFonts w:hint="eastAsia"/>
        </w:rPr>
        <w:t>（3）为安置的每位残疾人按月足额缴纳了基本养老保险、基本医疗保险、失业保险、工伤保险和生育保险等社会保险费；</w:t>
      </w:r>
    </w:p>
    <w:p>
      <w:pPr>
        <w:spacing w:line="360" w:lineRule="auto"/>
      </w:pPr>
      <w:r>
        <w:rPr>
          <w:rFonts w:hint="eastAsia"/>
        </w:rPr>
        <w:t>（4）通过银行等金融机构向安置的每位残疾人，按月支付了不低于单位所在区县适用的经省级人民政府批准的月最低工资标准的工资；</w:t>
      </w:r>
    </w:p>
    <w:p>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pPr>
      <w:r>
        <w:rPr>
          <w:rFonts w:hint="eastAsia"/>
        </w:rPr>
        <w:t>2. 成交人为残疾人福利性单位的，采购人或者其委托的采购代理机构应当随成交结果同时公告其《残疾人福利性单位声明函》，接受社会监督。</w:t>
      </w:r>
    </w:p>
    <w:p>
      <w:pPr>
        <w:pStyle w:val="2"/>
        <w:numPr>
          <w:ilvl w:val="0"/>
          <w:numId w:val="0"/>
        </w:numPr>
        <w:tabs>
          <w:tab w:val="left" w:pos="425"/>
        </w:tabs>
        <w:ind w:leftChars="0"/>
        <w:jc w:val="both"/>
        <w:rPr>
          <w:szCs w:val="24"/>
        </w:rPr>
      </w:pPr>
      <w:bookmarkStart w:id="744" w:name="_Toc751_WPSOffice_Level1"/>
      <w:bookmarkStart w:id="745" w:name="_Toc15051_WPSOffice_Level1"/>
      <w:bookmarkStart w:id="746" w:name="_Toc11075"/>
      <w:bookmarkStart w:id="747" w:name="_Toc25289_WPSOffice_Level1"/>
    </w:p>
    <w:p>
      <w:pPr>
        <w:pStyle w:val="2"/>
        <w:numPr>
          <w:ilvl w:val="0"/>
          <w:numId w:val="28"/>
        </w:numPr>
        <w:tabs>
          <w:tab w:val="left" w:pos="425"/>
        </w:tabs>
        <w:rPr>
          <w:szCs w:val="24"/>
        </w:rPr>
      </w:pPr>
      <w:r>
        <w:rPr>
          <w:rFonts w:hint="eastAsia"/>
          <w:szCs w:val="24"/>
        </w:rPr>
        <w:t>其他</w:t>
      </w:r>
      <w:bookmarkEnd w:id="733"/>
      <w:r>
        <w:rPr>
          <w:rFonts w:hint="eastAsia"/>
          <w:szCs w:val="24"/>
        </w:rPr>
        <w:t>资料</w:t>
      </w:r>
      <w:bookmarkEnd w:id="734"/>
      <w:bookmarkEnd w:id="744"/>
      <w:bookmarkEnd w:id="745"/>
      <w:bookmarkEnd w:id="746"/>
      <w:bookmarkEnd w:id="747"/>
    </w:p>
    <w:p>
      <w:pPr>
        <w:spacing w:line="360" w:lineRule="auto"/>
        <w:rPr>
          <w:b/>
        </w:rPr>
      </w:pPr>
    </w:p>
    <w:p>
      <w:pPr>
        <w:spacing w:line="360" w:lineRule="auto"/>
      </w:pPr>
    </w:p>
    <w:p>
      <w:pPr>
        <w:pStyle w:val="11"/>
        <w:spacing w:line="360" w:lineRule="auto"/>
        <w:ind w:left="0" w:leftChars="0" w:firstLine="0" w:firstLineChars="0"/>
        <w:rPr>
          <w:rFonts w:ascii="宋体" w:hAnsi="宋体"/>
          <w:b/>
        </w:rPr>
      </w:pPr>
    </w:p>
    <w:p>
      <w:pPr>
        <w:spacing w:line="360" w:lineRule="auto"/>
        <w:rPr>
          <w:sz w:val="24"/>
        </w:rPr>
      </w:pPr>
      <w:r>
        <w:rPr>
          <w:sz w:val="24"/>
        </w:rPr>
        <w:br w:type="page"/>
      </w:r>
    </w:p>
    <w:p>
      <w:pPr>
        <w:spacing w:line="360" w:lineRule="auto"/>
        <w:jc w:val="center"/>
        <w:rPr>
          <w:sz w:val="28"/>
          <w:szCs w:val="28"/>
        </w:rPr>
      </w:pPr>
      <w:r>
        <w:rPr>
          <w:rFonts w:hint="eastAsia"/>
          <w:sz w:val="28"/>
          <w:szCs w:val="28"/>
        </w:rPr>
        <w:t>磋商文件确认书</w:t>
      </w:r>
    </w:p>
    <w:p>
      <w:pPr>
        <w:pStyle w:val="22"/>
        <w:spacing w:line="360" w:lineRule="auto"/>
        <w:rPr>
          <w:rFonts w:ascii="宋体" w:hAnsi="宋体"/>
        </w:rPr>
      </w:pPr>
    </w:p>
    <w:p>
      <w:pPr>
        <w:spacing w:line="360" w:lineRule="auto"/>
      </w:pPr>
      <w:r>
        <w:rPr>
          <w:rFonts w:hint="eastAsia"/>
        </w:rPr>
        <w:t>致：（</w:t>
      </w:r>
      <w:r>
        <w:rPr>
          <w:rFonts w:hint="eastAsia"/>
          <w:u w:val="single"/>
        </w:rPr>
        <w:t>采购人或采购代理机构名称</w:t>
      </w:r>
      <w:r>
        <w:rPr>
          <w:rFonts w:hint="eastAsia"/>
        </w:rPr>
        <w:t>）</w:t>
      </w:r>
    </w:p>
    <w:p>
      <w:pPr>
        <w:spacing w:line="360" w:lineRule="auto"/>
        <w:ind w:firstLine="420" w:firstLineChars="20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pPr>
        <w:pStyle w:val="8"/>
        <w:numPr>
          <w:ilvl w:val="1"/>
          <w:numId w:val="0"/>
        </w:numPr>
        <w:spacing w:line="360" w:lineRule="auto"/>
        <w:rPr>
          <w:rFonts w:hAnsi="宋体"/>
          <w:color w:val="auto"/>
        </w:rPr>
      </w:pPr>
    </w:p>
    <w:p>
      <w:pPr>
        <w:spacing w:line="360" w:lineRule="auto"/>
        <w:ind w:firstLine="2880"/>
      </w:pPr>
    </w:p>
    <w:p>
      <w:pPr>
        <w:spacing w:line="360" w:lineRule="auto"/>
        <w:ind w:firstLine="2880"/>
      </w:pPr>
    </w:p>
    <w:p>
      <w:pPr>
        <w:spacing w:line="360" w:lineRule="auto"/>
        <w:ind w:firstLine="420" w:firstLineChars="200"/>
        <w:jc w:val="right"/>
        <w:rPr>
          <w:u w:val="single"/>
        </w:rPr>
      </w:pPr>
      <w:r>
        <w:rPr>
          <w:rFonts w:hint="eastAsia"/>
        </w:rPr>
        <w:t>公司法人代表（电子签名）：</w:t>
      </w:r>
    </w:p>
    <w:p>
      <w:pPr>
        <w:spacing w:line="360" w:lineRule="auto"/>
        <w:ind w:firstLine="420" w:firstLineChars="200"/>
        <w:jc w:val="right"/>
        <w:rPr>
          <w:u w:val="single"/>
        </w:rPr>
      </w:pPr>
      <w:r>
        <w:rPr>
          <w:rFonts w:hint="eastAsia"/>
        </w:rPr>
        <w:t>法人授权代表（电子签名）：</w:t>
      </w:r>
    </w:p>
    <w:p>
      <w:pPr>
        <w:spacing w:line="360" w:lineRule="auto"/>
        <w:ind w:firstLine="420" w:firstLineChars="200"/>
        <w:jc w:val="right"/>
        <w:rPr>
          <w:u w:val="single"/>
        </w:rPr>
      </w:pPr>
      <w:r>
        <w:rPr>
          <w:rFonts w:hint="eastAsia"/>
        </w:rPr>
        <w:t>响应人：（电子签章）</w:t>
      </w:r>
    </w:p>
    <w:p>
      <w:pPr>
        <w:spacing w:line="360" w:lineRule="auto"/>
        <w:ind w:firstLine="420" w:firstLineChars="200"/>
        <w:jc w:val="right"/>
      </w:pPr>
      <w:r>
        <w:rPr>
          <w:rFonts w:hint="eastAsia"/>
        </w:rPr>
        <w:t>日期：   年  月  日</w:t>
      </w: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sectPr>
      <w:footerReference r:id="rId3" w:type="default"/>
      <w:pgSz w:w="11906" w:h="16838"/>
      <w:pgMar w:top="1440" w:right="1279" w:bottom="1440" w:left="1387"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34"/>
    </w:sdtPr>
    <w:sdtContent>
      <w:p>
        <w:pPr>
          <w:pStyle w:val="1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5"/>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D806B66"/>
    <w:multiLevelType w:val="singleLevel"/>
    <w:tmpl w:val="CD806B66"/>
    <w:lvl w:ilvl="0" w:tentative="0">
      <w:start w:val="1"/>
      <w:numFmt w:val="decimal"/>
      <w:lvlText w:val="(%1)"/>
      <w:lvlJc w:val="left"/>
      <w:pPr>
        <w:ind w:left="425" w:hanging="425"/>
      </w:pPr>
      <w:rPr>
        <w:rFonts w:hint="default"/>
      </w:rPr>
    </w:lvl>
  </w:abstractNum>
  <w:abstractNum w:abstractNumId="7">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3F79CC7"/>
    <w:multiLevelType w:val="singleLevel"/>
    <w:tmpl w:val="F3F79CC7"/>
    <w:lvl w:ilvl="0" w:tentative="0">
      <w:start w:val="1"/>
      <w:numFmt w:val="decimal"/>
      <w:lvlText w:val="(%1)"/>
      <w:lvlJc w:val="left"/>
      <w:pPr>
        <w:ind w:left="425" w:hanging="425"/>
      </w:pPr>
      <w:rPr>
        <w:rFonts w:hint="default"/>
      </w:rPr>
    </w:lvl>
  </w:abstractNum>
  <w:abstractNum w:abstractNumId="9">
    <w:nsid w:val="FCC59B67"/>
    <w:multiLevelType w:val="singleLevel"/>
    <w:tmpl w:val="FCC59B67"/>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lvlText w:val="(%1)"/>
      <w:lvlJc w:val="left"/>
      <w:pPr>
        <w:ind w:left="425" w:hanging="425"/>
      </w:pPr>
      <w:rPr>
        <w:rFonts w:hint="default"/>
      </w:rPr>
    </w:lvl>
  </w:abstractNum>
  <w:abstractNum w:abstractNumId="11">
    <w:nsid w:val="039EA102"/>
    <w:multiLevelType w:val="singleLevel"/>
    <w:tmpl w:val="039EA102"/>
    <w:lvl w:ilvl="0" w:tentative="0">
      <w:start w:val="8"/>
      <w:numFmt w:val="chineseCounting"/>
      <w:suff w:val="nothing"/>
      <w:lvlText w:val="%1、"/>
      <w:lvlJc w:val="left"/>
      <w:pPr>
        <w:ind w:left="397" w:hanging="397"/>
      </w:pPr>
      <w:rPr>
        <w:rFonts w:hint="eastAsia"/>
        <w:sz w:val="32"/>
      </w:rPr>
    </w:lvl>
  </w:abstractNum>
  <w:abstractNum w:abstractNumId="12">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149490AF"/>
    <w:multiLevelType w:val="singleLevel"/>
    <w:tmpl w:val="149490AF"/>
    <w:lvl w:ilvl="0" w:tentative="0">
      <w:start w:val="1"/>
      <w:numFmt w:val="decimal"/>
      <w:lvlText w:val="(%1)"/>
      <w:lvlJc w:val="left"/>
      <w:pPr>
        <w:ind w:left="425" w:hanging="425"/>
      </w:pPr>
      <w:rPr>
        <w:rFonts w:hint="default"/>
      </w:rPr>
    </w:lvl>
  </w:abstractNum>
  <w:abstractNum w:abstractNumId="14">
    <w:nsid w:val="21B7FB90"/>
    <w:multiLevelType w:val="singleLevel"/>
    <w:tmpl w:val="21B7FB90"/>
    <w:lvl w:ilvl="0" w:tentative="0">
      <w:start w:val="1"/>
      <w:numFmt w:val="chineseCounting"/>
      <w:suff w:val="nothing"/>
      <w:lvlText w:val="（%1）"/>
      <w:lvlJc w:val="left"/>
      <w:pPr>
        <w:ind w:left="0" w:firstLine="420"/>
      </w:pPr>
      <w:rPr>
        <w:rFonts w:hint="eastAsia"/>
      </w:rPr>
    </w:lvl>
  </w:abstractNum>
  <w:abstractNum w:abstractNumId="15">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1">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8"/>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0"/>
  </w:num>
  <w:num w:numId="2">
    <w:abstractNumId w:val="26"/>
  </w:num>
  <w:num w:numId="3">
    <w:abstractNumId w:val="20"/>
  </w:num>
  <w:num w:numId="4">
    <w:abstractNumId w:val="15"/>
  </w:num>
  <w:num w:numId="5">
    <w:abstractNumId w:val="18"/>
  </w:num>
  <w:num w:numId="6">
    <w:abstractNumId w:val="10"/>
  </w:num>
  <w:num w:numId="7">
    <w:abstractNumId w:val="24"/>
  </w:num>
  <w:num w:numId="8">
    <w:abstractNumId w:val="8"/>
  </w:num>
  <w:num w:numId="9">
    <w:abstractNumId w:val="9"/>
  </w:num>
  <w:num w:numId="10">
    <w:abstractNumId w:val="13"/>
  </w:num>
  <w:num w:numId="11">
    <w:abstractNumId w:val="2"/>
  </w:num>
  <w:num w:numId="12">
    <w:abstractNumId w:val="1"/>
  </w:num>
  <w:num w:numId="13">
    <w:abstractNumId w:val="5"/>
  </w:num>
  <w:num w:numId="14">
    <w:abstractNumId w:val="23"/>
  </w:num>
  <w:num w:numId="15">
    <w:abstractNumId w:val="25"/>
  </w:num>
  <w:num w:numId="16">
    <w:abstractNumId w:val="16"/>
  </w:num>
  <w:num w:numId="17">
    <w:abstractNumId w:val="6"/>
  </w:num>
  <w:num w:numId="18">
    <w:abstractNumId w:val="7"/>
  </w:num>
  <w:num w:numId="19">
    <w:abstractNumId w:val="4"/>
  </w:num>
  <w:num w:numId="20">
    <w:abstractNumId w:val="19"/>
  </w:num>
  <w:num w:numId="21">
    <w:abstractNumId w:val="21"/>
  </w:num>
  <w:num w:numId="22">
    <w:abstractNumId w:val="12"/>
  </w:num>
  <w:num w:numId="23">
    <w:abstractNumId w:val="3"/>
  </w:num>
  <w:num w:numId="24">
    <w:abstractNumId w:val="17"/>
  </w:num>
  <w:num w:numId="25">
    <w:abstractNumId w:val="27"/>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0ZTIxZTg0Y2JjOTJhOWJmYjNkN2U5ODZlNjIzMGM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A13B7F"/>
    <w:rsid w:val="00A20D8C"/>
    <w:rsid w:val="00A3470B"/>
    <w:rsid w:val="00A815E9"/>
    <w:rsid w:val="00A843BC"/>
    <w:rsid w:val="00AA163D"/>
    <w:rsid w:val="00B3135C"/>
    <w:rsid w:val="00B5211D"/>
    <w:rsid w:val="00B739E1"/>
    <w:rsid w:val="00B84955"/>
    <w:rsid w:val="00B92382"/>
    <w:rsid w:val="00B93FA5"/>
    <w:rsid w:val="00C34E4D"/>
    <w:rsid w:val="00C65E2C"/>
    <w:rsid w:val="00CB0EC6"/>
    <w:rsid w:val="00D066E8"/>
    <w:rsid w:val="00D5003D"/>
    <w:rsid w:val="00DD76BC"/>
    <w:rsid w:val="00EF4F56"/>
    <w:rsid w:val="00F73983"/>
    <w:rsid w:val="00FA3089"/>
    <w:rsid w:val="00FC279E"/>
    <w:rsid w:val="00FE358C"/>
    <w:rsid w:val="0177566F"/>
    <w:rsid w:val="0194617D"/>
    <w:rsid w:val="01B566AA"/>
    <w:rsid w:val="01C6424A"/>
    <w:rsid w:val="01F746CC"/>
    <w:rsid w:val="027E105B"/>
    <w:rsid w:val="02A52CFD"/>
    <w:rsid w:val="03055E03"/>
    <w:rsid w:val="031F075B"/>
    <w:rsid w:val="036839EA"/>
    <w:rsid w:val="03966A71"/>
    <w:rsid w:val="03A367D0"/>
    <w:rsid w:val="04376A28"/>
    <w:rsid w:val="04420C1A"/>
    <w:rsid w:val="04443B8E"/>
    <w:rsid w:val="04497378"/>
    <w:rsid w:val="049125AB"/>
    <w:rsid w:val="04CE5ACF"/>
    <w:rsid w:val="0510665E"/>
    <w:rsid w:val="051F008D"/>
    <w:rsid w:val="0537264C"/>
    <w:rsid w:val="055528F0"/>
    <w:rsid w:val="05563719"/>
    <w:rsid w:val="0602580F"/>
    <w:rsid w:val="0642133E"/>
    <w:rsid w:val="0673692E"/>
    <w:rsid w:val="06940F6E"/>
    <w:rsid w:val="06AF1042"/>
    <w:rsid w:val="06BF4050"/>
    <w:rsid w:val="06C17DA2"/>
    <w:rsid w:val="070D7F1A"/>
    <w:rsid w:val="07147808"/>
    <w:rsid w:val="07416A2C"/>
    <w:rsid w:val="07605B88"/>
    <w:rsid w:val="079109FF"/>
    <w:rsid w:val="079B438E"/>
    <w:rsid w:val="07CB6D50"/>
    <w:rsid w:val="07DA148A"/>
    <w:rsid w:val="07DD41B7"/>
    <w:rsid w:val="081B1407"/>
    <w:rsid w:val="082C3AE3"/>
    <w:rsid w:val="083E1DEB"/>
    <w:rsid w:val="088210AA"/>
    <w:rsid w:val="08B30470"/>
    <w:rsid w:val="08C11C46"/>
    <w:rsid w:val="09216B15"/>
    <w:rsid w:val="0958241C"/>
    <w:rsid w:val="09972033"/>
    <w:rsid w:val="09D41DD9"/>
    <w:rsid w:val="0A583F07"/>
    <w:rsid w:val="0A9F7CC7"/>
    <w:rsid w:val="0ACF5BBE"/>
    <w:rsid w:val="0AE4737E"/>
    <w:rsid w:val="0B786294"/>
    <w:rsid w:val="0B7D7543"/>
    <w:rsid w:val="0B8948E1"/>
    <w:rsid w:val="0B9F3D21"/>
    <w:rsid w:val="0BAE737B"/>
    <w:rsid w:val="0BB21CA6"/>
    <w:rsid w:val="0BDA0450"/>
    <w:rsid w:val="0C1747A7"/>
    <w:rsid w:val="0C3876E1"/>
    <w:rsid w:val="0C583C7C"/>
    <w:rsid w:val="0C743400"/>
    <w:rsid w:val="0C925FED"/>
    <w:rsid w:val="0D0E73B0"/>
    <w:rsid w:val="0D480447"/>
    <w:rsid w:val="0D725B91"/>
    <w:rsid w:val="0DF06AB6"/>
    <w:rsid w:val="0E0316E5"/>
    <w:rsid w:val="0E1F1149"/>
    <w:rsid w:val="0E3F3599"/>
    <w:rsid w:val="0E41532F"/>
    <w:rsid w:val="0E5057A7"/>
    <w:rsid w:val="0EC23754"/>
    <w:rsid w:val="0ED74475"/>
    <w:rsid w:val="0EEC2127"/>
    <w:rsid w:val="0F1C3CDD"/>
    <w:rsid w:val="0F4B7CDC"/>
    <w:rsid w:val="0F625791"/>
    <w:rsid w:val="0F7811B7"/>
    <w:rsid w:val="106520CA"/>
    <w:rsid w:val="10750231"/>
    <w:rsid w:val="10AF4A06"/>
    <w:rsid w:val="113E164A"/>
    <w:rsid w:val="118E4BD2"/>
    <w:rsid w:val="11EF20A7"/>
    <w:rsid w:val="11FB48CB"/>
    <w:rsid w:val="1202500A"/>
    <w:rsid w:val="121D0DB5"/>
    <w:rsid w:val="12B5594B"/>
    <w:rsid w:val="13290CC0"/>
    <w:rsid w:val="134E576B"/>
    <w:rsid w:val="13B84571"/>
    <w:rsid w:val="13BA0375"/>
    <w:rsid w:val="140275A9"/>
    <w:rsid w:val="140A700E"/>
    <w:rsid w:val="14296160"/>
    <w:rsid w:val="147703D7"/>
    <w:rsid w:val="14C25AE3"/>
    <w:rsid w:val="14F6689B"/>
    <w:rsid w:val="15003C2A"/>
    <w:rsid w:val="15042653"/>
    <w:rsid w:val="15B0523B"/>
    <w:rsid w:val="15DA3E6C"/>
    <w:rsid w:val="15E016E9"/>
    <w:rsid w:val="15FB31A6"/>
    <w:rsid w:val="164C3046"/>
    <w:rsid w:val="16605D72"/>
    <w:rsid w:val="168B7CC4"/>
    <w:rsid w:val="16CD3D3A"/>
    <w:rsid w:val="17055CA9"/>
    <w:rsid w:val="172A0B43"/>
    <w:rsid w:val="17493E21"/>
    <w:rsid w:val="17716EF2"/>
    <w:rsid w:val="17A96B94"/>
    <w:rsid w:val="17C50D61"/>
    <w:rsid w:val="18063BC7"/>
    <w:rsid w:val="1815331E"/>
    <w:rsid w:val="183835B9"/>
    <w:rsid w:val="184E4CDF"/>
    <w:rsid w:val="188934B1"/>
    <w:rsid w:val="18D06E6E"/>
    <w:rsid w:val="18F764CF"/>
    <w:rsid w:val="1A2116FE"/>
    <w:rsid w:val="1A3B4995"/>
    <w:rsid w:val="1A4408B5"/>
    <w:rsid w:val="1A917A9D"/>
    <w:rsid w:val="1AE35E18"/>
    <w:rsid w:val="1B444924"/>
    <w:rsid w:val="1B7274D8"/>
    <w:rsid w:val="1B855063"/>
    <w:rsid w:val="1BFB31F6"/>
    <w:rsid w:val="1C275D99"/>
    <w:rsid w:val="1C5B503C"/>
    <w:rsid w:val="1C71346E"/>
    <w:rsid w:val="1C751CC0"/>
    <w:rsid w:val="1C8A7A20"/>
    <w:rsid w:val="1CA91C01"/>
    <w:rsid w:val="1CF61417"/>
    <w:rsid w:val="1CF909EE"/>
    <w:rsid w:val="1D066F24"/>
    <w:rsid w:val="1D2F5D6C"/>
    <w:rsid w:val="1D385D84"/>
    <w:rsid w:val="1DD01F5E"/>
    <w:rsid w:val="1E013AE5"/>
    <w:rsid w:val="1E124827"/>
    <w:rsid w:val="1E3E561C"/>
    <w:rsid w:val="1EF36406"/>
    <w:rsid w:val="1F1B20C0"/>
    <w:rsid w:val="1F38258B"/>
    <w:rsid w:val="1F611352"/>
    <w:rsid w:val="1F87425B"/>
    <w:rsid w:val="1F9A5ADC"/>
    <w:rsid w:val="1FAF4A23"/>
    <w:rsid w:val="1FE16132"/>
    <w:rsid w:val="1FF029B3"/>
    <w:rsid w:val="202473D5"/>
    <w:rsid w:val="20500524"/>
    <w:rsid w:val="205D2A6A"/>
    <w:rsid w:val="20D87ACD"/>
    <w:rsid w:val="20E41338"/>
    <w:rsid w:val="211A2370"/>
    <w:rsid w:val="21260264"/>
    <w:rsid w:val="212D1DF5"/>
    <w:rsid w:val="21D50045"/>
    <w:rsid w:val="223D1008"/>
    <w:rsid w:val="22557E77"/>
    <w:rsid w:val="22596EC8"/>
    <w:rsid w:val="228E2F63"/>
    <w:rsid w:val="22920C51"/>
    <w:rsid w:val="22D67A89"/>
    <w:rsid w:val="22D93553"/>
    <w:rsid w:val="23244DE0"/>
    <w:rsid w:val="23430E21"/>
    <w:rsid w:val="23584B09"/>
    <w:rsid w:val="2392181F"/>
    <w:rsid w:val="240D1D18"/>
    <w:rsid w:val="244B1E76"/>
    <w:rsid w:val="24912949"/>
    <w:rsid w:val="255565CE"/>
    <w:rsid w:val="255803A2"/>
    <w:rsid w:val="25827827"/>
    <w:rsid w:val="25B53CA1"/>
    <w:rsid w:val="25BA705F"/>
    <w:rsid w:val="2620130C"/>
    <w:rsid w:val="26D95710"/>
    <w:rsid w:val="26F21F09"/>
    <w:rsid w:val="26F77352"/>
    <w:rsid w:val="26FD2AD2"/>
    <w:rsid w:val="272111CC"/>
    <w:rsid w:val="277919F8"/>
    <w:rsid w:val="27885D6E"/>
    <w:rsid w:val="27D663B3"/>
    <w:rsid w:val="27DB2214"/>
    <w:rsid w:val="27DD64FE"/>
    <w:rsid w:val="284B765E"/>
    <w:rsid w:val="285B6F44"/>
    <w:rsid w:val="286F620C"/>
    <w:rsid w:val="28AB1AFF"/>
    <w:rsid w:val="28D356FA"/>
    <w:rsid w:val="28F82EBC"/>
    <w:rsid w:val="290F389D"/>
    <w:rsid w:val="29210AA9"/>
    <w:rsid w:val="29411A95"/>
    <w:rsid w:val="29633B6B"/>
    <w:rsid w:val="29CE14C5"/>
    <w:rsid w:val="29DC52B9"/>
    <w:rsid w:val="29E50164"/>
    <w:rsid w:val="2A1851C7"/>
    <w:rsid w:val="2A54165B"/>
    <w:rsid w:val="2A653A8E"/>
    <w:rsid w:val="2A82637D"/>
    <w:rsid w:val="2AC82E3D"/>
    <w:rsid w:val="2AD510B6"/>
    <w:rsid w:val="2AD90BA6"/>
    <w:rsid w:val="2AE123EE"/>
    <w:rsid w:val="2B7E692D"/>
    <w:rsid w:val="2BD80AE5"/>
    <w:rsid w:val="2C265BD4"/>
    <w:rsid w:val="2D0C7054"/>
    <w:rsid w:val="2D185A57"/>
    <w:rsid w:val="2D631ACE"/>
    <w:rsid w:val="2D765006"/>
    <w:rsid w:val="2D9C3DD5"/>
    <w:rsid w:val="2E3558C9"/>
    <w:rsid w:val="2E3A341E"/>
    <w:rsid w:val="2E9927AB"/>
    <w:rsid w:val="2EDA2C9E"/>
    <w:rsid w:val="2F4915DD"/>
    <w:rsid w:val="2F64421D"/>
    <w:rsid w:val="2F7637C4"/>
    <w:rsid w:val="2FCF2953"/>
    <w:rsid w:val="2FF10757"/>
    <w:rsid w:val="2FF7387C"/>
    <w:rsid w:val="30202DD3"/>
    <w:rsid w:val="305321F7"/>
    <w:rsid w:val="307F3F9D"/>
    <w:rsid w:val="30D37E45"/>
    <w:rsid w:val="31197C45"/>
    <w:rsid w:val="313D7C21"/>
    <w:rsid w:val="314C1FBC"/>
    <w:rsid w:val="31C358E9"/>
    <w:rsid w:val="31C76D4C"/>
    <w:rsid w:val="32052BC0"/>
    <w:rsid w:val="32234FE7"/>
    <w:rsid w:val="32256487"/>
    <w:rsid w:val="323731E3"/>
    <w:rsid w:val="32791125"/>
    <w:rsid w:val="3280604C"/>
    <w:rsid w:val="32995BE9"/>
    <w:rsid w:val="329B2BE5"/>
    <w:rsid w:val="32CF711B"/>
    <w:rsid w:val="32DF1DEE"/>
    <w:rsid w:val="32EF41DC"/>
    <w:rsid w:val="32F3689A"/>
    <w:rsid w:val="331A5131"/>
    <w:rsid w:val="33B20A89"/>
    <w:rsid w:val="33E86E49"/>
    <w:rsid w:val="34DB2353"/>
    <w:rsid w:val="34EA179C"/>
    <w:rsid w:val="34FF745B"/>
    <w:rsid w:val="353335A8"/>
    <w:rsid w:val="35731C9B"/>
    <w:rsid w:val="35DD207D"/>
    <w:rsid w:val="361137EB"/>
    <w:rsid w:val="36140CE4"/>
    <w:rsid w:val="361B3C50"/>
    <w:rsid w:val="363650FE"/>
    <w:rsid w:val="363D46DF"/>
    <w:rsid w:val="3648705E"/>
    <w:rsid w:val="364E7C0B"/>
    <w:rsid w:val="364F61C0"/>
    <w:rsid w:val="36D51686"/>
    <w:rsid w:val="37483D30"/>
    <w:rsid w:val="37A10CCC"/>
    <w:rsid w:val="37C13D8B"/>
    <w:rsid w:val="38786CAE"/>
    <w:rsid w:val="38BF00B7"/>
    <w:rsid w:val="38DF5D4B"/>
    <w:rsid w:val="392D1BDF"/>
    <w:rsid w:val="398044D3"/>
    <w:rsid w:val="3A39662C"/>
    <w:rsid w:val="3A9718D8"/>
    <w:rsid w:val="3AC80BFF"/>
    <w:rsid w:val="3AFC72C1"/>
    <w:rsid w:val="3B0A1551"/>
    <w:rsid w:val="3B0F7120"/>
    <w:rsid w:val="3B190F9D"/>
    <w:rsid w:val="3B6D132B"/>
    <w:rsid w:val="3BB7755B"/>
    <w:rsid w:val="3BC20D8D"/>
    <w:rsid w:val="3BC33845"/>
    <w:rsid w:val="3C3C7B42"/>
    <w:rsid w:val="3C5C6A7D"/>
    <w:rsid w:val="3C7375C6"/>
    <w:rsid w:val="3CA76B12"/>
    <w:rsid w:val="3D954E00"/>
    <w:rsid w:val="3D9B2C50"/>
    <w:rsid w:val="3DB10256"/>
    <w:rsid w:val="3E243C51"/>
    <w:rsid w:val="3E44668D"/>
    <w:rsid w:val="3EA50AAD"/>
    <w:rsid w:val="3EA96539"/>
    <w:rsid w:val="3EBB1BB4"/>
    <w:rsid w:val="3F1B42A4"/>
    <w:rsid w:val="3F3235E9"/>
    <w:rsid w:val="3F50551A"/>
    <w:rsid w:val="3F7F7B16"/>
    <w:rsid w:val="3FEE4136"/>
    <w:rsid w:val="3FF43FBE"/>
    <w:rsid w:val="40376A71"/>
    <w:rsid w:val="40604362"/>
    <w:rsid w:val="40A631FF"/>
    <w:rsid w:val="40A64B37"/>
    <w:rsid w:val="40D6427E"/>
    <w:rsid w:val="41546164"/>
    <w:rsid w:val="41DF7B97"/>
    <w:rsid w:val="41F1446F"/>
    <w:rsid w:val="422D2AE1"/>
    <w:rsid w:val="42327B3D"/>
    <w:rsid w:val="42465A38"/>
    <w:rsid w:val="42A42757"/>
    <w:rsid w:val="43261B3E"/>
    <w:rsid w:val="435C7C28"/>
    <w:rsid w:val="43647715"/>
    <w:rsid w:val="436E7D5C"/>
    <w:rsid w:val="437E115F"/>
    <w:rsid w:val="43840FF8"/>
    <w:rsid w:val="43A54463"/>
    <w:rsid w:val="43AC2EA4"/>
    <w:rsid w:val="43B867C7"/>
    <w:rsid w:val="44242A3A"/>
    <w:rsid w:val="445F7F16"/>
    <w:rsid w:val="44635CDA"/>
    <w:rsid w:val="447251C8"/>
    <w:rsid w:val="45187DF5"/>
    <w:rsid w:val="45263081"/>
    <w:rsid w:val="452E61C6"/>
    <w:rsid w:val="459573D0"/>
    <w:rsid w:val="45E56BC5"/>
    <w:rsid w:val="46072613"/>
    <w:rsid w:val="46130FB8"/>
    <w:rsid w:val="46227866"/>
    <w:rsid w:val="46D97A34"/>
    <w:rsid w:val="47226FD9"/>
    <w:rsid w:val="47957D41"/>
    <w:rsid w:val="47A57393"/>
    <w:rsid w:val="47C562E2"/>
    <w:rsid w:val="482C1B4D"/>
    <w:rsid w:val="483407B7"/>
    <w:rsid w:val="48F81ADF"/>
    <w:rsid w:val="490D6193"/>
    <w:rsid w:val="493558F1"/>
    <w:rsid w:val="49382222"/>
    <w:rsid w:val="49867CF3"/>
    <w:rsid w:val="49F40EDA"/>
    <w:rsid w:val="4A38627E"/>
    <w:rsid w:val="4AD40230"/>
    <w:rsid w:val="4B1732F9"/>
    <w:rsid w:val="4B7D5765"/>
    <w:rsid w:val="4BBD5522"/>
    <w:rsid w:val="4C0C7A09"/>
    <w:rsid w:val="4C5145E8"/>
    <w:rsid w:val="4CDD0326"/>
    <w:rsid w:val="4CF83380"/>
    <w:rsid w:val="4D4407EF"/>
    <w:rsid w:val="4D61085B"/>
    <w:rsid w:val="4DB9300F"/>
    <w:rsid w:val="4DC05378"/>
    <w:rsid w:val="4DDF75B7"/>
    <w:rsid w:val="4E10433B"/>
    <w:rsid w:val="4E6425F3"/>
    <w:rsid w:val="4F1A629F"/>
    <w:rsid w:val="4F340266"/>
    <w:rsid w:val="4F984E5D"/>
    <w:rsid w:val="4FB908A7"/>
    <w:rsid w:val="4FE57280"/>
    <w:rsid w:val="4FFF25AD"/>
    <w:rsid w:val="502E4D6F"/>
    <w:rsid w:val="510415F0"/>
    <w:rsid w:val="512A365A"/>
    <w:rsid w:val="518C7D55"/>
    <w:rsid w:val="51E101BC"/>
    <w:rsid w:val="51F5571B"/>
    <w:rsid w:val="535E583D"/>
    <w:rsid w:val="53933819"/>
    <w:rsid w:val="54336CC9"/>
    <w:rsid w:val="543738E7"/>
    <w:rsid w:val="543A3BB4"/>
    <w:rsid w:val="544058F5"/>
    <w:rsid w:val="54445B5D"/>
    <w:rsid w:val="544E068E"/>
    <w:rsid w:val="54617CCA"/>
    <w:rsid w:val="54624EB9"/>
    <w:rsid w:val="55504D3F"/>
    <w:rsid w:val="558B23DC"/>
    <w:rsid w:val="55BB4C08"/>
    <w:rsid w:val="55FD3049"/>
    <w:rsid w:val="56345B1B"/>
    <w:rsid w:val="56895AEA"/>
    <w:rsid w:val="569500E2"/>
    <w:rsid w:val="56C368E4"/>
    <w:rsid w:val="56F02C50"/>
    <w:rsid w:val="57034803"/>
    <w:rsid w:val="57304314"/>
    <w:rsid w:val="5792065C"/>
    <w:rsid w:val="57BC047B"/>
    <w:rsid w:val="57CE2B9D"/>
    <w:rsid w:val="57F86E32"/>
    <w:rsid w:val="57FB5B94"/>
    <w:rsid w:val="580F5CC1"/>
    <w:rsid w:val="586F71B3"/>
    <w:rsid w:val="58A834B3"/>
    <w:rsid w:val="58A85546"/>
    <w:rsid w:val="596F1AB8"/>
    <w:rsid w:val="598167C2"/>
    <w:rsid w:val="59BD6D86"/>
    <w:rsid w:val="59E10D2F"/>
    <w:rsid w:val="5A93401E"/>
    <w:rsid w:val="5A9811BD"/>
    <w:rsid w:val="5AE1122D"/>
    <w:rsid w:val="5AFE3B8D"/>
    <w:rsid w:val="5B210CCD"/>
    <w:rsid w:val="5B411CCC"/>
    <w:rsid w:val="5B612747"/>
    <w:rsid w:val="5BFD6385"/>
    <w:rsid w:val="5C5D4DAA"/>
    <w:rsid w:val="5D34025D"/>
    <w:rsid w:val="5D6E44BA"/>
    <w:rsid w:val="5D996F33"/>
    <w:rsid w:val="5E080DA7"/>
    <w:rsid w:val="5E251431"/>
    <w:rsid w:val="5E936A02"/>
    <w:rsid w:val="5EAC401C"/>
    <w:rsid w:val="5F013C4C"/>
    <w:rsid w:val="5F2D76BD"/>
    <w:rsid w:val="5F3D56E4"/>
    <w:rsid w:val="5F636457"/>
    <w:rsid w:val="60060999"/>
    <w:rsid w:val="60093E56"/>
    <w:rsid w:val="600A7F6A"/>
    <w:rsid w:val="601561E9"/>
    <w:rsid w:val="602815A6"/>
    <w:rsid w:val="604C6429"/>
    <w:rsid w:val="60885CA7"/>
    <w:rsid w:val="6183303E"/>
    <w:rsid w:val="619856F0"/>
    <w:rsid w:val="61CC6EEE"/>
    <w:rsid w:val="61F977D4"/>
    <w:rsid w:val="62145A44"/>
    <w:rsid w:val="629B1452"/>
    <w:rsid w:val="62AD12DF"/>
    <w:rsid w:val="62CF3C9A"/>
    <w:rsid w:val="62CF7BBD"/>
    <w:rsid w:val="636206F0"/>
    <w:rsid w:val="63830944"/>
    <w:rsid w:val="63AF7BD5"/>
    <w:rsid w:val="642D7291"/>
    <w:rsid w:val="647C7106"/>
    <w:rsid w:val="64922E50"/>
    <w:rsid w:val="6508537E"/>
    <w:rsid w:val="651707E9"/>
    <w:rsid w:val="6530528B"/>
    <w:rsid w:val="65654809"/>
    <w:rsid w:val="658512D8"/>
    <w:rsid w:val="65901886"/>
    <w:rsid w:val="65C77BFA"/>
    <w:rsid w:val="66306C44"/>
    <w:rsid w:val="668A5624"/>
    <w:rsid w:val="66C621ED"/>
    <w:rsid w:val="66D05AEB"/>
    <w:rsid w:val="677E2204"/>
    <w:rsid w:val="67CF567A"/>
    <w:rsid w:val="68921DB9"/>
    <w:rsid w:val="68AE0CE2"/>
    <w:rsid w:val="68BB3926"/>
    <w:rsid w:val="68EA5751"/>
    <w:rsid w:val="695232F6"/>
    <w:rsid w:val="69A26638"/>
    <w:rsid w:val="69DA3201"/>
    <w:rsid w:val="6A180110"/>
    <w:rsid w:val="6A257076"/>
    <w:rsid w:val="6A967244"/>
    <w:rsid w:val="6AA41543"/>
    <w:rsid w:val="6AC36259"/>
    <w:rsid w:val="6B012F47"/>
    <w:rsid w:val="6B8D6867"/>
    <w:rsid w:val="6B9E3939"/>
    <w:rsid w:val="6C036338"/>
    <w:rsid w:val="6C0E1577"/>
    <w:rsid w:val="6C447394"/>
    <w:rsid w:val="6C6A77E5"/>
    <w:rsid w:val="6C774839"/>
    <w:rsid w:val="6C802A04"/>
    <w:rsid w:val="6C8A26FB"/>
    <w:rsid w:val="6CAE5914"/>
    <w:rsid w:val="6CDA5BDB"/>
    <w:rsid w:val="6D5D1E11"/>
    <w:rsid w:val="6D9E55C4"/>
    <w:rsid w:val="6DBB590E"/>
    <w:rsid w:val="6DD07685"/>
    <w:rsid w:val="6E0E64EC"/>
    <w:rsid w:val="6E5701FC"/>
    <w:rsid w:val="6E69248F"/>
    <w:rsid w:val="6E707D8C"/>
    <w:rsid w:val="6E9C5CA8"/>
    <w:rsid w:val="6F076040"/>
    <w:rsid w:val="6F4B3B49"/>
    <w:rsid w:val="6F4F078F"/>
    <w:rsid w:val="6F860A4C"/>
    <w:rsid w:val="6F9D6336"/>
    <w:rsid w:val="6FEE03ED"/>
    <w:rsid w:val="70241CE7"/>
    <w:rsid w:val="703B124F"/>
    <w:rsid w:val="70445C8E"/>
    <w:rsid w:val="705D2CAC"/>
    <w:rsid w:val="70E76812"/>
    <w:rsid w:val="71647F7A"/>
    <w:rsid w:val="71AF12E6"/>
    <w:rsid w:val="71E279A2"/>
    <w:rsid w:val="71E73B2D"/>
    <w:rsid w:val="71F87270"/>
    <w:rsid w:val="71F954EC"/>
    <w:rsid w:val="72261297"/>
    <w:rsid w:val="72640322"/>
    <w:rsid w:val="732605E1"/>
    <w:rsid w:val="733D0B73"/>
    <w:rsid w:val="73534EB3"/>
    <w:rsid w:val="738A14AC"/>
    <w:rsid w:val="73B40E35"/>
    <w:rsid w:val="73B76B77"/>
    <w:rsid w:val="74510D7A"/>
    <w:rsid w:val="74911176"/>
    <w:rsid w:val="7542786F"/>
    <w:rsid w:val="756012FF"/>
    <w:rsid w:val="7590577A"/>
    <w:rsid w:val="75BA46FD"/>
    <w:rsid w:val="75EF0CA9"/>
    <w:rsid w:val="75F9725D"/>
    <w:rsid w:val="76736AD0"/>
    <w:rsid w:val="767A2C9B"/>
    <w:rsid w:val="768C025F"/>
    <w:rsid w:val="77486E90"/>
    <w:rsid w:val="7787715B"/>
    <w:rsid w:val="77A230AB"/>
    <w:rsid w:val="77A86F03"/>
    <w:rsid w:val="77EC0E63"/>
    <w:rsid w:val="77F469AF"/>
    <w:rsid w:val="77F75794"/>
    <w:rsid w:val="78305AC3"/>
    <w:rsid w:val="78323E46"/>
    <w:rsid w:val="78774B27"/>
    <w:rsid w:val="78B05F90"/>
    <w:rsid w:val="78C31B1A"/>
    <w:rsid w:val="78D2661A"/>
    <w:rsid w:val="78F656C4"/>
    <w:rsid w:val="794E46D0"/>
    <w:rsid w:val="798D19ED"/>
    <w:rsid w:val="79C2027D"/>
    <w:rsid w:val="79C421B0"/>
    <w:rsid w:val="7A3507F6"/>
    <w:rsid w:val="7AA141BE"/>
    <w:rsid w:val="7AA95598"/>
    <w:rsid w:val="7B56696B"/>
    <w:rsid w:val="7B8732D3"/>
    <w:rsid w:val="7BB81D6B"/>
    <w:rsid w:val="7BC02341"/>
    <w:rsid w:val="7C1A3ECD"/>
    <w:rsid w:val="7C61444B"/>
    <w:rsid w:val="7CB73983"/>
    <w:rsid w:val="7CBD4472"/>
    <w:rsid w:val="7D017254"/>
    <w:rsid w:val="7D551FAD"/>
    <w:rsid w:val="7DA912DF"/>
    <w:rsid w:val="7DCF4ABD"/>
    <w:rsid w:val="7E7315B9"/>
    <w:rsid w:val="7EA924BC"/>
    <w:rsid w:val="7EBA1B60"/>
    <w:rsid w:val="7F652481"/>
    <w:rsid w:val="7F657B77"/>
    <w:rsid w:val="7FB6418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3">
    <w:name w:val="heading 1"/>
    <w:basedOn w:val="1"/>
    <w:next w:val="1"/>
    <w:autoRedefine/>
    <w:qFormat/>
    <w:uiPriority w:val="0"/>
    <w:pPr>
      <w:spacing w:line="360" w:lineRule="auto"/>
      <w:jc w:val="center"/>
      <w:outlineLvl w:val="0"/>
    </w:pPr>
    <w:rPr>
      <w:rFonts w:cs="Times New Roman"/>
      <w:b/>
      <w:bCs/>
      <w:sz w:val="44"/>
      <w:szCs w:val="32"/>
      <w:lang w:eastAsia="en-US"/>
    </w:rPr>
  </w:style>
  <w:style w:type="paragraph" w:styleId="2">
    <w:name w:val="heading 2"/>
    <w:basedOn w:val="1"/>
    <w:next w:val="1"/>
    <w:semiHidden/>
    <w:unhideWhenUsed/>
    <w:qFormat/>
    <w:uiPriority w:val="0"/>
    <w:pPr>
      <w:spacing w:line="360" w:lineRule="auto"/>
      <w:ind w:left="119"/>
      <w:jc w:val="center"/>
      <w:outlineLvl w:val="1"/>
    </w:pPr>
    <w:rPr>
      <w:rFonts w:cs="Times New Roman"/>
      <w:b/>
      <w:bCs/>
      <w:sz w:val="32"/>
      <w:lang w:eastAsia="en-US"/>
    </w:rPr>
  </w:style>
  <w:style w:type="paragraph" w:styleId="4">
    <w:name w:val="heading 3"/>
    <w:basedOn w:val="1"/>
    <w:next w:val="1"/>
    <w:qFormat/>
    <w:uiPriority w:val="0"/>
    <w:pPr>
      <w:keepNext/>
      <w:keepLines/>
      <w:numPr>
        <w:ilvl w:val="2"/>
        <w:numId w:val="1"/>
      </w:numPr>
      <w:spacing w:line="360" w:lineRule="auto"/>
      <w:outlineLvl w:val="2"/>
    </w:pPr>
    <w:rPr>
      <w:rFonts w:cs="Times New Roman"/>
      <w:b/>
      <w:bCs/>
    </w:rPr>
  </w:style>
  <w:style w:type="character" w:default="1" w:styleId="24">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0"/>
    </w:rPr>
  </w:style>
  <w:style w:type="paragraph" w:styleId="6">
    <w:name w:val="index 5"/>
    <w:basedOn w:val="1"/>
    <w:next w:val="1"/>
    <w:qFormat/>
    <w:uiPriority w:val="0"/>
    <w:pPr>
      <w:ind w:left="798" w:leftChars="380"/>
      <w:jc w:val="left"/>
    </w:pPr>
    <w:rPr>
      <w:rFonts w:ascii="Calibri" w:hAnsi="Calibri" w:eastAsia="宋体" w:cs="Times New Roman"/>
      <w:sz w:val="21"/>
      <w:szCs w:val="24"/>
    </w:rPr>
  </w:style>
  <w:style w:type="paragraph" w:styleId="7">
    <w:name w:val="Body Text"/>
    <w:basedOn w:val="1"/>
    <w:next w:val="8"/>
    <w:qFormat/>
    <w:uiPriority w:val="0"/>
  </w:style>
  <w:style w:type="paragraph" w:customStyle="1" w:styleId="8">
    <w:name w:val="Default"/>
    <w:next w:val="1"/>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next w:val="10"/>
    <w:qFormat/>
    <w:uiPriority w:val="0"/>
    <w:pPr>
      <w:spacing w:after="120"/>
      <w:ind w:left="420" w:leftChars="200"/>
    </w:pPr>
    <w:rPr>
      <w:rFonts w:ascii="Times New Roman" w:hAnsi="Times New Roman" w:cs="Times New Roman"/>
    </w:r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rPr>
      <w:rFonts w:ascii="Times New Roman" w:hAnsi="Times New Roman" w:cs="Times New Roman"/>
    </w:rPr>
  </w:style>
  <w:style w:type="paragraph" w:styleId="12">
    <w:name w:val="List Continue"/>
    <w:basedOn w:val="1"/>
    <w:qFormat/>
    <w:uiPriority w:val="0"/>
    <w:pPr>
      <w:widowControl/>
      <w:spacing w:before="100" w:beforeAutospacing="1" w:after="100" w:afterAutospacing="1"/>
      <w:jc w:val="left"/>
    </w:pPr>
    <w:rPr>
      <w:rFonts w:cs="Times New Roman"/>
      <w:kern w:val="0"/>
      <w:sz w:val="24"/>
    </w:rPr>
  </w:style>
  <w:style w:type="paragraph" w:styleId="13">
    <w:name w:val="Plain Text"/>
    <w:basedOn w:val="1"/>
    <w:qFormat/>
    <w:uiPriority w:val="0"/>
    <w:rPr>
      <w:rFonts w:hAnsi="Courier New" w:cs="Courier New"/>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toc 1"/>
    <w:basedOn w:val="1"/>
    <w:next w:val="1"/>
    <w:qFormat/>
    <w:uiPriority w:val="39"/>
    <w:rPr>
      <w:rFonts w:ascii="Times New Roman" w:hAnsi="Times New Roman" w:cs="Times New Roman"/>
    </w:rPr>
  </w:style>
  <w:style w:type="paragraph" w:styleId="18">
    <w:name w:val="footnote text"/>
    <w:basedOn w:val="1"/>
    <w:next w:val="6"/>
    <w:qFormat/>
    <w:uiPriority w:val="0"/>
    <w:pPr>
      <w:adjustRightInd w:val="0"/>
      <w:spacing w:line="312" w:lineRule="atLeast"/>
      <w:jc w:val="left"/>
      <w:textAlignment w:val="baseline"/>
    </w:pPr>
    <w:rPr>
      <w:kern w:val="0"/>
      <w:sz w:val="18"/>
      <w:szCs w:val="20"/>
    </w:rPr>
  </w:style>
  <w:style w:type="paragraph" w:styleId="19">
    <w:name w:val="Body Text 2"/>
    <w:basedOn w:val="1"/>
    <w:next w:val="7"/>
    <w:qFormat/>
    <w:uiPriority w:val="0"/>
    <w:pPr>
      <w:suppressAutoHyphens/>
      <w:jc w:val="left"/>
    </w:pPr>
    <w:rPr>
      <w:color w:val="000000"/>
      <w:kern w:val="1"/>
      <w:sz w:val="28"/>
      <w:szCs w:val="20"/>
    </w:rPr>
  </w:style>
  <w:style w:type="paragraph" w:styleId="20">
    <w:name w:val="Normal (Web)"/>
    <w:basedOn w:val="1"/>
    <w:next w:val="1"/>
    <w:qFormat/>
    <w:uiPriority w:val="0"/>
    <w:pPr>
      <w:widowControl/>
      <w:spacing w:before="100" w:beforeAutospacing="1" w:after="100" w:afterAutospacing="1" w:line="320" w:lineRule="atLeast"/>
      <w:jc w:val="left"/>
    </w:pPr>
    <w:rPr>
      <w:rFonts w:cs="Times New Roman"/>
      <w:kern w:val="0"/>
      <w:sz w:val="18"/>
      <w:szCs w:val="18"/>
    </w:rPr>
  </w:style>
  <w:style w:type="paragraph" w:styleId="21">
    <w:name w:val="Body Text First Indent"/>
    <w:basedOn w:val="7"/>
    <w:next w:val="22"/>
    <w:qFormat/>
    <w:uiPriority w:val="0"/>
    <w:pPr>
      <w:ind w:firstLine="420" w:firstLineChars="100"/>
    </w:pPr>
  </w:style>
  <w:style w:type="paragraph" w:styleId="22">
    <w:name w:val="Body Text First Indent 2"/>
    <w:basedOn w:val="9"/>
    <w:next w:val="1"/>
    <w:qFormat/>
    <w:uiPriority w:val="0"/>
    <w:pPr>
      <w:ind w:firstLine="420" w:firstLineChars="200"/>
    </w:pPr>
  </w:style>
  <w:style w:type="character" w:styleId="25">
    <w:name w:val="FollowedHyperlink"/>
    <w:basedOn w:val="24"/>
    <w:qFormat/>
    <w:uiPriority w:val="0"/>
    <w:rPr>
      <w:color w:val="800080"/>
      <w:u w:val="none"/>
    </w:rPr>
  </w:style>
  <w:style w:type="character" w:styleId="26">
    <w:name w:val="Emphasis"/>
    <w:basedOn w:val="24"/>
    <w:qFormat/>
    <w:uiPriority w:val="0"/>
    <w:rPr>
      <w:i/>
    </w:rPr>
  </w:style>
  <w:style w:type="character" w:styleId="27">
    <w:name w:val="HTML Definition"/>
    <w:basedOn w:val="24"/>
    <w:qFormat/>
    <w:uiPriority w:val="0"/>
  </w:style>
  <w:style w:type="character" w:styleId="28">
    <w:name w:val="HTML Typewriter"/>
    <w:basedOn w:val="24"/>
    <w:qFormat/>
    <w:uiPriority w:val="0"/>
    <w:rPr>
      <w:rFonts w:hint="default" w:ascii="monospace" w:hAnsi="monospace" w:eastAsia="monospace" w:cs="monospace"/>
      <w:sz w:val="20"/>
    </w:rPr>
  </w:style>
  <w:style w:type="character" w:styleId="29">
    <w:name w:val="HTML Acronym"/>
    <w:basedOn w:val="24"/>
    <w:qFormat/>
    <w:uiPriority w:val="0"/>
  </w:style>
  <w:style w:type="character" w:styleId="30">
    <w:name w:val="HTML Variable"/>
    <w:basedOn w:val="24"/>
    <w:qFormat/>
    <w:uiPriority w:val="0"/>
  </w:style>
  <w:style w:type="character" w:styleId="31">
    <w:name w:val="Hyperlink"/>
    <w:basedOn w:val="24"/>
    <w:qFormat/>
    <w:uiPriority w:val="99"/>
    <w:rPr>
      <w:color w:val="333333"/>
      <w:sz w:val="18"/>
      <w:szCs w:val="18"/>
      <w:u w:val="none"/>
    </w:rPr>
  </w:style>
  <w:style w:type="character" w:styleId="32">
    <w:name w:val="HTML Code"/>
    <w:basedOn w:val="24"/>
    <w:qFormat/>
    <w:uiPriority w:val="0"/>
    <w:rPr>
      <w:rFonts w:hint="default" w:ascii="monospace" w:hAnsi="monospace" w:eastAsia="monospace" w:cs="monospace"/>
      <w:sz w:val="20"/>
    </w:rPr>
  </w:style>
  <w:style w:type="character" w:styleId="33">
    <w:name w:val="HTML Cite"/>
    <w:basedOn w:val="24"/>
    <w:autoRedefine/>
    <w:qFormat/>
    <w:uiPriority w:val="0"/>
  </w:style>
  <w:style w:type="character" w:styleId="34">
    <w:name w:val="HTML Keyboard"/>
    <w:basedOn w:val="24"/>
    <w:autoRedefine/>
    <w:qFormat/>
    <w:uiPriority w:val="0"/>
    <w:rPr>
      <w:rFonts w:ascii="monospace" w:hAnsi="monospace" w:eastAsia="monospace" w:cs="monospace"/>
      <w:sz w:val="20"/>
    </w:rPr>
  </w:style>
  <w:style w:type="character" w:styleId="35">
    <w:name w:val="HTML Sample"/>
    <w:basedOn w:val="24"/>
    <w:autoRedefine/>
    <w:qFormat/>
    <w:uiPriority w:val="0"/>
    <w:rPr>
      <w:rFonts w:hint="default" w:ascii="monospace" w:hAnsi="monospace" w:eastAsia="monospace" w:cs="monospace"/>
    </w:rPr>
  </w:style>
  <w:style w:type="paragraph" w:customStyle="1" w:styleId="36">
    <w:name w:val="Blockquote"/>
    <w:basedOn w:val="1"/>
    <w:next w:val="1"/>
    <w:qFormat/>
    <w:uiPriority w:val="99"/>
    <w:pPr>
      <w:autoSpaceDE w:val="0"/>
      <w:autoSpaceDN w:val="0"/>
      <w:adjustRightInd w:val="0"/>
      <w:spacing w:before="100" w:after="100"/>
      <w:ind w:left="360" w:right="360"/>
    </w:pPr>
    <w:rPr>
      <w:sz w:val="24"/>
    </w:rPr>
  </w:style>
  <w:style w:type="paragraph" w:customStyle="1" w:styleId="37">
    <w:name w:val="首行缩进"/>
    <w:basedOn w:val="1"/>
    <w:autoRedefine/>
    <w:qFormat/>
    <w:uiPriority w:val="99"/>
    <w:pPr>
      <w:ind w:firstLine="480"/>
    </w:pPr>
    <w:rPr>
      <w:kern w:val="0"/>
      <w:szCs w:val="20"/>
      <w:lang w:val="zh-CN"/>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able Paragraph"/>
    <w:basedOn w:val="1"/>
    <w:qFormat/>
    <w:uiPriority w:val="1"/>
    <w:rPr>
      <w:lang w:val="zh-CN" w:bidi="zh-CN"/>
    </w:rPr>
  </w:style>
  <w:style w:type="character" w:customStyle="1" w:styleId="40">
    <w:name w:val="批注框文本 Char"/>
    <w:basedOn w:val="24"/>
    <w:link w:val="14"/>
    <w:autoRedefine/>
    <w:qFormat/>
    <w:uiPriority w:val="0"/>
    <w:rPr>
      <w:rFonts w:ascii="宋体" w:hAnsi="宋体" w:cs="宋体"/>
      <w:kern w:val="2"/>
      <w:sz w:val="18"/>
      <w:szCs w:val="18"/>
    </w:rPr>
  </w:style>
  <w:style w:type="paragraph" w:customStyle="1" w:styleId="41">
    <w:name w:val="Heading #3|1"/>
    <w:basedOn w:val="1"/>
    <w:qFormat/>
    <w:uiPriority w:val="99"/>
    <w:pPr>
      <w:spacing w:line="619" w:lineRule="exact"/>
      <w:ind w:firstLine="660"/>
      <w:outlineLvl w:val="2"/>
    </w:pPr>
    <w:rPr>
      <w:rFonts w:ascii="宋体" w:hAnsi="宋体" w:cs="宋体"/>
      <w:b/>
      <w:bCs/>
      <w:sz w:val="32"/>
      <w:szCs w:val="32"/>
      <w:lang w:val="zh-TW" w:eastAsia="zh-TW"/>
    </w:rPr>
  </w:style>
  <w:style w:type="paragraph" w:customStyle="1" w:styleId="42">
    <w:name w:val="Body text|1"/>
    <w:basedOn w:val="1"/>
    <w:autoRedefine/>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3">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4">
    <w:name w:val="NormalCharacter"/>
    <w:autoRedefine/>
    <w:qFormat/>
    <w:uiPriority w:val="0"/>
    <w:rPr>
      <w:rFonts w:ascii="等线" w:hAnsi="等线" w:eastAsia="等线"/>
    </w:rPr>
  </w:style>
  <w:style w:type="paragraph" w:customStyle="1" w:styleId="45">
    <w:name w:val="样式 标题 3 + (中文) 黑体 小四 非加粗 段前: 7.8 磅 段后: 0 磅 行距: 固定值 20 磅"/>
    <w:basedOn w:val="4"/>
    <w:autoRedefine/>
    <w:qFormat/>
    <w:uiPriority w:val="0"/>
    <w:pPr>
      <w:spacing w:before="0" w:beforeLines="0" w:after="0" w:afterLines="0" w:line="400" w:lineRule="exact"/>
    </w:pPr>
    <w:rPr>
      <w:rFonts w:eastAsia="黑体" w:cs="宋体"/>
      <w:b w:val="0"/>
      <w:szCs w:val="20"/>
    </w:rPr>
  </w:style>
  <w:style w:type="paragraph" w:customStyle="1" w:styleId="46">
    <w:name w:val="Table Text"/>
    <w:basedOn w:val="1"/>
    <w:semiHidden/>
    <w:qFormat/>
    <w:uiPriority w:val="0"/>
    <w:rPr>
      <w:rFonts w:ascii="宋体" w:hAnsi="宋体" w:eastAsia="宋体" w:cs="宋体"/>
      <w:sz w:val="25"/>
      <w:szCs w:val="25"/>
      <w:lang w:val="en-US" w:eastAsia="en-US" w:bidi="ar-SA"/>
    </w:rPr>
  </w:style>
  <w:style w:type="table" w:customStyle="1" w:styleId="4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25003</Words>
  <Characters>26258</Characters>
  <Lines>212</Lines>
  <Paragraphs>59</Paragraphs>
  <TotalTime>0</TotalTime>
  <ScaleCrop>false</ScaleCrop>
  <LinksUpToDate>false</LinksUpToDate>
  <CharactersWithSpaces>27259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吴禹</cp:lastModifiedBy>
  <cp:lastPrinted>2024-05-28T08:37:00Z</cp:lastPrinted>
  <dcterms:modified xsi:type="dcterms:W3CDTF">2024-05-30T02:28:59Z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C6F652B471D84FE08E9BDB3803350EA9</vt:lpwstr>
  </property>
</Properties>
</file>