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bidi w:val="0"/>
        <w:spacing w:line="281" w:lineRule="auto"/>
        <w:jc w:val="both"/>
        <w:rPr>
          <w:rFonts w:ascii="Arial"/>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pPr>
        <w:keepNext w:val="0"/>
        <w:keepLines w:val="0"/>
        <w:pageBreakBefore w:val="0"/>
        <w:kinsoku/>
        <w:wordWrap w:val="0"/>
        <w:overflowPunct/>
        <w:topLinePunct w:val="0"/>
        <w:bidi w:val="0"/>
        <w:spacing w:line="248"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snapToGrid w:val="0"/>
          <w:color w:val="000000"/>
          <w:spacing w:val="-25"/>
          <w:kern w:val="0"/>
          <w:sz w:val="24"/>
          <w:szCs w:val="24"/>
          <w:u w:val="single"/>
          <w:lang w:val="en-US" w:eastAsia="zh-CN" w:bidi="ar-SA"/>
        </w:rPr>
        <w:t>南阳市公安局交通管理支队2024年机房维保服务项目</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i w:val="0"/>
          <w:iCs w:val="0"/>
          <w:spacing w:val="-17"/>
          <w:sz w:val="32"/>
          <w:szCs w:val="32"/>
          <w:u w:val="single"/>
          <w:lang w:val="en-US" w:eastAsia="zh-CN"/>
        </w:rPr>
        <w:t xml:space="preserve">     </w:t>
      </w:r>
      <w:r>
        <w:rPr>
          <w:rFonts w:hint="eastAsia" w:asciiTheme="minorEastAsia" w:hAnsiTheme="minorEastAsia" w:eastAsiaTheme="minorEastAsia" w:cstheme="minorEastAsia"/>
          <w:i w:val="0"/>
          <w:iCs w:val="0"/>
          <w:spacing w:val="-25"/>
          <w:sz w:val="24"/>
          <w:szCs w:val="24"/>
          <w:u w:val="single"/>
          <w:lang w:val="en-US" w:eastAsia="zh-CN"/>
        </w:rPr>
        <w:t>南阳政采磋商—2024—21</w:t>
      </w:r>
      <w:r>
        <w:rPr>
          <w:rFonts w:hint="eastAsia" w:asciiTheme="minorEastAsia" w:hAnsiTheme="minorEastAsia" w:eastAsiaTheme="minorEastAsia" w:cstheme="minorEastAsia"/>
          <w:b/>
          <w:bCs/>
          <w:i w:val="0"/>
          <w:iCs w:val="0"/>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snapToGrid w:val="0"/>
          <w:color w:val="000000"/>
          <w:spacing w:val="-25"/>
          <w:kern w:val="0"/>
          <w:sz w:val="24"/>
          <w:szCs w:val="24"/>
          <w:u w:val="single"/>
          <w:lang w:val="en-US" w:eastAsia="zh-CN" w:bidi="ar-SA"/>
        </w:rPr>
        <w:t xml:space="preserve">南阳市公安局交通管理支队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snapToGrid w:val="0"/>
          <w:color w:val="000000"/>
          <w:spacing w:val="-25"/>
          <w:kern w:val="0"/>
          <w:sz w:val="24"/>
          <w:szCs w:val="24"/>
          <w:u w:val="single"/>
          <w:lang w:val="en-US" w:eastAsia="zh-CN" w:bidi="ar-SA"/>
        </w:rPr>
        <w:t xml:space="preserve">南阳市公共资源交易中心  </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pPr>
        <w:pStyle w:val="2"/>
        <w:bidi w:val="0"/>
      </w:pPr>
    </w:p>
    <w:p>
      <w:pPr>
        <w:pStyle w:val="15"/>
      </w:pPr>
    </w:p>
    <w:p>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pPr>
            <w:pStyle w:val="2"/>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pPr>
            <w:keepNext w:val="0"/>
            <w:keepLines w:val="0"/>
            <w:pageBreakBefore w:val="0"/>
            <w:kinsoku/>
            <w:wordWrap w:val="0"/>
            <w:overflowPunct/>
            <w:topLinePunct w:val="0"/>
            <w:bidi w:val="0"/>
            <w:spacing w:line="286" w:lineRule="auto"/>
            <w:jc w:val="both"/>
            <w:rPr>
              <w:rFonts w:ascii="Arial"/>
              <w:sz w:val="21"/>
            </w:rPr>
          </w:pPr>
        </w:p>
        <w:p>
          <w:pPr>
            <w:pStyle w:val="2"/>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pPr>
            <w:pStyle w:val="2"/>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pPr>
            <w:pStyle w:val="2"/>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pPr>
            <w:pStyle w:val="2"/>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pPr>
            <w:pStyle w:val="2"/>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pPr>
            <w:pStyle w:val="2"/>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南阳政采磋商—2024—21</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3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napToGrid w:val="0"/>
          <w:color w:val="000000"/>
          <w:spacing w:val="-25"/>
          <w:kern w:val="0"/>
          <w:sz w:val="24"/>
          <w:szCs w:val="24"/>
          <w:lang w:val="en-US" w:eastAsia="zh-CN" w:bidi="ar-SA"/>
        </w:rPr>
        <w:t>南阳市公安局交通管理支队2024年机房维保服务项目</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154.7594</w:t>
      </w:r>
      <w:r>
        <w:rPr>
          <w:rFonts w:hint="eastAsia" w:asciiTheme="minorEastAsia" w:hAnsiTheme="minorEastAsia" w:eastAsiaTheme="minorEastAsia" w:cstheme="minorEastAsia"/>
          <w:spacing w:val="-14"/>
          <w:sz w:val="24"/>
          <w:szCs w:val="24"/>
          <w:u w:val="single"/>
          <w:lang w:val="en-US" w:eastAsia="zh-CN"/>
        </w:rPr>
        <w:t xml:space="preserve">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val="en-US" w:eastAsia="zh-CN"/>
        </w:rPr>
        <w:t>/2年</w:t>
      </w:r>
      <w:r>
        <w:rPr>
          <w:rFonts w:hint="eastAsia" w:asciiTheme="minorEastAsia" w:hAnsiTheme="minorEastAsia" w:eastAsiaTheme="minorEastAsia" w:cstheme="minorEastAsia"/>
          <w:spacing w:val="-14"/>
          <w:sz w:val="24"/>
          <w:szCs w:val="24"/>
        </w:rPr>
        <w:t>、项目最高限价（如有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eastAsia="zh-CN"/>
        </w:rPr>
        <w:t>：</w:t>
      </w:r>
      <w:r>
        <w:rPr>
          <w:rFonts w:hint="eastAsia" w:ascii="宋体" w:hAnsi="宋体" w:eastAsia="宋体" w:cs="宋体"/>
          <w:color w:val="auto"/>
          <w:spacing w:val="4"/>
          <w:sz w:val="24"/>
          <w:szCs w:val="24"/>
          <w:u w:val="single"/>
          <w:lang w:val="en-US" w:eastAsia="zh-CN"/>
        </w:rPr>
        <w:t>154.7594</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val="en-US" w:eastAsia="zh-CN"/>
        </w:rPr>
        <w:t>/2年。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1"/>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1"/>
        <w:gridCol w:w="4445"/>
        <w:gridCol w:w="1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911"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445"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815"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911" w:type="dxa"/>
            <w:vAlign w:val="center"/>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lang w:val="en-US" w:eastAsia="zh-CN"/>
              </w:rPr>
              <w:t>南阳政采磋商—2024—21</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4445" w:type="dxa"/>
            <w:vAlign w:val="center"/>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25"/>
                <w:kern w:val="0"/>
                <w:sz w:val="24"/>
                <w:szCs w:val="24"/>
                <w:lang w:val="en-US" w:eastAsia="zh-CN" w:bidi="ar-SA"/>
              </w:rPr>
              <w:t>南阳市公安局交通管理支队2024年机房维保服务项目</w:t>
            </w:r>
          </w:p>
        </w:tc>
        <w:tc>
          <w:tcPr>
            <w:tcW w:w="1815" w:type="dxa"/>
            <w:vAlign w:val="center"/>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auto"/>
                <w:spacing w:val="4"/>
                <w:sz w:val="24"/>
                <w:szCs w:val="24"/>
                <w:u w:val="none"/>
                <w:lang w:val="en-US" w:eastAsia="zh-CN"/>
              </w:rPr>
              <w:t>154.7594</w:t>
            </w:r>
          </w:p>
        </w:tc>
      </w:tr>
    </w:tbl>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b w:val="0"/>
          <w:bCs w:val="0"/>
          <w:color w:val="auto"/>
          <w:spacing w:val="4"/>
          <w:sz w:val="24"/>
          <w:szCs w:val="24"/>
          <w:lang w:val="en-US" w:eastAsia="zh-Hans"/>
        </w:rPr>
      </w:pPr>
      <w:r>
        <w:rPr>
          <w:rFonts w:hint="eastAsia" w:ascii="宋体" w:hAnsi="宋体" w:eastAsia="宋体" w:cs="宋体"/>
          <w:b w:val="0"/>
          <w:bCs w:val="0"/>
          <w:color w:val="auto"/>
          <w:spacing w:val="4"/>
          <w:sz w:val="24"/>
          <w:szCs w:val="24"/>
          <w:lang w:val="en-US" w:eastAsia="zh-CN"/>
        </w:rPr>
        <w:t>南阳市公安局交通管理支队机房分别位于指挥中心二楼和三楼楼机房、车管所机房和白河驾校机房。涉及公安网、视频网、互联网、专网的应用软件系统、数据库等各类设备418台。主要分类为服务器233台，存储系统41套，网络设备及网络安全设备96台，应用系统31套，星环大数据原厂服务1项、UPS租赁费1项。</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宋体" w:hAnsi="宋体" w:eastAsia="宋体" w:cs="宋体"/>
          <w:color w:val="auto"/>
          <w:spacing w:val="10"/>
          <w:sz w:val="24"/>
          <w:szCs w:val="24"/>
        </w:rPr>
        <w:t>此</w:t>
      </w:r>
      <w:r>
        <w:rPr>
          <w:rFonts w:hint="eastAsia" w:ascii="宋体" w:hAnsi="宋体" w:eastAsia="宋体" w:cs="宋体"/>
          <w:color w:val="auto"/>
          <w:spacing w:val="6"/>
          <w:sz w:val="24"/>
          <w:szCs w:val="24"/>
        </w:rPr>
        <w:t>次运维服务</w:t>
      </w:r>
      <w:r>
        <w:rPr>
          <w:rFonts w:hint="eastAsia" w:ascii="宋体" w:hAnsi="宋体" w:eastAsia="宋体" w:cs="宋体"/>
          <w:color w:val="auto"/>
          <w:spacing w:val="4"/>
          <w:sz w:val="24"/>
          <w:szCs w:val="24"/>
        </w:rPr>
        <w:t>包括日常定期预防性维护和设备出现故障后</w:t>
      </w:r>
      <w:r>
        <w:rPr>
          <w:rFonts w:hint="eastAsia" w:ascii="宋体" w:hAnsi="宋体" w:eastAsia="宋体" w:cs="宋体"/>
          <w:color w:val="auto"/>
          <w:spacing w:val="-4"/>
          <w:sz w:val="24"/>
          <w:szCs w:val="24"/>
        </w:rPr>
        <w:t>的维修</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2"/>
          <w:sz w:val="24"/>
          <w:szCs w:val="24"/>
        </w:rPr>
        <w:t>系统故障的排除及其他相关技术支持服务，承担</w:t>
      </w:r>
      <w:r>
        <w:rPr>
          <w:rFonts w:hint="eastAsia" w:ascii="宋体" w:hAnsi="宋体" w:eastAsia="宋体" w:cs="宋体"/>
          <w:color w:val="auto"/>
          <w:spacing w:val="-3"/>
          <w:sz w:val="24"/>
          <w:szCs w:val="24"/>
        </w:rPr>
        <w:t>人工费用、技术支持以及培训在内的相关费用</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不包含备品备件费用</w:t>
      </w:r>
      <w:r>
        <w:rPr>
          <w:rFonts w:hint="eastAsia" w:ascii="宋体" w:hAnsi="宋体" w:eastAsia="宋体" w:cs="宋体"/>
          <w:color w:val="auto"/>
          <w:spacing w:val="-3"/>
          <w:sz w:val="24"/>
          <w:szCs w:val="24"/>
        </w:rPr>
        <w:t>。</w:t>
      </w:r>
      <w:r>
        <w:rPr>
          <w:rFonts w:hint="eastAsia" w:ascii="宋体" w:hAnsi="宋体" w:eastAsia="宋体" w:cs="宋体"/>
          <w:b/>
          <w:bCs/>
          <w:color w:val="auto"/>
          <w:spacing w:val="-3"/>
          <w:sz w:val="24"/>
          <w:szCs w:val="24"/>
          <w:lang w:eastAsia="zh-CN"/>
        </w:rPr>
        <w:t>维保</w:t>
      </w:r>
      <w:r>
        <w:rPr>
          <w:rFonts w:hint="eastAsia" w:ascii="宋体" w:hAnsi="宋体" w:eastAsia="宋体" w:cs="宋体"/>
          <w:b/>
          <w:bCs/>
          <w:color w:val="auto"/>
          <w:spacing w:val="-3"/>
          <w:sz w:val="24"/>
          <w:szCs w:val="24"/>
        </w:rPr>
        <w:t>服务期限：2年，</w:t>
      </w:r>
      <w:r>
        <w:rPr>
          <w:rFonts w:hint="eastAsia" w:ascii="宋体" w:hAnsi="宋体" w:eastAsia="宋体" w:cs="宋体"/>
          <w:b/>
          <w:bCs/>
          <w:color w:val="auto"/>
          <w:spacing w:val="-3"/>
          <w:sz w:val="24"/>
          <w:szCs w:val="24"/>
          <w:lang w:val="en-US" w:eastAsia="zh-CN"/>
        </w:rPr>
        <w:t>每年维保服务控制价不超过773797元，且两年维保服务金额需保持一致；维保服务</w:t>
      </w:r>
      <w:r>
        <w:rPr>
          <w:rFonts w:hint="eastAsia" w:ascii="宋体" w:hAnsi="宋体" w:eastAsia="宋体" w:cs="宋体"/>
          <w:b/>
          <w:bCs/>
          <w:color w:val="auto"/>
          <w:spacing w:val="-3"/>
          <w:sz w:val="24"/>
          <w:szCs w:val="24"/>
        </w:rPr>
        <w:t>合同</w:t>
      </w:r>
      <w:r>
        <w:rPr>
          <w:rFonts w:hint="eastAsia" w:ascii="宋体" w:hAnsi="宋体" w:eastAsia="宋体" w:cs="宋体"/>
          <w:b/>
          <w:bCs/>
          <w:color w:val="auto"/>
          <w:spacing w:val="-3"/>
          <w:sz w:val="24"/>
          <w:szCs w:val="24"/>
          <w:lang w:val="en-US" w:eastAsia="zh-CN"/>
        </w:rPr>
        <w:t>采用</w:t>
      </w:r>
      <w:r>
        <w:rPr>
          <w:rFonts w:hint="eastAsia" w:ascii="宋体" w:hAnsi="宋体" w:eastAsia="宋体" w:cs="宋体"/>
          <w:b/>
          <w:bCs/>
          <w:color w:val="auto"/>
          <w:spacing w:val="-3"/>
          <w:sz w:val="24"/>
          <w:szCs w:val="24"/>
        </w:rPr>
        <w:t>一年一签，根据中标人第1年度维保服务质量，采购人确定是否与其续签第2年度合同，续签维保服务费用以第1年度</w:t>
      </w:r>
      <w:r>
        <w:rPr>
          <w:rFonts w:hint="eastAsia" w:ascii="宋体" w:hAnsi="宋体" w:eastAsia="宋体" w:cs="宋体"/>
          <w:b/>
          <w:bCs/>
          <w:color w:val="auto"/>
          <w:spacing w:val="-3"/>
          <w:sz w:val="24"/>
          <w:szCs w:val="24"/>
          <w:lang w:eastAsia="zh-CN"/>
        </w:rPr>
        <w:t>签订合同维保服务费用为准</w:t>
      </w:r>
      <w:r>
        <w:rPr>
          <w:rFonts w:hint="eastAsia" w:ascii="宋体" w:hAnsi="宋体" w:eastAsia="宋体" w:cs="宋体"/>
          <w:b/>
          <w:bCs/>
          <w:color w:val="auto"/>
          <w:spacing w:val="-3"/>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6</w:t>
      </w:r>
      <w:r>
        <w:rPr>
          <w:rFonts w:hint="eastAsia" w:asciiTheme="minorEastAsia" w:hAnsiTheme="minorEastAsia" w:eastAsiaTheme="minorEastAsia" w:cstheme="minorEastAsia"/>
          <w:color w:val="auto"/>
          <w:spacing w:val="-2"/>
          <w:sz w:val="24"/>
          <w:szCs w:val="24"/>
        </w:rPr>
        <w:t>.本项目是否接受联合体：</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是</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否。</w:t>
      </w:r>
    </w:p>
    <w:p>
      <w:pPr>
        <w:pStyle w:val="2"/>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r>
        <w:rPr>
          <w:rFonts w:hint="eastAsia" w:asciiTheme="minorEastAsia" w:hAnsiTheme="minorEastAsia" w:eastAsiaTheme="minorEastAsia" w:cstheme="minorEastAsia"/>
          <w:b/>
          <w:bCs/>
          <w:snapToGrid w:val="0"/>
          <w:color w:val="000000"/>
          <w:spacing w:val="-14"/>
          <w:kern w:val="0"/>
          <w:sz w:val="24"/>
          <w:szCs w:val="24"/>
          <w:lang w:val="en-US" w:eastAsia="zh-CN" w:bidi="ar-SA"/>
        </w:rPr>
        <w:t>本项目专门面向中小企业采购，供应商须提交服务企业中小企业声明函</w:t>
      </w:r>
      <w:r>
        <w:rPr>
          <w:rFonts w:hint="eastAsia" w:asciiTheme="minorEastAsia" w:hAnsiTheme="minorEastAsia" w:eastAsiaTheme="minorEastAsia" w:cstheme="minorEastAsia"/>
          <w:snapToGrid w:val="0"/>
          <w:color w:val="000000"/>
          <w:spacing w:val="-14"/>
          <w:kern w:val="0"/>
          <w:sz w:val="24"/>
          <w:szCs w:val="24"/>
          <w:lang w:val="en-US" w:eastAsia="zh-CN" w:bidi="ar-SA"/>
        </w:rPr>
        <w:t>。</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keepNext w:val="0"/>
        <w:keepLines w:val="0"/>
        <w:pageBreakBefore w:val="0"/>
        <w:kinsoku/>
        <w:wordWrap w:val="0"/>
        <w:overflowPunct/>
        <w:topLinePunct w:val="0"/>
        <w:bidi w:val="0"/>
        <w:spacing w:line="259" w:lineRule="auto"/>
        <w:jc w:val="both"/>
        <w:rPr>
          <w:rFonts w:ascii="Arial"/>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20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27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4"/>
          <w:sz w:val="24"/>
          <w:szCs w:val="24"/>
          <w:lang w:val="en-US" w:eastAsia="zh-CN"/>
        </w:rPr>
        <w:t>8：00</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18：00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1"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1"/>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2" w:name="_Hlk117068952"/>
      <w:r>
        <w:rPr>
          <w:rFonts w:hint="eastAsia" w:asciiTheme="minorEastAsia" w:hAnsiTheme="minorEastAsia" w:eastAsiaTheme="minorEastAsia" w:cstheme="minorEastAsia"/>
          <w:spacing w:val="-4"/>
          <w:sz w:val="24"/>
          <w:szCs w:val="24"/>
          <w:lang w:eastAsia="zh-CN"/>
        </w:rPr>
        <w:t>111.6.77.187:8081</w:t>
      </w:r>
      <w:bookmarkEnd w:id="2"/>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文件视为无效文件。</w:t>
      </w:r>
    </w:p>
    <w:p>
      <w:pPr>
        <w:keepNext w:val="0"/>
        <w:keepLines w:val="0"/>
        <w:pageBreakBefore w:val="0"/>
        <w:widowControl w:val="0"/>
        <w:kinsoku/>
        <w:wordWrap w:val="0"/>
        <w:overflowPunct/>
        <w:topLinePunct w:val="0"/>
        <w:bidi w:val="0"/>
        <w:spacing w:after="0" w:line="360" w:lineRule="auto"/>
        <w:ind w:left="9" w:firstLine="424" w:firstLineChars="183"/>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本项目采用全流程电子化，供应商应在开标时间前登录电子营业执照应用平台系统不见面开标大厅；在响应文件解密过程中，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2"/>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pPr>
        <w:pStyle w:val="2"/>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3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pPr>
        <w:pStyle w:val="2"/>
        <w:keepNext w:val="0"/>
        <w:keepLines w:val="0"/>
        <w:pageBreakBefore w:val="0"/>
        <w:kinsoku/>
        <w:wordWrap w:val="0"/>
        <w:overflowPunct/>
        <w:topLinePunct w:val="0"/>
        <w:bidi w:val="0"/>
        <w:spacing w:before="180" w:line="189" w:lineRule="auto"/>
        <w:jc w:val="both"/>
        <w:rPr>
          <w:rFonts w:hint="eastAsia" w:ascii="宋体" w:hAnsi="宋体" w:eastAsia="宋体" w:cs="宋体"/>
          <w:sz w:val="24"/>
        </w:rPr>
      </w:pPr>
    </w:p>
    <w:p>
      <w:pPr>
        <w:pStyle w:val="2"/>
        <w:keepNext w:val="0"/>
        <w:keepLines w:val="0"/>
        <w:pageBreakBefore w:val="0"/>
        <w:kinsoku/>
        <w:wordWrap w:val="0"/>
        <w:overflowPunct/>
        <w:topLinePunct w:val="0"/>
        <w:bidi w:val="0"/>
        <w:spacing w:before="180" w:line="189" w:lineRule="auto"/>
        <w:jc w:val="both"/>
        <w:rPr>
          <w:spacing w:val="-31"/>
          <w:sz w:val="24"/>
          <w:szCs w:val="24"/>
        </w:rPr>
      </w:pPr>
      <w:r>
        <w:rPr>
          <w:rFonts w:hint="eastAsia" w:ascii="宋体" w:hAnsi="宋体" w:eastAsia="宋体" w:cs="宋体"/>
          <w:sz w:val="24"/>
        </w:rPr>
        <w:t>开标方式：不见面开标</w:t>
      </w:r>
      <w:r>
        <w:rPr>
          <w:rFonts w:hint="eastAsia" w:asciiTheme="minorEastAsia" w:hAnsiTheme="minorEastAsia" w:cstheme="minorEastAsia"/>
          <w:spacing w:val="-17"/>
          <w:sz w:val="24"/>
        </w:rPr>
        <w:t>（</w:t>
      </w:r>
      <w:r>
        <w:rPr>
          <w:rFonts w:hint="eastAsia"/>
          <w:sz w:val="24"/>
        </w:rPr>
        <w:t>http://111.6.77.187:8081/ggzy/）</w:t>
      </w:r>
    </w:p>
    <w:p>
      <w:pPr>
        <w:pStyle w:val="2"/>
        <w:keepNext w:val="0"/>
        <w:keepLines w:val="0"/>
        <w:pageBreakBefore w:val="0"/>
        <w:kinsoku/>
        <w:wordWrap w:val="0"/>
        <w:overflowPunct/>
        <w:topLinePunct w:val="0"/>
        <w:bidi w:val="0"/>
        <w:spacing w:before="180" w:line="189" w:lineRule="auto"/>
        <w:jc w:val="both"/>
        <w:rPr>
          <w:rFonts w:ascii="Arial"/>
          <w:sz w:val="21"/>
        </w:rPr>
      </w:pPr>
      <w:r>
        <w:rPr>
          <w:spacing w:val="-31"/>
          <w:sz w:val="24"/>
          <w:szCs w:val="24"/>
        </w:rPr>
        <w:t>地点：</w:t>
      </w:r>
      <w:r>
        <w:rPr>
          <w:rFonts w:hint="eastAsia" w:ascii="宋体" w:hAnsi="宋体" w:eastAsia="宋体" w:cs="宋体"/>
          <w:sz w:val="24"/>
        </w:rPr>
        <w:t>本项目使用不见面开标，投标人无需前往现场来参与投标。具体操作流程详见南阳市公共资源交易中心下载专区栏发布的南阳不见面开标-操作手册（投标人）。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20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u w:val="single"/>
          <w:lang w:val="en-US" w:eastAsia="zh-CN"/>
        </w:rPr>
        <w:t xml:space="preserve">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25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keepNext w:val="0"/>
        <w:keepLines w:val="0"/>
        <w:pageBreakBefore w:val="0"/>
        <w:kinsoku/>
        <w:wordWrap w:val="0"/>
        <w:overflowPunct/>
        <w:topLinePunct w:val="0"/>
        <w:bidi w:val="0"/>
        <w:spacing w:line="259" w:lineRule="auto"/>
        <w:jc w:val="both"/>
        <w:rPr>
          <w:rFonts w:ascii="Arial"/>
          <w:sz w:val="21"/>
        </w:rPr>
      </w:pPr>
    </w:p>
    <w:p>
      <w:pPr>
        <w:keepNext w:val="0"/>
        <w:keepLines w:val="0"/>
        <w:pageBreakBefore w:val="0"/>
        <w:kinsoku/>
        <w:wordWrap w:val="0"/>
        <w:overflowPunct/>
        <w:topLinePunct w:val="0"/>
        <w:bidi w:val="0"/>
        <w:spacing w:line="260" w:lineRule="auto"/>
        <w:jc w:val="both"/>
        <w:rPr>
          <w:rFonts w:ascii="Arial"/>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z w:val="24"/>
          <w:szCs w:val="24"/>
          <w:u w:val="none" w:color="auto"/>
          <w:lang w:val="en-US" w:eastAsia="zh-CN"/>
        </w:rPr>
        <w:t xml:space="preserve">南阳市公安局交通管理支队 </w:t>
      </w:r>
      <w:r>
        <w:rPr>
          <w:rFonts w:hint="eastAsia" w:asciiTheme="minorEastAsia" w:hAnsiTheme="minorEastAsia" w:eastAsiaTheme="minorEastAsia" w:cstheme="minorEastAsia"/>
          <w:color w:val="000000" w:themeColor="text1"/>
          <w:sz w:val="24"/>
          <w:szCs w:val="24"/>
          <w:u w:val="none" w:color="auto"/>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eastAsia="zh-CN"/>
        </w:rPr>
        <w:t>南阳市新华路166号</w:t>
      </w:r>
      <w:r>
        <w:rPr>
          <w:rFonts w:hint="eastAsia" w:ascii="宋体" w:hAnsi="宋体" w:eastAsia="宋体" w:cs="宋体"/>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eastAsia="宋体" w:cs="宋体"/>
          <w:sz w:val="24"/>
          <w:szCs w:val="24"/>
          <w:lang w:eastAsia="zh-CN"/>
        </w:rPr>
        <w:t>王先生</w:t>
      </w:r>
      <w:r>
        <w:rPr>
          <w:rFonts w:hint="eastAsia" w:ascii="宋体" w:hAnsi="宋体" w:eastAsia="宋体" w:cs="宋体"/>
          <w:sz w:val="24"/>
          <w:szCs w:val="24"/>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0377-61231106</w:t>
      </w:r>
      <w:r>
        <w:rPr>
          <w:rFonts w:hint="eastAsia" w:ascii="宋体" w:hAnsi="宋体" w:eastAsia="宋体" w:cs="宋体"/>
          <w:sz w:val="24"/>
          <w:szCs w:val="24"/>
        </w:rPr>
        <w:t xml:space="preserve">   </w:t>
      </w:r>
      <w:r>
        <w:rPr>
          <w:rFonts w:hint="eastAsia" w:asciiTheme="minorEastAsia" w:hAnsiTheme="minorEastAsia" w:eastAsiaTheme="minorEastAsia" w:cstheme="minorEastAsia"/>
          <w:sz w:val="24"/>
          <w:szCs w:val="24"/>
          <w:u w:val="none" w:color="auto"/>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联系人：潘高</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bookmarkStart w:id="20" w:name="_GoBack"/>
      <w:bookmarkEnd w:id="20"/>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仿宋_GB2312" w:hAnsi="宋体" w:eastAsia="仿宋_GB2312"/>
          <w:sz w:val="24"/>
          <w:szCs w:val="24"/>
          <w:u w:val="none"/>
          <w:lang w:eastAsia="zh-CN"/>
        </w:rPr>
        <w:t>nyszfcgzx@126.com</w:t>
      </w:r>
      <w:r>
        <w:rPr>
          <w:rFonts w:hint="eastAsia" w:asciiTheme="minorEastAsia" w:hAnsiTheme="minorEastAsia" w:eastAsiaTheme="minorEastAsia" w:cstheme="minorEastAsia"/>
          <w:spacing w:val="-15"/>
          <w:sz w:val="24"/>
          <w:szCs w:val="24"/>
          <w:u w:val="none"/>
          <w:lang w:val="en-US" w:eastAsia="zh-CN"/>
        </w:rPr>
        <w:t xml:space="preserve"> </w:t>
      </w:r>
    </w:p>
    <w:p>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670" w:firstLineChars="2700"/>
        <w:jc w:val="both"/>
        <w:textAlignment w:val="baseline"/>
        <w:outlineLvl w:val="1"/>
        <w:rPr>
          <w:rFonts w:hint="default" w:asciiTheme="minorEastAsia" w:hAnsiTheme="minorEastAsia" w:eastAsiaTheme="minorEastAsia" w:cstheme="minorEastAsia"/>
          <w:color w:val="000000" w:themeColor="text1"/>
          <w:spacing w:val="-1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val="en-US" w:eastAsia="zh-CN"/>
          <w14:textFill>
            <w14:solidFill>
              <w14:schemeClr w14:val="tx1"/>
            </w14:solidFill>
          </w14:textFill>
        </w:rPr>
        <w:t>南阳市公共资源交易中心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206" w:firstLineChars="2900"/>
        <w:jc w:val="both"/>
        <w:textAlignment w:val="baseline"/>
        <w:outlineLvl w:val="1"/>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20</w:t>
      </w:r>
      <w:r>
        <w:rPr>
          <w:rFonts w:hint="eastAsia" w:asciiTheme="minorEastAsia" w:hAnsiTheme="minorEastAsia" w:eastAsiaTheme="minorEastAsia" w:cstheme="minorEastAsia"/>
          <w:spacing w:val="-13"/>
          <w:sz w:val="24"/>
          <w:szCs w:val="24"/>
        </w:rPr>
        <w:t>日</w:t>
      </w:r>
    </w:p>
    <w:p>
      <w:pPr>
        <w:rPr>
          <w:rFonts w:hint="eastAsia" w:asciiTheme="minorEastAsia" w:hAnsiTheme="minorEastAsia" w:eastAsiaTheme="minorEastAsia" w:cstheme="minorEastAsia"/>
          <w:spacing w:val="-13"/>
          <w:sz w:val="24"/>
          <w:szCs w:val="24"/>
        </w:rPr>
      </w:pPr>
    </w:p>
    <w:p>
      <w:pPr>
        <w:pStyle w:val="2"/>
        <w:rPr>
          <w:rFonts w:hint="default"/>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592" w:firstLineChars="200"/>
        <w:textAlignment w:val="auto"/>
        <w:outlineLvl w:val="0"/>
        <w:rPr>
          <w:rFonts w:hint="eastAsia" w:ascii="宋体" w:hAnsi="宋体" w:eastAsia="宋体" w:cs="宋体"/>
          <w:color w:val="auto"/>
          <w:sz w:val="24"/>
          <w:szCs w:val="24"/>
        </w:rPr>
      </w:pPr>
      <w:bookmarkStart w:id="3" w:name="_Toc2106536939"/>
      <w:r>
        <w:rPr>
          <w:rFonts w:hint="eastAsia" w:ascii="宋体" w:hAnsi="宋体" w:eastAsia="宋体" w:cs="宋体"/>
          <w:color w:val="auto"/>
          <w:spacing w:val="28"/>
          <w:sz w:val="24"/>
          <w:szCs w:val="24"/>
        </w:rPr>
        <w:t>(</w:t>
      </w:r>
      <w:r>
        <w:rPr>
          <w:rFonts w:hint="eastAsia" w:ascii="宋体" w:hAnsi="宋体" w:eastAsia="宋体" w:cs="宋体"/>
          <w:color w:val="auto"/>
          <w:spacing w:val="22"/>
          <w:sz w:val="24"/>
          <w:szCs w:val="24"/>
        </w:rPr>
        <w:t>一)本项目总体服务内容</w:t>
      </w:r>
      <w:bookmarkEnd w:id="3"/>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服务内容包括但不限于以下内容：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bookmarkStart w:id="4" w:name="_Toc1150929331"/>
      <w:r>
        <w:rPr>
          <w:rFonts w:hint="eastAsia" w:ascii="宋体" w:hAnsi="宋体" w:eastAsia="宋体" w:cs="宋体"/>
          <w:color w:val="auto"/>
          <w:spacing w:val="4"/>
          <w:sz w:val="24"/>
          <w:szCs w:val="24"/>
          <w:lang w:val="en-US" w:eastAsia="zh-Hans"/>
        </w:rPr>
        <w:t>1、基础环境运维</w:t>
      </w:r>
      <w:bookmarkEnd w:id="4"/>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空气调节、电气系统、安全防护</w:t>
      </w:r>
      <w:r>
        <w:rPr>
          <w:rFonts w:hint="eastAsia" w:ascii="宋体" w:hAnsi="宋体" w:eastAsia="宋体" w:cs="宋体"/>
          <w:color w:val="auto"/>
          <w:spacing w:val="4"/>
          <w:sz w:val="24"/>
          <w:szCs w:val="24"/>
          <w:lang w:val="en-US" w:eastAsia="zh-CN"/>
        </w:rPr>
        <w:t>等涉及基础环境系统、设备及设施</w:t>
      </w:r>
      <w:r>
        <w:rPr>
          <w:rFonts w:hint="eastAsia" w:ascii="宋体" w:hAnsi="宋体" w:eastAsia="宋体" w:cs="宋体"/>
          <w:color w:val="auto"/>
          <w:spacing w:val="4"/>
          <w:sz w:val="24"/>
          <w:szCs w:val="24"/>
          <w:lang w:val="en-US" w:eastAsia="zh-Hans"/>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bookmarkStart w:id="5" w:name="_Toc1284057588"/>
      <w:r>
        <w:rPr>
          <w:rFonts w:hint="eastAsia" w:ascii="宋体" w:hAnsi="宋体" w:eastAsia="宋体" w:cs="宋体"/>
          <w:color w:val="auto"/>
          <w:spacing w:val="4"/>
          <w:sz w:val="24"/>
          <w:szCs w:val="24"/>
          <w:lang w:val="en-US" w:eastAsia="zh-Hans"/>
        </w:rPr>
        <w:t>2、硬件运维</w:t>
      </w:r>
      <w:bookmarkEnd w:id="5"/>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Hans"/>
        </w:rPr>
        <w:t>对硬件设备的例行检查及状态监控、响应支持、故障处理、性能优化等服务。服务对象包括网络运维服务、主机运维服务、存储运维服务、桌面运维服务以及其他硬件运维服务</w:t>
      </w:r>
      <w:r>
        <w:rPr>
          <w:rFonts w:hint="eastAsia" w:ascii="宋体" w:hAnsi="宋体" w:eastAsia="宋体" w:cs="宋体"/>
          <w:color w:val="auto"/>
          <w:spacing w:val="4"/>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bookmarkStart w:id="6" w:name="_Toc1092712813"/>
      <w:r>
        <w:rPr>
          <w:rFonts w:hint="eastAsia" w:ascii="宋体" w:hAnsi="宋体" w:eastAsia="宋体" w:cs="宋体"/>
          <w:color w:val="auto"/>
          <w:spacing w:val="4"/>
          <w:sz w:val="24"/>
          <w:szCs w:val="24"/>
          <w:lang w:val="en-US" w:eastAsia="zh-Hans"/>
        </w:rPr>
        <w:t>3、安全运维</w:t>
      </w:r>
      <w:bookmarkEnd w:id="6"/>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安全运维对象为物理环境、网络平台、主机系统、应用系统、安全设施、信息数据六类实体对象。</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CN"/>
        </w:rPr>
      </w:pPr>
      <w:bookmarkStart w:id="7" w:name="_Toc2091582594"/>
      <w:r>
        <w:rPr>
          <w:rFonts w:hint="eastAsia" w:ascii="宋体" w:hAnsi="宋体" w:eastAsia="宋体" w:cs="宋体"/>
          <w:color w:val="auto"/>
          <w:spacing w:val="4"/>
          <w:sz w:val="24"/>
          <w:szCs w:val="24"/>
          <w:lang w:val="en-US" w:eastAsia="zh-CN"/>
        </w:rPr>
        <w:t>4、软件</w:t>
      </w:r>
      <w:r>
        <w:rPr>
          <w:rFonts w:hint="eastAsia" w:ascii="宋体" w:hAnsi="宋体" w:eastAsia="宋体" w:cs="宋体"/>
          <w:color w:val="auto"/>
          <w:spacing w:val="4"/>
          <w:sz w:val="24"/>
          <w:szCs w:val="24"/>
          <w:lang w:val="en-US" w:eastAsia="zh-Hans"/>
        </w:rPr>
        <w:t>运维</w:t>
      </w:r>
      <w:bookmarkEnd w:id="7"/>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软件运维对象为各系统的操作系统、数据库、中间件、应用、存储、数据，以及业务系统的定时任务等。</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5、</w:t>
      </w:r>
      <w:r>
        <w:rPr>
          <w:rFonts w:hint="eastAsia" w:ascii="宋体" w:hAnsi="宋体" w:eastAsia="宋体" w:cs="宋体"/>
          <w:color w:val="auto"/>
          <w:spacing w:val="4"/>
          <w:sz w:val="24"/>
          <w:szCs w:val="24"/>
          <w:lang w:val="en-US" w:eastAsia="zh-Hans"/>
        </w:rPr>
        <w:t>运维管理</w:t>
      </w:r>
    </w:p>
    <w:p>
      <w:pPr>
        <w:pStyle w:val="10"/>
        <w:keepNext w:val="0"/>
        <w:keepLines w:val="0"/>
        <w:pageBreakBefore w:val="0"/>
        <w:widowControl w:val="0"/>
        <w:kinsoku/>
        <w:wordWrap/>
        <w:overflowPunct/>
        <w:topLinePunct w:val="0"/>
        <w:autoSpaceDE/>
        <w:autoSpaceDN/>
        <w:bidi w:val="0"/>
        <w:adjustRightInd/>
        <w:snapToGrid w:val="0"/>
        <w:spacing w:line="360" w:lineRule="auto"/>
        <w:ind w:firstLine="496"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pacing w:val="4"/>
          <w:sz w:val="24"/>
          <w:szCs w:val="24"/>
          <w:lang w:val="en-US" w:eastAsia="zh-Hans"/>
        </w:rPr>
        <w:t>硬件、软件、安全等综合性运维而提供的管理服务，主要包含制定整体服务规划、建立运维服务流程</w:t>
      </w:r>
      <w:r>
        <w:rPr>
          <w:rFonts w:hint="eastAsia" w:ascii="宋体" w:hAnsi="宋体" w:eastAsia="宋体" w:cs="宋体"/>
          <w:color w:val="auto"/>
          <w:spacing w:val="4"/>
          <w:sz w:val="24"/>
          <w:szCs w:val="24"/>
          <w:lang w:val="en-US" w:eastAsia="zh-CN"/>
        </w:rPr>
        <w:t>，对</w:t>
      </w:r>
      <w:r>
        <w:rPr>
          <w:rFonts w:hint="eastAsia" w:ascii="宋体" w:hAnsi="宋体" w:eastAsia="宋体" w:cs="宋体"/>
          <w:color w:val="auto"/>
          <w:spacing w:val="4"/>
          <w:sz w:val="24"/>
          <w:szCs w:val="24"/>
          <w:lang w:val="en-US" w:eastAsia="zh-Hans"/>
        </w:rPr>
        <w:t>其他各服务厂商的监督管理、服务工作汇总、组织</w:t>
      </w:r>
      <w:r>
        <w:rPr>
          <w:rFonts w:hint="eastAsia" w:ascii="宋体" w:hAnsi="宋体" w:eastAsia="宋体" w:cs="宋体"/>
          <w:color w:val="auto"/>
          <w:spacing w:val="4"/>
          <w:sz w:val="24"/>
          <w:szCs w:val="24"/>
          <w:lang w:val="en-US" w:eastAsia="zh-CN"/>
        </w:rPr>
        <w:t>技术</w:t>
      </w:r>
      <w:r>
        <w:rPr>
          <w:rFonts w:hint="eastAsia" w:ascii="宋体" w:hAnsi="宋体" w:eastAsia="宋体" w:cs="宋体"/>
          <w:color w:val="auto"/>
          <w:spacing w:val="4"/>
          <w:sz w:val="24"/>
          <w:szCs w:val="24"/>
          <w:lang w:val="en-US" w:eastAsia="zh-Hans"/>
        </w:rPr>
        <w:t>培训</w:t>
      </w:r>
      <w:r>
        <w:rPr>
          <w:rFonts w:hint="eastAsia" w:ascii="宋体" w:hAnsi="宋体" w:eastAsia="宋体" w:cs="宋体"/>
          <w:color w:val="auto"/>
          <w:spacing w:val="4"/>
          <w:sz w:val="24"/>
          <w:szCs w:val="24"/>
          <w:lang w:val="en-US" w:eastAsia="zh-CN"/>
        </w:rPr>
        <w:t>、在职员工考评及淘汰机制</w:t>
      </w:r>
      <w:r>
        <w:rPr>
          <w:rFonts w:hint="eastAsia" w:ascii="宋体" w:hAnsi="宋体" w:eastAsia="宋体" w:cs="宋体"/>
          <w:color w:val="auto"/>
          <w:spacing w:val="4"/>
          <w:sz w:val="24"/>
          <w:szCs w:val="24"/>
          <w:lang w:val="en-US" w:eastAsia="zh-Hans"/>
        </w:rPr>
        <w:t>等</w:t>
      </w:r>
      <w:r>
        <w:rPr>
          <w:rFonts w:hint="eastAsia" w:ascii="宋体" w:hAnsi="宋体" w:eastAsia="宋体" w:cs="宋体"/>
          <w:color w:val="auto"/>
          <w:spacing w:val="4"/>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0"/>
        <w:rPr>
          <w:rFonts w:hint="eastAsia" w:ascii="宋体" w:hAnsi="宋体" w:eastAsia="宋体" w:cs="宋体"/>
          <w:color w:val="auto"/>
          <w:spacing w:val="4"/>
          <w:sz w:val="24"/>
          <w:szCs w:val="24"/>
          <w:lang w:val="en-US" w:eastAsia="zh-Hans"/>
        </w:rPr>
      </w:pPr>
      <w:bookmarkStart w:id="8" w:name="_Toc14010"/>
      <w:bookmarkStart w:id="9" w:name="_Toc1068839615"/>
      <w:r>
        <w:rPr>
          <w:rFonts w:hint="eastAsia" w:ascii="宋体" w:hAnsi="宋体" w:eastAsia="宋体" w:cs="宋体"/>
          <w:color w:val="auto"/>
          <w:spacing w:val="4"/>
          <w:sz w:val="24"/>
          <w:szCs w:val="24"/>
          <w:lang w:val="en-US" w:eastAsia="zh-CN"/>
        </w:rPr>
        <w:t>（二）</w:t>
      </w:r>
      <w:r>
        <w:rPr>
          <w:rFonts w:hint="eastAsia" w:ascii="宋体" w:hAnsi="宋体" w:eastAsia="宋体" w:cs="宋体"/>
          <w:color w:val="auto"/>
          <w:spacing w:val="4"/>
          <w:sz w:val="24"/>
          <w:szCs w:val="24"/>
          <w:lang w:val="en-US" w:eastAsia="zh-Hans"/>
        </w:rPr>
        <w:t>项目服务要求</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bookmarkStart w:id="10" w:name="_Toc12238"/>
      <w:bookmarkStart w:id="11" w:name="_Toc286702150"/>
      <w:r>
        <w:rPr>
          <w:rFonts w:hint="eastAsia" w:ascii="宋体" w:hAnsi="宋体" w:eastAsia="宋体" w:cs="宋体"/>
          <w:color w:val="auto"/>
          <w:spacing w:val="4"/>
          <w:sz w:val="24"/>
          <w:szCs w:val="24"/>
          <w:lang w:val="en-US" w:eastAsia="zh-Hans"/>
        </w:rPr>
        <w:t>1、故障处理</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bookmarkStart w:id="12" w:name="_Toc1797214829"/>
      <w:bookmarkStart w:id="13" w:name="_Toc26264"/>
      <w:r>
        <w:rPr>
          <w:rFonts w:hint="eastAsia" w:ascii="宋体" w:hAnsi="宋体" w:eastAsia="宋体" w:cs="宋体"/>
          <w:color w:val="auto"/>
          <w:spacing w:val="4"/>
          <w:sz w:val="24"/>
          <w:szCs w:val="24"/>
          <w:lang w:val="en-US" w:eastAsia="zh-Hans"/>
        </w:rPr>
        <w:t>成交供应商应</w:t>
      </w:r>
      <w:r>
        <w:rPr>
          <w:rFonts w:hint="eastAsia" w:ascii="宋体" w:hAnsi="宋体" w:eastAsia="宋体" w:cs="宋体"/>
          <w:color w:val="auto"/>
          <w:spacing w:val="4"/>
          <w:sz w:val="24"/>
          <w:szCs w:val="24"/>
          <w:lang w:val="en-US" w:eastAsia="zh-CN"/>
        </w:rPr>
        <w:t>可预见相关故障，并制定故障处理预案。对不可预见的突发故障，</w:t>
      </w:r>
      <w:r>
        <w:rPr>
          <w:rFonts w:hint="eastAsia" w:ascii="宋体" w:hAnsi="宋体" w:eastAsia="宋体" w:cs="宋体"/>
          <w:color w:val="auto"/>
          <w:spacing w:val="4"/>
          <w:sz w:val="24"/>
          <w:szCs w:val="24"/>
          <w:lang w:val="en-US" w:eastAsia="zh-Hans"/>
        </w:rPr>
        <w:t>采购人</w:t>
      </w:r>
      <w:r>
        <w:rPr>
          <w:rFonts w:hint="eastAsia" w:ascii="宋体" w:hAnsi="宋体" w:eastAsia="宋体" w:cs="宋体"/>
          <w:color w:val="auto"/>
          <w:spacing w:val="4"/>
          <w:sz w:val="24"/>
          <w:szCs w:val="24"/>
          <w:lang w:val="en-US" w:eastAsia="zh-CN"/>
        </w:rPr>
        <w:t>应根据</w:t>
      </w:r>
      <w:r>
        <w:rPr>
          <w:rFonts w:hint="eastAsia" w:ascii="宋体" w:hAnsi="宋体" w:eastAsia="宋体" w:cs="宋体"/>
          <w:color w:val="auto"/>
          <w:spacing w:val="4"/>
          <w:sz w:val="24"/>
          <w:szCs w:val="24"/>
          <w:lang w:val="en-US" w:eastAsia="zh-Hans"/>
        </w:rPr>
        <w:t>故障</w:t>
      </w:r>
      <w:r>
        <w:rPr>
          <w:rFonts w:hint="eastAsia" w:ascii="宋体" w:hAnsi="宋体" w:eastAsia="宋体" w:cs="宋体"/>
          <w:color w:val="auto"/>
          <w:spacing w:val="4"/>
          <w:sz w:val="24"/>
          <w:szCs w:val="24"/>
          <w:lang w:val="en-US" w:eastAsia="zh-CN"/>
        </w:rPr>
        <w:t>的影响范围</w:t>
      </w:r>
      <w:r>
        <w:rPr>
          <w:rFonts w:hint="eastAsia" w:ascii="宋体" w:hAnsi="宋体" w:eastAsia="宋体" w:cs="宋体"/>
          <w:color w:val="auto"/>
          <w:spacing w:val="4"/>
          <w:sz w:val="24"/>
          <w:szCs w:val="24"/>
          <w:lang w:val="en-US" w:eastAsia="zh-Hans"/>
        </w:rPr>
        <w:t>，采取必要的服务措施，尽快修复故障，如设备出现</w:t>
      </w:r>
      <w:r>
        <w:rPr>
          <w:rFonts w:hint="eastAsia" w:ascii="宋体" w:hAnsi="宋体" w:eastAsia="宋体" w:cs="宋体"/>
          <w:color w:val="auto"/>
          <w:spacing w:val="4"/>
          <w:sz w:val="24"/>
          <w:szCs w:val="24"/>
          <w:lang w:val="en-US" w:eastAsia="zh-CN"/>
        </w:rPr>
        <w:t>不可预见的</w:t>
      </w:r>
      <w:r>
        <w:rPr>
          <w:rFonts w:hint="eastAsia" w:ascii="宋体" w:hAnsi="宋体" w:eastAsia="宋体" w:cs="宋体"/>
          <w:color w:val="auto"/>
          <w:spacing w:val="4"/>
          <w:sz w:val="24"/>
          <w:szCs w:val="24"/>
          <w:lang w:val="en-US" w:eastAsia="zh-Hans"/>
        </w:rPr>
        <w:t>硬件故障应及时</w:t>
      </w:r>
      <w:r>
        <w:rPr>
          <w:rFonts w:hint="eastAsia" w:ascii="宋体" w:hAnsi="宋体" w:eastAsia="宋体" w:cs="宋体"/>
          <w:color w:val="auto"/>
          <w:spacing w:val="4"/>
          <w:sz w:val="24"/>
          <w:szCs w:val="24"/>
          <w:lang w:val="en-US" w:eastAsia="zh-CN"/>
        </w:rPr>
        <w:t>向甲方提出</w:t>
      </w:r>
      <w:r>
        <w:rPr>
          <w:rFonts w:hint="eastAsia" w:ascii="宋体" w:hAnsi="宋体" w:eastAsia="宋体" w:cs="宋体"/>
          <w:color w:val="auto"/>
          <w:spacing w:val="4"/>
          <w:sz w:val="24"/>
          <w:szCs w:val="24"/>
          <w:lang w:val="en-US" w:eastAsia="zh-Hans"/>
        </w:rPr>
        <w:t>维修/更换故障设备</w:t>
      </w:r>
      <w:r>
        <w:rPr>
          <w:rFonts w:hint="eastAsia" w:ascii="宋体" w:hAnsi="宋体" w:eastAsia="宋体" w:cs="宋体"/>
          <w:color w:val="auto"/>
          <w:spacing w:val="4"/>
          <w:sz w:val="24"/>
          <w:szCs w:val="24"/>
          <w:lang w:val="en-US" w:eastAsia="zh-CN"/>
        </w:rPr>
        <w:t>的必要性和可行性结论，确保业务系统的不间断</w:t>
      </w:r>
      <w:r>
        <w:rPr>
          <w:rFonts w:hint="eastAsia" w:ascii="宋体" w:hAnsi="宋体" w:eastAsia="宋体" w:cs="宋体"/>
          <w:color w:val="auto"/>
          <w:spacing w:val="4"/>
          <w:sz w:val="24"/>
          <w:szCs w:val="24"/>
          <w:lang w:val="en-US" w:eastAsia="zh-Hans"/>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2、人员要求</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2"/>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(1)驻场服务人员</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法定</w:t>
      </w:r>
      <w:r>
        <w:rPr>
          <w:rFonts w:hint="eastAsia" w:ascii="宋体" w:hAnsi="宋体" w:eastAsia="宋体" w:cs="宋体"/>
          <w:color w:val="auto"/>
          <w:spacing w:val="4"/>
          <w:sz w:val="24"/>
          <w:szCs w:val="24"/>
          <w:lang w:val="en-US" w:eastAsia="zh-Hans"/>
        </w:rPr>
        <w:t>工作日至少安排</w:t>
      </w:r>
      <w:r>
        <w:rPr>
          <w:rFonts w:hint="eastAsia" w:ascii="宋体" w:hAnsi="宋体" w:eastAsia="宋体" w:cs="宋体"/>
          <w:color w:val="auto"/>
          <w:spacing w:val="4"/>
          <w:sz w:val="24"/>
          <w:szCs w:val="24"/>
          <w:lang w:val="en-US" w:eastAsia="zh-CN"/>
        </w:rPr>
        <w:t>4人</w:t>
      </w:r>
      <w:r>
        <w:rPr>
          <w:rFonts w:hint="eastAsia" w:ascii="宋体" w:hAnsi="宋体" w:eastAsia="宋体" w:cs="宋体"/>
          <w:color w:val="auto"/>
          <w:spacing w:val="4"/>
          <w:sz w:val="24"/>
          <w:szCs w:val="24"/>
          <w:lang w:val="en-US" w:eastAsia="zh-Hans"/>
        </w:rPr>
        <w:t>驻场</w:t>
      </w:r>
      <w:r>
        <w:rPr>
          <w:rFonts w:hint="eastAsia" w:ascii="宋体" w:hAnsi="宋体" w:eastAsia="宋体" w:cs="宋体"/>
          <w:color w:val="auto"/>
          <w:spacing w:val="4"/>
          <w:sz w:val="24"/>
          <w:szCs w:val="24"/>
          <w:lang w:val="en-US" w:eastAsia="zh-CN"/>
        </w:rPr>
        <w:t>坐班</w:t>
      </w:r>
      <w:r>
        <w:rPr>
          <w:rFonts w:hint="eastAsia" w:ascii="宋体" w:hAnsi="宋体" w:eastAsia="宋体" w:cs="宋体"/>
          <w:color w:val="auto"/>
          <w:spacing w:val="4"/>
          <w:sz w:val="24"/>
          <w:szCs w:val="24"/>
          <w:lang w:val="en-US" w:eastAsia="zh-Hans"/>
        </w:rPr>
        <w:t>服务</w:t>
      </w:r>
      <w:r>
        <w:rPr>
          <w:rFonts w:hint="eastAsia" w:ascii="宋体" w:hAnsi="宋体" w:eastAsia="宋体" w:cs="宋体"/>
          <w:color w:val="auto"/>
          <w:spacing w:val="4"/>
          <w:sz w:val="24"/>
          <w:szCs w:val="24"/>
          <w:lang w:val="en-US" w:eastAsia="zh-CN"/>
        </w:rPr>
        <w:t>，其中一人</w:t>
      </w:r>
      <w:r>
        <w:rPr>
          <w:rFonts w:hint="eastAsia" w:ascii="宋体" w:hAnsi="宋体" w:eastAsia="宋体" w:cs="宋体"/>
          <w:color w:val="auto"/>
          <w:spacing w:val="4"/>
          <w:sz w:val="24"/>
          <w:szCs w:val="24"/>
          <w:lang w:val="en-US" w:eastAsia="zh-Hans"/>
        </w:rPr>
        <w:t>应具</w:t>
      </w:r>
      <w:r>
        <w:rPr>
          <w:rFonts w:hint="eastAsia" w:ascii="宋体" w:hAnsi="宋体" w:eastAsia="宋体" w:cs="宋体"/>
          <w:color w:val="auto"/>
          <w:spacing w:val="4"/>
          <w:sz w:val="24"/>
          <w:szCs w:val="24"/>
          <w:lang w:val="en-US" w:eastAsia="zh-CN"/>
        </w:rPr>
        <w:t>备可查询到的“</w:t>
      </w:r>
      <w:r>
        <w:rPr>
          <w:rFonts w:hint="eastAsia" w:ascii="宋体" w:hAnsi="宋体" w:eastAsia="宋体" w:cs="宋体"/>
          <w:color w:val="auto"/>
          <w:spacing w:val="4"/>
          <w:sz w:val="24"/>
          <w:szCs w:val="24"/>
          <w:lang w:val="en-US" w:eastAsia="zh-Hans"/>
        </w:rPr>
        <w:t>计算机技术与软件专业技术资格”</w:t>
      </w:r>
      <w:r>
        <w:rPr>
          <w:rFonts w:hint="eastAsia" w:ascii="宋体" w:hAnsi="宋体" w:eastAsia="宋体" w:cs="宋体"/>
          <w:color w:val="auto"/>
          <w:spacing w:val="4"/>
          <w:sz w:val="24"/>
          <w:szCs w:val="24"/>
          <w:lang w:val="en-US" w:eastAsia="zh-CN"/>
        </w:rPr>
        <w:t>中级以上技术水平资格。其他时期</w:t>
      </w:r>
      <w:r>
        <w:rPr>
          <w:rFonts w:hint="eastAsia" w:ascii="宋体" w:hAnsi="宋体" w:eastAsia="宋体" w:cs="宋体"/>
          <w:color w:val="auto"/>
          <w:spacing w:val="4"/>
          <w:sz w:val="24"/>
          <w:szCs w:val="24"/>
          <w:lang w:val="en-US" w:eastAsia="zh-Hans"/>
        </w:rPr>
        <w:t>安排</w:t>
      </w:r>
      <w:r>
        <w:rPr>
          <w:rFonts w:hint="eastAsia" w:ascii="宋体" w:hAnsi="宋体" w:eastAsia="宋体" w:cs="宋体"/>
          <w:color w:val="auto"/>
          <w:spacing w:val="4"/>
          <w:sz w:val="24"/>
          <w:szCs w:val="24"/>
          <w:lang w:val="en-US" w:eastAsia="zh-CN"/>
        </w:rPr>
        <w:t>不少于</w:t>
      </w:r>
      <w:r>
        <w:rPr>
          <w:rFonts w:hint="eastAsia" w:ascii="宋体" w:hAnsi="宋体" w:eastAsia="宋体" w:cs="宋体"/>
          <w:color w:val="auto"/>
          <w:spacing w:val="4"/>
          <w:sz w:val="24"/>
          <w:szCs w:val="24"/>
          <w:lang w:val="en-US" w:eastAsia="zh-Hans"/>
        </w:rPr>
        <w:t xml:space="preserve"> 1 人驻场服务，</w:t>
      </w:r>
      <w:r>
        <w:rPr>
          <w:rFonts w:hint="eastAsia" w:ascii="宋体" w:hAnsi="宋体" w:eastAsia="宋体" w:cs="宋体"/>
          <w:color w:val="auto"/>
          <w:spacing w:val="4"/>
          <w:sz w:val="24"/>
          <w:szCs w:val="24"/>
          <w:lang w:val="en-US" w:eastAsia="zh-CN"/>
        </w:rPr>
        <w:t>具体需求</w:t>
      </w:r>
      <w:r>
        <w:rPr>
          <w:rFonts w:hint="eastAsia" w:ascii="宋体" w:hAnsi="宋体" w:eastAsia="宋体" w:cs="宋体"/>
          <w:color w:val="auto"/>
          <w:spacing w:val="4"/>
          <w:sz w:val="24"/>
          <w:szCs w:val="24"/>
          <w:lang w:val="en-US" w:eastAsia="zh-Hans"/>
        </w:rPr>
        <w:t>按采购人的实际要求执行</w:t>
      </w:r>
      <w:r>
        <w:rPr>
          <w:rFonts w:hint="eastAsia" w:ascii="宋体" w:hAnsi="宋体" w:eastAsia="宋体" w:cs="宋体"/>
          <w:color w:val="auto"/>
          <w:spacing w:val="4"/>
          <w:sz w:val="24"/>
          <w:szCs w:val="24"/>
          <w:lang w:val="en-US" w:eastAsia="zh-CN"/>
        </w:rPr>
        <w:t>，其他时期</w:t>
      </w:r>
      <w:r>
        <w:rPr>
          <w:rFonts w:hint="eastAsia" w:ascii="宋体" w:hAnsi="宋体" w:eastAsia="宋体" w:cs="宋体"/>
          <w:color w:val="auto"/>
          <w:spacing w:val="4"/>
          <w:sz w:val="24"/>
          <w:szCs w:val="24"/>
          <w:lang w:val="en-US" w:eastAsia="zh-Hans"/>
        </w:rPr>
        <w:t>包括但不限于</w:t>
      </w:r>
      <w:r>
        <w:rPr>
          <w:rFonts w:hint="eastAsia" w:ascii="宋体" w:hAnsi="宋体" w:eastAsia="宋体" w:cs="宋体"/>
          <w:color w:val="auto"/>
          <w:spacing w:val="4"/>
          <w:sz w:val="24"/>
          <w:szCs w:val="24"/>
          <w:lang w:val="en-US" w:eastAsia="zh-CN"/>
        </w:rPr>
        <w:t>节假日、等级勤务等采购方因工作需要提出的工作需求</w:t>
      </w:r>
      <w:r>
        <w:rPr>
          <w:rFonts w:hint="eastAsia" w:ascii="宋体" w:hAnsi="宋体" w:eastAsia="宋体" w:cs="宋体"/>
          <w:color w:val="auto"/>
          <w:spacing w:val="4"/>
          <w:sz w:val="24"/>
          <w:szCs w:val="24"/>
          <w:lang w:val="en-US" w:eastAsia="zh-Hans"/>
        </w:rPr>
        <w:t>。工作日</w:t>
      </w:r>
      <w:r>
        <w:rPr>
          <w:rFonts w:hint="eastAsia" w:ascii="宋体" w:hAnsi="宋体" w:eastAsia="宋体" w:cs="宋体"/>
          <w:color w:val="auto"/>
          <w:spacing w:val="4"/>
          <w:sz w:val="24"/>
          <w:szCs w:val="24"/>
          <w:lang w:val="en-US" w:eastAsia="zh-CN"/>
        </w:rPr>
        <w:t>提供不少于10</w:t>
      </w:r>
      <w:r>
        <w:rPr>
          <w:rFonts w:hint="eastAsia" w:ascii="宋体" w:hAnsi="宋体" w:eastAsia="宋体" w:cs="宋体"/>
          <w:color w:val="auto"/>
          <w:spacing w:val="4"/>
          <w:sz w:val="24"/>
          <w:szCs w:val="24"/>
          <w:lang w:val="en-US" w:eastAsia="zh-Hans"/>
        </w:rPr>
        <w:t>小时驻场</w:t>
      </w:r>
      <w:r>
        <w:rPr>
          <w:rFonts w:hint="eastAsia" w:ascii="宋体" w:hAnsi="宋体" w:eastAsia="宋体" w:cs="宋体"/>
          <w:color w:val="auto"/>
          <w:spacing w:val="4"/>
          <w:sz w:val="24"/>
          <w:szCs w:val="24"/>
          <w:lang w:val="en-US" w:eastAsia="zh-CN"/>
        </w:rPr>
        <w:t>服务</w:t>
      </w:r>
      <w:r>
        <w:rPr>
          <w:rFonts w:hint="eastAsia" w:ascii="宋体" w:hAnsi="宋体" w:eastAsia="宋体" w:cs="宋体"/>
          <w:color w:val="auto"/>
          <w:spacing w:val="4"/>
          <w:sz w:val="24"/>
          <w:szCs w:val="24"/>
          <w:lang w:val="en-US" w:eastAsia="zh-Hans"/>
        </w:rPr>
        <w:t>，</w:t>
      </w:r>
      <w:r>
        <w:rPr>
          <w:rFonts w:hint="eastAsia" w:ascii="宋体" w:hAnsi="宋体" w:eastAsia="宋体" w:cs="宋体"/>
          <w:color w:val="auto"/>
          <w:spacing w:val="4"/>
          <w:sz w:val="24"/>
          <w:szCs w:val="24"/>
          <w:lang w:val="en-US" w:eastAsia="zh-CN"/>
        </w:rPr>
        <w:t>节假日</w:t>
      </w:r>
      <w:r>
        <w:rPr>
          <w:rFonts w:hint="eastAsia" w:ascii="宋体" w:hAnsi="宋体" w:eastAsia="宋体" w:cs="宋体"/>
          <w:color w:val="auto"/>
          <w:spacing w:val="4"/>
          <w:sz w:val="24"/>
          <w:szCs w:val="24"/>
          <w:lang w:val="en-US" w:eastAsia="zh-Hans"/>
        </w:rPr>
        <w:t>提供</w:t>
      </w:r>
      <w:r>
        <w:rPr>
          <w:rFonts w:hint="eastAsia" w:ascii="宋体" w:hAnsi="宋体" w:eastAsia="宋体" w:cs="宋体"/>
          <w:color w:val="auto"/>
          <w:spacing w:val="4"/>
          <w:sz w:val="24"/>
          <w:szCs w:val="24"/>
          <w:lang w:val="en-US" w:eastAsia="zh-CN"/>
        </w:rPr>
        <w:t>不少于8</w:t>
      </w:r>
      <w:r>
        <w:rPr>
          <w:rFonts w:hint="eastAsia" w:ascii="宋体" w:hAnsi="宋体" w:eastAsia="宋体" w:cs="宋体"/>
          <w:color w:val="auto"/>
          <w:spacing w:val="4"/>
          <w:sz w:val="24"/>
          <w:szCs w:val="24"/>
          <w:lang w:val="en-US" w:eastAsia="zh-Hans"/>
        </w:rPr>
        <w:t>小时服务</w:t>
      </w:r>
      <w:r>
        <w:rPr>
          <w:rFonts w:hint="eastAsia" w:ascii="宋体" w:hAnsi="宋体" w:eastAsia="宋体" w:cs="宋体"/>
          <w:color w:val="auto"/>
          <w:spacing w:val="4"/>
          <w:sz w:val="24"/>
          <w:szCs w:val="24"/>
          <w:lang w:val="en-US" w:eastAsia="zh-CN"/>
        </w:rPr>
        <w:t>，其他时间根据采购人要求确定</w:t>
      </w:r>
      <w:r>
        <w:rPr>
          <w:rFonts w:hint="eastAsia" w:ascii="宋体" w:hAnsi="宋体" w:eastAsia="宋体" w:cs="宋体"/>
          <w:color w:val="auto"/>
          <w:spacing w:val="4"/>
          <w:sz w:val="24"/>
          <w:szCs w:val="24"/>
          <w:lang w:val="en-US" w:eastAsia="zh-Hans"/>
        </w:rPr>
        <w:t>。</w:t>
      </w:r>
      <w:r>
        <w:rPr>
          <w:rFonts w:hint="eastAsia" w:ascii="宋体" w:hAnsi="宋体" w:eastAsia="宋体" w:cs="宋体"/>
          <w:color w:val="auto"/>
          <w:spacing w:val="4"/>
          <w:sz w:val="24"/>
          <w:szCs w:val="24"/>
          <w:lang w:val="en-US" w:eastAsia="zh-CN"/>
        </w:rPr>
        <w:t>超出的工作时长，采购方不再另外支付费用。驻场人员名单及相关资料，应在投标时一并提供。且中标后不得变更，如必须变更需按照相关约定执行。</w:t>
      </w:r>
    </w:p>
    <w:p>
      <w:pPr>
        <w:keepNext w:val="0"/>
        <w:keepLines w:val="0"/>
        <w:pageBreakBefore w:val="0"/>
        <w:widowControl w:val="0"/>
        <w:kinsoku/>
        <w:wordWrap/>
        <w:overflowPunct/>
        <w:topLinePunct w:val="0"/>
        <w:autoSpaceDE/>
        <w:autoSpaceDN/>
        <w:bidi w:val="0"/>
        <w:adjustRightInd/>
        <w:snapToGrid/>
        <w:spacing w:line="360" w:lineRule="auto"/>
        <w:ind w:left="0" w:right="0" w:firstLine="498"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b/>
          <w:bCs/>
          <w:color w:val="auto"/>
          <w:spacing w:val="4"/>
          <w:sz w:val="24"/>
          <w:szCs w:val="24"/>
          <w:lang w:val="en-US" w:eastAsia="zh-Hans"/>
        </w:rPr>
        <w:t>管理岗人员和职责</w:t>
      </w:r>
      <w:r>
        <w:rPr>
          <w:rFonts w:hint="eastAsia" w:ascii="宋体" w:hAnsi="宋体" w:eastAsia="宋体" w:cs="宋体"/>
          <w:b/>
          <w:bCs/>
          <w:color w:val="auto"/>
          <w:spacing w:val="4"/>
          <w:sz w:val="24"/>
          <w:szCs w:val="24"/>
          <w:lang w:val="en-US" w:eastAsia="zh-CN"/>
        </w:rPr>
        <w:t>：</w:t>
      </w:r>
      <w:r>
        <w:rPr>
          <w:rFonts w:hint="eastAsia" w:ascii="宋体" w:hAnsi="宋体" w:eastAsia="宋体" w:cs="宋体"/>
          <w:color w:val="auto"/>
          <w:spacing w:val="4"/>
          <w:sz w:val="24"/>
          <w:szCs w:val="24"/>
          <w:lang w:val="en-US" w:eastAsia="zh-Hans"/>
        </w:rPr>
        <w:t>驻场服务人员需要设技术负责人一名，应</w:t>
      </w:r>
      <w:r>
        <w:rPr>
          <w:rFonts w:hint="eastAsia" w:ascii="宋体" w:hAnsi="宋体" w:eastAsia="宋体" w:cs="宋体"/>
          <w:color w:val="auto"/>
          <w:spacing w:val="4"/>
          <w:sz w:val="24"/>
          <w:szCs w:val="24"/>
          <w:lang w:val="en-US" w:eastAsia="zh-CN"/>
        </w:rPr>
        <w:t>至少</w:t>
      </w:r>
      <w:r>
        <w:rPr>
          <w:rFonts w:hint="eastAsia" w:ascii="宋体" w:hAnsi="宋体" w:eastAsia="宋体" w:cs="宋体"/>
          <w:color w:val="auto"/>
          <w:spacing w:val="4"/>
          <w:sz w:val="24"/>
          <w:szCs w:val="24"/>
          <w:lang w:val="en-US" w:eastAsia="zh-Hans"/>
        </w:rPr>
        <w:t>具</w:t>
      </w:r>
      <w:r>
        <w:rPr>
          <w:rFonts w:hint="eastAsia" w:ascii="宋体" w:hAnsi="宋体" w:eastAsia="宋体" w:cs="宋体"/>
          <w:color w:val="auto"/>
          <w:spacing w:val="4"/>
          <w:sz w:val="24"/>
          <w:szCs w:val="24"/>
          <w:lang w:val="en-US" w:eastAsia="zh-CN"/>
        </w:rPr>
        <w:t>备可查询到的“</w:t>
      </w:r>
      <w:r>
        <w:rPr>
          <w:rFonts w:hint="eastAsia" w:ascii="宋体" w:hAnsi="宋体" w:eastAsia="宋体" w:cs="宋体"/>
          <w:color w:val="auto"/>
          <w:spacing w:val="4"/>
          <w:sz w:val="24"/>
          <w:szCs w:val="24"/>
          <w:lang w:val="en-US" w:eastAsia="zh-Hans"/>
        </w:rPr>
        <w:t>计算机技术与软件专业技术资格”</w:t>
      </w:r>
      <w:r>
        <w:rPr>
          <w:rFonts w:hint="eastAsia" w:ascii="宋体" w:hAnsi="宋体" w:eastAsia="宋体" w:cs="宋体"/>
          <w:color w:val="auto"/>
          <w:spacing w:val="4"/>
          <w:sz w:val="24"/>
          <w:szCs w:val="24"/>
          <w:lang w:val="en-US" w:eastAsia="zh-CN"/>
        </w:rPr>
        <w:t>中级以上技术水平资格。具有</w:t>
      </w:r>
      <w:r>
        <w:rPr>
          <w:rFonts w:hint="eastAsia" w:ascii="宋体" w:hAnsi="宋体" w:eastAsia="宋体" w:cs="宋体"/>
          <w:color w:val="auto"/>
          <w:spacing w:val="4"/>
          <w:sz w:val="24"/>
          <w:szCs w:val="24"/>
          <w:lang w:val="en-US" w:eastAsia="zh-Hans"/>
        </w:rPr>
        <w:t>技术及管理能力和突发事件处理经验，在运行维护服务中负责管理运行维护服务；</w:t>
      </w:r>
      <w:r>
        <w:rPr>
          <w:rFonts w:hint="eastAsia" w:ascii="宋体" w:hAnsi="宋体" w:eastAsia="宋体" w:cs="宋体"/>
          <w:color w:val="auto"/>
          <w:spacing w:val="4"/>
          <w:sz w:val="24"/>
          <w:szCs w:val="24"/>
          <w:lang w:val="en-US" w:eastAsia="zh-CN"/>
        </w:rPr>
        <w:t>能够</w:t>
      </w:r>
      <w:r>
        <w:rPr>
          <w:rFonts w:hint="eastAsia" w:ascii="宋体" w:hAnsi="宋体" w:eastAsia="宋体" w:cs="宋体"/>
          <w:color w:val="auto"/>
          <w:spacing w:val="4"/>
          <w:sz w:val="24"/>
          <w:szCs w:val="24"/>
          <w:lang w:val="en-US" w:eastAsia="zh-Hans"/>
        </w:rPr>
        <w:t>与需方建立顺畅的沟通渠道，准确地将需方的需求传递到运维团队；</w:t>
      </w:r>
      <w:r>
        <w:rPr>
          <w:rFonts w:hint="eastAsia" w:ascii="宋体" w:hAnsi="宋体" w:eastAsia="宋体" w:cs="宋体"/>
          <w:color w:val="auto"/>
          <w:spacing w:val="4"/>
          <w:sz w:val="24"/>
          <w:szCs w:val="24"/>
          <w:lang w:val="en-US" w:eastAsia="zh-CN"/>
        </w:rPr>
        <w:t>熟悉并执行</w:t>
      </w:r>
      <w:r>
        <w:rPr>
          <w:rFonts w:hint="eastAsia" w:ascii="宋体" w:hAnsi="宋体" w:eastAsia="宋体" w:cs="宋体"/>
          <w:color w:val="auto"/>
          <w:spacing w:val="4"/>
          <w:sz w:val="24"/>
          <w:szCs w:val="24"/>
          <w:lang w:val="en-US" w:eastAsia="zh-Hans"/>
        </w:rPr>
        <w:t>规划、检查运行维护服务的各个过程，对运行维护服务的策划、实施、检查、改进的范围、过程、信息安全和成果负责</w:t>
      </w:r>
      <w:r>
        <w:rPr>
          <w:rFonts w:hint="eastAsia" w:ascii="宋体" w:hAnsi="宋体" w:eastAsia="宋体" w:cs="宋体"/>
          <w:color w:val="auto"/>
          <w:spacing w:val="4"/>
          <w:sz w:val="24"/>
          <w:szCs w:val="24"/>
          <w:lang w:val="en-US" w:eastAsia="zh-CN"/>
        </w:rPr>
        <w:t>；能够独立完成总结、汇报、演示、培训等与职责相关的能力和技术水平。不能够满足工作要求的，采购方将按照驻场人员比例从总费用中扣除同比例费用。</w:t>
      </w:r>
    </w:p>
    <w:p>
      <w:pPr>
        <w:keepNext w:val="0"/>
        <w:keepLines w:val="0"/>
        <w:pageBreakBefore w:val="0"/>
        <w:widowControl w:val="0"/>
        <w:kinsoku/>
        <w:wordWrap/>
        <w:overflowPunct/>
        <w:topLinePunct w:val="0"/>
        <w:autoSpaceDE/>
        <w:autoSpaceDN/>
        <w:bidi w:val="0"/>
        <w:adjustRightInd/>
        <w:snapToGrid/>
        <w:spacing w:line="360" w:lineRule="auto"/>
        <w:ind w:left="0" w:right="0" w:firstLine="498"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b/>
          <w:bCs/>
          <w:color w:val="auto"/>
          <w:spacing w:val="4"/>
          <w:sz w:val="24"/>
          <w:szCs w:val="24"/>
          <w:lang w:val="en-US" w:eastAsia="zh-Hans"/>
        </w:rPr>
        <w:t>技术支持岗人员和职责：</w:t>
      </w:r>
      <w:r>
        <w:rPr>
          <w:rFonts w:hint="eastAsia" w:ascii="宋体" w:hAnsi="宋体" w:eastAsia="宋体" w:cs="宋体"/>
          <w:b w:val="0"/>
          <w:bCs w:val="0"/>
          <w:color w:val="auto"/>
          <w:spacing w:val="4"/>
          <w:sz w:val="24"/>
          <w:szCs w:val="24"/>
          <w:lang w:val="en-US" w:eastAsia="zh-CN"/>
        </w:rPr>
        <w:t>具备熟悉</w:t>
      </w:r>
      <w:r>
        <w:rPr>
          <w:rFonts w:hint="eastAsia" w:ascii="宋体" w:hAnsi="宋体" w:eastAsia="宋体" w:cs="宋体"/>
          <w:color w:val="auto"/>
          <w:spacing w:val="4"/>
          <w:sz w:val="24"/>
          <w:szCs w:val="24"/>
          <w:lang w:val="en-US" w:eastAsia="zh-Hans"/>
        </w:rPr>
        <w:t>网络、操作系统、数据库、中间件、应用开发、硬件、集成、信息安全</w:t>
      </w:r>
      <w:r>
        <w:rPr>
          <w:rFonts w:hint="eastAsia" w:ascii="宋体" w:hAnsi="宋体" w:eastAsia="宋体" w:cs="宋体"/>
          <w:color w:val="auto"/>
          <w:spacing w:val="4"/>
          <w:sz w:val="24"/>
          <w:szCs w:val="24"/>
          <w:lang w:val="en-US" w:eastAsia="zh-CN"/>
        </w:rPr>
        <w:t>等相关知识及操作命令，并能够熟练执行相关操作；具备培训驻场人员业务的能力。</w:t>
      </w:r>
      <w:r>
        <w:rPr>
          <w:rFonts w:hint="eastAsia" w:ascii="宋体" w:hAnsi="宋体" w:eastAsia="宋体" w:cs="宋体"/>
          <w:color w:val="auto"/>
          <w:spacing w:val="4"/>
          <w:sz w:val="24"/>
          <w:szCs w:val="24"/>
          <w:lang w:val="en-US" w:eastAsia="zh-Hans"/>
        </w:rPr>
        <w:t>在运行维护服务中负责技术支持，包括网络、操作系统、数据库、中间件、应用开发、硬件、集成、信息安全等；对运行维护服务过程中的请求、事件和问题做出响应，保障信息安全并对处理结果负责。</w:t>
      </w:r>
    </w:p>
    <w:p>
      <w:pPr>
        <w:keepNext w:val="0"/>
        <w:keepLines w:val="0"/>
        <w:pageBreakBefore w:val="0"/>
        <w:widowControl w:val="0"/>
        <w:kinsoku/>
        <w:wordWrap/>
        <w:overflowPunct/>
        <w:topLinePunct w:val="0"/>
        <w:autoSpaceDE/>
        <w:autoSpaceDN/>
        <w:bidi w:val="0"/>
        <w:adjustRightInd/>
        <w:snapToGrid/>
        <w:spacing w:line="360" w:lineRule="auto"/>
        <w:ind w:left="0" w:right="0" w:firstLine="498"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b/>
          <w:bCs/>
          <w:color w:val="auto"/>
          <w:spacing w:val="4"/>
          <w:sz w:val="24"/>
          <w:szCs w:val="24"/>
          <w:lang w:val="en-US" w:eastAsia="zh-Hans"/>
        </w:rPr>
        <w:t>操作岗人员和职责：</w:t>
      </w:r>
      <w:r>
        <w:rPr>
          <w:rFonts w:hint="eastAsia" w:ascii="宋体" w:hAnsi="宋体" w:eastAsia="宋体" w:cs="宋体"/>
          <w:b w:val="0"/>
          <w:bCs w:val="0"/>
          <w:color w:val="auto"/>
          <w:spacing w:val="4"/>
          <w:sz w:val="24"/>
          <w:szCs w:val="24"/>
          <w:lang w:val="en-US" w:eastAsia="zh-CN"/>
        </w:rPr>
        <w:t>具备熟悉</w:t>
      </w:r>
      <w:r>
        <w:rPr>
          <w:rFonts w:hint="eastAsia" w:ascii="宋体" w:hAnsi="宋体" w:eastAsia="宋体" w:cs="宋体"/>
          <w:color w:val="auto"/>
          <w:spacing w:val="4"/>
          <w:sz w:val="24"/>
          <w:szCs w:val="24"/>
          <w:lang w:val="en-US" w:eastAsia="zh-Hans"/>
        </w:rPr>
        <w:t>网络、操作系统、数据库、中间件、应用开发、硬件、集成、信息安全</w:t>
      </w:r>
      <w:r>
        <w:rPr>
          <w:rFonts w:hint="eastAsia" w:ascii="宋体" w:hAnsi="宋体" w:eastAsia="宋体" w:cs="宋体"/>
          <w:color w:val="auto"/>
          <w:spacing w:val="4"/>
          <w:sz w:val="24"/>
          <w:szCs w:val="24"/>
          <w:lang w:val="en-US" w:eastAsia="zh-CN"/>
        </w:rPr>
        <w:t>等相关知识及操作命令，并能够熟练执行相关操作；对上述内容产生的报错、故障代码、故障现象能够掌握故障原理，提出解决意见，实施解决方案。</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CN"/>
        </w:rPr>
        <w:t>能够严格按照法律法规、厂家操作手册、系统相关资料、现行技术方法完成运维服务全过程。</w:t>
      </w:r>
      <w:r>
        <w:rPr>
          <w:rFonts w:hint="eastAsia" w:ascii="宋体" w:hAnsi="宋体" w:eastAsia="宋体" w:cs="宋体"/>
          <w:color w:val="auto"/>
          <w:spacing w:val="4"/>
          <w:sz w:val="24"/>
          <w:szCs w:val="24"/>
          <w:lang w:val="en-US" w:eastAsia="zh-Hans"/>
        </w:rPr>
        <w:t>并对其执行结果负责。</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Hans"/>
        </w:rPr>
        <w:t>供方应建立运行维护服务相关的人员储备计划和</w:t>
      </w:r>
      <w:r>
        <w:rPr>
          <w:rFonts w:hint="eastAsia" w:ascii="宋体" w:hAnsi="宋体" w:eastAsia="宋体" w:cs="宋体"/>
          <w:color w:val="auto"/>
          <w:spacing w:val="4"/>
          <w:sz w:val="24"/>
          <w:szCs w:val="24"/>
          <w:lang w:val="en-US" w:eastAsia="zh-CN"/>
        </w:rPr>
        <w:t>考评、淘汰</w:t>
      </w:r>
      <w:r>
        <w:rPr>
          <w:rFonts w:hint="eastAsia" w:ascii="宋体" w:hAnsi="宋体" w:eastAsia="宋体" w:cs="宋体"/>
          <w:color w:val="auto"/>
          <w:spacing w:val="4"/>
          <w:sz w:val="24"/>
          <w:szCs w:val="24"/>
          <w:lang w:val="en-US" w:eastAsia="zh-Hans"/>
        </w:rPr>
        <w:t>机制，确保有足够的人员以满足与需方约定的当前和未来的运行维护服务需求</w:t>
      </w:r>
      <w:r>
        <w:rPr>
          <w:rFonts w:hint="eastAsia" w:ascii="宋体" w:hAnsi="宋体" w:eastAsia="宋体" w:cs="宋体"/>
          <w:color w:val="auto"/>
          <w:spacing w:val="4"/>
          <w:sz w:val="24"/>
          <w:szCs w:val="24"/>
          <w:lang w:val="en-US" w:eastAsia="zh-CN"/>
        </w:rPr>
        <w:t>及服务能力</w:t>
      </w:r>
      <w:r>
        <w:rPr>
          <w:rFonts w:hint="eastAsia" w:ascii="宋体" w:hAnsi="宋体" w:eastAsia="宋体" w:cs="宋体"/>
          <w:color w:val="auto"/>
          <w:spacing w:val="4"/>
          <w:sz w:val="24"/>
          <w:szCs w:val="24"/>
          <w:lang w:val="en-US" w:eastAsia="zh-Hans"/>
        </w:rPr>
        <w:t>；应建立运行</w:t>
      </w:r>
      <w:r>
        <w:rPr>
          <w:rFonts w:hint="eastAsia" w:ascii="宋体" w:hAnsi="宋体" w:eastAsia="宋体" w:cs="宋体"/>
          <w:color w:val="auto"/>
          <w:spacing w:val="4"/>
          <w:sz w:val="24"/>
          <w:szCs w:val="24"/>
          <w:lang w:val="en-US" w:eastAsia="zh-CN"/>
        </w:rPr>
        <w:t>可辨识的</w:t>
      </w:r>
      <w:r>
        <w:rPr>
          <w:rFonts w:hint="eastAsia" w:ascii="宋体" w:hAnsi="宋体" w:eastAsia="宋体" w:cs="宋体"/>
          <w:color w:val="auto"/>
          <w:spacing w:val="4"/>
          <w:sz w:val="24"/>
          <w:szCs w:val="24"/>
          <w:lang w:val="en-US" w:eastAsia="zh-Hans"/>
        </w:rPr>
        <w:t>维护服务相关的培训体系或机制，</w:t>
      </w:r>
      <w:r>
        <w:rPr>
          <w:rFonts w:hint="eastAsia" w:ascii="宋体" w:hAnsi="宋体" w:eastAsia="宋体" w:cs="宋体"/>
          <w:color w:val="auto"/>
          <w:spacing w:val="4"/>
          <w:sz w:val="24"/>
          <w:szCs w:val="24"/>
          <w:lang w:val="en-US" w:eastAsia="zh-CN"/>
        </w:rPr>
        <w:t>以现行的法律法规、国家标准、行业准则、行业技术要求进行定期培训，并书面提交给采购方。</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为避免恶意竞争，投标方应就报价的合理性作出说明，并同时提供驻场人员、技术支持人员名单。</w:t>
      </w:r>
      <w:r>
        <w:rPr>
          <w:rFonts w:hint="eastAsia" w:ascii="宋体" w:hAnsi="宋体" w:eastAsia="宋体" w:cs="宋体"/>
          <w:color w:val="auto"/>
          <w:spacing w:val="4"/>
          <w:sz w:val="24"/>
          <w:szCs w:val="24"/>
          <w:lang w:val="en-US" w:eastAsia="zh-Hans"/>
        </w:rPr>
        <w:t>成交供应商派驻本项目的运维服务人员应保持人员队伍的稳定，如有变更，必须提前 1 个月向采购人提出申请，</w:t>
      </w:r>
      <w:r>
        <w:rPr>
          <w:rFonts w:hint="eastAsia" w:ascii="宋体" w:hAnsi="宋体" w:eastAsia="宋体" w:cs="宋体"/>
          <w:color w:val="auto"/>
          <w:spacing w:val="4"/>
          <w:sz w:val="24"/>
          <w:szCs w:val="24"/>
          <w:lang w:val="en-US" w:eastAsia="zh-CN"/>
        </w:rPr>
        <w:t>且变更人员应具备可查询到的“</w:t>
      </w:r>
      <w:r>
        <w:rPr>
          <w:rFonts w:hint="eastAsia" w:ascii="宋体" w:hAnsi="宋体" w:eastAsia="宋体" w:cs="宋体"/>
          <w:color w:val="auto"/>
          <w:spacing w:val="4"/>
          <w:sz w:val="24"/>
          <w:szCs w:val="24"/>
          <w:lang w:val="en-US" w:eastAsia="zh-Hans"/>
        </w:rPr>
        <w:t>计算机技术与软件专业技术资格”</w:t>
      </w:r>
      <w:r>
        <w:rPr>
          <w:rFonts w:hint="eastAsia" w:ascii="宋体" w:hAnsi="宋体" w:eastAsia="宋体" w:cs="宋体"/>
          <w:color w:val="auto"/>
          <w:spacing w:val="4"/>
          <w:sz w:val="24"/>
          <w:szCs w:val="24"/>
          <w:lang w:val="en-US" w:eastAsia="zh-CN"/>
        </w:rPr>
        <w:t>“中级以上技术水平资格”，</w:t>
      </w:r>
      <w:r>
        <w:rPr>
          <w:rFonts w:hint="eastAsia" w:ascii="宋体" w:hAnsi="宋体" w:eastAsia="宋体" w:cs="宋体"/>
          <w:color w:val="auto"/>
          <w:spacing w:val="4"/>
          <w:sz w:val="24"/>
          <w:szCs w:val="24"/>
          <w:lang w:val="en-US" w:eastAsia="zh-Hans"/>
        </w:rPr>
        <w:t>并提供人员变更承诺函，保证人员满足相关 要求，人员变更申请需经采购人书面同意，方可执行</w:t>
      </w:r>
      <w:r>
        <w:rPr>
          <w:rFonts w:hint="eastAsia" w:ascii="宋体" w:hAnsi="宋体" w:eastAsia="宋体" w:cs="宋体"/>
          <w:color w:val="auto"/>
          <w:spacing w:val="4"/>
          <w:sz w:val="24"/>
          <w:szCs w:val="24"/>
          <w:lang w:val="en-US" w:eastAsia="zh-CN"/>
        </w:rPr>
        <w:t>。否则，采购方将按照中标时驻场人员的比例，同比例从总费用中扣除。</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bookmarkStart w:id="14" w:name="_Toc1432135948"/>
      <w:r>
        <w:rPr>
          <w:rFonts w:hint="eastAsia" w:ascii="宋体" w:hAnsi="宋体" w:eastAsia="宋体" w:cs="宋体"/>
          <w:color w:val="auto"/>
          <w:spacing w:val="4"/>
          <w:sz w:val="24"/>
          <w:szCs w:val="24"/>
          <w:lang w:val="en-US" w:eastAsia="zh-Hans"/>
        </w:rPr>
        <w:t>3、资源要求</w:t>
      </w:r>
      <w:bookmarkEnd w:id="14"/>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运维工具：a)监控工具，对运行维护服务对象进行数据的采集和监控，评估可能导致运行维护服务对象故障的因素；b) 专用工具， 根据服务要求配备的安全工具和用于特殊要求的工具。</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419" w:firstLineChars="169"/>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投标人应使用具有自主知识产权的运维管理工具，能够通过运维管理工具形成整个运维工作记录的闭环；不具有自主知识产权的工具，应采购符合国家法律法规、行业要求，能够满足采购方工作需要的具有知识产权的正版软件。</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bookmarkStart w:id="15" w:name="_Toc912162460"/>
      <w:r>
        <w:rPr>
          <w:rFonts w:hint="eastAsia" w:ascii="宋体" w:hAnsi="宋体" w:eastAsia="宋体" w:cs="宋体"/>
          <w:color w:val="auto"/>
          <w:spacing w:val="4"/>
          <w:sz w:val="24"/>
          <w:szCs w:val="24"/>
          <w:lang w:val="en-US" w:eastAsia="zh-Hans"/>
        </w:rPr>
        <w:t>4、技术要求</w:t>
      </w:r>
      <w:bookmarkEnd w:id="15"/>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与发现问题相关的技术：a) 具有信息采集和监控的手段；b) 具有诊断和分析问题的方法。</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与解决问题相关的技术：a)与解决问题相关的技术；b) 解决问题的方案或手册；c) 测试环境、测试标准和方法。</w:t>
      </w:r>
    </w:p>
    <w:p>
      <w:pPr>
        <w:pStyle w:val="2"/>
        <w:keepNext w:val="0"/>
        <w:keepLines w:val="0"/>
        <w:pageBreakBefore w:val="0"/>
        <w:widowControl w:val="0"/>
        <w:kinsoku/>
        <w:wordWrap/>
        <w:overflowPunct/>
        <w:topLinePunct w:val="0"/>
        <w:autoSpaceDE/>
        <w:autoSpaceDN/>
        <w:bidi w:val="0"/>
        <w:adjustRightInd/>
        <w:snapToGrid/>
        <w:spacing w:line="360" w:lineRule="auto"/>
        <w:ind w:left="119"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投标方使用的相关技术，能够通过运维软件实现灵活的监控与部署，应具备对硬件、软件、程序、任务、网络等运维的要求，实现故障的及时发现与提醒。</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bookmarkStart w:id="16" w:name="_Toc1976192934"/>
      <w:r>
        <w:rPr>
          <w:rFonts w:hint="eastAsia" w:ascii="宋体" w:hAnsi="宋体" w:eastAsia="宋体" w:cs="宋体"/>
          <w:color w:val="auto"/>
          <w:spacing w:val="4"/>
          <w:sz w:val="24"/>
          <w:szCs w:val="24"/>
          <w:lang w:val="en-US" w:eastAsia="zh-Hans"/>
        </w:rPr>
        <w:t>5、过程要求</w:t>
      </w:r>
      <w:bookmarkEnd w:id="16"/>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服务报告：a) 与服务报告过程一致的活动，包括建立、审批、分发、归档等；b) 服务报告计划，包括提交方式、时间、需方接收对象等；c) 服务报告模板，包括格式、提纲等。</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Hans"/>
        </w:rPr>
        <w:t>信息安全管理：a) 符合相关法律法规的规定，满足需方对运行维护服务过程的信息安全需求和供方本身信息安全需求；b) 建立与信息安全管理过程一致的活动，包括识别、评估、处置和改进等</w:t>
      </w:r>
      <w:r>
        <w:rPr>
          <w:rFonts w:hint="eastAsia" w:ascii="宋体" w:hAnsi="宋体" w:eastAsia="宋体" w:cs="宋体"/>
          <w:color w:val="auto"/>
          <w:spacing w:val="4"/>
          <w:sz w:val="24"/>
          <w:szCs w:val="24"/>
          <w:lang w:val="en-US" w:eastAsia="zh-CN"/>
        </w:rPr>
        <w:t>。</w:t>
      </w:r>
    </w:p>
    <w:p>
      <w:pPr>
        <w:pStyle w:val="10"/>
        <w:keepNext w:val="0"/>
        <w:keepLines w:val="0"/>
        <w:pageBreakBefore w:val="0"/>
        <w:widowControl w:val="0"/>
        <w:kinsoku/>
        <w:wordWrap/>
        <w:overflowPunct/>
        <w:topLinePunct w:val="0"/>
        <w:autoSpaceDE/>
        <w:autoSpaceDN/>
        <w:bidi w:val="0"/>
        <w:adjustRightInd/>
        <w:snapToGrid w:val="0"/>
        <w:spacing w:line="360" w:lineRule="auto"/>
        <w:ind w:firstLine="496" w:firstLineChars="200"/>
        <w:textAlignment w:val="auto"/>
        <w:rPr>
          <w:rFonts w:hint="default"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投标方应通过信息系统实现运维工作的无缝衔接，确保不因人员交接班、岗位调整、调休等因素造成延误及管理漏洞，并能够完整记录整个运维过程，形成工作闭环。其它人工记录日志等，仅作为参考。</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Hans"/>
        </w:rPr>
      </w:pPr>
      <w:bookmarkStart w:id="17" w:name="_Toc31260"/>
      <w:bookmarkStart w:id="18" w:name="_Toc892557236"/>
      <w:r>
        <w:rPr>
          <w:rFonts w:hint="eastAsia" w:ascii="宋体" w:hAnsi="宋体" w:eastAsia="宋体" w:cs="宋体"/>
          <w:color w:val="auto"/>
          <w:spacing w:val="4"/>
          <w:kern w:val="2"/>
          <w:sz w:val="24"/>
          <w:szCs w:val="24"/>
          <w:lang w:val="en-US" w:eastAsia="zh-CN" w:bidi="ar-SA"/>
        </w:rPr>
        <w:t>6</w:t>
      </w:r>
      <w:r>
        <w:rPr>
          <w:rFonts w:hint="eastAsia" w:ascii="宋体" w:hAnsi="宋体" w:eastAsia="宋体" w:cs="宋体"/>
          <w:color w:val="auto"/>
          <w:spacing w:val="4"/>
          <w:kern w:val="2"/>
          <w:sz w:val="24"/>
          <w:szCs w:val="24"/>
          <w:lang w:val="en-US" w:eastAsia="zh-Hans" w:bidi="ar-SA"/>
        </w:rPr>
        <w:t>、</w:t>
      </w:r>
      <w:r>
        <w:rPr>
          <w:rFonts w:hint="eastAsia" w:ascii="宋体" w:hAnsi="宋体" w:eastAsia="宋体" w:cs="宋体"/>
          <w:color w:val="auto"/>
          <w:spacing w:val="4"/>
          <w:sz w:val="24"/>
          <w:szCs w:val="24"/>
          <w:lang w:val="en-US" w:eastAsia="zh-Hans"/>
        </w:rPr>
        <w:t>其他</w:t>
      </w:r>
      <w:bookmarkEnd w:id="17"/>
      <w:bookmarkEnd w:id="18"/>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Hans"/>
        </w:rPr>
        <w:t>维护过程中所需要的一切日常办公设备及技术装备，由成交供应商自行负责。</w:t>
      </w:r>
      <w:r>
        <w:rPr>
          <w:rFonts w:hint="eastAsia" w:ascii="宋体" w:hAnsi="宋体" w:eastAsia="宋体" w:cs="宋体"/>
          <w:color w:val="auto"/>
          <w:spacing w:val="4"/>
          <w:sz w:val="24"/>
          <w:szCs w:val="24"/>
          <w:lang w:val="en-US" w:eastAsia="zh-CN"/>
        </w:rPr>
        <w:t>相关设备应符合国家法律法规、行业规范等要求，且必须经采购方批准才能进入办公场所。非办公场所设备，不得存储、传输采购方的任何资料。</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0"/>
        <w:rPr>
          <w:rFonts w:hint="eastAsia" w:ascii="宋体" w:hAnsi="宋体" w:eastAsia="宋体" w:cs="宋体"/>
          <w:color w:val="auto"/>
          <w:spacing w:val="4"/>
          <w:sz w:val="24"/>
          <w:szCs w:val="24"/>
          <w:lang w:val="en-US" w:eastAsia="zh-Hans"/>
        </w:rPr>
      </w:pPr>
      <w:bookmarkStart w:id="19" w:name="_Toc1036191157"/>
      <w:r>
        <w:rPr>
          <w:rFonts w:hint="eastAsia" w:ascii="宋体" w:hAnsi="宋体" w:eastAsia="宋体" w:cs="宋体"/>
          <w:color w:val="auto"/>
          <w:spacing w:val="4"/>
          <w:sz w:val="24"/>
          <w:szCs w:val="24"/>
          <w:lang w:val="en-US" w:eastAsia="zh-Hans"/>
        </w:rPr>
        <w:t>(三)其它要求</w:t>
      </w:r>
      <w:bookmarkEnd w:id="19"/>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1、成交供应商现场开展运维服务工作，应符合国家相关标准及采购人的要求。</w:t>
      </w:r>
      <w:r>
        <w:rPr>
          <w:rFonts w:hint="eastAsia" w:ascii="宋体" w:hAnsi="宋体" w:eastAsia="宋体" w:cs="宋体"/>
          <w:color w:val="auto"/>
          <w:spacing w:val="4"/>
          <w:sz w:val="24"/>
          <w:szCs w:val="24"/>
          <w:lang w:val="en-US" w:eastAsia="zh-CN"/>
        </w:rPr>
        <w:t>能够</w:t>
      </w:r>
      <w:r>
        <w:rPr>
          <w:rFonts w:hint="eastAsia" w:ascii="宋体" w:hAnsi="宋体" w:eastAsia="宋体" w:cs="宋体"/>
          <w:color w:val="auto"/>
          <w:spacing w:val="4"/>
          <w:sz w:val="24"/>
          <w:szCs w:val="24"/>
          <w:lang w:val="en-US" w:eastAsia="zh-Hans"/>
        </w:rPr>
        <w:t>实施较为系统的运维服务能力管理，并形成了较为完善的人员、过程、技术和资源方面的管理制度，且得到有效实施。</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lang w:val="en-US" w:eastAsia="zh-Hans"/>
        </w:rPr>
        <w:t>、成交供应商必须配合采购人积极参与对其派驻工程师的监督和管理，遵守采购人的相关规章制度。</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3</w:t>
      </w:r>
      <w:r>
        <w:rPr>
          <w:rFonts w:hint="eastAsia" w:ascii="宋体" w:hAnsi="宋体" w:eastAsia="宋体" w:cs="宋体"/>
          <w:color w:val="auto"/>
          <w:spacing w:val="4"/>
          <w:sz w:val="24"/>
          <w:szCs w:val="24"/>
          <w:lang w:val="en-US" w:eastAsia="zh-Hans"/>
        </w:rPr>
        <w:t>、如因成交供应商运维工程师而发生安全问题，采购人有权做出相应处理，直至终止合同并追究成交供应商的相应责任。</w:t>
      </w:r>
      <w:r>
        <w:rPr>
          <w:rFonts w:hint="eastAsia" w:ascii="宋体" w:hAnsi="宋体" w:eastAsia="宋体" w:cs="宋体"/>
          <w:color w:val="auto"/>
          <w:spacing w:val="4"/>
          <w:sz w:val="24"/>
          <w:szCs w:val="24"/>
          <w:lang w:val="en-US" w:eastAsia="zh-CN"/>
        </w:rPr>
        <w:t>因安全问题造成业务中断、社会负面影响，投标方应承担相关消除影响的费用、经济损失。</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4</w:t>
      </w:r>
      <w:r>
        <w:rPr>
          <w:rFonts w:hint="eastAsia" w:ascii="宋体" w:hAnsi="宋体" w:eastAsia="宋体" w:cs="宋体"/>
          <w:color w:val="auto"/>
          <w:spacing w:val="4"/>
          <w:sz w:val="24"/>
          <w:szCs w:val="24"/>
          <w:lang w:val="en-US" w:eastAsia="zh-Hans"/>
        </w:rPr>
        <w:t>、如发现成交供应商运维工程师工作上有弄虚作假情况，采购人有权做出相应处理，直至终止合同并追究成交供应商相应的责任。</w:t>
      </w:r>
      <w:r>
        <w:rPr>
          <w:rFonts w:hint="eastAsia" w:ascii="宋体" w:hAnsi="宋体" w:eastAsia="宋体" w:cs="宋体"/>
          <w:color w:val="auto"/>
          <w:spacing w:val="4"/>
          <w:sz w:val="24"/>
          <w:szCs w:val="24"/>
          <w:lang w:val="en-US" w:eastAsia="zh-CN"/>
        </w:rPr>
        <w:t>对尚不构成违法犯罪的，采购方以发现之日起回溯至本年度入职之日，期间该工程师的相关费用按比例扣除；构成犯罪的，采购人应终止合同履行，且投标方应就犯罪造成的经济损失、社会影响予以赔偿与消除。</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CN"/>
        </w:rPr>
        <w:t>5</w:t>
      </w:r>
      <w:r>
        <w:rPr>
          <w:rFonts w:hint="eastAsia" w:ascii="宋体" w:hAnsi="宋体" w:eastAsia="宋体" w:cs="宋体"/>
          <w:color w:val="auto"/>
          <w:spacing w:val="4"/>
          <w:sz w:val="24"/>
          <w:szCs w:val="24"/>
          <w:lang w:val="en-US" w:eastAsia="zh-Hans"/>
        </w:rPr>
        <w:t>、成交供应商未经采购人同意，不得将所接触到的相关技术或业务资料、 数据用作其他用途或以任何形式向第三方泄露，</w:t>
      </w:r>
      <w:r>
        <w:rPr>
          <w:rFonts w:hint="eastAsia" w:ascii="宋体" w:hAnsi="宋体" w:eastAsia="宋体" w:cs="宋体"/>
          <w:color w:val="auto"/>
          <w:spacing w:val="4"/>
          <w:sz w:val="24"/>
          <w:szCs w:val="24"/>
          <w:lang w:val="en-US" w:eastAsia="zh-CN"/>
        </w:rPr>
        <w:t>如遇泄露问题是可直接终止合同，根据情况进行起诉。</w:t>
      </w:r>
      <w:r>
        <w:rPr>
          <w:rFonts w:hint="eastAsia" w:ascii="宋体" w:hAnsi="宋体" w:eastAsia="宋体" w:cs="宋体"/>
          <w:color w:val="auto"/>
          <w:spacing w:val="4"/>
          <w:sz w:val="24"/>
          <w:szCs w:val="24"/>
          <w:lang w:val="en-US" w:eastAsia="zh-Hans"/>
        </w:rPr>
        <w:t>同时成交供应商需承担由此引起的法律责任和采购人的泄密损失。</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CN"/>
        </w:rPr>
        <w:t>6</w:t>
      </w:r>
      <w:r>
        <w:rPr>
          <w:rFonts w:hint="eastAsia" w:ascii="宋体" w:hAnsi="宋体" w:eastAsia="宋体" w:cs="宋体"/>
          <w:color w:val="auto"/>
          <w:spacing w:val="4"/>
          <w:sz w:val="24"/>
          <w:szCs w:val="24"/>
          <w:lang w:val="en-US" w:eastAsia="zh-Hans"/>
        </w:rPr>
        <w:t>、成交供应商</w:t>
      </w:r>
      <w:r>
        <w:rPr>
          <w:rFonts w:hint="eastAsia" w:ascii="宋体" w:hAnsi="宋体" w:eastAsia="宋体" w:cs="宋体"/>
          <w:color w:val="auto"/>
          <w:spacing w:val="4"/>
          <w:sz w:val="24"/>
          <w:szCs w:val="24"/>
          <w:lang w:val="en-US" w:eastAsia="zh-CN"/>
        </w:rPr>
        <w:t>及</w:t>
      </w:r>
      <w:r>
        <w:rPr>
          <w:rFonts w:hint="eastAsia" w:ascii="宋体" w:hAnsi="宋体" w:eastAsia="宋体" w:cs="宋体"/>
          <w:color w:val="auto"/>
          <w:spacing w:val="4"/>
          <w:sz w:val="24"/>
          <w:szCs w:val="24"/>
          <w:lang w:val="en-US" w:eastAsia="zh-Hans"/>
        </w:rPr>
        <w:t>驻场服务人员工作上需要遵守采购人有关工作制度及保密制度</w:t>
      </w:r>
      <w:r>
        <w:rPr>
          <w:rFonts w:hint="eastAsia" w:ascii="宋体" w:hAnsi="宋体" w:eastAsia="宋体" w:cs="宋体"/>
          <w:color w:val="auto"/>
          <w:spacing w:val="4"/>
          <w:sz w:val="24"/>
          <w:szCs w:val="24"/>
          <w:lang w:val="en-US" w:eastAsia="zh-CN"/>
        </w:rPr>
        <w:t>，</w:t>
      </w:r>
      <w:r>
        <w:rPr>
          <w:rFonts w:hint="eastAsia" w:ascii="宋体" w:hAnsi="宋体" w:eastAsia="宋体" w:cs="宋体"/>
          <w:color w:val="auto"/>
          <w:spacing w:val="4"/>
          <w:sz w:val="24"/>
          <w:szCs w:val="24"/>
          <w:lang w:val="en-US" w:eastAsia="zh-Hans"/>
        </w:rPr>
        <w:t>并与采购人签订保密协议。</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lang w:eastAsia="zh-CN"/>
        </w:rPr>
      </w:pPr>
      <w:r>
        <w:rPr>
          <w:rFonts w:hint="eastAsia" w:ascii="宋体" w:hAnsi="宋体" w:eastAsia="宋体" w:cs="宋体"/>
          <w:color w:val="auto"/>
          <w:spacing w:val="4"/>
          <w:sz w:val="24"/>
          <w:szCs w:val="24"/>
          <w:lang w:val="en-US" w:eastAsia="zh-CN"/>
        </w:rPr>
        <w:t>7、因项目特殊性和重要性，需到南阳市公安局交通管理支队机房现场考察、评估的请联系：</w:t>
      </w:r>
      <w:r>
        <w:rPr>
          <w:rFonts w:hint="eastAsia" w:ascii="宋体" w:hAnsi="宋体" w:eastAsia="宋体" w:cs="宋体"/>
          <w:b/>
          <w:bCs/>
          <w:color w:val="auto"/>
          <w:spacing w:val="4"/>
          <w:sz w:val="24"/>
          <w:szCs w:val="24"/>
          <w:lang w:val="en-US" w:eastAsia="zh-CN"/>
        </w:rPr>
        <w:t>陈警官18537797289</w:t>
      </w:r>
      <w:r>
        <w:rPr>
          <w:rFonts w:hint="eastAsia" w:ascii="宋体" w:hAnsi="宋体" w:eastAsia="宋体" w:cs="宋体"/>
          <w:color w:val="auto"/>
          <w:spacing w:val="4"/>
          <w:sz w:val="24"/>
          <w:szCs w:val="24"/>
          <w:lang w:val="en-US" w:eastAsia="zh-CN"/>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val="en-US" w:eastAsia="zh-CN"/>
        </w:rPr>
        <w:t>:</w:t>
      </w:r>
      <w:r>
        <w:rPr>
          <w:rFonts w:hint="eastAsia" w:ascii="宋体" w:hAnsi="宋体" w:eastAsia="宋体" w:cs="宋体"/>
          <w:b w:val="0"/>
          <w:bCs w:val="0"/>
          <w:color w:val="auto"/>
          <w:spacing w:val="4"/>
          <w:sz w:val="24"/>
          <w:szCs w:val="24"/>
          <w:lang w:val="en-US" w:eastAsia="zh-CN"/>
        </w:rPr>
        <w:t>南阳地区采购人指定驻场地点</w:t>
      </w:r>
      <w:r>
        <w:rPr>
          <w:rFonts w:hint="eastAsia" w:cs="宋体"/>
          <w:b w:val="0"/>
          <w:bCs w:val="0"/>
          <w:color w:val="auto"/>
          <w:spacing w:val="4"/>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default"/>
          <w:lang w:val="en-US" w:eastAsia="zh-CN"/>
        </w:rPr>
      </w:pPr>
      <w:r>
        <w:rPr>
          <w:rFonts w:hint="eastAsia" w:ascii="宋体" w:hAnsi="宋体" w:eastAsia="宋体" w:cs="宋体"/>
          <w:color w:val="auto"/>
          <w:spacing w:val="4"/>
          <w:sz w:val="24"/>
          <w:szCs w:val="24"/>
          <w:lang w:val="en-US" w:eastAsia="zh-CN"/>
        </w:rPr>
        <w:t>2.</w:t>
      </w:r>
      <w:r>
        <w:rPr>
          <w:rFonts w:hint="eastAsia" w:asciiTheme="minorEastAsia" w:hAnsiTheme="minorEastAsia" w:eastAsiaTheme="minorEastAsia" w:cstheme="minorEastAsia"/>
          <w:snapToGrid w:val="0"/>
          <w:color w:val="000000"/>
          <w:spacing w:val="-1"/>
          <w:kern w:val="0"/>
          <w:sz w:val="24"/>
          <w:szCs w:val="24"/>
          <w:lang w:val="en-US" w:eastAsia="zh-CN" w:bidi="ar-SA"/>
        </w:rPr>
        <w:t>供应商应在响应文件中提交本项目服务的服务实施方案、需求分析、人员绩效考核方案、安全技术保障方案和应急预案等。</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3.投标人至少提供一名应具备“计算机技术与软件专业技术资格”中级以上技术水平的工程师。</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4.合同的签订：成交供应商收到市政府采购中心签发的《成交通知书》后及时与采购人签订政府采购合同；成交供应商不得转包政府采购合同。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5.服务期限：2年，合同一年一签，根据中标人第1年度维保服务质量，采购人确定是否与其续签第2年度合同，续签维保服务费用以第1年度中标金额为准。</w:t>
      </w:r>
    </w:p>
    <w:p>
      <w:pPr>
        <w:pStyle w:val="10"/>
        <w:ind w:firstLine="496" w:firstLineChars="200"/>
        <w:rPr>
          <w:rFonts w:hint="default" w:ascii="宋体" w:hAnsi="宋体" w:eastAsia="宋体" w:cs="宋体"/>
          <w:snapToGrid w:val="0"/>
          <w:color w:val="auto"/>
          <w:spacing w:val="4"/>
          <w:kern w:val="0"/>
          <w:sz w:val="24"/>
          <w:szCs w:val="24"/>
          <w:lang w:val="en-US" w:eastAsia="zh-CN" w:bidi="ar-SA"/>
        </w:rPr>
      </w:pPr>
      <w:r>
        <w:rPr>
          <w:rFonts w:hint="eastAsia" w:ascii="宋体" w:hAnsi="宋体" w:eastAsia="宋体" w:cs="宋体"/>
          <w:color w:val="auto"/>
          <w:spacing w:val="4"/>
          <w:sz w:val="24"/>
          <w:szCs w:val="24"/>
          <w:lang w:val="en-US" w:eastAsia="zh-CN"/>
        </w:rPr>
        <w:t>6.</w:t>
      </w:r>
      <w:r>
        <w:rPr>
          <w:rFonts w:hint="eastAsia" w:ascii="宋体" w:hAnsi="宋体" w:eastAsia="宋体" w:cs="宋体"/>
          <w:snapToGrid w:val="0"/>
          <w:color w:val="auto"/>
          <w:spacing w:val="4"/>
          <w:kern w:val="0"/>
          <w:sz w:val="24"/>
          <w:szCs w:val="24"/>
          <w:lang w:val="en-US" w:eastAsia="zh-CN" w:bidi="ar-SA"/>
        </w:rPr>
        <w:t>服务质量要求：供应商及其提供的服务应符合相关法律法规及本磋商文件要求，达到采购人满意。</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Theme="minorEastAsia" w:hAnsiTheme="minorEastAsia" w:eastAsiaTheme="minorEastAsia" w:cstheme="minorEastAsia"/>
          <w:spacing w:val="-2"/>
          <w:sz w:val="24"/>
          <w:szCs w:val="24"/>
          <w:lang w:val="en-US" w:eastAsia="zh-CN"/>
        </w:rPr>
      </w:pPr>
      <w:r>
        <w:rPr>
          <w:rFonts w:hint="eastAsia" w:ascii="宋体" w:hAnsi="宋体" w:eastAsia="宋体" w:cs="宋体"/>
          <w:color w:val="auto"/>
          <w:spacing w:val="4"/>
          <w:sz w:val="24"/>
          <w:szCs w:val="24"/>
          <w:lang w:val="en-US" w:eastAsia="zh-CN"/>
        </w:rPr>
        <w:t>7.验收方式：完成阶段服务或服务期满后，由采购人对服务的质量进行详细而全面的检验。检验合格后，由采购人组成的验收小组签署验收报告，作为付款的凭据之一。</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lang w:val="en-US" w:eastAsia="zh-CN"/>
        </w:rPr>
      </w:pPr>
      <w:r>
        <w:rPr>
          <w:rFonts w:hint="eastAsia" w:asciiTheme="minorEastAsia" w:hAnsiTheme="minorEastAsia" w:eastAsiaTheme="minorEastAsia" w:cstheme="minorEastAsia"/>
          <w:spacing w:val="-2"/>
          <w:sz w:val="24"/>
          <w:szCs w:val="24"/>
          <w:lang w:val="en-US" w:eastAsia="zh-CN"/>
        </w:rPr>
        <w:t>8.付款方式:</w:t>
      </w:r>
      <w:r>
        <w:rPr>
          <w:rFonts w:hint="eastAsia" w:ascii="宋体" w:hAnsi="宋体" w:eastAsia="宋体" w:cs="宋体"/>
          <w:snapToGrid w:val="0"/>
          <w:color w:val="auto"/>
          <w:spacing w:val="4"/>
          <w:kern w:val="0"/>
          <w:sz w:val="24"/>
          <w:szCs w:val="24"/>
          <w:lang w:val="en-US" w:eastAsia="zh-CN" w:bidi="ar-SA"/>
        </w:rPr>
        <w:t>以合同最终约定为准。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p>
      <w:pPr>
        <w:pStyle w:val="23"/>
        <w:bidi w:val="0"/>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2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pPr>
              <w:pStyle w:val="2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宋体" w:hAnsi="宋体" w:eastAsia="宋体" w:cs="宋体"/>
                <w:snapToGrid w:val="0"/>
                <w:color w:val="auto"/>
                <w:spacing w:val="4"/>
                <w:kern w:val="0"/>
                <w:sz w:val="24"/>
                <w:szCs w:val="24"/>
                <w:u w:val="single"/>
                <w:lang w:val="en-US" w:eastAsia="zh-CN" w:bidi="ar-SA"/>
              </w:rPr>
              <w:t xml:space="preserve">软件和信息技术服务业 </w:t>
            </w:r>
            <w:r>
              <w:rPr>
                <w:rFonts w:hint="eastAsia" w:ascii="宋体" w:hAnsi="宋体" w:eastAsia="宋体" w:cs="宋体"/>
                <w:snapToGrid w:val="0"/>
                <w:color w:val="auto"/>
                <w:spacing w:val="4"/>
                <w:kern w:val="0"/>
                <w:sz w:val="24"/>
                <w:szCs w:val="24"/>
                <w:lang w:val="en-US" w:eastAsia="zh-CN" w:bidi="ar-SA"/>
              </w:rPr>
              <w:t xml:space="preserve">  </w:t>
            </w:r>
          </w:p>
          <w:p>
            <w:pPr>
              <w:pStyle w:val="2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2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2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154.7594</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b w:val="0"/>
                <w:bCs/>
                <w:sz w:val="24"/>
                <w:szCs w:val="24"/>
                <w:lang w:val="en-US" w:eastAsia="zh-CN"/>
              </w:rPr>
              <w:t>万元/2年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7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7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3</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pStyle w:val="2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pPr>
              <w:pStyle w:val="22"/>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w:t>
            </w:r>
          </w:p>
        </w:tc>
      </w:tr>
    </w:tbl>
    <w:p>
      <w:pPr>
        <w:keepNext w:val="0"/>
        <w:keepLines w:val="0"/>
        <w:pageBreakBefore w:val="0"/>
        <w:kinsoku/>
        <w:wordWrap w:val="0"/>
        <w:overflowPunct/>
        <w:topLinePunct w:val="0"/>
        <w:bidi w:val="0"/>
        <w:spacing w:line="371" w:lineRule="auto"/>
        <w:jc w:val="both"/>
        <w:rPr>
          <w:rFonts w:ascii="Arial"/>
          <w:sz w:val="21"/>
        </w:rPr>
      </w:pPr>
    </w:p>
    <w:p>
      <w:pPr>
        <w:keepNext w:val="0"/>
        <w:keepLines w:val="0"/>
        <w:pageBreakBefore w:val="0"/>
        <w:kinsoku/>
        <w:wordWrap w:val="0"/>
        <w:overflowPunct/>
        <w:topLinePunct w:val="0"/>
        <w:bidi w:val="0"/>
        <w:spacing w:line="243" w:lineRule="auto"/>
        <w:jc w:val="both"/>
        <w:rPr>
          <w:rFonts w:ascii="Arial"/>
          <w:sz w:val="21"/>
        </w:rPr>
      </w:pPr>
    </w:p>
    <w:p>
      <w:pPr>
        <w:keepNext w:val="0"/>
        <w:keepLines w:val="0"/>
        <w:pageBreakBefore w:val="0"/>
        <w:kinsoku/>
        <w:wordWrap w:val="0"/>
        <w:overflowPunct/>
        <w:topLinePunct w:val="0"/>
        <w:bidi w:val="0"/>
        <w:spacing w:line="244" w:lineRule="auto"/>
        <w:jc w:val="both"/>
        <w:rPr>
          <w:rFonts w:ascii="Arial"/>
          <w:sz w:val="21"/>
        </w:rPr>
      </w:pPr>
    </w:p>
    <w:p>
      <w:pPr>
        <w:pStyle w:val="2"/>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pPr>
        <w:pStyle w:val="2"/>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154.7594</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lang w:val="en-US" w:eastAsia="zh-CN"/>
        </w:rPr>
        <w:t>4.2.1.3</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运维保障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pPr>
        <w:keepNext w:val="0"/>
        <w:keepLines w:val="0"/>
        <w:pageBreakBefore w:val="0"/>
        <w:kinsoku/>
        <w:wordWrap w:val="0"/>
        <w:overflowPunct/>
        <w:topLinePunct w:val="0"/>
        <w:bidi w:val="0"/>
        <w:spacing w:line="292" w:lineRule="auto"/>
        <w:jc w:val="both"/>
        <w:rPr>
          <w:rFonts w:ascii="Arial"/>
          <w:sz w:val="21"/>
        </w:rPr>
      </w:pPr>
    </w:p>
    <w:p>
      <w:pPr>
        <w:pStyle w:val="2"/>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pPr>
        <w:pStyle w:val="2"/>
        <w:keepNext w:val="0"/>
        <w:keepLines w:val="0"/>
        <w:pageBreakBefore w:val="0"/>
        <w:kinsoku/>
        <w:wordWrap w:val="0"/>
        <w:overflowPunct/>
        <w:topLinePunct w:val="0"/>
        <w:bidi w:val="0"/>
        <w:spacing w:before="179" w:line="220" w:lineRule="auto"/>
        <w:jc w:val="both"/>
        <w:rPr>
          <w:sz w:val="24"/>
          <w:szCs w:val="24"/>
        </w:rPr>
      </w:pPr>
    </w:p>
    <w:p>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文件应使用企业电子营业执照生成并在截止时间前上传其加密版本，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spacing w:val="-4"/>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rPr>
        <w:t>13.2 竞争性磋商文件要求盖章的内容，一般通过电子营业执照加盖电子签章。</w:t>
      </w:r>
    </w:p>
    <w:p>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电子营业执照应用平台系统在上传截止时间前完成制作软件生成的加密电子响应文件的上传。未在上传截止时间前完成上传的，视为逾期提交。逾期提交的响应文件不予受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eastAsia="宋体" w:asciiTheme="minorEastAsia" w:hAnsi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 xml:space="preserve">14.2 </w:t>
      </w:r>
      <w:r>
        <w:rPr>
          <w:rFonts w:hint="eastAsia" w:asciiTheme="minorEastAsia" w:hAnsiTheme="minorEastAsia" w:cstheme="minorEastAsia"/>
          <w:spacing w:val="3"/>
          <w:sz w:val="24"/>
        </w:rPr>
        <w:t>采购人及采购代理机构拒绝接受通过南阳市公共资源电子营业执照应用平台以外任何形式提交的</w:t>
      </w:r>
      <w:r>
        <w:rPr>
          <w:rFonts w:hint="eastAsia" w:eastAsia="宋体" w:asciiTheme="minorEastAsia" w:hAnsiTheme="minorEastAsia" w:cstheme="minorEastAsia"/>
          <w:spacing w:val="3"/>
          <w:sz w:val="24"/>
          <w:lang w:val="en-US" w:eastAsia="zh-CN"/>
        </w:rPr>
        <w:t>响应</w:t>
      </w:r>
      <w:r>
        <w:rPr>
          <w:rFonts w:hint="eastAsia" w:asciiTheme="minorEastAsia" w:hAnsiTheme="minorEastAsia" w:cstheme="minorEastAsia"/>
          <w:spacing w:val="3"/>
          <w:sz w:val="24"/>
        </w:rPr>
        <w:t>文件</w:t>
      </w:r>
      <w:r>
        <w:rPr>
          <w:rFonts w:hint="eastAsia" w:eastAsia="宋体" w:asciiTheme="minorEastAsia" w:hAnsiTheme="minorEastAsia" w:cstheme="minorEastAsia"/>
          <w:spacing w:val="3"/>
          <w:sz w:val="24"/>
          <w:lang w:eastAsia="zh-CN"/>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w:t>
      </w:r>
      <w:r>
        <w:rPr>
          <w:rFonts w:hint="eastAsia" w:asciiTheme="minorEastAsia" w:hAnsiTheme="minorEastAsia" w:cstheme="minorEastAsia"/>
          <w:spacing w:val="3"/>
          <w:sz w:val="24"/>
        </w:rPr>
        <w:t>电子营业执照应用平台</w:t>
      </w:r>
      <w:r>
        <w:rPr>
          <w:rFonts w:hint="eastAsia" w:asciiTheme="minorEastAsia" w:hAnsiTheme="minorEastAsia" w:eastAsiaTheme="minorEastAsia" w:cstheme="minorEastAsia"/>
          <w:snapToGrid w:val="0"/>
          <w:color w:val="000000"/>
          <w:spacing w:val="3"/>
          <w:kern w:val="0"/>
          <w:sz w:val="24"/>
          <w:szCs w:val="24"/>
          <w:lang w:val="en-US" w:eastAsia="zh-CN"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w:t>
      </w:r>
      <w:r>
        <w:rPr>
          <w:rFonts w:hint="eastAsia" w:asciiTheme="minorEastAsia" w:hAnsiTheme="minorEastAsia" w:cstheme="minorEastAsia"/>
          <w:spacing w:val="3"/>
          <w:sz w:val="24"/>
        </w:rPr>
        <w:t>电子营业执照应用平台</w:t>
      </w:r>
      <w:r>
        <w:rPr>
          <w:rFonts w:hint="eastAsia" w:asciiTheme="minorEastAsia" w:hAnsiTheme="minorEastAsia" w:eastAsiaTheme="minorEastAsia" w:cstheme="minorEastAsia"/>
          <w:snapToGrid w:val="0"/>
          <w:color w:val="000000"/>
          <w:spacing w:val="3"/>
          <w:kern w:val="0"/>
          <w:sz w:val="24"/>
          <w:szCs w:val="24"/>
          <w:lang w:val="en-US" w:eastAsia="zh-CN" w:bidi="ar-SA"/>
        </w:rPr>
        <w:t>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pPr>
        <w:pStyle w:val="2"/>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竞争性磋商文件经采购人书面确认后，将在指定媒体和南阳市公共资源交易中心网发布竞争性磋商公告。供应商按照公告和竞争性磋商文件要求制作并递交响应文件。</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电子营业执照扫码进行加密，供应商在解密前须自行检查电子营业执照的有效性。解密时未在开启响应文件时间后30分钟内进行解密成功的视为撤销其响应文件（因电子开标系统原因除外）。</w:t>
      </w: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21"/>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pPr>
              <w:pStyle w:val="2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pPr>
              <w:pStyle w:val="2"/>
              <w:rPr>
                <w:rFonts w:hint="eastAsia"/>
              </w:rPr>
            </w:pPr>
            <w:r>
              <w:rPr>
                <w:rFonts w:hint="eastAsia" w:ascii="宋体" w:hAnsi="宋体" w:eastAsia="宋体" w:cs="宋体"/>
                <w:color w:val="auto"/>
                <w:sz w:val="24"/>
                <w:szCs w:val="24"/>
                <w:lang w:val="en-US" w:eastAsia="zh-CN"/>
              </w:rPr>
              <w:t>8.本项目服务机构</w:t>
            </w:r>
            <w:r>
              <w:rPr>
                <w:rFonts w:hint="eastAsia" w:cs="宋体"/>
                <w:color w:val="auto"/>
                <w:sz w:val="24"/>
                <w:szCs w:val="24"/>
                <w:lang w:val="en-US" w:eastAsia="zh-CN"/>
              </w:rPr>
              <w:t>需提供</w:t>
            </w:r>
            <w:r>
              <w:rPr>
                <w:rFonts w:hint="eastAsia" w:ascii="宋体" w:hAnsi="宋体" w:eastAsia="宋体" w:cs="宋体"/>
                <w:color w:val="auto"/>
                <w:sz w:val="24"/>
                <w:szCs w:val="24"/>
                <w:lang w:val="en-US" w:eastAsia="zh-CN"/>
              </w:rPr>
              <w:t>中小企业声明函</w:t>
            </w:r>
          </w:p>
        </w:tc>
        <w:tc>
          <w:tcPr>
            <w:tcW w:w="2662"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pPr>
              <w:pStyle w:val="22"/>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pPr>
              <w:spacing w:before="116" w:line="219" w:lineRule="auto"/>
              <w:ind w:left="119" w:leftChars="0"/>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本项目专门面向中小企业</w:t>
            </w:r>
          </w:p>
          <w:p>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9" w:hRule="atLeast"/>
        </w:trPr>
        <w:tc>
          <w:tcPr>
            <w:tcW w:w="721" w:type="dxa"/>
            <w:vAlign w:val="top"/>
          </w:tcPr>
          <w:p>
            <w:pPr>
              <w:pStyle w:val="2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pPr>
              <w:pStyle w:val="2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本项目面向中小企业采购，此时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pPr>
              <w:pStyle w:val="22"/>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pPr>
              <w:pStyle w:val="22"/>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p>
        </w:tc>
        <w:tc>
          <w:tcPr>
            <w:tcW w:w="2662" w:type="dxa"/>
            <w:vAlign w:val="top"/>
          </w:tcPr>
          <w:p>
            <w:pPr>
              <w:pStyle w:val="2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pPr>
              <w:pStyle w:val="22"/>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3.技术（</w:t>
      </w:r>
      <w:r>
        <w:rPr>
          <w:rFonts w:hint="eastAsia" w:asciiTheme="minorEastAsia" w:hAnsiTheme="minorEastAsia" w:eastAsiaTheme="minorEastAsia" w:cstheme="minorEastAsia"/>
          <w:snapToGrid w:val="0"/>
          <w:color w:val="000000"/>
          <w:spacing w:val="3"/>
          <w:kern w:val="0"/>
          <w:sz w:val="24"/>
          <w:szCs w:val="24"/>
          <w:lang w:val="en-US" w:eastAsia="en-US" w:bidi="ar-SA"/>
        </w:rPr>
        <w:t>服务</w:t>
      </w:r>
      <w:r>
        <w:rPr>
          <w:rFonts w:hint="eastAsia" w:asciiTheme="minorEastAsia" w:hAnsiTheme="minorEastAsia" w:eastAsiaTheme="minorEastAsia" w:cstheme="minorEastAsia"/>
          <w:snapToGrid w:val="0"/>
          <w:color w:val="000000"/>
          <w:spacing w:val="3"/>
          <w:kern w:val="0"/>
          <w:sz w:val="24"/>
          <w:szCs w:val="24"/>
          <w:lang w:val="en-US" w:eastAsia="zh-CN" w:bidi="ar-SA"/>
        </w:rPr>
        <w:t>）</w:t>
      </w:r>
      <w:r>
        <w:rPr>
          <w:rFonts w:hint="eastAsia" w:asciiTheme="minorEastAsia" w:hAnsiTheme="minorEastAsia" w:eastAsiaTheme="minorEastAsia" w:cstheme="minorEastAsia"/>
          <w:snapToGrid w:val="0"/>
          <w:color w:val="000000"/>
          <w:spacing w:val="3"/>
          <w:kern w:val="0"/>
          <w:sz w:val="24"/>
          <w:szCs w:val="24"/>
          <w:lang w:val="en-US" w:eastAsia="en-US" w:bidi="ar-SA"/>
        </w:rPr>
        <w:t>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w:t>
      </w:r>
      <w:r>
        <w:rPr>
          <w:rFonts w:hint="eastAsia" w:asciiTheme="minorEastAsia" w:hAnsiTheme="minorEastAsia" w:eastAsiaTheme="minorEastAsia" w:cstheme="minorEastAsia"/>
          <w:b w:val="0"/>
          <w:bCs w:val="0"/>
          <w:snapToGrid w:val="0"/>
          <w:color w:val="auto"/>
          <w:spacing w:val="3"/>
          <w:kern w:val="0"/>
          <w:sz w:val="24"/>
          <w:szCs w:val="24"/>
          <w:lang w:val="en-US" w:eastAsia="zh-CN" w:bidi="ar-SA"/>
        </w:rPr>
        <w:t>的服务方案、质量承诺、</w:t>
      </w:r>
      <w:r>
        <w:rPr>
          <w:rFonts w:hint="eastAsia" w:ascii="宋体" w:hAnsi="宋体" w:eastAsia="宋体" w:cs="宋体"/>
          <w:b w:val="0"/>
          <w:bCs w:val="0"/>
          <w:color w:val="auto"/>
          <w:spacing w:val="4"/>
          <w:sz w:val="24"/>
          <w:szCs w:val="24"/>
          <w:highlight w:val="none"/>
          <w:lang w:val="en-US" w:eastAsia="zh-CN"/>
        </w:rPr>
        <w:t>服务人员</w:t>
      </w:r>
      <w:r>
        <w:rPr>
          <w:rFonts w:hint="eastAsia" w:asciiTheme="minorEastAsia" w:hAnsiTheme="minorEastAsia" w:eastAsiaTheme="minorEastAsia" w:cstheme="minorEastAsia"/>
          <w:snapToGrid w:val="0"/>
          <w:color w:val="000000"/>
          <w:spacing w:val="3"/>
          <w:kern w:val="0"/>
          <w:sz w:val="24"/>
          <w:szCs w:val="24"/>
          <w:lang w:val="en-US" w:eastAsia="zh-CN" w:bidi="ar-SA"/>
        </w:rPr>
        <w:t>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电子营业执照</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系统以在线形式提交承诺，并用电子营业执照签章。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pPr>
        <w:pStyle w:val="2"/>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pPr>
        <w:keepNext w:val="0"/>
        <w:keepLines w:val="0"/>
        <w:pageBreakBefore w:val="0"/>
        <w:widowControl w:val="0"/>
        <w:kinsoku/>
        <w:wordWrap/>
        <w:overflowPunct/>
        <w:topLinePunct w:val="0"/>
        <w:autoSpaceDE/>
        <w:autoSpaceDN/>
        <w:bidi w:val="0"/>
        <w:adjustRightInd/>
        <w:snapToGrid/>
        <w:spacing w:line="360" w:lineRule="auto"/>
        <w:ind w:left="0" w:right="0" w:firstLine="498" w:firstLineChars="200"/>
        <w:textAlignment w:val="auto"/>
        <w:outlineLvl w:val="1"/>
        <w:rPr>
          <w:rFonts w:hint="eastAsia" w:ascii="宋体" w:hAnsi="宋体" w:eastAsia="宋体" w:cs="宋体"/>
          <w:b/>
          <w:bCs/>
          <w:color w:val="auto"/>
          <w:spacing w:val="4"/>
          <w:sz w:val="24"/>
          <w:szCs w:val="24"/>
          <w:lang w:val="en-US" w:eastAsia="zh-Hans"/>
        </w:rPr>
      </w:pPr>
      <w:r>
        <w:rPr>
          <w:rFonts w:hint="eastAsia" w:ascii="宋体" w:hAnsi="宋体" w:eastAsia="宋体" w:cs="宋体"/>
          <w:b/>
          <w:bCs/>
          <w:color w:val="auto"/>
          <w:spacing w:val="4"/>
          <w:sz w:val="24"/>
          <w:szCs w:val="24"/>
          <w:lang w:val="en-US" w:eastAsia="zh-CN"/>
        </w:rPr>
        <w:t>1</w:t>
      </w:r>
      <w:r>
        <w:rPr>
          <w:rFonts w:hint="eastAsia" w:ascii="宋体" w:hAnsi="宋体" w:eastAsia="宋体" w:cs="宋体"/>
          <w:b/>
          <w:bCs/>
          <w:color w:val="auto"/>
          <w:spacing w:val="4"/>
          <w:sz w:val="24"/>
          <w:szCs w:val="24"/>
          <w:lang w:val="en-US" w:eastAsia="zh-Hans"/>
        </w:rPr>
        <w:t>、磋商报价。满分</w:t>
      </w:r>
      <w:r>
        <w:rPr>
          <w:rFonts w:hint="eastAsia" w:ascii="宋体" w:hAnsi="宋体" w:eastAsia="宋体" w:cs="宋体"/>
          <w:b/>
          <w:bCs/>
          <w:color w:val="auto"/>
          <w:spacing w:val="4"/>
          <w:sz w:val="24"/>
          <w:szCs w:val="24"/>
          <w:lang w:val="en-US" w:eastAsia="zh-CN"/>
        </w:rPr>
        <w:t>15</w:t>
      </w:r>
      <w:r>
        <w:rPr>
          <w:rFonts w:hint="eastAsia" w:ascii="宋体" w:hAnsi="宋体" w:eastAsia="宋体" w:cs="宋体"/>
          <w:b/>
          <w:bCs/>
          <w:color w:val="auto"/>
          <w:spacing w:val="4"/>
          <w:sz w:val="24"/>
          <w:szCs w:val="24"/>
          <w:lang w:val="en-US" w:eastAsia="zh-Hans"/>
        </w:rPr>
        <w:t>分</w:t>
      </w:r>
    </w:p>
    <w:p>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满足招标文件要求且投标价格最低的投标报价为评标基准价，其价格分为满分。其余各投标人的投标报价得分=评标基准价÷投标报价×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98" w:firstLineChars="200"/>
        <w:textAlignment w:val="auto"/>
        <w:outlineLvl w:val="1"/>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2、服务方案。满分64分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96" w:firstLineChars="200"/>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pacing w:val="4"/>
          <w:sz w:val="24"/>
          <w:szCs w:val="24"/>
          <w:highlight w:val="none"/>
          <w:lang w:val="en-US" w:eastAsia="zh-CN"/>
        </w:rPr>
        <w:t>（1）</w:t>
      </w:r>
      <w:r>
        <w:rPr>
          <w:rFonts w:hint="eastAsia" w:ascii="宋体" w:hAnsi="宋体" w:eastAsia="宋体" w:cs="宋体"/>
          <w:b w:val="0"/>
          <w:bCs w:val="0"/>
          <w:color w:val="auto"/>
          <w:spacing w:val="4"/>
          <w:sz w:val="24"/>
          <w:szCs w:val="24"/>
          <w:highlight w:val="none"/>
          <w:lang w:val="en-US" w:eastAsia="zh-Hans"/>
        </w:rPr>
        <w:t>投标</w:t>
      </w:r>
      <w:r>
        <w:rPr>
          <w:rFonts w:hint="eastAsia" w:ascii="宋体" w:hAnsi="宋体" w:eastAsia="宋体" w:cs="宋体"/>
          <w:b w:val="0"/>
          <w:bCs w:val="0"/>
          <w:color w:val="auto"/>
          <w:spacing w:val="4"/>
          <w:sz w:val="24"/>
          <w:szCs w:val="24"/>
          <w:highlight w:val="none"/>
          <w:lang w:val="en-US" w:eastAsia="zh-CN"/>
        </w:rPr>
        <w:t>人提供南阳市公安局交通管理支队的机房调研证明，得3分</w:t>
      </w:r>
      <w:r>
        <w:rPr>
          <w:rFonts w:hint="eastAsia" w:ascii="宋体" w:hAnsi="宋体" w:eastAsia="宋体" w:cs="宋体"/>
          <w:b w:val="0"/>
          <w:bCs w:val="0"/>
          <w:color w:val="auto"/>
          <w:spacing w:val="4"/>
          <w:sz w:val="24"/>
          <w:szCs w:val="24"/>
          <w:highlight w:val="none"/>
          <w:lang w:val="en-US" w:eastAsia="zh-Hans"/>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b w:val="0"/>
          <w:bCs w:val="0"/>
          <w:color w:val="auto"/>
          <w:spacing w:val="4"/>
          <w:sz w:val="24"/>
          <w:szCs w:val="24"/>
          <w:highlight w:val="none"/>
          <w:lang w:val="en-US" w:eastAsia="zh-CN"/>
        </w:rPr>
        <w:t>（2）</w:t>
      </w:r>
      <w:r>
        <w:rPr>
          <w:rFonts w:hint="eastAsia" w:ascii="宋体" w:hAnsi="宋体" w:eastAsia="宋体" w:cs="宋体"/>
          <w:color w:val="auto"/>
          <w:spacing w:val="4"/>
          <w:sz w:val="24"/>
          <w:szCs w:val="24"/>
          <w:lang w:val="en-US" w:eastAsia="zh-CN"/>
        </w:rPr>
        <w:t>磋商小组根据供应商提供的需求分析进行综合评审，对机房现状分析详尽科学，了解设备系统运行实际情况，对需求分析全面合理，做出完整并符合要求的分析报告，得13分；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对机房现状了解大致情况，分析较好，但不能具体说明现有设备以及系统及运行情况，需求分析相对全面比较符合要求，得8分；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对机房现状分析较差，需求分析细节粗略有待完善，不能完全满足要求，得4分；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分析报告应是总结性报告，如果将采购方网络架构详情、数据详情等关键信息罗列描述，存在安全风险的，视为不合格不得分。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3）磋商小组根据供应商提供的运维服务实施方案进行综合评审，符合前述需求有详尽的，切实可行的运维服务方案、详细的项目实施进度控制计划、项目人员配备与培训计划、有明确的风险管理计划，可行、合理，保证措施明确、具体，完全满足运维服务需求，设计科学合理，得9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运维服务组织计划、项目实施进度控制计划、项目人员配备与培训计划、有风险管理计划，安全服务流程，但划分不尽合理，保证措施一般，基本满足运维服务需求，具有一定科学性，得6分；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实施计划和措施较差，人员配备基本符合要求，有相应风险管控措施，措施不够明确，需求细节有待完善的得3分；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(4)磋商小组根据运维服务要求对系统、设备管理、日常工作方面的响应程度评审，符合前述需求根据报告编写情况进行打分。符合前述需求响应度高，方法较好，操作性强，高效保障业务需求，确保服务可持续开展，并做出承诺的，得9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基本响应，方法好，操作性一般，能够保障业务需求，确保服务可持续开展的，得6分；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响应度低，方法较差，操作性较低，不能高效保障业务需求，不能确保服务可持续开展的，得3分；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(5)磋商小组根据供应商提供的对驻场工作人员的绩效考核方案，进行评审：方案科学合理，能完全满足需求，可操作性强得9分；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方案较合理，有一定的操作性，得6分；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方案可操作性较差，不能完全符合项目实际需求的得3分；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(6)磋商小组根据供应商提供的安全技术保障方案(包括对故障处理、资产设备情况等通过科学的信息安全管理方法保障业务安全可控、高效使用等。)进行打分，安全技术保障方案科学、风险可控得当的，得7分；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安全技术保障方案较合理，有一定的操作性得4分；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安全技术保障方案较差，实施内容不具体得2分；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(7)磋商小组根据供应商提供的应急预案（包括建立机房基础设施应急预案，确保驻场人员可以迅速启动，确保有序、有效地组织实施各项应对措施等。）进行打分，应急预案能够有效保障业务需求，操作性强，得7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应急预案能保障业务需求，有一定的操作性，得4分；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应急预案较差，实施内容不具体得2分；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(8)磋商小组根据供应商的配备驻场人员的知识结构、分工体系、驻场人员资料进行打分，知识结构满足工作需求、人员充足、组织结构完备、相关证明资料充足，得7分；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人员比较充足、满足工作需求、组织结构比较合理，得4分；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outlineLvl w:val="1"/>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人员及专业素质满足基本需求，组织结构混乱的，得2分。</w:t>
      </w:r>
    </w:p>
    <w:p>
      <w:pPr>
        <w:keepNext w:val="0"/>
        <w:keepLines w:val="0"/>
        <w:pageBreakBefore w:val="0"/>
        <w:widowControl w:val="0"/>
        <w:kinsoku/>
        <w:wordWrap/>
        <w:overflowPunct/>
        <w:topLinePunct w:val="0"/>
        <w:autoSpaceDE/>
        <w:autoSpaceDN/>
        <w:bidi w:val="0"/>
        <w:adjustRightInd/>
        <w:snapToGrid/>
        <w:spacing w:line="360" w:lineRule="auto"/>
        <w:ind w:leftChars="0" w:firstLine="498" w:firstLineChars="200"/>
        <w:textAlignment w:val="auto"/>
        <w:outlineLvl w:val="1"/>
        <w:rPr>
          <w:rFonts w:hint="eastAsia" w:ascii="宋体" w:hAnsi="宋体" w:eastAsia="宋体" w:cs="宋体"/>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3、供应商综合实力。满分21分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(1)</w:t>
      </w:r>
      <w:r>
        <w:rPr>
          <w:rFonts w:hint="eastAsia" w:ascii="宋体" w:hAnsi="宋体" w:eastAsia="宋体" w:cs="宋体"/>
          <w:color w:val="auto"/>
          <w:spacing w:val="4"/>
          <w:sz w:val="24"/>
          <w:szCs w:val="24"/>
          <w:lang w:val="en-US" w:eastAsia="zh-CN"/>
        </w:rPr>
        <w:t>投标人提供2022年以来同类行业项目业绩合同每份2分，最多6分；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(2)供应商响应文件符合磋商文件所有条款条件，制作规范得</w:t>
      </w: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lang w:val="en-US" w:eastAsia="zh-Hans"/>
        </w:rPr>
        <w:t>分；若响应文件与磋商文件要求有偏差，但不影响到实质性响应，评委根据情况酌情扣</w:t>
      </w:r>
      <w:r>
        <w:rPr>
          <w:rFonts w:hint="eastAsia" w:ascii="宋体" w:hAnsi="宋体" w:eastAsia="宋体" w:cs="宋体"/>
          <w:color w:val="auto"/>
          <w:spacing w:val="4"/>
          <w:sz w:val="24"/>
          <w:szCs w:val="24"/>
          <w:lang w:val="en-US" w:eastAsia="zh-CN"/>
        </w:rPr>
        <w:t>0-1</w:t>
      </w:r>
      <w:r>
        <w:rPr>
          <w:rFonts w:hint="eastAsia" w:ascii="宋体" w:hAnsi="宋体" w:eastAsia="宋体" w:cs="宋体"/>
          <w:color w:val="auto"/>
          <w:spacing w:val="4"/>
          <w:sz w:val="24"/>
          <w:szCs w:val="24"/>
          <w:lang w:val="en-US" w:eastAsia="zh-Hans"/>
        </w:rPr>
        <w:t>分；</w:t>
      </w:r>
    </w:p>
    <w:p>
      <w:pPr>
        <w:pStyle w:val="10"/>
        <w:keepNext w:val="0"/>
        <w:keepLines w:val="0"/>
        <w:pageBreakBefore w:val="0"/>
        <w:widowControl w:val="0"/>
        <w:kinsoku/>
        <w:wordWrap/>
        <w:overflowPunct/>
        <w:topLinePunct w:val="0"/>
        <w:autoSpaceDE/>
        <w:autoSpaceDN/>
        <w:bidi w:val="0"/>
        <w:adjustRightInd/>
        <w:snapToGrid w:val="0"/>
        <w:spacing w:line="360" w:lineRule="auto"/>
        <w:ind w:firstLine="496" w:firstLineChars="200"/>
        <w:textAlignment w:val="auto"/>
        <w:rPr>
          <w:rFonts w:hint="default" w:eastAsia="宋体"/>
          <w:lang w:val="en-US" w:eastAsia="zh-CN"/>
        </w:rPr>
      </w:pPr>
      <w:r>
        <w:rPr>
          <w:rFonts w:hint="eastAsia" w:ascii="宋体" w:hAnsi="宋体" w:eastAsia="宋体" w:cs="宋体"/>
          <w:color w:val="auto"/>
          <w:spacing w:val="4"/>
          <w:sz w:val="24"/>
          <w:szCs w:val="24"/>
          <w:lang w:val="en-US" w:eastAsia="zh-CN"/>
        </w:rPr>
        <w:t>（3）具有自主知识产权或具有知识产权的正版运维工具使用权证明资料，且能满足日常运维灵活部署及要求的，得3分。没有不得分。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宋体" w:hAnsi="宋体" w:eastAsia="宋体" w:cs="宋体"/>
          <w:color w:val="auto"/>
          <w:spacing w:val="4"/>
          <w:sz w:val="24"/>
          <w:szCs w:val="24"/>
          <w:lang w:val="en-US" w:eastAsia="zh-Hans"/>
        </w:rPr>
      </w:pPr>
      <w:r>
        <w:rPr>
          <w:rFonts w:hint="eastAsia" w:ascii="宋体" w:hAnsi="宋体" w:eastAsia="宋体" w:cs="宋体"/>
          <w:color w:val="auto"/>
          <w:spacing w:val="4"/>
          <w:sz w:val="24"/>
          <w:szCs w:val="24"/>
          <w:lang w:val="en-US" w:eastAsia="zh-Hans"/>
        </w:rPr>
        <w:t>(3)投标人除技术负责人外具备“计算机技术与软件专业技术资格”中级以上技术水平资质人员证书的，每增加一人得</w:t>
      </w:r>
      <w:r>
        <w:rPr>
          <w:rFonts w:hint="eastAsia" w:ascii="宋体" w:hAnsi="宋体" w:eastAsia="宋体" w:cs="宋体"/>
          <w:color w:val="auto"/>
          <w:spacing w:val="4"/>
          <w:sz w:val="24"/>
          <w:szCs w:val="24"/>
          <w:lang w:val="en-US" w:eastAsia="zh-CN"/>
        </w:rPr>
        <w:t>3</w:t>
      </w:r>
      <w:r>
        <w:rPr>
          <w:rFonts w:hint="eastAsia" w:ascii="宋体" w:hAnsi="宋体" w:eastAsia="宋体" w:cs="宋体"/>
          <w:color w:val="auto"/>
          <w:spacing w:val="4"/>
          <w:sz w:val="24"/>
          <w:szCs w:val="24"/>
          <w:lang w:val="en-US" w:eastAsia="zh-Hans"/>
        </w:rPr>
        <w:t>分，最高得</w:t>
      </w:r>
      <w:r>
        <w:rPr>
          <w:rFonts w:hint="eastAsia" w:ascii="宋体" w:hAnsi="宋体" w:eastAsia="宋体" w:cs="宋体"/>
          <w:color w:val="auto"/>
          <w:spacing w:val="4"/>
          <w:sz w:val="24"/>
          <w:szCs w:val="24"/>
          <w:lang w:val="en-US" w:eastAsia="zh-CN"/>
        </w:rPr>
        <w:t>6</w:t>
      </w:r>
      <w:r>
        <w:rPr>
          <w:rFonts w:hint="eastAsia" w:ascii="宋体" w:hAnsi="宋体" w:eastAsia="宋体" w:cs="宋体"/>
          <w:color w:val="auto"/>
          <w:spacing w:val="4"/>
          <w:sz w:val="24"/>
          <w:szCs w:val="24"/>
          <w:lang w:val="en-US" w:eastAsia="zh-Hans"/>
        </w:rPr>
        <w:t>分，没有不得分；</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left"/>
        <w:textAlignment w:val="auto"/>
        <w:outlineLvl w:val="2"/>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（4）</w:t>
      </w:r>
      <w:r>
        <w:rPr>
          <w:rFonts w:hint="eastAsia" w:ascii="宋体" w:hAnsi="宋体" w:eastAsia="宋体" w:cs="宋体"/>
          <w:color w:val="auto"/>
          <w:spacing w:val="4"/>
          <w:sz w:val="24"/>
          <w:szCs w:val="24"/>
          <w:lang w:val="en-US" w:eastAsia="zh-Hans"/>
        </w:rPr>
        <w:t>投标人提供本企业高新技术企业证书的得</w:t>
      </w: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lang w:val="en-US" w:eastAsia="zh-Hans"/>
        </w:rPr>
        <w:t>分；</w:t>
      </w:r>
    </w:p>
    <w:p>
      <w:pPr>
        <w:keepNext w:val="0"/>
        <w:keepLines w:val="0"/>
        <w:pageBreakBefore w:val="0"/>
        <w:widowControl w:val="0"/>
        <w:kinsoku/>
        <w:wordWrap/>
        <w:overflowPunct/>
        <w:topLinePunct w:val="0"/>
        <w:autoSpaceDE/>
        <w:autoSpaceDN/>
        <w:bidi w:val="0"/>
        <w:adjustRightInd/>
        <w:snapToGrid/>
        <w:spacing w:line="360" w:lineRule="auto"/>
        <w:ind w:leftChars="0" w:firstLine="496" w:firstLineChars="200"/>
        <w:jc w:val="left"/>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宋体" w:hAnsi="宋体" w:eastAsia="宋体" w:cs="宋体"/>
          <w:color w:val="auto"/>
          <w:spacing w:val="4"/>
          <w:sz w:val="24"/>
          <w:szCs w:val="24"/>
          <w:lang w:val="en-US" w:eastAsia="zh-CN"/>
        </w:rPr>
        <w:t>（5）信用评价，满分2分。根据《南阳市政府采购信用评价实施办法》，投标人登录“南阳市政府采购信用管理系统”打印并提交《南阳市政府采购供应商信用记录表》，诚信评价为三星级的加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备注：严格执行《南阳市政府采购负面清单》，根据实际项目需要设置科学合理的评分因素及分值。</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通过电子营业执照应用平台”向成交供应商发出电子成交通知书，成交供应商可登陆</w:t>
      </w:r>
      <w:r>
        <w:rPr>
          <w:rFonts w:hint="eastAsia" w:ascii="宋体" w:hAnsi="宋体" w:eastAsia="宋体" w:cs="宋体"/>
          <w:snapToGrid w:val="0"/>
          <w:color w:val="000000"/>
          <w:kern w:val="0"/>
          <w:sz w:val="24"/>
          <w:szCs w:val="24"/>
          <w:lang w:val="en-US" w:eastAsia="zh-CN" w:bidi="ar-SA"/>
        </w:rPr>
        <w:t>电子营业执照应用平台</w:t>
      </w:r>
      <w:r>
        <w:rPr>
          <w:rFonts w:hint="eastAsia" w:ascii="宋体" w:hAnsi="宋体" w:eastAsia="宋体" w:cs="宋体"/>
          <w:snapToGrid w:val="0"/>
          <w:color w:val="000000"/>
          <w:kern w:val="0"/>
          <w:sz w:val="24"/>
          <w:szCs w:val="24"/>
          <w:lang w:val="en-US" w:eastAsia="en-US" w:bidi="ar-SA"/>
        </w:rPr>
        <w:t>，自行打印加盖电子签章的成交通知书。</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在线接收，请质疑人上传质疑函原件扫描件到南阳市公共资源电子营业执照应用平台并电话通知到项目负责人。</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after="0" w:line="360" w:lineRule="auto"/>
        <w:jc w:val="center"/>
        <w:rPr>
          <w:rFonts w:hint="eastAsia" w:ascii="Arial" w:eastAsia="宋体"/>
          <w:sz w:val="21"/>
          <w:lang w:eastAsia="zh-CN"/>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r>
        <w:rPr>
          <w:rFonts w:hint="eastAsia" w:ascii="宋体" w:hAnsi="宋体" w:eastAsia="宋体" w:cs="宋体"/>
          <w:spacing w:val="-1"/>
          <w:sz w:val="36"/>
          <w:szCs w:val="36"/>
          <w:lang w:eastAsia="zh-CN"/>
          <w14:textOutline w14:w="2306" w14:cap="flat" w14:cmpd="sng">
            <w14:solidFill>
              <w14:srgbClr w14:val="000000"/>
            </w14:solidFill>
            <w14:prstDash w14:val="solid"/>
            <w14:miter w14:val="0"/>
          </w14:textOutline>
        </w:rPr>
        <w:t>（</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草案</w:t>
      </w:r>
      <w:r>
        <w:rPr>
          <w:rFonts w:hint="eastAsia" w:ascii="宋体" w:hAnsi="宋体" w:eastAsia="宋体" w:cs="宋体"/>
          <w:spacing w:val="-1"/>
          <w:sz w:val="36"/>
          <w:szCs w:val="36"/>
          <w:lang w:eastAsia="zh-CN"/>
          <w14:textOutline w14:w="2306" w14:cap="flat" w14:cmpd="sng">
            <w14:solidFill>
              <w14:srgbClr w14:val="000000"/>
            </w14:solidFill>
            <w14:prstDash w14:val="solid"/>
            <w14:miter w14:val="0"/>
          </w14:textOutline>
        </w:rPr>
        <w:t>）</w:t>
      </w:r>
    </w:p>
    <w:p>
      <w:pPr>
        <w:tabs>
          <w:tab w:val="left" w:pos="360"/>
          <w:tab w:val="left" w:pos="540"/>
          <w:tab w:val="left" w:pos="3600"/>
          <w:tab w:val="left" w:pos="3780"/>
          <w:tab w:val="left" w:pos="8460"/>
          <w:tab w:val="left" w:pos="9180"/>
        </w:tabs>
        <w:adjustRightInd w:val="0"/>
        <w:snapToGrid w:val="0"/>
        <w:ind w:right="-21" w:rightChars="-10" w:firstLine="1120" w:firstLineChars="400"/>
        <w:rPr>
          <w:rFonts w:hint="eastAsia" w:ascii="仿宋_GB2312" w:hAnsi="仿宋" w:eastAsia="仿宋_GB2312" w:cs="仿宋"/>
          <w:sz w:val="28"/>
          <w:szCs w:val="28"/>
        </w:rPr>
      </w:pPr>
    </w:p>
    <w:p>
      <w:pPr>
        <w:snapToGrid w:val="0"/>
        <w:spacing w:line="360" w:lineRule="auto"/>
        <w:ind w:firstLine="560" w:firstLineChars="200"/>
        <w:rPr>
          <w:rFonts w:hint="eastAsia" w:ascii="仿宋_GB2312" w:hAnsi="仿宋" w:eastAsia="仿宋_GB2312" w:cs="仿宋"/>
          <w:sz w:val="28"/>
          <w:szCs w:val="28"/>
          <w:u w:val="single"/>
        </w:rPr>
      </w:pPr>
      <w:r>
        <w:rPr>
          <w:rFonts w:hint="eastAsia" w:ascii="仿宋_GB2312" w:hAnsi="仿宋" w:eastAsia="仿宋_GB2312" w:cs="仿宋"/>
          <w:sz w:val="28"/>
          <w:szCs w:val="28"/>
        </w:rPr>
        <w:t>采购人（甲方）：</w:t>
      </w:r>
      <w:r>
        <w:rPr>
          <w:rFonts w:hint="eastAsia" w:ascii="仿宋_GB2312" w:hAnsi="仿宋" w:eastAsia="仿宋_GB2312" w:cs="仿宋"/>
          <w:sz w:val="28"/>
          <w:szCs w:val="28"/>
          <w:u w:val="single"/>
        </w:rPr>
        <w:t xml:space="preserve">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供应商（乙方）：</w:t>
      </w:r>
      <w:r>
        <w:rPr>
          <w:rFonts w:hint="eastAsia" w:ascii="仿宋_GB2312" w:hAnsi="仿宋" w:eastAsia="仿宋_GB2312" w:cs="仿宋"/>
          <w:sz w:val="28"/>
          <w:szCs w:val="28"/>
          <w:u w:val="single"/>
        </w:rPr>
        <w:t xml:space="preserve">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签订时间：</w:t>
      </w:r>
      <w:r>
        <w:rPr>
          <w:rFonts w:hint="eastAsia" w:ascii="仿宋_GB2312" w:hAnsi="仿宋" w:eastAsia="仿宋_GB2312" w:cs="仿宋"/>
          <w:sz w:val="28"/>
          <w:szCs w:val="28"/>
          <w:u w:val="single"/>
        </w:rPr>
        <w:t xml:space="preserve">                           </w:t>
      </w:r>
    </w:p>
    <w:p>
      <w:pPr>
        <w:snapToGrid w:val="0"/>
        <w:spacing w:line="360" w:lineRule="auto"/>
        <w:ind w:firstLine="560" w:firstLineChars="200"/>
        <w:rPr>
          <w:rFonts w:hint="eastAsia" w:ascii="仿宋_GB2312" w:hAnsi="仿宋" w:eastAsia="仿宋_GB2312" w:cs="仿宋"/>
          <w:sz w:val="28"/>
          <w:szCs w:val="28"/>
          <w:u w:val="single"/>
        </w:rPr>
      </w:pPr>
      <w:r>
        <w:rPr>
          <w:rFonts w:hint="eastAsia" w:ascii="仿宋_GB2312" w:hAnsi="仿宋" w:eastAsia="仿宋_GB2312" w:cs="仿宋"/>
          <w:sz w:val="28"/>
          <w:szCs w:val="28"/>
        </w:rPr>
        <w:t>签订地点：</w:t>
      </w:r>
      <w:r>
        <w:rPr>
          <w:rFonts w:hint="eastAsia" w:ascii="仿宋_GB2312" w:hAnsi="仿宋" w:eastAsia="仿宋_GB2312" w:cs="仿宋"/>
          <w:sz w:val="28"/>
          <w:szCs w:val="28"/>
          <w:u w:val="single"/>
        </w:rPr>
        <w:t xml:space="preserve">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本项目经南阳市政府采购监督管理办公室(以下简称“市采购办”）批准,采用</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方式由南阳市政府采购中心（以下简称“市采购中心”）依法组织采购，经评审委员会评审，决定将政府采购合同授予乙方。为进一步明确甲乙双方的责任，确保合同顺利履行，根据《中华人民共和国政府采购法》及其实施条例、《中华人民共和国合同法》以及本项目中标（成交）结果，甲乙双方充分协商，订立合同，共同遵守。</w:t>
      </w:r>
    </w:p>
    <w:p>
      <w:pPr>
        <w:snapToGrid w:val="0"/>
        <w:spacing w:line="360" w:lineRule="auto"/>
        <w:ind w:firstLine="562" w:firstLineChars="200"/>
        <w:rPr>
          <w:rFonts w:hint="eastAsia" w:ascii="仿宋_GB2312" w:hAnsi="仿宋" w:eastAsia="仿宋_GB2312" w:cs="仿宋"/>
          <w:b/>
          <w:sz w:val="28"/>
          <w:szCs w:val="28"/>
        </w:rPr>
      </w:pPr>
      <w:r>
        <w:rPr>
          <w:rFonts w:hint="eastAsia" w:ascii="仿宋_GB2312" w:hAnsi="仿宋" w:eastAsia="仿宋_GB2312" w:cs="仿宋"/>
          <w:b/>
          <w:sz w:val="28"/>
          <w:szCs w:val="28"/>
        </w:rPr>
        <w:t>第一条  服务对象基本情况</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 xml:space="preserve">服务类型：＿＿＿＿＿　　座落位置： </w:t>
      </w:r>
      <w:r>
        <w:rPr>
          <w:rFonts w:hint="eastAsia" w:ascii="仿宋_GB2312" w:hAnsi="仿宋" w:eastAsia="仿宋_GB2312" w:cs="仿宋"/>
          <w:sz w:val="28"/>
          <w:szCs w:val="28"/>
        </w:rPr>
        <w:softHyphen/>
      </w:r>
      <w:r>
        <w:rPr>
          <w:rFonts w:hint="eastAsia" w:ascii="仿宋_GB2312" w:hAnsi="仿宋" w:eastAsia="仿宋_GB2312" w:cs="仿宋"/>
          <w:sz w:val="28"/>
          <w:szCs w:val="28"/>
        </w:rPr>
        <w:softHyphen/>
      </w:r>
      <w:r>
        <w:rPr>
          <w:rFonts w:hint="eastAsia" w:ascii="仿宋_GB2312" w:hAnsi="仿宋" w:eastAsia="仿宋_GB2312" w:cs="仿宋"/>
          <w:sz w:val="28"/>
          <w:szCs w:val="28"/>
        </w:rPr>
        <w:t>________</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占地面积：＿＿＿＿平方米　　建筑面积：＿＿＿＿平方米</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其他必要内容  ＿＿＿＿</w:t>
      </w:r>
    </w:p>
    <w:p>
      <w:pPr>
        <w:snapToGrid w:val="0"/>
        <w:spacing w:line="360" w:lineRule="auto"/>
        <w:ind w:firstLine="562" w:firstLineChars="200"/>
        <w:rPr>
          <w:rFonts w:hint="eastAsia" w:ascii="仿宋_GB2312" w:hAnsi="仿宋" w:eastAsia="仿宋_GB2312" w:cs="仿宋"/>
          <w:b/>
          <w:sz w:val="28"/>
          <w:szCs w:val="28"/>
        </w:rPr>
      </w:pPr>
      <w:r>
        <w:rPr>
          <w:rFonts w:hint="eastAsia" w:ascii="仿宋_GB2312" w:hAnsi="仿宋" w:eastAsia="仿宋_GB2312" w:cs="仿宋"/>
          <w:b/>
          <w:sz w:val="28"/>
          <w:szCs w:val="28"/>
        </w:rPr>
        <w:t>第二条  具体服务事项</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w:t>
      </w:r>
    </w:p>
    <w:p>
      <w:pPr>
        <w:snapToGrid w:val="0"/>
        <w:spacing w:line="360" w:lineRule="auto"/>
        <w:ind w:firstLine="562" w:firstLineChars="200"/>
        <w:rPr>
          <w:rFonts w:hint="eastAsia" w:ascii="仿宋_GB2312" w:hAnsi="仿宋" w:eastAsia="仿宋_GB2312" w:cs="仿宋"/>
          <w:sz w:val="28"/>
          <w:szCs w:val="28"/>
        </w:rPr>
      </w:pPr>
      <w:r>
        <w:rPr>
          <w:rFonts w:hint="eastAsia" w:ascii="仿宋_GB2312" w:hAnsi="仿宋" w:eastAsia="仿宋_GB2312" w:cs="仿宋"/>
          <w:b/>
          <w:sz w:val="28"/>
          <w:szCs w:val="28"/>
        </w:rPr>
        <w:t>第三条  服务期限</w:t>
      </w:r>
      <w:r>
        <w:rPr>
          <w:rFonts w:hint="eastAsia" w:ascii="仿宋_GB2312" w:hAnsi="仿宋" w:eastAsia="仿宋_GB2312" w:cs="仿宋"/>
          <w:sz w:val="28"/>
          <w:szCs w:val="28"/>
        </w:rPr>
        <w:t>为＿＿＿＿年。自＿＿＿年＿＿＿月＿＿＿＿＿＿时起至＿＿＿＿年＿＿＿＿月＿＿＿＿日＿＿＿＿时止。</w:t>
      </w:r>
    </w:p>
    <w:p>
      <w:pPr>
        <w:snapToGrid w:val="0"/>
        <w:spacing w:line="360" w:lineRule="auto"/>
        <w:ind w:firstLine="562" w:firstLineChars="200"/>
        <w:rPr>
          <w:rFonts w:hint="eastAsia" w:ascii="仿宋_GB2312" w:hAnsi="仿宋" w:eastAsia="仿宋_GB2312" w:cs="仿宋"/>
          <w:b/>
          <w:sz w:val="28"/>
          <w:szCs w:val="28"/>
        </w:rPr>
      </w:pPr>
      <w:r>
        <w:rPr>
          <w:rFonts w:hint="eastAsia" w:ascii="仿宋_GB2312" w:hAnsi="仿宋" w:eastAsia="仿宋_GB2312" w:cs="仿宋"/>
          <w:b/>
          <w:sz w:val="28"/>
          <w:szCs w:val="28"/>
        </w:rPr>
        <w:t>第四条  甲方权利义务</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1、甲方有对乙方提出改进服务意见的权利，监督乙方工作。</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2、甲方负责协助乙方做好一切外部事物的处理与协调工作。</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3、乙方在工作中需要甲方工作人员协助的，甲方应积极配合。</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4、首次合同签订期限为一年，合同期满后，若乙方服务良好，甲乙双方合作愉快，可以续签一年，以此类推。</w:t>
      </w:r>
    </w:p>
    <w:p>
      <w:pPr>
        <w:snapToGrid w:val="0"/>
        <w:spacing w:line="360" w:lineRule="auto"/>
        <w:ind w:firstLine="562" w:firstLineChars="200"/>
        <w:rPr>
          <w:rFonts w:hint="eastAsia" w:ascii="仿宋_GB2312" w:hAnsi="仿宋" w:eastAsia="仿宋_GB2312" w:cs="仿宋"/>
          <w:b/>
          <w:sz w:val="28"/>
          <w:szCs w:val="28"/>
        </w:rPr>
      </w:pPr>
      <w:r>
        <w:rPr>
          <w:rFonts w:hint="eastAsia" w:ascii="仿宋_GB2312" w:hAnsi="仿宋" w:eastAsia="仿宋_GB2312" w:cs="仿宋"/>
          <w:b/>
          <w:sz w:val="28"/>
          <w:szCs w:val="28"/>
        </w:rPr>
        <w:t>第五条  乙方权利义务</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1、乙方应根据有关法律法规及本合同约定，制定具体服务管理制度。</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2、乙方应接受甲方的监督和考核，遵守甲方的规章制度，根据合同约定，服从甲方安排。</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3、在工作区域内乙方人员提供管理服务过程中，因乙方人员的故意或过失，造成甲乙双方或任何第三方的人身损害或财产损失，乙方承担一切法律责任与赔偿。</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4、详见合同约定内容。</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w:t>
      </w:r>
    </w:p>
    <w:p>
      <w:pPr>
        <w:snapToGrid w:val="0"/>
        <w:spacing w:line="360" w:lineRule="auto"/>
        <w:ind w:firstLine="562" w:firstLineChars="200"/>
        <w:rPr>
          <w:rFonts w:hint="eastAsia" w:ascii="仿宋_GB2312" w:hAnsi="仿宋" w:eastAsia="仿宋_GB2312" w:cs="仿宋"/>
          <w:b/>
          <w:sz w:val="28"/>
          <w:szCs w:val="28"/>
        </w:rPr>
      </w:pPr>
      <w:r>
        <w:rPr>
          <w:rFonts w:hint="eastAsia" w:ascii="仿宋_GB2312" w:hAnsi="仿宋" w:eastAsia="仿宋_GB2312" w:cs="仿宋"/>
          <w:b/>
          <w:sz w:val="28"/>
          <w:szCs w:val="28"/>
        </w:rPr>
        <w:t>第六条   服务目标</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乙方根据甲方的</w:t>
      </w:r>
      <w:r>
        <w:rPr>
          <w:rFonts w:hint="eastAsia" w:ascii="仿宋_GB2312" w:hAnsi="仿宋" w:eastAsia="仿宋_GB2312" w:cs="仿宋"/>
          <w:b/>
          <w:sz w:val="28"/>
          <w:szCs w:val="28"/>
        </w:rPr>
        <w:t>具体服务事项及要求</w:t>
      </w:r>
      <w:r>
        <w:rPr>
          <w:rFonts w:hint="eastAsia" w:ascii="仿宋_GB2312" w:hAnsi="仿宋" w:eastAsia="仿宋_GB2312" w:cs="仿宋"/>
          <w:sz w:val="28"/>
          <w:szCs w:val="28"/>
        </w:rPr>
        <w:t>制定出服务工作标准和考核标准。经与甲方协商同意后，乙方须按此工作标准和考核标准，实现服务目标。</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3、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4、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5、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w:t>
      </w:r>
    </w:p>
    <w:p>
      <w:pPr>
        <w:snapToGrid w:val="0"/>
        <w:spacing w:line="360" w:lineRule="auto"/>
        <w:ind w:firstLine="562" w:firstLineChars="200"/>
        <w:rPr>
          <w:rFonts w:hint="eastAsia" w:ascii="仿宋_GB2312" w:hAnsi="仿宋" w:eastAsia="仿宋_GB2312" w:cs="仿宋"/>
          <w:b/>
          <w:sz w:val="28"/>
          <w:szCs w:val="28"/>
        </w:rPr>
      </w:pPr>
      <w:r>
        <w:rPr>
          <w:rFonts w:hint="eastAsia" w:ascii="仿宋_GB2312" w:hAnsi="仿宋" w:eastAsia="仿宋_GB2312" w:cs="仿宋"/>
          <w:b/>
          <w:sz w:val="28"/>
          <w:szCs w:val="28"/>
        </w:rPr>
        <w:t>第七条  服务费用</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1、费用结算</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本合同以人民币付款，总计</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万元。</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付款方式：</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2、费用构成</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w:t>
      </w:r>
    </w:p>
    <w:p>
      <w:pPr>
        <w:snapToGrid w:val="0"/>
        <w:spacing w:line="360" w:lineRule="auto"/>
        <w:ind w:firstLine="562" w:firstLineChars="200"/>
        <w:rPr>
          <w:rFonts w:hint="eastAsia" w:ascii="仿宋_GB2312" w:hAnsi="仿宋" w:eastAsia="仿宋_GB2312" w:cs="仿宋"/>
          <w:b/>
          <w:sz w:val="28"/>
          <w:szCs w:val="28"/>
        </w:rPr>
      </w:pPr>
      <w:r>
        <w:rPr>
          <w:rFonts w:hint="eastAsia" w:ascii="仿宋_GB2312" w:hAnsi="仿宋" w:eastAsia="仿宋_GB2312" w:cs="仿宋"/>
          <w:b/>
          <w:sz w:val="28"/>
          <w:szCs w:val="28"/>
        </w:rPr>
        <w:t>第八条  验收方法</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政府向社会公众提供的公共服务项目，验收时应当邀请服务对象参与并出具意见，验收结果应当向社会公告。</w:t>
      </w:r>
    </w:p>
    <w:p>
      <w:pPr>
        <w:pStyle w:val="25"/>
        <w:snapToGrid w:val="0"/>
        <w:spacing w:before="0" w:beforeAutospacing="0" w:after="0" w:afterAutospacing="0"/>
        <w:ind w:firstLine="562" w:firstLineChars="200"/>
        <w:rPr>
          <w:rFonts w:hint="eastAsia" w:ascii="仿宋_GB2312" w:hAnsi="仿宋" w:eastAsia="仿宋_GB2312" w:cs="仿宋"/>
          <w:b/>
          <w:color w:val="auto"/>
          <w:kern w:val="2"/>
          <w:sz w:val="28"/>
          <w:szCs w:val="28"/>
        </w:rPr>
      </w:pPr>
      <w:r>
        <w:rPr>
          <w:rFonts w:hint="eastAsia" w:ascii="仿宋_GB2312" w:hAnsi="仿宋" w:eastAsia="仿宋_GB2312" w:cs="仿宋"/>
          <w:b/>
          <w:color w:val="auto"/>
          <w:kern w:val="2"/>
          <w:sz w:val="28"/>
          <w:szCs w:val="28"/>
        </w:rPr>
        <w:t>第九条 违约责任</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1、甲方违反本合同的约定，使乙方不能完成服务目标，乙方有权要求甲方在一定期限内解决，逾期未解决的乙方有权终止合同；造成乙方经济损失的，甲方应给予乙方经济赔偿。</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2、乙方违反本合同的约定，不能完成服务目标，甲方有权要求乙方限期整改，逾期未整改或多次整改无提高，甲方有权单方终止合同；造成甲方经济损失的，乙方应给予甲方经济赔偿。</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3、乙方违反本合同的约定，擅自提高收费标准的，甲方有权要求乙方清退；造成甲方经济损失的，乙方应给予甲方经济赔偿。</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4、甲乙双方任何一方无法律依据提前终止本合同的，违约方应赔偿对方</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万元的违约金；造成对方经济损失的，应给予经济赔偿。</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5、其他。</w:t>
      </w:r>
    </w:p>
    <w:p>
      <w:pPr>
        <w:widowControl w:val="0"/>
        <w:adjustRightInd w:val="0"/>
        <w:snapToGrid w:val="0"/>
        <w:spacing w:after="0" w:line="360" w:lineRule="auto"/>
        <w:ind w:firstLine="562" w:firstLineChars="200"/>
        <w:rPr>
          <w:rFonts w:hint="eastAsia" w:ascii="仿宋_GB2312" w:hAnsi="仿宋" w:eastAsia="仿宋_GB2312" w:cs="仿宋"/>
          <w:sz w:val="28"/>
          <w:szCs w:val="28"/>
        </w:rPr>
      </w:pPr>
      <w:r>
        <w:rPr>
          <w:rFonts w:hint="eastAsia" w:ascii="仿宋_GB2312" w:hAnsi="仿宋" w:eastAsia="仿宋_GB2312" w:cs="仿宋"/>
          <w:b/>
          <w:sz w:val="28"/>
          <w:szCs w:val="28"/>
        </w:rPr>
        <w:t>第十条  履约保证金</w:t>
      </w:r>
    </w:p>
    <w:p>
      <w:pPr>
        <w:widowControl w:val="0"/>
        <w:adjustRightInd w:val="0"/>
        <w:snapToGrid w:val="0"/>
        <w:spacing w:after="0"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本项目无履约保证金。</w:t>
      </w:r>
    </w:p>
    <w:p>
      <w:pPr>
        <w:snapToGrid w:val="0"/>
        <w:spacing w:after="0" w:line="360" w:lineRule="auto"/>
        <w:ind w:firstLine="562" w:firstLineChars="200"/>
        <w:rPr>
          <w:rFonts w:hint="eastAsia" w:ascii="仿宋_GB2312" w:hAnsi="仿宋" w:eastAsia="仿宋_GB2312" w:cs="仿宋"/>
          <w:b/>
          <w:sz w:val="28"/>
          <w:szCs w:val="28"/>
        </w:rPr>
      </w:pPr>
      <w:r>
        <w:rPr>
          <w:rFonts w:hint="eastAsia" w:ascii="仿宋_GB2312" w:hAnsi="仿宋" w:eastAsia="仿宋_GB2312" w:cs="仿宋"/>
          <w:b/>
          <w:sz w:val="28"/>
          <w:szCs w:val="28"/>
        </w:rPr>
        <w:t>十一条、其他事项</w:t>
      </w:r>
    </w:p>
    <w:p>
      <w:pPr>
        <w:pStyle w:val="25"/>
        <w:snapToGrid w:val="0"/>
        <w:spacing w:before="0" w:beforeAutospacing="0" w:after="0" w:afterAutospacing="0"/>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1、本合同自甲乙双方签字盖章后生效。</w:t>
      </w:r>
    </w:p>
    <w:p>
      <w:pPr>
        <w:pStyle w:val="25"/>
        <w:snapToGrid w:val="0"/>
        <w:spacing w:before="0" w:beforeAutospacing="0" w:after="0" w:afterAutospacing="0"/>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2、合同执行期内，甲乙双方均不得随意变更或解除合同。合同如有未尽事宜，须经双方共同协商，做出补充规定，补充规定与本合同具有同等效力，也可按照《中华人民共和国合同法》的规定执行。</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3、本合同执行期间，如遇不可抗力，致使合同无法履行时，双方按有关法律规定及时协商处理。</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4、本合同如发生纠纷，当事人双方应当及时协商解决，协商不成时，任何一方均可请政府采购监督管理机关调解，调解不成，按以下第（ ）项方式处理：（1）根据《中华人民共和国仲裁法》的规定向</w:t>
      </w:r>
      <w:r>
        <w:rPr>
          <w:rFonts w:hint="eastAsia" w:ascii="仿宋_GB2312" w:hAnsi="仿宋" w:eastAsia="仿宋_GB2312" w:cs="仿宋"/>
          <w:b/>
          <w:bCs/>
          <w:sz w:val="28"/>
          <w:szCs w:val="28"/>
          <w:u w:val="single"/>
        </w:rPr>
        <w:t>南阳市仲裁委员会</w:t>
      </w:r>
      <w:r>
        <w:rPr>
          <w:rFonts w:hint="eastAsia" w:ascii="仿宋_GB2312" w:hAnsi="仿宋" w:eastAsia="仿宋_GB2312" w:cs="仿宋"/>
          <w:sz w:val="28"/>
          <w:szCs w:val="28"/>
        </w:rPr>
        <w:t>申请仲裁。（2）向合同签订地有管辖权的人民法院起诉。</w:t>
      </w:r>
    </w:p>
    <w:p>
      <w:pPr>
        <w:pStyle w:val="25"/>
        <w:snapToGrid w:val="0"/>
        <w:spacing w:before="0" w:beforeAutospacing="0" w:after="0" w:afterAutospacing="0"/>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5、采购双方必须严格按照磋商文件、响应文件及有关承诺签订采购合同，不得擅自变更。对任何因双方擅自变更合同引起的问题市政府采购中心概不负责，合同风险由双方自行承担。</w:t>
      </w:r>
    </w:p>
    <w:p>
      <w:pPr>
        <w:pStyle w:val="25"/>
        <w:snapToGrid w:val="0"/>
        <w:spacing w:before="0" w:beforeAutospacing="0" w:after="0" w:afterAutospacing="0"/>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6、本合同一式 份，甲乙双方各执  份；由乙方报送市采购中心一份;由甲方报送市采购办一份。</w:t>
      </w:r>
    </w:p>
    <w:p>
      <w:pPr>
        <w:snapToGrid w:val="0"/>
        <w:spacing w:line="360" w:lineRule="auto"/>
        <w:ind w:firstLine="562" w:firstLineChars="200"/>
        <w:rPr>
          <w:rFonts w:hint="eastAsia" w:ascii="仿宋_GB2312" w:hAnsi="仿宋" w:eastAsia="仿宋_GB2312" w:cs="仿宋"/>
          <w:sz w:val="28"/>
          <w:szCs w:val="28"/>
        </w:rPr>
      </w:pPr>
      <w:r>
        <w:rPr>
          <w:rFonts w:hint="eastAsia" w:ascii="仿宋_GB2312" w:hAnsi="仿宋" w:eastAsia="仿宋_GB2312" w:cs="仿宋"/>
          <w:b/>
          <w:sz w:val="28"/>
          <w:szCs w:val="28"/>
        </w:rPr>
        <w:t>第十一条</w:t>
      </w:r>
      <w:r>
        <w:rPr>
          <w:rFonts w:hint="eastAsia" w:ascii="仿宋_GB2312" w:hAnsi="仿宋" w:eastAsia="仿宋_GB2312" w:cs="仿宋"/>
          <w:b/>
          <w:bCs/>
          <w:sz w:val="28"/>
          <w:szCs w:val="28"/>
        </w:rPr>
        <w:t xml:space="preserve">  </w:t>
      </w:r>
      <w:r>
        <w:rPr>
          <w:rFonts w:hint="eastAsia" w:ascii="仿宋_GB2312" w:hAnsi="仿宋" w:eastAsia="仿宋_GB2312" w:cs="仿宋"/>
          <w:sz w:val="28"/>
          <w:szCs w:val="28"/>
        </w:rPr>
        <w:t>下列关于市采购中心项目编号   号的采购文件及有关附件是本合同不可分割的组成部分，与本合同具有同等法律效力，这些文件包括但不限于：（1）磋商文件（2）乙方提供的响应文件（3）服务承诺（4）甲乙双方商定的其他文件。以上附件顺序在前的具有优先解释权。</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 xml:space="preserve">采购人（甲方）：    （公章）   供应商（乙方）： （公章）  </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地址：                         地址：</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法定代表人：                   法定代表人：</w:t>
      </w:r>
    </w:p>
    <w:p>
      <w:pPr>
        <w:snapToGrid w:val="0"/>
        <w:spacing w:line="360" w:lineRule="auto"/>
        <w:ind w:firstLine="560" w:firstLineChars="200"/>
        <w:rPr>
          <w:rFonts w:hint="eastAsia" w:ascii="仿宋_GB2312" w:hAnsi="仿宋" w:eastAsia="仿宋_GB2312" w:cs="仿宋"/>
          <w:sz w:val="28"/>
          <w:szCs w:val="28"/>
          <w:u w:val="single"/>
        </w:rPr>
      </w:pPr>
      <w:r>
        <w:rPr>
          <w:rFonts w:hint="eastAsia" w:ascii="仿宋_GB2312" w:hAnsi="仿宋" w:eastAsia="仿宋_GB2312" w:cs="仿宋"/>
          <w:sz w:val="28"/>
          <w:szCs w:val="28"/>
        </w:rPr>
        <w:t>委托代理人：                   委托代理人：</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电话：                         电话：</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开户银行：                     开户银行：</w:t>
      </w:r>
    </w:p>
    <w:p>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账号：                         账号：</w:t>
      </w:r>
    </w:p>
    <w:p>
      <w:pPr>
        <w:pStyle w:val="2"/>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日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p>
    <w:p>
      <w:pPr>
        <w:pStyle w:val="2"/>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360" w:lineRule="auto"/>
        <w:jc w:val="both"/>
        <w:rPr>
          <w:spacing w:val="-5"/>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pPr>
        <w:keepNext w:val="0"/>
        <w:keepLines w:val="0"/>
        <w:pageBreakBefore w:val="0"/>
        <w:kinsoku/>
        <w:wordWrap w:val="0"/>
        <w:overflowPunct/>
        <w:topLinePunct w:val="0"/>
        <w:bidi w:val="0"/>
        <w:spacing w:line="219" w:lineRule="auto"/>
        <w:jc w:val="both"/>
        <w:rPr>
          <w:sz w:val="24"/>
          <w:szCs w:val="24"/>
        </w:rPr>
        <w:sectPr>
          <w:headerReference r:id="rId6" w:type="default"/>
          <w:footerReference r:id="rId7" w:type="default"/>
          <w:pgSz w:w="11907" w:h="16840"/>
          <w:pgMar w:top="1440" w:right="1800" w:bottom="1440" w:left="1800" w:header="878" w:footer="886" w:gutter="0"/>
          <w:pgNumType w:fmt="decimal"/>
          <w:cols w:space="720" w:num="1"/>
        </w:sectPr>
      </w:pPr>
    </w:p>
    <w:p>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8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numPr>
          <w:ilvl w:val="0"/>
          <w:numId w:val="2"/>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lang w:val="en-US" w:eastAsia="zh-CN" w:bidi="ar-SA"/>
        </w:rPr>
        <w:t>1.服务类</w:t>
      </w:r>
    </w:p>
    <w:tbl>
      <w:tblPr>
        <w:tblStyle w:val="13"/>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w:t>
      </w:r>
      <w:r>
        <w:rPr>
          <w:rFonts w:hint="eastAsia" w:asciiTheme="minorEastAsia" w:hAnsiTheme="minorEastAsia" w:cstheme="minorEastAsia"/>
          <w:b/>
          <w:bCs/>
          <w:sz w:val="24"/>
        </w:rPr>
        <w:t>(提供近半年内任意三个月的有效凭证)</w:t>
      </w:r>
      <w:r>
        <w:rPr>
          <w:rFonts w:hint="eastAsia" w:asciiTheme="minorEastAsia" w:hAnsiTheme="minorEastAsia" w:eastAsiaTheme="minorEastAsia" w:cstheme="minorEastAsia"/>
          <w:b/>
          <w:bCs/>
          <w:snapToGrid w:val="0"/>
          <w:color w:val="000000"/>
          <w:spacing w:val="-3"/>
          <w:kern w:val="0"/>
          <w:sz w:val="24"/>
          <w:szCs w:val="24"/>
          <w:lang w:val="en-US" w:eastAsia="zh-CN" w:bidi="ar-SA"/>
        </w:rPr>
        <w:t>、审计或财务报告、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2"/>
        </w:numPr>
        <w:kinsoku/>
        <w:wordWrap w:val="0"/>
        <w:overflowPunct/>
        <w:topLinePunct w:val="0"/>
        <w:bidi w:val="0"/>
        <w:snapToGrid w:val="0"/>
        <w:spacing w:line="360" w:lineRule="auto"/>
        <w:ind w:left="0" w:leftChars="0" w:firstLine="0" w:firstLineChars="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服务实施方案、需求分析、人员绩效考核方案、安全技术保障方案和应急预案等</w:t>
      </w:r>
      <w:r>
        <w:rPr>
          <w:rFonts w:hint="eastAsia" w:ascii="宋体" w:hAnsi="宋体" w:eastAsia="宋体" w:cs="宋体"/>
          <w:b w:val="0"/>
          <w:bCs/>
          <w:sz w:val="24"/>
          <w:szCs w:val="24"/>
        </w:rPr>
        <w:t>磋商文件要求提供的材料</w:t>
      </w:r>
      <w:r>
        <w:rPr>
          <w:rFonts w:hint="eastAsia" w:ascii="宋体" w:hAnsi="宋体" w:eastAsia="宋体" w:cs="宋体"/>
          <w:b w:val="0"/>
          <w:bCs/>
          <w:sz w:val="24"/>
          <w:szCs w:val="24"/>
          <w:lang w:eastAsia="zh-CN"/>
        </w:rPr>
        <w:t>。</w:t>
      </w: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pStyle w:val="2"/>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rPr>
          <w:rFonts w:hint="eastAsia"/>
          <w:lang w:val="en-US" w:eastAsia="zh-CN"/>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pStyle w:val="2"/>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pStyle w:val="2"/>
        <w:rPr>
          <w:rFonts w:hint="eastAsia"/>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七、中小企业声明函</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rPr>
          <w:rFonts w:hint="eastAsia"/>
          <w:lang w:val="zh-CN"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八、供应商认为需要的其他文件资料</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2" w:type="default"/>
      <w:footerReference r:id="rId13"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pPr>
                      <w:pStyle w:val="8"/>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B5A64"/>
    <w:multiLevelType w:val="singleLevel"/>
    <w:tmpl w:val="3D9B5A64"/>
    <w:lvl w:ilvl="0" w:tentative="0">
      <w:start w:val="1"/>
      <w:numFmt w:val="chineseCounting"/>
      <w:suff w:val="nothing"/>
      <w:lvlText w:val="%1、"/>
      <w:lvlJc w:val="left"/>
      <w:rPr>
        <w:rFonts w:hint="eastAsia"/>
      </w:rPr>
    </w:lvl>
  </w:abstractNum>
  <w:abstractNum w:abstractNumId="1">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2980B47"/>
    <w:rsid w:val="0304627B"/>
    <w:rsid w:val="03F005BF"/>
    <w:rsid w:val="042A674C"/>
    <w:rsid w:val="049308F0"/>
    <w:rsid w:val="05C82C12"/>
    <w:rsid w:val="064B2778"/>
    <w:rsid w:val="06731CDB"/>
    <w:rsid w:val="06BD7DF4"/>
    <w:rsid w:val="06F64FD2"/>
    <w:rsid w:val="08743EB7"/>
    <w:rsid w:val="08896F10"/>
    <w:rsid w:val="08DF64FD"/>
    <w:rsid w:val="095962AF"/>
    <w:rsid w:val="09A960A9"/>
    <w:rsid w:val="0A2175C7"/>
    <w:rsid w:val="0A4E3858"/>
    <w:rsid w:val="0A530F50"/>
    <w:rsid w:val="0ADC6029"/>
    <w:rsid w:val="0C272EF4"/>
    <w:rsid w:val="0C450913"/>
    <w:rsid w:val="0CF167FE"/>
    <w:rsid w:val="0E3E7CBD"/>
    <w:rsid w:val="0EE83C0B"/>
    <w:rsid w:val="0F130CAE"/>
    <w:rsid w:val="0FF95996"/>
    <w:rsid w:val="0FFF7484"/>
    <w:rsid w:val="10832DEB"/>
    <w:rsid w:val="11E54B27"/>
    <w:rsid w:val="11F10D0E"/>
    <w:rsid w:val="13504EE3"/>
    <w:rsid w:val="13CD5B6E"/>
    <w:rsid w:val="13D318D3"/>
    <w:rsid w:val="14184102"/>
    <w:rsid w:val="146A4EE4"/>
    <w:rsid w:val="147A2410"/>
    <w:rsid w:val="14B05372"/>
    <w:rsid w:val="156F62EF"/>
    <w:rsid w:val="15C27640"/>
    <w:rsid w:val="16655340"/>
    <w:rsid w:val="16882EF5"/>
    <w:rsid w:val="16CB6312"/>
    <w:rsid w:val="16FD3ABE"/>
    <w:rsid w:val="172F0E42"/>
    <w:rsid w:val="1841002B"/>
    <w:rsid w:val="196A0814"/>
    <w:rsid w:val="1AB772D9"/>
    <w:rsid w:val="1BFF6021"/>
    <w:rsid w:val="1C166281"/>
    <w:rsid w:val="1C587110"/>
    <w:rsid w:val="1CC05665"/>
    <w:rsid w:val="1D7F2147"/>
    <w:rsid w:val="1D996CC8"/>
    <w:rsid w:val="1DA01659"/>
    <w:rsid w:val="1E6454A8"/>
    <w:rsid w:val="1F5C13E8"/>
    <w:rsid w:val="1FCD677B"/>
    <w:rsid w:val="1FCF1E87"/>
    <w:rsid w:val="208E4164"/>
    <w:rsid w:val="21A07893"/>
    <w:rsid w:val="23554AEF"/>
    <w:rsid w:val="23645F64"/>
    <w:rsid w:val="23D54C52"/>
    <w:rsid w:val="23F5677C"/>
    <w:rsid w:val="23FB5E39"/>
    <w:rsid w:val="244A2A1D"/>
    <w:rsid w:val="2564491D"/>
    <w:rsid w:val="25B83A87"/>
    <w:rsid w:val="266463E7"/>
    <w:rsid w:val="26E9311B"/>
    <w:rsid w:val="28032F0B"/>
    <w:rsid w:val="2A3D0E7D"/>
    <w:rsid w:val="2A924A38"/>
    <w:rsid w:val="2AB8563D"/>
    <w:rsid w:val="2AE32E31"/>
    <w:rsid w:val="2CD208B5"/>
    <w:rsid w:val="2E6C7ED8"/>
    <w:rsid w:val="2EA57FA1"/>
    <w:rsid w:val="2EF243BC"/>
    <w:rsid w:val="30EF0857"/>
    <w:rsid w:val="3140197F"/>
    <w:rsid w:val="315216B2"/>
    <w:rsid w:val="31E05F1C"/>
    <w:rsid w:val="320C16C0"/>
    <w:rsid w:val="32672625"/>
    <w:rsid w:val="32831B16"/>
    <w:rsid w:val="32F6583E"/>
    <w:rsid w:val="333A48FA"/>
    <w:rsid w:val="334A1323"/>
    <w:rsid w:val="33D92F7A"/>
    <w:rsid w:val="34920655"/>
    <w:rsid w:val="34B2130C"/>
    <w:rsid w:val="34CE54F3"/>
    <w:rsid w:val="350E12EA"/>
    <w:rsid w:val="354173ED"/>
    <w:rsid w:val="35992C99"/>
    <w:rsid w:val="360F3354"/>
    <w:rsid w:val="369534BE"/>
    <w:rsid w:val="37BC6681"/>
    <w:rsid w:val="37BD0585"/>
    <w:rsid w:val="37CA6352"/>
    <w:rsid w:val="38533A18"/>
    <w:rsid w:val="396226AE"/>
    <w:rsid w:val="3AB900AC"/>
    <w:rsid w:val="3B223EA3"/>
    <w:rsid w:val="3B4402BD"/>
    <w:rsid w:val="3BAF7174"/>
    <w:rsid w:val="3D660BE0"/>
    <w:rsid w:val="3EB41E07"/>
    <w:rsid w:val="40352F34"/>
    <w:rsid w:val="41F66AB4"/>
    <w:rsid w:val="43D372D6"/>
    <w:rsid w:val="44B74AB0"/>
    <w:rsid w:val="44C27AD5"/>
    <w:rsid w:val="45300AE7"/>
    <w:rsid w:val="461A05AB"/>
    <w:rsid w:val="463F4C16"/>
    <w:rsid w:val="46832AB5"/>
    <w:rsid w:val="46942B8F"/>
    <w:rsid w:val="49211C3E"/>
    <w:rsid w:val="49675EE7"/>
    <w:rsid w:val="498A3D49"/>
    <w:rsid w:val="4BBB7B8C"/>
    <w:rsid w:val="4CB97E79"/>
    <w:rsid w:val="4CBA2C7D"/>
    <w:rsid w:val="4E5C03B2"/>
    <w:rsid w:val="4E984750"/>
    <w:rsid w:val="4FA36E2B"/>
    <w:rsid w:val="50CD1D3A"/>
    <w:rsid w:val="50DF62FA"/>
    <w:rsid w:val="51146479"/>
    <w:rsid w:val="538452A3"/>
    <w:rsid w:val="554A067A"/>
    <w:rsid w:val="562B2D19"/>
    <w:rsid w:val="566F2249"/>
    <w:rsid w:val="571C70F4"/>
    <w:rsid w:val="572C012C"/>
    <w:rsid w:val="578C1E3F"/>
    <w:rsid w:val="58122B18"/>
    <w:rsid w:val="582157B7"/>
    <w:rsid w:val="583737A8"/>
    <w:rsid w:val="59791FCF"/>
    <w:rsid w:val="598F49B5"/>
    <w:rsid w:val="59C70462"/>
    <w:rsid w:val="5B942EAB"/>
    <w:rsid w:val="5BFB1656"/>
    <w:rsid w:val="5C805C3A"/>
    <w:rsid w:val="5CC9000B"/>
    <w:rsid w:val="5CCC64C1"/>
    <w:rsid w:val="5CED210B"/>
    <w:rsid w:val="5DD33159"/>
    <w:rsid w:val="5E401EE1"/>
    <w:rsid w:val="5E862024"/>
    <w:rsid w:val="5FE54AEF"/>
    <w:rsid w:val="5FE62E42"/>
    <w:rsid w:val="604F0C94"/>
    <w:rsid w:val="60811390"/>
    <w:rsid w:val="608C61A1"/>
    <w:rsid w:val="60E905BC"/>
    <w:rsid w:val="610572F8"/>
    <w:rsid w:val="611C486A"/>
    <w:rsid w:val="612C3317"/>
    <w:rsid w:val="613320B7"/>
    <w:rsid w:val="64B4350F"/>
    <w:rsid w:val="64C17C5F"/>
    <w:rsid w:val="64E32222"/>
    <w:rsid w:val="660C0310"/>
    <w:rsid w:val="674A54CB"/>
    <w:rsid w:val="68740EAF"/>
    <w:rsid w:val="691A37DC"/>
    <w:rsid w:val="695F7E2D"/>
    <w:rsid w:val="6A443604"/>
    <w:rsid w:val="6ACC2E0B"/>
    <w:rsid w:val="6B6B37C9"/>
    <w:rsid w:val="6B9F656F"/>
    <w:rsid w:val="6DAF0580"/>
    <w:rsid w:val="6DD02520"/>
    <w:rsid w:val="6DE17F47"/>
    <w:rsid w:val="6E1128F7"/>
    <w:rsid w:val="6E6B7F83"/>
    <w:rsid w:val="6EE2110B"/>
    <w:rsid w:val="70411D13"/>
    <w:rsid w:val="718B602C"/>
    <w:rsid w:val="7222612A"/>
    <w:rsid w:val="727D45B0"/>
    <w:rsid w:val="727F5D14"/>
    <w:rsid w:val="73835CCC"/>
    <w:rsid w:val="73B057E9"/>
    <w:rsid w:val="74143D3D"/>
    <w:rsid w:val="7571756C"/>
    <w:rsid w:val="75A81617"/>
    <w:rsid w:val="75EA0EAB"/>
    <w:rsid w:val="76102BC1"/>
    <w:rsid w:val="768D73E4"/>
    <w:rsid w:val="778B45A3"/>
    <w:rsid w:val="77AC443F"/>
    <w:rsid w:val="77C6382D"/>
    <w:rsid w:val="786749F3"/>
    <w:rsid w:val="78F607B2"/>
    <w:rsid w:val="797C745D"/>
    <w:rsid w:val="79A15AC2"/>
    <w:rsid w:val="7BC65611"/>
    <w:rsid w:val="7C2C76E7"/>
    <w:rsid w:val="7DAB2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eastAsia="宋体" w:cs="宋体"/>
      <w:sz w:val="31"/>
      <w:szCs w:val="31"/>
      <w:lang w:val="en-US" w:eastAsia="en-US" w:bidi="ar-SA"/>
    </w:rPr>
  </w:style>
  <w:style w:type="paragraph" w:styleId="4">
    <w:name w:val="annotation text"/>
    <w:basedOn w:val="1"/>
    <w:autoRedefine/>
    <w:qFormat/>
    <w:uiPriority w:val="0"/>
    <w:pPr>
      <w:jc w:val="left"/>
    </w:pPr>
  </w:style>
  <w:style w:type="paragraph" w:styleId="5">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6">
    <w:name w:val="Plain Text"/>
    <w:basedOn w:val="1"/>
    <w:autoRedefine/>
    <w:qFormat/>
    <w:uiPriority w:val="0"/>
    <w:rPr>
      <w:rFonts w:ascii="宋体" w:hAnsi="Courier New" w:cs="Courier New"/>
      <w:szCs w:val="21"/>
    </w:rPr>
  </w:style>
  <w:style w:type="paragraph" w:styleId="7">
    <w:name w:val="Date"/>
    <w:basedOn w:val="1"/>
    <w:next w:val="1"/>
    <w:autoRedefine/>
    <w:qFormat/>
    <w:uiPriority w:val="0"/>
    <w:rPr>
      <w:kern w:val="2"/>
      <w:lang w:eastAsia="zh-CN"/>
    </w:rPr>
  </w:style>
  <w:style w:type="paragraph" w:styleId="8">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0">
    <w:name w:val="footnote text"/>
    <w:basedOn w:val="1"/>
    <w:autoRedefine/>
    <w:qFormat/>
    <w:uiPriority w:val="0"/>
    <w:pPr>
      <w:snapToGrid w:val="0"/>
    </w:pPr>
    <w:rPr>
      <w:sz w:val="18"/>
      <w:szCs w:val="18"/>
    </w:rPr>
  </w:style>
  <w:style w:type="paragraph" w:styleId="1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2">
    <w:name w:val="Body Text First Indent 2"/>
    <w:basedOn w:val="5"/>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5">
    <w:name w:val="Default"/>
    <w:next w:val="16"/>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6">
    <w:name w:val="Char Char10 Char Char Char Char"/>
    <w:basedOn w:val="1"/>
    <w:next w:val="17"/>
    <w:autoRedefine/>
    <w:qFormat/>
    <w:uiPriority w:val="99"/>
    <w:rPr>
      <w:rFonts w:ascii="宋体" w:hAnsi="宋体" w:cs="宋体"/>
      <w:lang w:val="zh-CN" w:bidi="zh-CN"/>
    </w:rPr>
  </w:style>
  <w:style w:type="paragraph" w:customStyle="1" w:styleId="17">
    <w:name w:val="xl87"/>
    <w:basedOn w:val="1"/>
    <w:next w:val="1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18">
    <w:name w:val="xl72"/>
    <w:basedOn w:val="1"/>
    <w:next w:val="7"/>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1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Arial" w:hAnsi="Arial" w:eastAsia="Arial" w:cs="Arial"/>
      <w:sz w:val="21"/>
      <w:szCs w:val="21"/>
      <w:lang w:val="en-US" w:eastAsia="en-US" w:bidi="ar-SA"/>
    </w:rPr>
  </w:style>
  <w:style w:type="paragraph" w:customStyle="1" w:styleId="23">
    <w:name w:val="列出段落1"/>
    <w:basedOn w:val="1"/>
    <w:autoRedefine/>
    <w:qFormat/>
    <w:uiPriority w:val="0"/>
    <w:pPr>
      <w:ind w:firstLine="420" w:firstLineChars="200"/>
    </w:pPr>
    <w:rPr>
      <w:szCs w:val="21"/>
    </w:rPr>
  </w:style>
  <w:style w:type="paragraph" w:customStyle="1" w:styleId="24">
    <w:name w:val="首行缩进"/>
    <w:basedOn w:val="1"/>
    <w:autoRedefine/>
    <w:qFormat/>
    <w:uiPriority w:val="0"/>
    <w:pPr>
      <w:ind w:firstLine="480"/>
    </w:pPr>
    <w:rPr>
      <w:lang w:val="zh-CN"/>
    </w:rPr>
  </w:style>
  <w:style w:type="paragraph" w:customStyle="1" w:styleId="25">
    <w:name w:val="unnamed1"/>
    <w:basedOn w:val="1"/>
    <w:autoRedefine/>
    <w:qFormat/>
    <w:uiPriority w:val="0"/>
    <w:pPr>
      <w:widowControl/>
      <w:spacing w:before="100" w:beforeAutospacing="1" w:after="100" w:afterAutospacing="1" w:line="360" w:lineRule="auto"/>
      <w:jc w:val="left"/>
    </w:pPr>
    <w:rPr>
      <w:rFonts w:ascii="宋体" w:hAnsi="宋体" w:cs="宋体"/>
      <w:color w:val="008888"/>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25156</Words>
  <Characters>26285</Characters>
  <TotalTime>202</TotalTime>
  <ScaleCrop>false</ScaleCrop>
  <LinksUpToDate>false</LinksUpToDate>
  <CharactersWithSpaces>27465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2024-06-20T09:18:33Z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C3A1050C5E714B04A30186B7ED4EC997_13</vt:lpwstr>
  </property>
</Properties>
</file>