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28"/>
          <w:szCs w:val="28"/>
          <w:lang w:eastAsia="zh-CN"/>
        </w:rPr>
      </w:pPr>
    </w:p>
    <w:p>
      <w:pPr>
        <w:jc w:val="center"/>
        <w:rPr>
          <w:rFonts w:ascii="宋体" w:hAnsi="宋体" w:cs="宋体"/>
          <w:b/>
          <w:bCs/>
          <w:sz w:val="22"/>
          <w:szCs w:val="22"/>
          <w:lang w:eastAsia="zh-CN"/>
        </w:rPr>
      </w:pPr>
    </w:p>
    <w:p>
      <w:pPr>
        <w:spacing w:line="360" w:lineRule="auto"/>
        <w:jc w:val="both"/>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pPr>
        <w:spacing w:line="316" w:lineRule="auto"/>
        <w:rPr>
          <w:rFonts w:asciiTheme="minorEastAsia" w:hAnsiTheme="minorEastAsia" w:eastAsiaTheme="minorEastAsia" w:cstheme="minorEastAsia"/>
          <w:lang w:eastAsia="zh-CN"/>
        </w:rPr>
      </w:pPr>
    </w:p>
    <w:p>
      <w:pPr>
        <w:spacing w:line="316" w:lineRule="auto"/>
        <w:rPr>
          <w:rFonts w:asciiTheme="minorEastAsia" w:hAnsiTheme="minorEastAsia" w:eastAsiaTheme="minorEastAsia" w:cstheme="minorEastAsia"/>
          <w:lang w:eastAsia="zh-CN"/>
        </w:rPr>
      </w:pPr>
    </w:p>
    <w:p>
      <w:pPr>
        <w:spacing w:line="317"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pacing w:val="-17"/>
          <w:sz w:val="36"/>
          <w:szCs w:val="36"/>
          <w:lang w:eastAsia="zh-CN"/>
        </w:rPr>
      </w:pPr>
    </w:p>
    <w:p>
      <w:pPr>
        <w:spacing w:line="360" w:lineRule="auto"/>
        <w:rPr>
          <w:rFonts w:asciiTheme="minorEastAsia" w:hAnsiTheme="minorEastAsia" w:eastAsiaTheme="minorEastAsia" w:cstheme="minorEastAsia"/>
          <w:b/>
          <w:bCs/>
          <w:spacing w:val="-17"/>
          <w:sz w:val="36"/>
          <w:szCs w:val="36"/>
          <w:lang w:eastAsia="zh-CN"/>
        </w:rPr>
      </w:pPr>
    </w:p>
    <w:p>
      <w:pPr>
        <w:kinsoku/>
        <w:wordWrap w:val="0"/>
        <w:spacing w:line="360" w:lineRule="auto"/>
        <w:ind w:firstLine="862" w:firstLineChars="300"/>
        <w:jc w:val="both"/>
        <w:rPr>
          <w:rFonts w:hint="eastAsia" w:asciiTheme="minorEastAsia" w:hAnsiTheme="minorEastAsia" w:eastAsiaTheme="minorEastAsia" w:cstheme="minorEastAsia"/>
          <w:b w:val="0"/>
          <w:bCs w:val="0"/>
          <w:spacing w:val="-17"/>
          <w:sz w:val="28"/>
          <w:szCs w:val="28"/>
          <w:u w:val="single"/>
          <w:lang w:val="en-US"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宋体" w:hAnsi="宋体" w:eastAsia="宋体" w:cs="宋体"/>
          <w:sz w:val="24"/>
          <w:szCs w:val="24"/>
          <w:u w:val="single"/>
          <w:lang w:eastAsia="zh-CN"/>
        </w:rPr>
        <w:t xml:space="preserve"> </w:t>
      </w:r>
      <w:r>
        <w:rPr>
          <w:rFonts w:hint="eastAsia" w:asciiTheme="minorEastAsia" w:hAnsiTheme="minorEastAsia" w:eastAsiaTheme="minorEastAsia" w:cstheme="minorEastAsia"/>
          <w:b w:val="0"/>
          <w:bCs w:val="0"/>
          <w:spacing w:val="-17"/>
          <w:sz w:val="28"/>
          <w:szCs w:val="28"/>
          <w:u w:val="single"/>
          <w:lang w:val="en-US" w:eastAsia="zh-CN"/>
        </w:rPr>
        <w:t>南阳市第十五小学校邓禹路校区计算机教室及</w:t>
      </w:r>
    </w:p>
    <w:p>
      <w:pPr>
        <w:spacing w:line="360" w:lineRule="auto"/>
        <w:ind w:firstLine="2460" w:firstLineChars="1000"/>
        <w:rPr>
          <w:rFonts w:hint="default" w:ascii="宋体" w:hAnsi="宋体" w:eastAsia="宋体" w:cs="宋体"/>
          <w:sz w:val="24"/>
          <w:szCs w:val="24"/>
          <w:u w:val="single"/>
          <w:lang w:val="en-US" w:eastAsia="zh-CN"/>
        </w:rPr>
      </w:pPr>
      <w:r>
        <w:rPr>
          <w:rFonts w:hint="eastAsia" w:asciiTheme="minorEastAsia" w:hAnsiTheme="minorEastAsia" w:eastAsiaTheme="minorEastAsia" w:cstheme="minorEastAsia"/>
          <w:b w:val="0"/>
          <w:bCs w:val="0"/>
          <w:spacing w:val="-17"/>
          <w:sz w:val="28"/>
          <w:szCs w:val="28"/>
          <w:u w:val="single"/>
          <w:lang w:val="en-US" w:eastAsia="zh-CN"/>
        </w:rPr>
        <w:t>教学办公设备采购项目</w:t>
      </w:r>
      <w:r>
        <w:rPr>
          <w:rFonts w:hint="eastAsia" w:asciiTheme="minorEastAsia" w:hAnsiTheme="minorEastAsia" w:cstheme="minorEastAsia"/>
          <w:b w:val="0"/>
          <w:bCs w:val="0"/>
          <w:spacing w:val="-17"/>
          <w:sz w:val="28"/>
          <w:szCs w:val="28"/>
          <w:u w:val="single"/>
          <w:lang w:val="en-US" w:eastAsia="zh-CN"/>
        </w:rPr>
        <w:t xml:space="preserve">  </w:t>
      </w:r>
    </w:p>
    <w:p>
      <w:pPr>
        <w:spacing w:line="360" w:lineRule="auto"/>
        <w:ind w:firstLine="862" w:firstLineChars="300"/>
        <w:rPr>
          <w:rFonts w:hint="eastAsia" w:ascii="宋体" w:hAnsi="宋体" w:eastAsia="宋体" w:cs="宋体"/>
          <w:sz w:val="24"/>
          <w:szCs w:val="24"/>
          <w:u w:val="single"/>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sz w:val="28"/>
          <w:szCs w:val="28"/>
          <w:u w:val="single"/>
          <w:lang w:val="en-US" w:eastAsia="zh-CN"/>
        </w:rPr>
        <w:t>南阳政采公开</w:t>
      </w:r>
      <w:r>
        <w:rPr>
          <w:rFonts w:hint="eastAsia" w:ascii="宋体" w:hAnsi="宋体"/>
          <w:sz w:val="28"/>
          <w:szCs w:val="28"/>
          <w:u w:val="single"/>
          <w:lang w:eastAsia="zh-CN"/>
        </w:rPr>
        <w:t>-2024-</w:t>
      </w:r>
      <w:r>
        <w:rPr>
          <w:rFonts w:hint="eastAsia" w:ascii="宋体" w:hAnsi="宋体"/>
          <w:sz w:val="28"/>
          <w:szCs w:val="28"/>
          <w:u w:val="single"/>
          <w:lang w:val="en-US" w:eastAsia="zh-CN"/>
        </w:rPr>
        <w:t>33</w:t>
      </w:r>
      <w:r>
        <w:rPr>
          <w:rFonts w:hint="eastAsia" w:ascii="宋体" w:hAnsi="宋体" w:eastAsia="宋体" w:cs="宋体"/>
          <w:sz w:val="24"/>
          <w:szCs w:val="24"/>
          <w:u w:val="single"/>
          <w:lang w:eastAsia="zh-CN"/>
        </w:rPr>
        <w:t xml:space="preserve">     </w:t>
      </w:r>
    </w:p>
    <w:p>
      <w:pPr>
        <w:spacing w:line="360" w:lineRule="auto"/>
        <w:ind w:firstLine="862" w:firstLineChars="300"/>
        <w:rPr>
          <w:rFonts w:hint="default" w:ascii="宋体" w:hAnsi="宋体" w:eastAsia="宋体" w:cs="宋体"/>
          <w:sz w:val="24"/>
          <w:szCs w:val="24"/>
          <w:u w:val="single"/>
          <w:lang w:val="en-US"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Theme="minorEastAsia" w:hAnsiTheme="minorEastAsia" w:eastAsiaTheme="minorEastAsia" w:cstheme="minorEastAsia"/>
          <w:b w:val="0"/>
          <w:bCs w:val="0"/>
          <w:spacing w:val="-17"/>
          <w:sz w:val="28"/>
          <w:szCs w:val="28"/>
          <w:u w:val="single"/>
          <w:lang w:val="en-US" w:eastAsia="zh-CN"/>
        </w:rPr>
        <w:t>南阳市第十五小学校</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Theme="minorEastAsia" w:hAnsiTheme="minorEastAsia" w:eastAsiaTheme="minorEastAsia" w:cstheme="minorEastAsia"/>
          <w:b/>
          <w:bCs/>
          <w:spacing w:val="-17"/>
          <w:sz w:val="32"/>
          <w:szCs w:val="32"/>
          <w:lang w:eastAsia="zh-CN"/>
        </w:rPr>
      </w:pPr>
    </w:p>
    <w:p>
      <w:pPr>
        <w:spacing w:line="360" w:lineRule="auto"/>
        <w:rPr>
          <w:rFonts w:hint="eastAsia" w:asciiTheme="minorEastAsia" w:hAnsiTheme="minorEastAsia" w:eastAsiaTheme="minorEastAsia" w:cstheme="minorEastAsia"/>
          <w:b/>
          <w:bCs/>
          <w:spacing w:val="-17"/>
          <w:sz w:val="32"/>
          <w:szCs w:val="32"/>
          <w:lang w:eastAsia="zh-CN"/>
        </w:rPr>
      </w:pPr>
    </w:p>
    <w:p>
      <w:pPr>
        <w:spacing w:line="360" w:lineRule="auto"/>
        <w:ind w:firstLine="1149" w:firstLineChars="400"/>
        <w:rPr>
          <w:rFonts w:hint="eastAsia" w:asciiTheme="minorEastAsia" w:hAnsiTheme="minorEastAsia" w:eastAsiaTheme="minorEastAsia" w:cstheme="minorEastAsia"/>
          <w:b/>
          <w:bCs/>
          <w:spacing w:val="-17"/>
          <w:sz w:val="32"/>
          <w:szCs w:val="32"/>
          <w:lang w:eastAsia="zh-CN"/>
        </w:rPr>
      </w:pPr>
    </w:p>
    <w:p>
      <w:pPr>
        <w:spacing w:line="360" w:lineRule="auto"/>
        <w:ind w:firstLine="1149" w:firstLineChars="400"/>
        <w:rPr>
          <w:rFonts w:hint="eastAsia" w:asciiTheme="minorEastAsia" w:hAnsiTheme="minorEastAsia" w:eastAsiaTheme="minorEastAsia" w:cstheme="minorEastAsia"/>
          <w:b/>
          <w:bCs/>
          <w:spacing w:val="-17"/>
          <w:sz w:val="32"/>
          <w:szCs w:val="32"/>
          <w:lang w:eastAsia="zh-CN"/>
        </w:rPr>
      </w:pPr>
    </w:p>
    <w:p>
      <w:pPr>
        <w:spacing w:line="360" w:lineRule="auto"/>
        <w:ind w:firstLine="1149" w:firstLineChars="400"/>
        <w:rPr>
          <w:rFonts w:hint="eastAsia" w:asciiTheme="minorEastAsia" w:hAnsiTheme="minorEastAsia" w:eastAsiaTheme="minorEastAsia" w:cstheme="minorEastAsia"/>
          <w:b/>
          <w:bCs/>
          <w:spacing w:val="-17"/>
          <w:sz w:val="32"/>
          <w:szCs w:val="32"/>
          <w:lang w:eastAsia="zh-CN"/>
        </w:rPr>
      </w:pPr>
    </w:p>
    <w:p>
      <w:pPr>
        <w:spacing w:line="360" w:lineRule="auto"/>
        <w:ind w:firstLine="1149" w:firstLineChars="400"/>
        <w:rPr>
          <w:rFonts w:hint="eastAsia" w:asciiTheme="minorEastAsia" w:hAnsiTheme="minorEastAsia" w:eastAsiaTheme="minorEastAsia" w:cstheme="minorEastAsia"/>
          <w:b/>
          <w:bCs/>
          <w:spacing w:val="-17"/>
          <w:sz w:val="32"/>
          <w:szCs w:val="32"/>
          <w:lang w:eastAsia="zh-CN"/>
        </w:rPr>
      </w:pPr>
    </w:p>
    <w:p>
      <w:pPr>
        <w:spacing w:line="360" w:lineRule="auto"/>
        <w:ind w:firstLine="1064" w:firstLineChars="400"/>
        <w:rPr>
          <w:rFonts w:hint="default" w:asciiTheme="minorEastAsia" w:hAnsiTheme="minorEastAsia" w:eastAsiaTheme="minorEastAsia" w:cstheme="minorEastAsia"/>
          <w:b w:val="0"/>
          <w:bCs w:val="0"/>
          <w:spacing w:val="-17"/>
          <w:sz w:val="30"/>
          <w:szCs w:val="30"/>
          <w:u w:val="none"/>
          <w:lang w:val="en-US" w:eastAsia="zh-CN"/>
        </w:rPr>
      </w:pPr>
      <w:r>
        <w:rPr>
          <w:rFonts w:hint="eastAsia" w:asciiTheme="minorEastAsia" w:hAnsiTheme="minorEastAsia" w:eastAsiaTheme="minorEastAsia" w:cstheme="minorEastAsia"/>
          <w:b w:val="0"/>
          <w:bCs w:val="0"/>
          <w:spacing w:val="-17"/>
          <w:sz w:val="30"/>
          <w:szCs w:val="30"/>
          <w:lang w:eastAsia="zh-CN"/>
        </w:rPr>
        <w:t>采购代理机构：</w:t>
      </w:r>
      <w:r>
        <w:rPr>
          <w:rFonts w:hint="eastAsia" w:asciiTheme="minorEastAsia" w:hAnsiTheme="minorEastAsia" w:eastAsiaTheme="minorEastAsia" w:cstheme="minorEastAsia"/>
          <w:b w:val="0"/>
          <w:bCs w:val="0"/>
          <w:sz w:val="30"/>
          <w:szCs w:val="30"/>
          <w:u w:val="none"/>
          <w:lang w:eastAsia="zh-CN"/>
        </w:rPr>
        <w:t>南阳市</w:t>
      </w:r>
      <w:r>
        <w:rPr>
          <w:rFonts w:hint="eastAsia" w:asciiTheme="minorEastAsia" w:hAnsiTheme="minorEastAsia" w:cstheme="minorEastAsia"/>
          <w:b w:val="0"/>
          <w:bCs w:val="0"/>
          <w:sz w:val="30"/>
          <w:szCs w:val="30"/>
          <w:u w:val="none"/>
          <w:lang w:val="en-US" w:eastAsia="zh-CN"/>
        </w:rPr>
        <w:t>公共资源交易中心</w:t>
      </w:r>
    </w:p>
    <w:p>
      <w:pPr>
        <w:spacing w:line="360" w:lineRule="auto"/>
        <w:jc w:val="center"/>
        <w:rPr>
          <w:rFonts w:asciiTheme="minorEastAsia" w:hAnsiTheme="minorEastAsia" w:eastAsiaTheme="minorEastAsia" w:cstheme="minorEastAsia"/>
          <w:b w:val="0"/>
          <w:bCs w:val="0"/>
          <w:spacing w:val="-17"/>
          <w:sz w:val="30"/>
          <w:szCs w:val="30"/>
          <w:u w:val="none"/>
          <w:lang w:eastAsia="zh-CN"/>
        </w:rPr>
        <w:sectPr>
          <w:pgSz w:w="11907" w:h="16840"/>
          <w:pgMar w:top="1403" w:right="1786" w:bottom="0" w:left="1786" w:header="0" w:footer="0" w:gutter="0"/>
          <w:cols w:space="720" w:num="1"/>
        </w:sectPr>
      </w:pPr>
      <w:r>
        <w:rPr>
          <w:rFonts w:hint="eastAsia" w:asciiTheme="minorEastAsia" w:hAnsiTheme="minorEastAsia" w:eastAsiaTheme="minorEastAsia" w:cstheme="minorEastAsia"/>
          <w:b w:val="0"/>
          <w:bCs w:val="0"/>
          <w:spacing w:val="-17"/>
          <w:sz w:val="30"/>
          <w:szCs w:val="30"/>
          <w:u w:val="none"/>
          <w:lang w:eastAsia="zh-CN"/>
        </w:rPr>
        <w:t>2024年</w:t>
      </w:r>
      <w:r>
        <w:rPr>
          <w:rFonts w:hint="eastAsia" w:asciiTheme="minorEastAsia" w:hAnsiTheme="minorEastAsia" w:cstheme="minorEastAsia"/>
          <w:b w:val="0"/>
          <w:bCs w:val="0"/>
          <w:spacing w:val="-17"/>
          <w:sz w:val="30"/>
          <w:szCs w:val="30"/>
          <w:u w:val="none"/>
          <w:lang w:val="en-US" w:eastAsia="zh-CN"/>
        </w:rPr>
        <w:t>7</w:t>
      </w:r>
      <w:r>
        <w:rPr>
          <w:rFonts w:hint="eastAsia" w:asciiTheme="minorEastAsia" w:hAnsiTheme="minorEastAsia" w:eastAsiaTheme="minorEastAsia" w:cstheme="minorEastAsia"/>
          <w:b w:val="0"/>
          <w:bCs w:val="0"/>
          <w:spacing w:val="-17"/>
          <w:sz w:val="30"/>
          <w:szCs w:val="30"/>
          <w:u w:val="none"/>
          <w:lang w:eastAsia="zh-CN"/>
        </w:rPr>
        <w:t>月</w:t>
      </w:r>
    </w:p>
    <w:p>
      <w:pPr>
        <w:spacing w:line="274" w:lineRule="auto"/>
        <w:rPr>
          <w:rFonts w:asciiTheme="minorEastAsia" w:hAnsiTheme="minorEastAsia" w:eastAsiaTheme="minorEastAsia" w:cstheme="minorEastAsia"/>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rPr>
      </w:sdtEndPr>
      <w:sdtContent>
        <w:p>
          <w:pPr>
            <w:pStyle w:val="8"/>
            <w:spacing w:before="353" w:line="222" w:lineRule="auto"/>
            <w:ind w:left="3716"/>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lang w:eastAsia="zh-CN"/>
            </w:rPr>
            <w:t xml:space="preserve">      </w:t>
          </w: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录</w:t>
          </w:r>
        </w:p>
        <w:p>
          <w:pPr>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pStyle w:val="8"/>
            <w:spacing w:before="78"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公开招标公告</w:t>
          </w:r>
        </w:p>
        <w:p>
          <w:pPr>
            <w:pStyle w:val="8"/>
            <w:spacing w:before="226"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采购需求</w:t>
          </w:r>
        </w:p>
        <w:p>
          <w:pPr>
            <w:pStyle w:val="8"/>
            <w:spacing w:before="224" w:line="185"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lang w:eastAsia="zh-CN"/>
            </w:rPr>
            <w:t xml:space="preserve"> </w:t>
          </w:r>
        </w:p>
        <w:p>
          <w:pPr>
            <w:pStyle w:val="8"/>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第四章</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开、评标程序、评标方法和评标标准</w:t>
          </w:r>
          <w:r>
            <w:rPr>
              <w:rFonts w:hint="eastAsia" w:asciiTheme="minorEastAsia" w:hAnsiTheme="minorEastAsia" w:eastAsiaTheme="minorEastAsia" w:cstheme="minorEastAsia"/>
              <w:spacing w:val="-100"/>
              <w:sz w:val="24"/>
              <w:szCs w:val="24"/>
              <w:lang w:eastAsia="zh-CN"/>
            </w:rPr>
            <w:t xml:space="preserve"> </w:t>
          </w:r>
        </w:p>
        <w:p>
          <w:pPr>
            <w:pStyle w:val="8"/>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政府采购合同（草案）</w:t>
          </w:r>
        </w:p>
        <w:p>
          <w:pPr>
            <w:pStyle w:val="8"/>
            <w:spacing w:before="227" w:line="219"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投标文件格式</w:t>
          </w:r>
        </w:p>
      </w:sdtContent>
    </w:sdt>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Cs w:val="24"/>
        </w:rPr>
        <w:sectPr>
          <w:headerReference r:id="rId3" w:type="default"/>
          <w:footerReference r:id="rId4" w:type="default"/>
          <w:pgSz w:w="11907" w:h="16840"/>
          <w:pgMar w:top="1117" w:right="1133" w:bottom="0" w:left="1700" w:header="878" w:footer="0" w:gutter="0"/>
          <w:pgNumType w:start="1"/>
          <w:cols w:space="720" w:num="1"/>
        </w:sectPr>
      </w:pPr>
    </w:p>
    <w:p>
      <w:pPr>
        <w:pStyle w:val="3"/>
        <w:numPr>
          <w:ilvl w:val="0"/>
          <w:numId w:val="1"/>
        </w:numPr>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0" w:name="_Toc4522"/>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 xml:space="preserve"> 公开招标公告</w:t>
      </w:r>
      <w:bookmarkEnd w:id="0"/>
    </w:p>
    <w:p>
      <w:pPr>
        <w:numPr>
          <w:ilvl w:val="0"/>
          <w:numId w:val="0"/>
        </w:numPr>
        <w:rPr>
          <w:lang w:eastAsia="zh-CN"/>
        </w:rPr>
      </w:pP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采购人拟就下述项目以公开招标方式组织采购活动，欢迎潜在投标人参与本项目投标。</w:t>
      </w:r>
    </w:p>
    <w:p>
      <w:pPr>
        <w:pStyle w:val="8"/>
        <w:kinsoku/>
        <w:wordWrap w:val="0"/>
        <w:spacing w:line="360" w:lineRule="auto"/>
        <w:ind w:left="420" w:leftChars="200"/>
        <w:jc w:val="both"/>
        <w:rPr>
          <w:rFonts w:asciiTheme="minorEastAsia" w:hAnsiTheme="minorEastAsia" w:eastAsiaTheme="minorEastAsia" w:cstheme="minorEastAsia"/>
          <w:b w:val="0"/>
          <w:bCs w:val="0"/>
          <w:sz w:val="24"/>
          <w:szCs w:val="24"/>
          <w:u w:val="single"/>
          <w:lang w:eastAsia="zh-CN"/>
        </w:rPr>
      </w:pPr>
      <w:r>
        <w:rPr>
          <w:rFonts w:hint="eastAsia" w:asciiTheme="minorEastAsia" w:hAnsiTheme="minorEastAsia" w:eastAsiaTheme="minorEastAsia" w:cstheme="minorEastAsia"/>
          <w:spacing w:val="-25"/>
          <w:sz w:val="24"/>
          <w:szCs w:val="24"/>
          <w:lang w:eastAsia="zh-CN"/>
        </w:rPr>
        <w:t>1.项目编号：</w:t>
      </w:r>
      <w:r>
        <w:rPr>
          <w:rFonts w:hint="eastAsia" w:asciiTheme="minorEastAsia" w:hAnsiTheme="minorEastAsia" w:eastAsiaTheme="minorEastAsia" w:cstheme="minorEastAsia"/>
          <w:b w:val="0"/>
          <w:bCs w:val="0"/>
          <w:spacing w:val="-25"/>
          <w:sz w:val="24"/>
          <w:szCs w:val="24"/>
          <w:u w:val="single"/>
          <w:lang w:val="en-US" w:eastAsia="zh-CN"/>
        </w:rPr>
        <w:t>南阳政采公开</w:t>
      </w:r>
      <w:r>
        <w:rPr>
          <w:rFonts w:hint="eastAsia" w:asciiTheme="minorEastAsia" w:hAnsiTheme="minorEastAsia" w:eastAsiaTheme="minorEastAsia" w:cstheme="minorEastAsia"/>
          <w:b w:val="0"/>
          <w:bCs w:val="0"/>
          <w:spacing w:val="-25"/>
          <w:sz w:val="24"/>
          <w:szCs w:val="24"/>
          <w:u w:val="single"/>
          <w:lang w:eastAsia="zh-CN"/>
        </w:rPr>
        <w:t>-2024-</w:t>
      </w:r>
      <w:r>
        <w:rPr>
          <w:rFonts w:hint="eastAsia" w:asciiTheme="minorEastAsia" w:hAnsiTheme="minorEastAsia" w:eastAsiaTheme="minorEastAsia" w:cstheme="minorEastAsia"/>
          <w:b w:val="0"/>
          <w:bCs w:val="0"/>
          <w:spacing w:val="-25"/>
          <w:sz w:val="24"/>
          <w:szCs w:val="24"/>
          <w:u w:val="single"/>
          <w:lang w:val="en-US" w:eastAsia="zh-CN"/>
        </w:rPr>
        <w:t>33</w:t>
      </w:r>
    </w:p>
    <w:p>
      <w:pPr>
        <w:pStyle w:val="8"/>
        <w:kinsoku/>
        <w:wordWrap w:val="0"/>
        <w:spacing w:line="360" w:lineRule="auto"/>
        <w:ind w:left="420" w:leftChars="200"/>
        <w:jc w:val="both"/>
        <w:rPr>
          <w:rFonts w:hint="eastAsia" w:asciiTheme="minorEastAsia" w:hAnsiTheme="minorEastAsia" w:eastAsiaTheme="minorEastAsia" w:cstheme="minorEastAsia"/>
          <w:b w:val="0"/>
          <w:bCs w:val="0"/>
          <w:spacing w:val="-24"/>
          <w:sz w:val="24"/>
          <w:szCs w:val="24"/>
          <w:lang w:val="en-US" w:eastAsia="zh-CN"/>
        </w:rPr>
      </w:pPr>
      <w:r>
        <w:rPr>
          <w:rFonts w:hint="eastAsia" w:asciiTheme="minorEastAsia" w:hAnsiTheme="minorEastAsia" w:eastAsiaTheme="minorEastAsia" w:cstheme="minorEastAsia"/>
          <w:b w:val="0"/>
          <w:bCs w:val="0"/>
          <w:spacing w:val="-24"/>
          <w:sz w:val="24"/>
          <w:szCs w:val="24"/>
          <w:lang w:eastAsia="zh-CN"/>
        </w:rPr>
        <w:t>2.项目名称：</w:t>
      </w:r>
      <w:r>
        <w:rPr>
          <w:rFonts w:hint="eastAsia" w:asciiTheme="minorEastAsia" w:hAnsiTheme="minorEastAsia" w:eastAsiaTheme="minorEastAsia" w:cstheme="minorEastAsia"/>
          <w:b w:val="0"/>
          <w:bCs w:val="0"/>
          <w:spacing w:val="-24"/>
          <w:sz w:val="24"/>
          <w:szCs w:val="24"/>
          <w:u w:val="single"/>
          <w:lang w:val="en-US" w:eastAsia="zh-CN"/>
        </w:rPr>
        <w:t>南阳市第十五小学校邓禹路校区计算机教室及教学办公设备采购项目</w:t>
      </w:r>
    </w:p>
    <w:p>
      <w:pPr>
        <w:pStyle w:val="8"/>
        <w:kinsoku/>
        <w:wordWrap w:val="0"/>
        <w:spacing w:line="360" w:lineRule="auto"/>
        <w:ind w:left="420" w:leftChars="200"/>
        <w:jc w:val="both"/>
        <w:rPr>
          <w:rFonts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pacing w:val="-14"/>
          <w:sz w:val="24"/>
          <w:szCs w:val="24"/>
          <w:lang w:eastAsia="zh-CN"/>
        </w:rPr>
        <w:t>3.项目预算金额：</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u w:val="single"/>
          <w:lang w:val="en-US" w:eastAsia="zh-CN"/>
        </w:rPr>
        <w:t>149.167</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lang w:eastAsia="zh-CN"/>
        </w:rPr>
        <w:t>万元、项目最高限价（如有</w:t>
      </w:r>
      <w:r>
        <w:rPr>
          <w:rFonts w:hint="eastAsia" w:asciiTheme="minorEastAsia" w:hAnsiTheme="minorEastAsia" w:eastAsiaTheme="minorEastAsia" w:cstheme="minorEastAsia"/>
          <w:b w:val="0"/>
          <w:bCs w:val="0"/>
          <w:spacing w:val="5"/>
          <w:sz w:val="24"/>
          <w:szCs w:val="24"/>
          <w:lang w:eastAsia="zh-CN"/>
        </w:rPr>
        <w:t>）：</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b w:val="0"/>
          <w:bCs w:val="0"/>
          <w:sz w:val="24"/>
          <w:szCs w:val="24"/>
          <w:u w:val="single"/>
          <w:lang w:val="en-US" w:eastAsia="zh-CN"/>
        </w:rPr>
        <w:t>149.167</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5"/>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lang w:eastAsia="zh-CN"/>
        </w:rPr>
        <w:t>万元</w:t>
      </w:r>
    </w:p>
    <w:p>
      <w:pPr>
        <w:pStyle w:val="8"/>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47"/>
        <w:tblW w:w="80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6"/>
        <w:gridCol w:w="3814"/>
        <w:gridCol w:w="21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036" w:type="dxa"/>
            <w:vAlign w:val="center"/>
          </w:tcPr>
          <w:p>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814" w:type="dxa"/>
            <w:vAlign w:val="center"/>
          </w:tcPr>
          <w:p>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185" w:type="dxa"/>
            <w:vAlign w:val="center"/>
          </w:tcPr>
          <w:p>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万</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036" w:type="dxa"/>
          </w:tcPr>
          <w:p>
            <w:pPr>
              <w:pStyle w:val="48"/>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25"/>
                <w:sz w:val="24"/>
                <w:szCs w:val="24"/>
                <w:u w:val="none"/>
                <w:lang w:val="en-US" w:eastAsia="zh-CN"/>
              </w:rPr>
              <w:t>南阳政采公开</w:t>
            </w:r>
            <w:r>
              <w:rPr>
                <w:rFonts w:hint="eastAsia" w:asciiTheme="minorEastAsia" w:hAnsiTheme="minorEastAsia" w:eastAsiaTheme="minorEastAsia" w:cstheme="minorEastAsia"/>
                <w:b w:val="0"/>
                <w:bCs w:val="0"/>
                <w:spacing w:val="-25"/>
                <w:sz w:val="24"/>
                <w:szCs w:val="24"/>
                <w:u w:val="none"/>
                <w:lang w:eastAsia="zh-CN"/>
              </w:rPr>
              <w:t>-2024-</w:t>
            </w:r>
            <w:r>
              <w:rPr>
                <w:rFonts w:hint="eastAsia" w:asciiTheme="minorEastAsia" w:hAnsiTheme="minorEastAsia" w:eastAsiaTheme="minorEastAsia" w:cstheme="minorEastAsia"/>
                <w:b w:val="0"/>
                <w:bCs w:val="0"/>
                <w:spacing w:val="-25"/>
                <w:sz w:val="24"/>
                <w:szCs w:val="24"/>
                <w:u w:val="none"/>
                <w:lang w:val="en-US" w:eastAsia="zh-CN"/>
              </w:rPr>
              <w:t>33</w:t>
            </w:r>
          </w:p>
        </w:tc>
        <w:tc>
          <w:tcPr>
            <w:tcW w:w="3814" w:type="dxa"/>
          </w:tcPr>
          <w:p>
            <w:pPr>
              <w:pStyle w:val="48"/>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南阳市第十五小学校邓禹路校区计算机教室及教学办公设备采购项目</w:t>
            </w:r>
          </w:p>
        </w:tc>
        <w:tc>
          <w:tcPr>
            <w:tcW w:w="2185" w:type="dxa"/>
          </w:tcPr>
          <w:p>
            <w:pPr>
              <w:pStyle w:val="48"/>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宋体" w:hAnsi="宋体" w:cs="宋体" w:eastAsiaTheme="minorEastAsia"/>
                <w:b w:val="0"/>
                <w:bCs w:val="0"/>
                <w:sz w:val="24"/>
                <w:szCs w:val="24"/>
                <w:u w:val="single"/>
                <w:lang w:val="en-US" w:eastAsia="zh-CN"/>
              </w:rPr>
              <w:t>149.167</w:t>
            </w:r>
            <w:r>
              <w:rPr>
                <w:rFonts w:hint="eastAsia" w:asciiTheme="minorEastAsia" w:hAnsiTheme="minorEastAsia" w:eastAsiaTheme="minorEastAsia" w:cstheme="minorEastAsia"/>
                <w:b w:val="0"/>
                <w:bCs w:val="0"/>
                <w:spacing w:val="-14"/>
                <w:sz w:val="24"/>
                <w:szCs w:val="24"/>
                <w:u w:val="single"/>
                <w:lang w:eastAsia="zh-CN"/>
              </w:rPr>
              <w:t xml:space="preserve">  </w:t>
            </w:r>
          </w:p>
        </w:tc>
      </w:tr>
    </w:tbl>
    <w:p>
      <w:pPr>
        <w:pStyle w:val="8"/>
        <w:numPr>
          <w:ilvl w:val="0"/>
          <w:numId w:val="2"/>
        </w:numPr>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采购清单：</w:t>
      </w:r>
    </w:p>
    <w:tbl>
      <w:tblPr>
        <w:tblStyle w:val="18"/>
        <w:tblW w:w="4673" w:type="pct"/>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742"/>
        <w:gridCol w:w="1052"/>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721" w:type="pct"/>
            <w:noWrap/>
            <w:vAlign w:val="center"/>
          </w:tcPr>
          <w:p>
            <w:pPr>
              <w:spacing w:line="360" w:lineRule="auto"/>
              <w:jc w:val="center"/>
              <w:rPr>
                <w:rFonts w:hint="eastAsia" w:ascii="宋体" w:hAnsi="宋体" w:eastAsia="宋体" w:cs="宋体"/>
                <w:b/>
                <w:bCs/>
              </w:rPr>
            </w:pPr>
            <w:r>
              <w:rPr>
                <w:rFonts w:hint="eastAsia" w:ascii="宋体" w:hAnsi="宋体" w:eastAsia="宋体" w:cs="宋体"/>
                <w:b/>
                <w:bCs/>
              </w:rPr>
              <w:t>名称</w:t>
            </w:r>
          </w:p>
        </w:tc>
        <w:tc>
          <w:tcPr>
            <w:tcW w:w="660" w:type="pc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单位</w:t>
            </w:r>
          </w:p>
        </w:tc>
        <w:tc>
          <w:tcPr>
            <w:tcW w:w="1927" w:type="pct"/>
            <w:noWrap w:val="0"/>
            <w:vAlign w:val="center"/>
          </w:tcPr>
          <w:p>
            <w:pPr>
              <w:spacing w:line="360" w:lineRule="auto"/>
              <w:jc w:val="center"/>
              <w:rPr>
                <w:rFonts w:hint="eastAsia" w:ascii="宋体" w:hAnsi="宋体" w:eastAsia="宋体" w:cs="宋体"/>
                <w:b/>
                <w:bCs/>
              </w:rPr>
            </w:pPr>
            <w:r>
              <w:rPr>
                <w:rFonts w:hint="eastAsia" w:ascii="宋体" w:hAnsi="宋体" w:eastAsia="宋体" w:cs="宋体"/>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bidi="en-US"/>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zh-CN" w:bidi="en-US"/>
              </w:rPr>
            </w:pPr>
            <w:r>
              <w:rPr>
                <w:rFonts w:hint="eastAsia" w:ascii="宋体" w:hAnsi="宋体" w:eastAsia="宋体" w:cs="宋体"/>
                <w:i w:val="0"/>
                <w:iCs w:val="0"/>
                <w:color w:val="000000"/>
                <w:kern w:val="0"/>
                <w:sz w:val="24"/>
                <w:szCs w:val="24"/>
                <w:u w:val="none"/>
                <w:lang w:val="en-US" w:eastAsia="zh-CN" w:bidi="ar"/>
              </w:rPr>
              <w:t>办公电脑</w:t>
            </w:r>
          </w:p>
        </w:tc>
        <w:tc>
          <w:tcPr>
            <w:tcW w:w="660" w:type="pct"/>
            <w:noWrap/>
            <w:vAlign w:val="center"/>
          </w:tcPr>
          <w:p>
            <w:pPr>
              <w:spacing w:line="360" w:lineRule="auto"/>
              <w:jc w:val="center"/>
              <w:rPr>
                <w:rFonts w:hint="eastAsia" w:ascii="宋体" w:hAnsi="宋体" w:eastAsia="宋体" w:cs="宋体"/>
                <w:sz w:val="24"/>
                <w:szCs w:val="24"/>
                <w:lang w:val="en-US" w:eastAsia="zh-CN" w:bidi="en-US"/>
              </w:rPr>
            </w:pPr>
            <w:r>
              <w:rPr>
                <w:rFonts w:hint="eastAsia" w:ascii="宋体" w:hAnsi="宋体" w:eastAsia="宋体" w:cs="宋体"/>
                <w:sz w:val="24"/>
                <w:szCs w:val="24"/>
                <w:lang w:val="en-US" w:eastAsia="zh-CN"/>
              </w:rPr>
              <w:t>套</w:t>
            </w:r>
          </w:p>
        </w:tc>
        <w:tc>
          <w:tcPr>
            <w:tcW w:w="1927" w:type="pct"/>
            <w:noWrap/>
            <w:vAlign w:val="center"/>
          </w:tcPr>
          <w:p>
            <w:pPr>
              <w:spacing w:line="360" w:lineRule="auto"/>
              <w:jc w:val="center"/>
              <w:rPr>
                <w:rFonts w:hint="default" w:ascii="宋体" w:hAnsi="宋体" w:eastAsia="宋体" w:cs="宋体"/>
                <w:sz w:val="24"/>
                <w:szCs w:val="24"/>
                <w:lang w:val="en-US" w:eastAsia="zh-CN" w:bidi="en-US"/>
              </w:rPr>
            </w:pPr>
            <w:r>
              <w:rPr>
                <w:rFonts w:hint="eastAsia" w:ascii="宋体" w:hAnsi="宋体" w:eastAsia="宋体" w:cs="宋体"/>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智慧黑板</w:t>
            </w:r>
          </w:p>
        </w:tc>
        <w:tc>
          <w:tcPr>
            <w:tcW w:w="660" w:type="pct"/>
            <w:noWrap/>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927" w:type="pct"/>
            <w:noWrap/>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展台</w:t>
            </w:r>
          </w:p>
        </w:tc>
        <w:tc>
          <w:tcPr>
            <w:tcW w:w="660" w:type="pct"/>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桌面云一体机</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VDI授权与配件</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套</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教学管理软件</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套</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aDesk瘦终端(学生机)</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aDesk瘦终端（教师机）</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b w:val="0"/>
                <w:bCs w:val="0"/>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存储交换机</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接入交换机1</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接入交换机2</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显示器</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台</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鼠标键盘</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套</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网线</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箱</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sz w:val="24"/>
                <w:szCs w:val="24"/>
                <w:lang w:val="en-US" w:eastAsia="en-US"/>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180975</wp:posOffset>
                  </wp:positionV>
                  <wp:extent cx="76835" cy="0"/>
                  <wp:effectExtent l="0" t="0" r="0" b="0"/>
                  <wp:wrapNone/>
                  <wp:docPr id="2" name="Text_Box_13"/>
                  <wp:cNvGraphicFramePr/>
                  <a:graphic xmlns:a="http://schemas.openxmlformats.org/drawingml/2006/main">
                    <a:graphicData uri="http://schemas.openxmlformats.org/drawingml/2006/picture">
                      <pic:pic xmlns:pic="http://schemas.openxmlformats.org/drawingml/2006/picture">
                        <pic:nvPicPr>
                          <pic:cNvPr id="2" name="Text_Box_13"/>
                          <pic:cNvPicPr/>
                        </pic:nvPicPr>
                        <pic:blipFill>
                          <a:blip r:embed="rId18"/>
                          <a:stretch>
                            <a:fillRect/>
                          </a:stretch>
                        </pic:blipFill>
                        <pic:spPr>
                          <a:xfrm>
                            <a:off x="0" y="0"/>
                            <a:ext cx="7683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123190</wp:posOffset>
                  </wp:positionH>
                  <wp:positionV relativeFrom="paragraph">
                    <wp:posOffset>180975</wp:posOffset>
                  </wp:positionV>
                  <wp:extent cx="79375" cy="0"/>
                  <wp:effectExtent l="0" t="0" r="0" b="0"/>
                  <wp:wrapNone/>
                  <wp:docPr id="9" name="Text_Box_11"/>
                  <wp:cNvGraphicFramePr/>
                  <a:graphic xmlns:a="http://schemas.openxmlformats.org/drawingml/2006/main">
                    <a:graphicData uri="http://schemas.openxmlformats.org/drawingml/2006/picture">
                      <pic:pic xmlns:pic="http://schemas.openxmlformats.org/drawingml/2006/picture">
                        <pic:nvPicPr>
                          <pic:cNvPr id="9" name="Text_Box_11"/>
                          <pic:cNvPicPr/>
                        </pic:nvPicPr>
                        <pic:blipFill>
                          <a:blip r:embed="rId18"/>
                          <a:stretch>
                            <a:fillRect/>
                          </a:stretch>
                        </pic:blipFill>
                        <pic:spPr>
                          <a:xfrm>
                            <a:off x="0" y="0"/>
                            <a:ext cx="7937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10" name="Text_Box_3"/>
                  <wp:cNvGraphicFramePr/>
                  <a:graphic xmlns:a="http://schemas.openxmlformats.org/drawingml/2006/main">
                    <a:graphicData uri="http://schemas.openxmlformats.org/drawingml/2006/picture">
                      <pic:pic xmlns:pic="http://schemas.openxmlformats.org/drawingml/2006/picture">
                        <pic:nvPicPr>
                          <pic:cNvPr id="10" name="Text_Box_3"/>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11" name="Text_Box_1"/>
                  <wp:cNvGraphicFramePr/>
                  <a:graphic xmlns:a="http://schemas.openxmlformats.org/drawingml/2006/main">
                    <a:graphicData uri="http://schemas.openxmlformats.org/drawingml/2006/picture">
                      <pic:pic xmlns:pic="http://schemas.openxmlformats.org/drawingml/2006/picture">
                        <pic:nvPicPr>
                          <pic:cNvPr id="11" name="Text_Box_1"/>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12" name="Text_Box_2"/>
                  <wp:cNvGraphicFramePr/>
                  <a:graphic xmlns:a="http://schemas.openxmlformats.org/drawingml/2006/main">
                    <a:graphicData uri="http://schemas.openxmlformats.org/drawingml/2006/picture">
                      <pic:pic xmlns:pic="http://schemas.openxmlformats.org/drawingml/2006/picture">
                        <pic:nvPicPr>
                          <pic:cNvPr id="12" name="Text_Box_2"/>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13" name="Text_Box_4"/>
                  <wp:cNvGraphicFramePr/>
                  <a:graphic xmlns:a="http://schemas.openxmlformats.org/drawingml/2006/main">
                    <a:graphicData uri="http://schemas.openxmlformats.org/drawingml/2006/picture">
                      <pic:pic xmlns:pic="http://schemas.openxmlformats.org/drawingml/2006/picture">
                        <pic:nvPicPr>
                          <pic:cNvPr id="13" name="Text_Box_4"/>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桌椅</w:t>
            </w:r>
          </w:p>
        </w:tc>
        <w:tc>
          <w:tcPr>
            <w:tcW w:w="660" w:type="pct"/>
            <w:noWrap/>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59264" behindDoc="0" locked="0" layoutInCell="1" allowOverlap="1">
                  <wp:simplePos x="0" y="0"/>
                  <wp:positionH relativeFrom="column">
                    <wp:posOffset>426085</wp:posOffset>
                  </wp:positionH>
                  <wp:positionV relativeFrom="paragraph">
                    <wp:posOffset>180975</wp:posOffset>
                  </wp:positionV>
                  <wp:extent cx="76200" cy="0"/>
                  <wp:effectExtent l="0" t="0" r="0" b="0"/>
                  <wp:wrapNone/>
                  <wp:docPr id="14" name="Text_Box_11_SpCnt_1"/>
                  <wp:cNvGraphicFramePr/>
                  <a:graphic xmlns:a="http://schemas.openxmlformats.org/drawingml/2006/main">
                    <a:graphicData uri="http://schemas.openxmlformats.org/drawingml/2006/picture">
                      <pic:pic xmlns:pic="http://schemas.openxmlformats.org/drawingml/2006/picture">
                        <pic:nvPicPr>
                          <pic:cNvPr id="14" name="Text_Box_11_SpCnt_1"/>
                          <pic:cNvPicPr/>
                        </pic:nvPicPr>
                        <pic:blipFill>
                          <a:blip r:embed="rId18"/>
                          <a:stretch>
                            <a:fillRect/>
                          </a:stretch>
                        </pic:blipFill>
                        <pic:spPr>
                          <a:xfrm>
                            <a:off x="0" y="0"/>
                            <a:ext cx="76200" cy="0"/>
                          </a:xfrm>
                          <a:prstGeom prst="rect">
                            <a:avLst/>
                          </a:prstGeom>
                          <a:noFill/>
                          <a:ln>
                            <a:noFill/>
                          </a:ln>
                        </pic:spPr>
                      </pic:pic>
                    </a:graphicData>
                  </a:graphic>
                </wp:anchor>
              </w:drawing>
            </w:r>
            <w:r>
              <w:rPr>
                <w:rFonts w:hint="eastAsia" w:ascii="宋体" w:hAnsi="宋体" w:eastAsia="宋体" w:cs="宋体"/>
                <w:sz w:val="24"/>
                <w:szCs w:val="24"/>
                <w:lang w:val="en-US" w:eastAsia="zh-CN"/>
              </w:rPr>
              <w:drawing>
                <wp:anchor distT="0" distB="0" distL="114300" distR="114300" simplePos="0" relativeHeight="251660288" behindDoc="0" locked="0" layoutInCell="1" allowOverlap="1">
                  <wp:simplePos x="0" y="0"/>
                  <wp:positionH relativeFrom="column">
                    <wp:posOffset>426085</wp:posOffset>
                  </wp:positionH>
                  <wp:positionV relativeFrom="paragraph">
                    <wp:posOffset>180975</wp:posOffset>
                  </wp:positionV>
                  <wp:extent cx="76200" cy="0"/>
                  <wp:effectExtent l="0" t="0" r="0" b="0"/>
                  <wp:wrapNone/>
                  <wp:docPr id="15" name="Text_Box_9"/>
                  <wp:cNvGraphicFramePr/>
                  <a:graphic xmlns:a="http://schemas.openxmlformats.org/drawingml/2006/main">
                    <a:graphicData uri="http://schemas.openxmlformats.org/drawingml/2006/picture">
                      <pic:pic xmlns:pic="http://schemas.openxmlformats.org/drawingml/2006/picture">
                        <pic:nvPicPr>
                          <pic:cNvPr id="15" name="Text_Box_9"/>
                          <pic:cNvPicPr/>
                        </pic:nvPicPr>
                        <pic:blipFill>
                          <a:blip r:embed="rId18"/>
                          <a:stretch>
                            <a:fillRect/>
                          </a:stretch>
                        </pic:blipFill>
                        <pic:spPr>
                          <a:xfrm>
                            <a:off x="0" y="0"/>
                            <a:ext cx="76200" cy="0"/>
                          </a:xfrm>
                          <a:prstGeom prst="rect">
                            <a:avLst/>
                          </a:prstGeom>
                          <a:noFill/>
                          <a:ln>
                            <a:noFill/>
                          </a:ln>
                        </pic:spPr>
                      </pic:pic>
                    </a:graphicData>
                  </a:graphic>
                </wp:anchor>
              </w:drawing>
            </w:r>
            <w:r>
              <w:rPr>
                <w:rFonts w:hint="eastAsia" w:ascii="宋体" w:hAnsi="宋体" w:eastAsia="宋体" w:cs="宋体"/>
                <w:sz w:val="24"/>
                <w:szCs w:val="24"/>
                <w:lang w:val="en-US" w:eastAsia="zh-CN"/>
              </w:rPr>
              <w:t>套</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防静电地板</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平方</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不锈钢踢脚线</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静电泄流网</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7456" behindDoc="0" locked="0" layoutInCell="1" allowOverlap="1">
                  <wp:simplePos x="0" y="0"/>
                  <wp:positionH relativeFrom="column">
                    <wp:posOffset>1270</wp:posOffset>
                  </wp:positionH>
                  <wp:positionV relativeFrom="paragraph">
                    <wp:posOffset>1905</wp:posOffset>
                  </wp:positionV>
                  <wp:extent cx="372745" cy="188595"/>
                  <wp:effectExtent l="0" t="0" r="0" b="0"/>
                  <wp:wrapNone/>
                  <wp:docPr id="16" name="Text_Box_14"/>
                  <wp:cNvGraphicFramePr/>
                  <a:graphic xmlns:a="http://schemas.openxmlformats.org/drawingml/2006/main">
                    <a:graphicData uri="http://schemas.openxmlformats.org/drawingml/2006/picture">
                      <pic:pic xmlns:pic="http://schemas.openxmlformats.org/drawingml/2006/picture">
                        <pic:nvPicPr>
                          <pic:cNvPr id="16" name="Text_Box_14"/>
                          <pic:cNvPicPr/>
                        </pic:nvPicPr>
                        <pic:blipFill>
                          <a:blip r:embed="rId19"/>
                          <a:stretch>
                            <a:fillRect/>
                          </a:stretch>
                        </pic:blipFill>
                        <pic:spPr>
                          <a:xfrm>
                            <a:off x="0" y="0"/>
                            <a:ext cx="372745" cy="18859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8480" behindDoc="0" locked="0" layoutInCell="1" allowOverlap="1">
                  <wp:simplePos x="0" y="0"/>
                  <wp:positionH relativeFrom="column">
                    <wp:posOffset>1270</wp:posOffset>
                  </wp:positionH>
                  <wp:positionV relativeFrom="paragraph">
                    <wp:posOffset>180975</wp:posOffset>
                  </wp:positionV>
                  <wp:extent cx="372745" cy="147320"/>
                  <wp:effectExtent l="0" t="0" r="0" b="0"/>
                  <wp:wrapNone/>
                  <wp:docPr id="17" name="Text_Box_14_SpCnt_2"/>
                  <wp:cNvGraphicFramePr/>
                  <a:graphic xmlns:a="http://schemas.openxmlformats.org/drawingml/2006/main">
                    <a:graphicData uri="http://schemas.openxmlformats.org/drawingml/2006/picture">
                      <pic:pic xmlns:pic="http://schemas.openxmlformats.org/drawingml/2006/picture">
                        <pic:nvPicPr>
                          <pic:cNvPr id="17" name="Text_Box_14_SpCnt_2"/>
                          <pic:cNvPicPr/>
                        </pic:nvPicPr>
                        <pic:blipFill>
                          <a:blip r:embed="rId20"/>
                          <a:stretch>
                            <a:fillRect/>
                          </a:stretch>
                        </pic:blipFill>
                        <pic:spPr>
                          <a:xfrm>
                            <a:off x="0" y="0"/>
                            <a:ext cx="372745" cy="1473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静电泄流排</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9504" behindDoc="0" locked="0" layoutInCell="1" allowOverlap="1">
                  <wp:simplePos x="0" y="0"/>
                  <wp:positionH relativeFrom="column">
                    <wp:posOffset>1270</wp:posOffset>
                  </wp:positionH>
                  <wp:positionV relativeFrom="paragraph">
                    <wp:posOffset>180975</wp:posOffset>
                  </wp:positionV>
                  <wp:extent cx="372745" cy="0"/>
                  <wp:effectExtent l="0" t="0" r="0" b="0"/>
                  <wp:wrapNone/>
                  <wp:docPr id="18" name="Text_Box_14_SpCnt_3"/>
                  <wp:cNvGraphicFramePr/>
                  <a:graphic xmlns:a="http://schemas.openxmlformats.org/drawingml/2006/main">
                    <a:graphicData uri="http://schemas.openxmlformats.org/drawingml/2006/picture">
                      <pic:pic xmlns:pic="http://schemas.openxmlformats.org/drawingml/2006/picture">
                        <pic:nvPicPr>
                          <pic:cNvPr id="18" name="Text_Box_14_SpCnt_3"/>
                          <pic:cNvPicPr/>
                        </pic:nvPicPr>
                        <pic:blipFill>
                          <a:blip r:embed="rId18"/>
                          <a:stretch>
                            <a:fillRect/>
                          </a:stretch>
                        </pic:blipFill>
                        <pic:spPr>
                          <a:xfrm>
                            <a:off x="0" y="0"/>
                            <a:ext cx="37274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70528" behindDoc="0" locked="0" layoutInCell="1" allowOverlap="1">
                  <wp:simplePos x="0" y="0"/>
                  <wp:positionH relativeFrom="column">
                    <wp:posOffset>1270</wp:posOffset>
                  </wp:positionH>
                  <wp:positionV relativeFrom="paragraph">
                    <wp:posOffset>180975</wp:posOffset>
                  </wp:positionV>
                  <wp:extent cx="372745" cy="0"/>
                  <wp:effectExtent l="0" t="0" r="0" b="0"/>
                  <wp:wrapNone/>
                  <wp:docPr id="19" name="Text_Box_14_SpCnt_4"/>
                  <wp:cNvGraphicFramePr/>
                  <a:graphic xmlns:a="http://schemas.openxmlformats.org/drawingml/2006/main">
                    <a:graphicData uri="http://schemas.openxmlformats.org/drawingml/2006/picture">
                      <pic:pic xmlns:pic="http://schemas.openxmlformats.org/drawingml/2006/picture">
                        <pic:nvPicPr>
                          <pic:cNvPr id="19" name="Text_Box_14_SpCnt_4"/>
                          <pic:cNvPicPr/>
                        </pic:nvPicPr>
                        <pic:blipFill>
                          <a:blip r:embed="rId18"/>
                          <a:stretch>
                            <a:fillRect/>
                          </a:stretch>
                        </pic:blipFill>
                        <pic:spPr>
                          <a:xfrm>
                            <a:off x="0" y="0"/>
                            <a:ext cx="37274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绝缘铜导线</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弱电桥架</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强电桥架</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机柜</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个</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文化墙制作</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项</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电缆</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电线</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米</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配电柜</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套</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水晶头</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盒</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辅材</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批</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1" w:type="pct"/>
            <w:noWrap/>
            <w:vAlign w:val="center"/>
          </w:tcPr>
          <w:p>
            <w:pPr>
              <w:numPr>
                <w:ilvl w:val="0"/>
                <w:numId w:val="3"/>
              </w:numPr>
              <w:spacing w:line="360" w:lineRule="auto"/>
              <w:ind w:left="454" w:leftChars="0" w:hanging="454" w:firstLineChars="0"/>
              <w:jc w:val="center"/>
              <w:rPr>
                <w:rFonts w:hint="eastAsia" w:ascii="宋体" w:hAnsi="宋体" w:eastAsia="宋体" w:cs="宋体"/>
                <w:sz w:val="24"/>
                <w:szCs w:val="24"/>
                <w:lang w:val="en-US" w:eastAsia="zh-CN"/>
              </w:rPr>
            </w:pPr>
          </w:p>
        </w:tc>
        <w:tc>
          <w:tcPr>
            <w:tcW w:w="1721" w:type="pct"/>
            <w:noWrap/>
            <w:vAlign w:val="center"/>
          </w:tcPr>
          <w:p>
            <w:pPr>
              <w:keepNext w:val="0"/>
              <w:keepLines w:val="0"/>
              <w:widowControl/>
              <w:suppressLineNumbers w:val="0"/>
              <w:jc w:val="both"/>
              <w:textAlignment w:val="center"/>
              <w:rPr>
                <w:rFonts w:hint="eastAsia" w:ascii="宋体" w:hAnsi="宋体" w:eastAsia="宋体" w:cs="宋体"/>
                <w:b w:val="0"/>
                <w:bCs w:val="0"/>
                <w:sz w:val="24"/>
                <w:szCs w:val="24"/>
                <w:lang w:val="en-US" w:eastAsia="en-US"/>
              </w:rPr>
            </w:pPr>
            <w:r>
              <w:rPr>
                <w:rFonts w:hint="eastAsia" w:ascii="宋体" w:hAnsi="宋体" w:eastAsia="宋体" w:cs="宋体"/>
                <w:i w:val="0"/>
                <w:iCs w:val="0"/>
                <w:color w:val="000000"/>
                <w:kern w:val="0"/>
                <w:sz w:val="24"/>
                <w:szCs w:val="24"/>
                <w:u w:val="none"/>
                <w:lang w:val="en-US" w:eastAsia="zh-CN" w:bidi="ar"/>
              </w:rPr>
              <w:t>系统集成服务</w:t>
            </w:r>
          </w:p>
        </w:tc>
        <w:tc>
          <w:tcPr>
            <w:tcW w:w="66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项</w:t>
            </w:r>
          </w:p>
        </w:tc>
        <w:tc>
          <w:tcPr>
            <w:tcW w:w="192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en-US"/>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（详见“第二章 采购需求”）</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.合同履行期限：</w:t>
      </w:r>
      <w:r>
        <w:rPr>
          <w:rFonts w:hint="eastAsia" w:ascii="宋体" w:hAnsi="宋体" w:eastAsia="宋体" w:cs="宋体"/>
          <w:sz w:val="24"/>
          <w:szCs w:val="24"/>
          <w:highlight w:val="none"/>
          <w:lang w:eastAsia="zh-CN"/>
        </w:rPr>
        <w:t>合同签订后</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lang w:eastAsia="zh-CN"/>
        </w:rPr>
        <w:t>日历天内；</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.本项目是否接受联合体投标：□是  ☑否。</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二、投标人具备的资格要求（须同时满足）</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1.注册于中华人民共和国境内，具有独立承担民事责任能力；</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2.具有良好的商业信誉和健全的财务会计制度；</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3.具有履行合同所必需的设备和专业技术能力；</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4.有依法缴纳税收和社会保障资金的良好记录；</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5.参加政府采购活动前三年内，在经营活动中没有重大违法记录；</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7.遵守国家有关法律、法规、规章。</w:t>
      </w:r>
    </w:p>
    <w:p>
      <w:pPr>
        <w:pStyle w:val="2"/>
        <w:ind w:firstLine="424" w:firstLineChars="200"/>
        <w:jc w:val="both"/>
        <w:rPr>
          <w:rFonts w:hint="eastAsia"/>
          <w:lang w:eastAsia="zh-CN"/>
        </w:rPr>
      </w:pPr>
      <w:r>
        <w:rPr>
          <w:rFonts w:hint="eastAsia" w:asciiTheme="minorEastAsia" w:hAnsiTheme="minorEastAsia" w:eastAsiaTheme="minorEastAsia" w:cstheme="minorEastAsia"/>
          <w:b w:val="0"/>
          <w:bCs w:val="0"/>
          <w:snapToGrid w:val="0"/>
          <w:color w:val="auto"/>
          <w:spacing w:val="-14"/>
          <w:kern w:val="0"/>
          <w:sz w:val="24"/>
          <w:szCs w:val="24"/>
          <w:lang w:val="en-US" w:eastAsia="zh-CN" w:bidi="ar-SA"/>
        </w:rPr>
        <w:t>8.本项目专门面向中小企业采购，供应商须提交服务企业中小企业声明函。</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三、落实政府采购政策需满足的资格要求：</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1.中小企业政策</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□本项目不专门面向中小企业预留采购份额。</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☑本项目专门面向中小企业采购。即：提供的货物全部由符合政策要求的中小/微企业制造、服务全部由符合政策要求的中小/微企业承接。</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万元或预留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%份额。</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3.本项目支持河南省政府采购合同融资政策和资格信用承诺制。</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4.本项目是否属于政府购买服务：</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☑否   □接受进口产品  ☑不接受进口产品</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□是， 公益一类事业单位、使用事业编制且由财政拨款保障的群团组织，不得作为承接主体。</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四、获取招标文件</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1.时间：</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lang w:eastAsia="zh-CN"/>
        </w:rPr>
        <w:t xml:space="preserve"> 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eastAsia="zh-CN"/>
        </w:rPr>
        <w:t>日</w:t>
      </w:r>
      <w:r>
        <w:rPr>
          <w:rFonts w:hint="eastAsia" w:ascii="宋体" w:hAnsi="宋体" w:eastAsia="宋体" w:cs="宋体"/>
          <w:sz w:val="24"/>
          <w:szCs w:val="24"/>
          <w:lang w:eastAsia="zh-CN"/>
        </w:rPr>
        <w:t>，每天上午08:00至12:00，下午12:00至18:00 （北京时间，法定节假日除外）。</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2.地点：南阳市公共资源交易中心网站https://ggzyjy.nanyang.gov.cn</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3.方式：</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☑使用电子营业执照系统，未入库的供应商请及时办理入库手续。</w:t>
      </w:r>
      <w:bookmarkStart w:id="1" w:name="_Hlk117077716"/>
      <w:r>
        <w:rPr>
          <w:rFonts w:hint="eastAsia" w:ascii="宋体" w:hAnsi="宋体" w:eastAsia="宋体" w:cs="宋体"/>
          <w:sz w:val="24"/>
          <w:szCs w:val="24"/>
          <w:lang w:eastAsia="zh-CN"/>
        </w:rPr>
        <w:t>入库办理请参见南阳市公共资源交易中心网https://ggzyjy.nanyang.gov.cn下载专区《诚信库申报操作手册》</w:t>
      </w:r>
      <w:bookmarkEnd w:id="1"/>
      <w:r>
        <w:rPr>
          <w:rFonts w:hint="eastAsia" w:ascii="宋体" w:hAnsi="宋体" w:eastAsia="宋体" w:cs="宋体"/>
          <w:sz w:val="24"/>
          <w:szCs w:val="24"/>
          <w:lang w:eastAsia="zh-CN"/>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2" w:name="_Hlk117068952"/>
      <w:r>
        <w:rPr>
          <w:rFonts w:hint="eastAsia" w:ascii="宋体" w:hAnsi="宋体" w:eastAsia="宋体" w:cs="宋体"/>
          <w:sz w:val="24"/>
          <w:szCs w:val="24"/>
          <w:lang w:eastAsia="zh-CN"/>
        </w:rPr>
        <w:t>111.6.77.187:8081</w:t>
      </w:r>
      <w:bookmarkEnd w:id="2"/>
      <w:r>
        <w:rPr>
          <w:rFonts w:hint="eastAsia" w:ascii="宋体" w:hAnsi="宋体" w:eastAsia="宋体" w:cs="宋体"/>
          <w:sz w:val="24"/>
          <w:szCs w:val="24"/>
          <w:lang w:eastAsia="zh-CN"/>
        </w:rPr>
        <w:t>/ggzy/）免费下载招标文件。电子营业执照申领技术支持电话：17269580661、17269580657，电子营业执照应用平台技术支持电话：17719857571</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4.售价：0 元。</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五、投标文件的制作及上传</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使用电子营业执照系统。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六、提交投标文件截止时间、开标时间和地点</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1.投标截止时间、开标时间：</w:t>
      </w:r>
      <w:r>
        <w:rPr>
          <w:rFonts w:hint="eastAsia" w:ascii="宋体" w:hAnsi="宋体" w:eastAsia="宋体" w:cs="宋体"/>
          <w:color w:val="auto"/>
          <w:sz w:val="24"/>
          <w:szCs w:val="24"/>
          <w:u w:val="single"/>
          <w:lang w:eastAsia="zh-CN"/>
        </w:rPr>
        <w:t>2</w:t>
      </w:r>
      <w:r>
        <w:rPr>
          <w:rFonts w:hint="eastAsia" w:ascii="宋体" w:hAnsi="宋体" w:eastAsia="宋体" w:cs="宋体"/>
          <w:color w:val="auto"/>
          <w:sz w:val="24"/>
          <w:szCs w:val="24"/>
          <w:u w:val="single"/>
          <w:lang w:val="en-US" w:eastAsia="zh-CN"/>
        </w:rPr>
        <w:t>02</w:t>
      </w:r>
      <w:r>
        <w:rPr>
          <w:rFonts w:hint="eastAsia" w:ascii="宋体" w:hAnsi="宋体" w:eastAsia="宋体" w:cs="宋体"/>
          <w:color w:val="auto"/>
          <w:sz w:val="24"/>
          <w:szCs w:val="24"/>
          <w:u w:val="single"/>
          <w:lang w:eastAsia="zh-CN"/>
        </w:rPr>
        <w:t>4</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点</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eastAsia="zh-CN"/>
        </w:rPr>
        <w:t>分</w:t>
      </w:r>
      <w:r>
        <w:rPr>
          <w:rFonts w:hint="eastAsia" w:ascii="宋体" w:hAnsi="宋体" w:eastAsia="宋体" w:cs="宋体"/>
          <w:sz w:val="24"/>
          <w:szCs w:val="24"/>
          <w:lang w:eastAsia="zh-CN"/>
        </w:rPr>
        <w:t>（北京时间）。</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2.开标方式：不见面开标</w:t>
      </w:r>
      <w:r>
        <w:rPr>
          <w:rFonts w:hint="eastAsia" w:asciiTheme="minorEastAsia" w:hAnsiTheme="minorEastAsia" w:eastAsiaTheme="minorEastAsia" w:cstheme="minorEastAsia"/>
          <w:spacing w:val="-17"/>
          <w:sz w:val="24"/>
          <w:szCs w:val="24"/>
          <w:lang w:eastAsia="zh-CN"/>
        </w:rPr>
        <w:t>（</w:t>
      </w:r>
      <w:r>
        <w:rPr>
          <w:rFonts w:hint="eastAsia"/>
          <w:sz w:val="24"/>
          <w:szCs w:val="24"/>
        </w:rPr>
        <w:t>http://111.6.77.187:8081/ggzy/</w:t>
      </w:r>
      <w:r>
        <w:rPr>
          <w:rFonts w:hint="eastAsia"/>
          <w:sz w:val="24"/>
          <w:szCs w:val="24"/>
          <w:lang w:eastAsia="zh-CN"/>
        </w:rPr>
        <w:t>）</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3.地点：本项目使用不见面开标，投标人无需前往现场来参与投标。具体操作流程详见南阳市公共资源交易中心下载专区栏发布的南阳不见面开标-操作手册（投标人）。</w:t>
      </w:r>
    </w:p>
    <w:p>
      <w:pPr>
        <w:keepNext w:val="0"/>
        <w:keepLines w:val="0"/>
        <w:pageBreakBefore w:val="0"/>
        <w:wordWrap/>
        <w:overflowPunct/>
        <w:topLinePunct w:val="0"/>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、公告期限</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自</w:t>
      </w:r>
      <w:r>
        <w:rPr>
          <w:rFonts w:hint="eastAsia" w:ascii="宋体" w:hAnsi="宋体" w:eastAsia="宋体" w:cs="宋体"/>
          <w:color w:val="auto"/>
          <w:sz w:val="24"/>
          <w:szCs w:val="24"/>
          <w:u w:val="single"/>
          <w:lang w:eastAsia="zh-CN"/>
        </w:rPr>
        <w:t>2024</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lang w:eastAsia="zh-CN"/>
        </w:rPr>
        <w:t>日至</w:t>
      </w:r>
      <w:r>
        <w:rPr>
          <w:rFonts w:hint="eastAsia" w:ascii="宋体" w:hAnsi="宋体" w:eastAsia="宋体" w:cs="宋体"/>
          <w:color w:val="auto"/>
          <w:sz w:val="24"/>
          <w:szCs w:val="24"/>
          <w:u w:val="single"/>
          <w:lang w:eastAsia="zh-CN"/>
        </w:rPr>
        <w:t xml:space="preserve">2024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八、其他补充事宜</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九、对本次招标提出询问，请按以下方式联系。</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w:t>
      </w:r>
      <w:r>
        <w:rPr>
          <w:rFonts w:hint="eastAsia" w:ascii="宋体" w:hAnsi="宋体" w:eastAsia="宋体" w:cs="宋体"/>
          <w:color w:val="auto"/>
          <w:sz w:val="24"/>
          <w:szCs w:val="24"/>
          <w:lang w:val="en-US" w:eastAsia="zh-CN"/>
        </w:rPr>
        <w:t>南阳市第十五小学校</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地址：南阳市卧龙区七一路174号</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联系人：杜国栋</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联系电话：0377-66003792</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bookmarkStart w:id="9" w:name="_GoBack"/>
      <w:bookmarkEnd w:id="9"/>
    </w:p>
    <w:p>
      <w:pPr>
        <w:keepNext w:val="0"/>
        <w:keepLines w:val="0"/>
        <w:pageBreakBefore w:val="0"/>
        <w:wordWrap/>
        <w:overflowPunct/>
        <w:topLinePunct w:val="0"/>
        <w:bidi w:val="0"/>
        <w:spacing w:line="500" w:lineRule="exact"/>
        <w:ind w:firstLine="480" w:firstLineChars="200"/>
        <w:rPr>
          <w:rFonts w:hint="default" w:ascii="宋体" w:hAnsi="宋体" w:eastAsia="宋体" w:cs="宋体"/>
          <w:sz w:val="24"/>
          <w:szCs w:val="24"/>
          <w:highlight w:val="magenta"/>
          <w:lang w:val="en-US" w:eastAsia="zh-CN"/>
        </w:rPr>
      </w:pPr>
      <w:r>
        <w:rPr>
          <w:rFonts w:hint="eastAsia" w:ascii="宋体" w:hAnsi="宋体" w:eastAsia="宋体" w:cs="宋体"/>
          <w:sz w:val="24"/>
          <w:szCs w:val="24"/>
          <w:lang w:eastAsia="zh-CN"/>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南阳市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公共资源交易中心</w:t>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none" w:color="auto"/>
          <w:lang w:val="en-US" w:eastAsia="zh-CN"/>
        </w:rPr>
        <w:t xml:space="preserve">南阳市范蠡东路与南都路交叉口市民服务中心中区3号楼5楼  </w:t>
      </w:r>
    </w:p>
    <w:p>
      <w:pPr>
        <w:keepNext w:val="0"/>
        <w:keepLines w:val="0"/>
        <w:pageBreakBefore w:val="0"/>
        <w:wordWrap/>
        <w:overflowPunct/>
        <w:topLinePunct w:val="0"/>
        <w:bidi w:val="0"/>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蔡有良</w:t>
      </w:r>
    </w:p>
    <w:p>
      <w:pPr>
        <w:keepNext w:val="0"/>
        <w:keepLines w:val="0"/>
        <w:pageBreakBefore w:val="0"/>
        <w:wordWrap/>
        <w:overflowPunct/>
        <w:topLinePunct w:val="0"/>
        <w:bidi w:val="0"/>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联系方式：0377</w:t>
      </w:r>
      <w:r>
        <w:rPr>
          <w:rFonts w:hint="eastAsia" w:ascii="宋体" w:hAnsi="宋体" w:eastAsia="宋体" w:cs="宋体"/>
          <w:sz w:val="24"/>
          <w:szCs w:val="24"/>
          <w:lang w:val="en-US" w:eastAsia="zh-CN"/>
        </w:rPr>
        <w:t>-61176167</w:t>
      </w:r>
    </w:p>
    <w:p>
      <w:pPr>
        <w:keepNext w:val="0"/>
        <w:keepLines w:val="0"/>
        <w:pageBreakBefore w:val="0"/>
        <w:wordWrap/>
        <w:overflowPunct/>
        <w:topLinePunct w:val="0"/>
        <w:bidi w:val="0"/>
        <w:spacing w:line="500" w:lineRule="exact"/>
        <w:ind w:firstLine="496" w:firstLineChars="200"/>
        <w:rPr>
          <w:rFonts w:hint="eastAsia" w:ascii="宋体" w:hAnsi="宋体" w:eastAsia="宋体" w:cs="宋体"/>
          <w:sz w:val="24"/>
          <w:szCs w:val="24"/>
          <w:lang w:eastAsia="zh-CN"/>
        </w:rPr>
      </w:pPr>
      <w:r>
        <w:rPr>
          <w:rFonts w:hint="eastAsia" w:asciiTheme="minorEastAsia" w:hAnsiTheme="minorEastAsia" w:cstheme="minorEastAsia"/>
          <w:b w:val="0"/>
          <w:bCs w:val="0"/>
          <w:spacing w:val="4"/>
          <w:sz w:val="24"/>
          <w:szCs w:val="24"/>
          <w:lang w:val="en-US" w:eastAsia="zh-CN"/>
          <w14:textOutline w14:w="1536" w14:cap="flat" w14:cmpd="sng" w14:algn="ctr">
            <w14:solidFill>
              <w14:srgbClr w14:val="000000"/>
            </w14:solidFill>
            <w14:prstDash w14:val="solid"/>
            <w14:miter w14:val="0"/>
          </w14:textOutline>
        </w:rPr>
        <w:t>3.</w:t>
      </w:r>
      <w:r>
        <w:rPr>
          <w:rFonts w:hint="eastAsia" w:asciiTheme="minorEastAsia" w:hAnsiTheme="minorEastAsia" w:eastAsiaTheme="minorEastAsia" w:cstheme="minorEastAsia"/>
          <w:b w:val="0"/>
          <w:bCs w:val="0"/>
          <w:spacing w:val="4"/>
          <w:sz w:val="24"/>
          <w:szCs w:val="24"/>
          <w:lang w:eastAsia="zh-CN"/>
          <w14:textOutline w14:w="1536" w14:cap="flat" w14:cmpd="sng" w14:algn="ctr">
            <w14:solidFill>
              <w14:srgbClr w14:val="000000"/>
            </w14:solidFill>
            <w14:prstDash w14:val="solid"/>
            <w14:miter w14:val="0"/>
          </w14:textOutline>
        </w:rPr>
        <w:t>网址：</w:t>
      </w:r>
      <w:r>
        <w:rPr>
          <w:color w:val="auto"/>
        </w:rPr>
        <w:fldChar w:fldCharType="begin"/>
      </w:r>
      <w:r>
        <w:rPr>
          <w:color w:val="auto"/>
        </w:rPr>
        <w:instrText xml:space="preserve"> HYPERLINK "https://ggzyjy.nanyang.gov.cn" </w:instrText>
      </w:r>
      <w:r>
        <w:rPr>
          <w:color w:val="auto"/>
        </w:rPr>
        <w:fldChar w:fldCharType="separate"/>
      </w:r>
      <w:r>
        <w:rPr>
          <w:rStyle w:val="24"/>
          <w:rFonts w:hint="eastAsia" w:asciiTheme="minorEastAsia" w:hAnsiTheme="minorEastAsia" w:eastAsiaTheme="minorEastAsia" w:cstheme="minorEastAsia"/>
          <w:color w:val="auto"/>
          <w:spacing w:val="-15"/>
          <w:sz w:val="24"/>
          <w:szCs w:val="24"/>
          <w:lang w:eastAsia="zh-CN"/>
        </w:rPr>
        <w:t>https://ggzyjy.nanyang.gov.cn</w:t>
      </w:r>
      <w:r>
        <w:rPr>
          <w:rStyle w:val="24"/>
          <w:rFonts w:hint="eastAsia" w:asciiTheme="minorEastAsia" w:hAnsiTheme="minorEastAsia" w:eastAsiaTheme="minorEastAsia" w:cstheme="minorEastAsia"/>
          <w:color w:val="auto"/>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Theme="minorEastAsia" w:hAnsiTheme="minorEastAsia" w:eastAsiaTheme="minorEastAsia" w:cstheme="minorEastAsia"/>
          <w:spacing w:val="-15"/>
          <w:sz w:val="24"/>
          <w:szCs w:val="24"/>
          <w:lang w:val="en-US" w:eastAsia="zh-CN"/>
        </w:rPr>
        <w:t xml:space="preserve">nyszfcgzx@126.com </w:t>
      </w:r>
    </w:p>
    <w:p>
      <w:pPr>
        <w:pStyle w:val="8"/>
        <w:keepNext w:val="0"/>
        <w:keepLines w:val="0"/>
        <w:pageBreakBefore w:val="0"/>
        <w:wordWrap/>
        <w:overflowPunct/>
        <w:topLinePunct w:val="0"/>
        <w:bidi w:val="0"/>
        <w:ind w:firstLine="480" w:firstLineChars="200"/>
        <w:rPr>
          <w:rFonts w:hint="eastAsia" w:ascii="宋体" w:hAnsi="宋体" w:eastAsia="宋体" w:cs="宋体"/>
          <w:sz w:val="24"/>
          <w:szCs w:val="24"/>
          <w:lang w:eastAsia="zh-CN"/>
        </w:rPr>
      </w:pPr>
    </w:p>
    <w:p>
      <w:pPr>
        <w:pStyle w:val="32"/>
        <w:keepNext w:val="0"/>
        <w:keepLines w:val="0"/>
        <w:pageBreakBefore w:val="0"/>
        <w:wordWrap/>
        <w:overflowPunct/>
        <w:topLinePunct w:val="0"/>
        <w:bidi w:val="0"/>
        <w:ind w:firstLine="480" w:firstLineChars="200"/>
        <w:rPr>
          <w:rFonts w:hint="eastAsia"/>
          <w:lang w:eastAsia="zh-CN"/>
        </w:rPr>
      </w:pPr>
    </w:p>
    <w:p>
      <w:pPr>
        <w:keepNext w:val="0"/>
        <w:keepLines w:val="0"/>
        <w:pageBreakBefore w:val="0"/>
        <w:wordWrap/>
        <w:overflowPunct/>
        <w:topLinePunct w:val="0"/>
        <w:bidi w:val="0"/>
        <w:spacing w:line="500" w:lineRule="exact"/>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eastAsia="zh-CN"/>
        </w:rPr>
        <w:t>南阳市</w:t>
      </w:r>
      <w:r>
        <w:rPr>
          <w:rFonts w:hint="eastAsia" w:ascii="宋体" w:hAnsi="宋体" w:eastAsia="宋体" w:cs="宋体"/>
          <w:sz w:val="24"/>
          <w:szCs w:val="24"/>
          <w:highlight w:val="none"/>
          <w:lang w:val="en-US" w:eastAsia="zh-CN"/>
        </w:rPr>
        <w:t>公共资源交易中心</w:t>
      </w:r>
    </w:p>
    <w:p>
      <w:pPr>
        <w:keepNext w:val="0"/>
        <w:keepLines w:val="0"/>
        <w:pageBreakBefore w:val="0"/>
        <w:wordWrap/>
        <w:overflowPunct/>
        <w:topLinePunct w:val="0"/>
        <w:bidi w:val="0"/>
        <w:spacing w:line="500" w:lineRule="exact"/>
        <w:ind w:firstLine="5760" w:firstLineChars="24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日</w:t>
      </w:r>
    </w:p>
    <w:p>
      <w:pPr>
        <w:keepNext w:val="0"/>
        <w:keepLines w:val="0"/>
        <w:pageBreakBefore w:val="0"/>
        <w:wordWrap/>
        <w:overflowPunct/>
        <w:topLinePunct w:val="0"/>
        <w:bidi w:val="0"/>
        <w:spacing w:line="500" w:lineRule="exact"/>
        <w:rPr>
          <w:rFonts w:hint="eastAsia" w:ascii="宋体" w:hAnsi="宋体" w:eastAsia="宋体" w:cs="宋体"/>
          <w:lang w:eastAsia="zh-CN"/>
        </w:rPr>
      </w:pPr>
      <w:r>
        <w:rPr>
          <w:rFonts w:hint="eastAsia" w:ascii="宋体" w:hAnsi="宋体" w:eastAsia="宋体" w:cs="宋体"/>
          <w:lang w:eastAsia="zh-CN"/>
        </w:rPr>
        <w:br w:type="page"/>
      </w:r>
    </w:p>
    <w:p>
      <w:pPr>
        <w:sectPr>
          <w:footerReference r:id="rId5" w:type="default"/>
          <w:pgSz w:w="11906" w:h="16838"/>
          <w:pgMar w:top="1440" w:right="1800" w:bottom="1440" w:left="1800" w:header="851" w:footer="992" w:gutter="0"/>
          <w:pgNumType w:fmt="numberInDash" w:start="1"/>
          <w:cols w:space="425" w:num="1"/>
          <w:docGrid w:type="lines" w:linePitch="312" w:charSpace="0"/>
        </w:sectPr>
      </w:pPr>
    </w:p>
    <w:p/>
    <w:p>
      <w:pPr>
        <w:pStyle w:val="8"/>
        <w:kinsoku/>
        <w:wordWrap w:val="0"/>
        <w:spacing w:line="360" w:lineRule="auto"/>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pPr>
        <w:kinsoku/>
        <w:wordWrap w:val="0"/>
        <w:spacing w:line="360" w:lineRule="auto"/>
        <w:ind w:firstLine="420" w:firstLineChars="200"/>
        <w:jc w:val="both"/>
        <w:rPr>
          <w:rFonts w:asciiTheme="minorEastAsia" w:hAnsiTheme="minorEastAsia" w:eastAsiaTheme="minorEastAsia" w:cstheme="minorEastAsia"/>
          <w:lang w:eastAsia="zh-CN"/>
        </w:rPr>
      </w:pPr>
    </w:p>
    <w:p>
      <w:pPr>
        <w:pStyle w:val="8"/>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pPr>
        <w:pStyle w:val="8"/>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p>
      <w:pPr>
        <w:pStyle w:val="28"/>
        <w:rPr>
          <w:rFonts w:asciiTheme="minorEastAsia" w:hAnsiTheme="minorEastAsia" w:eastAsiaTheme="minorEastAsia" w:cstheme="minorEastAsia"/>
          <w:spacing w:val="-1"/>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012"/>
        <w:gridCol w:w="6099"/>
        <w:gridCol w:w="932"/>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规格参数</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办公电脑</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CPU :不低于Intel酷睿 I5 12400处理器；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主板:Intel B660系列或以上商用芯片组；</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内存:≥8G DDR4内存，≥2个DIMM插槽；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硬盘:≥512G M.2 NVME SSD；</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显卡:2G独立显卡或以上；</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声卡:集成或独立声卡，至少前置2个音频接口；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接口: USB3.2接口≥4个, VGA接口≥1个,HDMI或DP高清接口≥1个,串口≥1个；</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安全特性:USB 端口管理功能，可只识别USB键盘鼠标，不识别其他USB存储类设备；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机箱:≤9L，顶置电源开关键，方便使用；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键盘及鼠标:防水键盘和光电鼠标；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显示器:≥24.5寸宽屏液晶，具有低蓝光护眼功能；</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 为保证产品的质量的稳定性和可靠性，提供原厂整机三年保修及三年上门服务。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智慧黑板</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硬件参数要求</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1.整体外观尺寸：宽≥4200mm，高≥1200mm，厚≤100mm，屏幕采用≥86英寸 UHD超高清LED 液晶屏，显示比例16:9，分辨率3840×2160；</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2.采用电容触控感应技术，需支持20点以上触控，触摸分辨率≥32767×32767；</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3.定位精度≤±1.5mm，最小识别直径≤8mm，触摸响应时间：≤8ms；</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4.整机采用三拼接平面一体化设计，无推拉式结构及外露连接线，外观简洁；</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5.整机（含副板）支持普通粉笔、液体粉笔、水溶性粉笔等直接书写，副板支持磁吸；</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6.整机屏体具备物理防蓝光（过滤蓝光）功能，有效抗蓝光、防眩光；</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7.整机具备智能护眼书写+护眼模式双重护眼功能，护眼时可做到屏幕书写过程中逐步降低整机背光亮度50% ，降低色温至6500K；</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8.整机提供前置输入接口，不少于1路前置HDMI接口（非转接方式）及2路前置双通道USB 3.0接口（Windows和Android系统均能被识别，无需分区）, ≥1路Type-C，至少支持快充，投屏，反向触控，方便教学操作；</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9.整机前置按键≥6个，支持一键开关机；支持通过前置面板物理按键一键启动录课功能，录制屏幕及整机半径5米内课堂现场音频；</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10.整机需采用全贴合技术，中间贴合层无空气介质，改善显示及触控效果；</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11.整机内置光感传感器，可根据环境光自动调节整机亮度；</w:t>
            </w:r>
          </w:p>
          <w:p>
            <w:pPr>
              <w:keepNext w:val="0"/>
              <w:keepLines w:val="0"/>
              <w:widowControl/>
              <w:numPr>
                <w:ilvl w:val="0"/>
                <w:numId w:val="4"/>
              </w:numPr>
              <w:suppressLineNumbers w:val="0"/>
              <w:jc w:val="left"/>
              <w:textAlignment w:val="center"/>
              <w:rPr>
                <w:rStyle w:val="37"/>
                <w:color w:val="auto"/>
                <w:lang w:val="en-US" w:eastAsia="zh-CN" w:bidi="ar"/>
              </w:rPr>
            </w:pPr>
            <w:r>
              <w:rPr>
                <w:rStyle w:val="62"/>
                <w:color w:val="auto"/>
                <w:lang w:val="en-US" w:eastAsia="zh-CN" w:bidi="ar"/>
              </w:rPr>
              <w:t>12.每台机器支持配置移动教学辅助设备，整机包含1个磁吸充电收纳槽，（需提供证明文件）</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13.需支持内置≥2麦线性阵列拾音麦克风，拾音距离不少于5米，方便录制教师人声；</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14.需支持内置广角摄像头，像素≥1300万，摄像头具备下倾设计，角度≥15°，广角角度≥120°畸变≤5%， 可进行教室场景拍摄；</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15.需支持直接扫描系统提供的二维码进行在线客服问题报修 ；</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 xml:space="preserve">16.整机内置路由模块，支持2.4G、5G双频wifi，满足802.11a/b/g/n/ac，增强信号传输。（需提供证明文件）； </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 xml:space="preserve">17.为方便教学使用，整机双系统下均支持手势调出中控导航系统，实现中控导航、系统切换、系统工具功能调取（需提供证明文件）； </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18.整机支持多种手势操作，支持多窗口切换、最小化、亮息屏、降半屏、中控菜单；</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19.整机内置蓝牙模块，蓝牙版本≥4.0；</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20.整机前置2*25W扬声器，额定总功率≥50W,要求清晰度STI指标≥0.75,1米到10米响度差距≤6dB（需提供证明文件）；</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 xml:space="preserve">21.整机符合GB21520-2015的能源效率等级1级要求； </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22.整机具有防浪涌、防静电、防辐射、防划伤、触摸屏防遮挡等安全保护措施；</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23.</w:t>
            </w:r>
            <w:r>
              <w:rPr>
                <w:rFonts w:hint="eastAsia" w:ascii="宋体" w:hAnsi="宋体" w:eastAsia="宋体" w:cs="宋体"/>
                <w:i w:val="0"/>
                <w:iCs w:val="0"/>
                <w:color w:val="auto"/>
                <w:kern w:val="0"/>
                <w:sz w:val="22"/>
                <w:szCs w:val="22"/>
                <w:u w:val="none"/>
                <w:lang w:val="en-US" w:eastAsia="zh-CN" w:bidi="ar"/>
              </w:rPr>
              <w:t>★</w:t>
            </w:r>
            <w:r>
              <w:rPr>
                <w:rStyle w:val="37"/>
                <w:color w:val="auto"/>
                <w:lang w:val="en-US" w:eastAsia="zh-CN" w:bidi="ar"/>
              </w:rPr>
              <w:t>整机 Android 主板具备四核 CPU，配置≥3G RAM，≥16G ROM；（需提供证明文件）</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24.交互平板具有悬浮菜单，可通过两指调用到屏幕任意位置；在任意信号源通道下均可调用悬浮菜单，悬浮菜单具有一键启用应用软件、随时批注、擦除，切换信号源等功能，悬浮菜单中的信号源支持自定义修改且可一键直达常用信号源；</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25.</w:t>
            </w:r>
            <w:r>
              <w:rPr>
                <w:rFonts w:hint="eastAsia" w:ascii="宋体" w:hAnsi="宋体" w:eastAsia="宋体" w:cs="宋体"/>
                <w:i w:val="0"/>
                <w:iCs w:val="0"/>
                <w:color w:val="auto"/>
                <w:kern w:val="0"/>
                <w:sz w:val="22"/>
                <w:szCs w:val="22"/>
                <w:u w:val="none"/>
                <w:lang w:val="en-US" w:eastAsia="zh-CN" w:bidi="ar"/>
              </w:rPr>
              <w:t>★</w:t>
            </w:r>
            <w:r>
              <w:rPr>
                <w:rStyle w:val="37"/>
                <w:color w:val="auto"/>
                <w:lang w:val="en-US" w:eastAsia="zh-CN" w:bidi="ar"/>
              </w:rPr>
              <w:t>搭配移动教学辅助设备需支持上下翻页，飞鼠和虚拟激光笔功能，需支持与黑板实现磁吸充电，支持贴放至黑板大屏放置区域磁吸后可自动登录教学应用系统，无需教师手动输入账号和密码，保护教师隐私。（需提供证明文件）</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26.在教学系统运行环境下，提供移动教学辅助设备全局扩音功能，扩音延迟≤30ms，满足教师移动教学需要（需提供证明文件）；</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27.安卓系统自检功能，可检测整机内存，存储使用情况；可检测内置电脑，触控系统，光感系统，屏体温度相关硬件状态，可判断硬件是否正常工作；</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28.内置无线投屏软件，可满足安卓/IOS手机或电脑进行投屏功能。</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 xml:space="preserve">二、OPS性能参数要求 </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1.整机架构:为降低电脑模块维护成本，接口严格遵循Intel相关规范,针脚数为行业通用80Pin ,与大屏无单独接线；</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2.为保证产品安全性，采用卡扣固定，无需工具即可快速拆卸电脑模块；</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3.CPU采用Intel第12代 I5处理器；内存≥8G DDR4；硬盘≥512G SSD；</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4.USB接口要求：USB3.0+USB2.0 不少于6个；</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5.其他接口要求：网络接口不少于1个，DP输出接口不少于1个，HDMI不少于1个，耳机接口不少于1个，麦克风输入接口不少于1个；</w:t>
            </w:r>
          </w:p>
          <w:p>
            <w:pPr>
              <w:keepNext w:val="0"/>
              <w:keepLines w:val="0"/>
              <w:widowControl/>
              <w:numPr>
                <w:ilvl w:val="0"/>
                <w:numId w:val="4"/>
              </w:numPr>
              <w:suppressLineNumbers w:val="0"/>
              <w:jc w:val="left"/>
              <w:textAlignment w:val="center"/>
              <w:rPr>
                <w:rStyle w:val="37"/>
                <w:color w:val="auto"/>
                <w:lang w:val="en-US" w:eastAsia="zh-CN" w:bidi="ar"/>
              </w:rPr>
            </w:pPr>
            <w:r>
              <w:rPr>
                <w:rStyle w:val="37"/>
                <w:color w:val="auto"/>
                <w:lang w:val="en-US" w:eastAsia="zh-CN" w:bidi="ar"/>
              </w:rPr>
              <w:t>6.Wifi：需支持802.11b/g/n；蓝牙需支持Bluetooth 4.0以上。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Style w:val="37"/>
                <w:rFonts w:hint="eastAsia"/>
                <w:color w:val="auto"/>
                <w:lang w:val="en-US" w:eastAsia="zh-CN" w:bidi="ar"/>
              </w:rPr>
              <w:t>三、</w:t>
            </w:r>
            <w:r>
              <w:rPr>
                <w:rFonts w:hint="eastAsia" w:ascii="宋体" w:hAnsi="宋体" w:eastAsia="宋体" w:cs="宋体"/>
                <w:i w:val="0"/>
                <w:iCs w:val="0"/>
                <w:color w:val="auto"/>
                <w:kern w:val="0"/>
                <w:sz w:val="20"/>
                <w:szCs w:val="20"/>
                <w:u w:val="none"/>
                <w:lang w:val="en-US" w:eastAsia="zh-CN" w:bidi="ar"/>
              </w:rPr>
              <w:t>软件功能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为确保产品的兼容性和稳定性，硬件大屏及教学应用系统软需为同一品牌；支持一键开机后即刻进入教学应用系统界面，无需额外点击操作运行应用系统；支持教师通过二维码扫描、账密输入、智能笔磁吸登录、人脸识别登录方式进入教学应用系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2.教学应用系统需支持如下功能：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教学应用快捷入口：教学桌面支持教学常用的教学白板软件、文件管理软件、电子课本软件、视频展台软件、授课助手软件；可自动获取Windows系统桌面已经安装应用，无需切换到Windows系统桌面即可运行应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（2）学科应用入口：教学桌面需预置语文、数学、英语、物理、化学、生物、地理、历史、信息技术共9个学科的学科应用入口，需支持教师直接下载并按照学科筛选学科应用。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（3）活动模板：支持≥5种的教学活动模板，教师可自定义活动标题。</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（4）文件管理：需支持获取本地磁盘、移动类储存设备、教师个人云资源；支持一键打开本地文件和个人云资源进行教学。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系统界面下，内置侧边栏快捷菜单，支持≥10种快捷入口，如主页、文件、课本、白板、展台、讲评、智能笔等；需支持在系统界面下实现上课/下课，并自动登录/退出教师账号，登录后自动进入上次授课班级及教学进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4.需支持≥7种智能手势操作功能，便捷教师应用操作，提升人机交互效率，如调用系统菜单、召唤全局工具栏、窗口最小化、多窗口管理、亮/息屏、降半屏等手势操作功能；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5.需支持录课功能，需支持≥2种调取方式，如前置物理按键一键调取或罗盘工具调取；支持对微课内容（PPT、电子课本、网页、文档）进行关键帧提取。</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（1）录制功能：需支持屏幕内容及教室声音画面同时进行录制；生成视频后支持分享链接；支持录制任意全屏画面、局部画面，支持录制保存音频、屏幕画面、摄像头画面，支持在录制过程中进行书写和擦除。</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（2）支持按照时间点对微课进行剪辑拆分或删除；录制结束后自动生成分享二维码，支持扫码即可进行查阅。（</w:t>
            </w:r>
            <w:r>
              <w:rPr>
                <w:rStyle w:val="62"/>
                <w:color w:val="auto"/>
                <w:lang w:val="en-US" w:eastAsia="zh-CN" w:bidi="ar"/>
              </w:rPr>
              <w:t>需提供证明文件</w:t>
            </w:r>
            <w:r>
              <w:rPr>
                <w:rFonts w:hint="eastAsia" w:ascii="宋体" w:hAnsi="宋体" w:eastAsia="宋体" w:cs="宋体"/>
                <w:i w:val="0"/>
                <w:iCs w:val="0"/>
                <w:color w:val="auto"/>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（3）课后查阅：微课可分类管理和按微课名搜索，通过点击关键帧方式快速精准定位微课内容；可增减关键帧。（</w:t>
            </w:r>
            <w:r>
              <w:rPr>
                <w:rStyle w:val="62"/>
                <w:color w:val="auto"/>
                <w:lang w:val="en-US" w:eastAsia="zh-CN" w:bidi="ar"/>
              </w:rPr>
              <w:t>需提供证明文件</w:t>
            </w:r>
            <w:r>
              <w:rPr>
                <w:rFonts w:hint="eastAsia" w:ascii="宋体" w:hAnsi="宋体" w:eastAsia="宋体" w:cs="宋体"/>
                <w:i w:val="0"/>
                <w:iCs w:val="0"/>
                <w:color w:val="auto"/>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（4）支持对音频、视频文件进行关键帧标记，可在音、视频进度条任意位置自由设置关键帧播放节点，便于快速定位讲解关键教学内容。</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（5）保存分享：支持分发到微信或微博，至少支持2种发送方式如链接、二维码等；同时支持分享至教师、班级、校本微课库。</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6.备授课同步：需支持通过云端将备课的资源同步至电子化教材对应章节目录，无需拷贝。支持新建自定义备课本，满足非同步教学场景下的备授课资源存储、同步需求。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（1）备课资源：支持从云端、校本资源库、个人网盘获取资源，满足教师个性化备课需求。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添加本地资源：支持教师备课过程中从本地添加教学资源，资源格式支持文本（.txt/.docx/.doc/.pdf）、表格（.xlsx/.xls）、演示胶片（.pptx/.ppt）、图片（.jpg/.png/.dmp/.gif）、视频（.mp4/.avi/.rmvb/.wmv）及音频（.mp3/.wma/.wav）。</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（3）备课本管理：系统支持教师在网盘存储与管理个人新建课件、教学互动、课堂活动内容；支持按照章节目录存储备课资源。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（4）备课资源管理：系统支持对备课资源进行导出、保存至个人资料库、分享至校本、删除及找回已删除备课资源。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0"/>
                <w:szCs w:val="20"/>
                <w:u w:val="none"/>
                <w:lang w:val="en-US" w:eastAsia="zh-CN" w:bidi="ar"/>
              </w:rPr>
              <w:t>教学资源需覆盖小学、初中、高中全学科的电子版本教材，需支持提供≥2600本电子教材资源；其中语文、英语、音乐学科提供点读功能，支持分句、段、篇章进行点读；需给每个教师账号提供至少10本电子课本下载权限，并支持教师课本上课时，一键云同步获取备课资源，并下载至课本中，方便课上随时调用。授课过程中，支持对课本进行文本批注、画笔标注、擦除、聚焦、翻页操作。（</w:t>
            </w:r>
            <w:r>
              <w:rPr>
                <w:rStyle w:val="62"/>
                <w:color w:val="auto"/>
                <w:lang w:val="en-US" w:eastAsia="zh-CN" w:bidi="ar"/>
              </w:rPr>
              <w:t>需提供证明文件</w:t>
            </w:r>
            <w:r>
              <w:rPr>
                <w:rFonts w:hint="eastAsia" w:ascii="宋体" w:hAnsi="宋体" w:eastAsia="宋体" w:cs="宋体"/>
                <w:i w:val="0"/>
                <w:iCs w:val="0"/>
                <w:color w:val="auto"/>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8.支持制作PPT课件时可插入教学互动活动，如分类、连线、卡片、画廊、语言学科评测练习、函数等；支持直接引用与课程相关的云端、校本资源库、个人资源库资源；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9.电子白板功能需提供书写工具，以实现教学过程中选择内容、书写、擦除等操作；支持多人书写功能，不低于20条同步书写轨迹；</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（1）背景模板：需提供≥10个白板主题模板，便于学科教学，如五线谱、篮球场、点阵格、足球场等。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（2）白板操作：白板页面操作功能≥7种，如放大、缩小、移动、添加页、位置切换、保存和分享等操作。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10.语文学科工具：提供≥7种语文学科工具，如田字格、拼音格、诗词卡片、朗读评测、字词听写、识字接龙、汉语朗读等多种语文学科工具和应用；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（1）朗读评测：提供小学阶段语文课本所有生字、词语、课文或自定义添加字词等示范朗读和评测，支持纠正学生汉语朗读发音的声母、韵母和声调，促进汉语朗读水平的提升；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（2）汉语朗读：提供带背景音乐的汉语朗读场景，支持自定义导入中文文本进行朗读，支持男女声切换、朗读语速调整等，并可导出为音频或PPT，满足课堂标准汉语朗读引导需求；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11.数学学科工具</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需支持≥6种平面几何工具，如线、角、圆等常见平面几何工具，支持教师对平面工具提供≥4种操作，如大小、角度调整，颜色调整等；绘制平面图形支持设置任意中心点进行旋转，辅助学生理解；支持教师在原图形绘≥6种辅助线类型，如绘制垂线、角平分线、中位线,可自动吸附快速画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立体几何工具：支持绘制≥6种以上立体几何图形，如立方体、圆柱体、多棱柱、多棱锥等；支持≥8种图形工具操作，如立方体图形至少支持三视图、展开、收起、构图、堆积等常见教学操作，培养学生数学学科素养；</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函数工具：支持≥6种以上函数工具类型，如幂函数、指数函数、对数函数、三角函数基本等；需支持直接将手写函数表达式转写为标准印刷体，点击生成函数图像，支持手动调节函数参数，图形随之调整，实现数形结合；</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（4）尺规工具：需支持≥4种常见尺规工具，如量角器、圆规等，支持调整测量工具大小尺寸；支持将测量工具旋转任意角度，并可直接输入指定旋转角度快速实现旋转。</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12.英语学科工具：需提供≥8种英语学科工具，如四线三格、字母卡片、英语朗读、单词评测、单词接龙单词听写等多种英语学科工具和应用；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（1）英语朗读：需提供带背景音乐的汉语朗读场景，支持自定义英文文本朗读，支持男女声切换、朗读语速调整等，并可导出为音频或PPT；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（2）单词评测：需支持小学阶段英语课本同步单词朗读评测，需支持纠正学生英文单词朗读音标发音，促进英语朗读水平的提升；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（3）单词接龙：需支持小初阶段选择与教材同步的单词，提供多种题型供选择，系统可随机选择学生进行单词接龙游戏，提升课堂趣味性；</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（4）单词听写：需支持小初阶段教师选择与教材同步的单词或自定义单词，设置听写频率和次数，根据单词智能生成读音进行单词报听写；</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艺术学科工具：内置专用美术画板工具，需提供≥6种笔形如钢笔、毛笔、铅笔、荧光笔、竹笔等；支持≥12种画笔颜色，需支持提供符合绘画调色教学需求的调色盘；需并支持对绘画内容进行擦除、一键清空、撤销、恢复、保存等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14.AI教学工具</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（1）中英文识别：支持手写中文或英文转写为印刷体，且识别为印刷体后支持朗读、评测、生成卡片等功能；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（2）中英文划词：支持对手写中文或英文进行圈画，推荐相关卡片资料，中文卡片包括拼音、笔顺、部首和结构，英文卡片包括发音、翻译和例句等；</w:t>
            </w:r>
          </w:p>
          <w:p>
            <w:pPr>
              <w:keepNext w:val="0"/>
              <w:keepLines w:val="0"/>
              <w:widowControl/>
              <w:numPr>
                <w:ilvl w:val="0"/>
                <w:numId w:val="0"/>
              </w:numPr>
              <w:suppressLineNumbers w:val="0"/>
              <w:jc w:val="left"/>
              <w:textAlignment w:val="center"/>
              <w:rPr>
                <w:rStyle w:val="37"/>
                <w:rFonts w:hint="default"/>
                <w:color w:val="auto"/>
                <w:lang w:val="en-US" w:eastAsia="zh-CN" w:bidi="ar"/>
              </w:rPr>
            </w:pPr>
            <w:r>
              <w:rPr>
                <w:rFonts w:hint="eastAsia" w:ascii="宋体" w:hAnsi="宋体" w:eastAsia="宋体" w:cs="宋体"/>
                <w:i w:val="0"/>
                <w:iCs w:val="0"/>
                <w:color w:val="auto"/>
                <w:kern w:val="0"/>
                <w:sz w:val="20"/>
                <w:szCs w:val="20"/>
                <w:u w:val="none"/>
                <w:lang w:val="en-US" w:eastAsia="zh-CN" w:bidi="ar"/>
              </w:rPr>
              <w:t>（3）支持对书写的中文字词、句子进行网络搜索，辅助教师进行教学扩展；</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展台</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(1)像素：≥1300万；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(2)幅面：≥A4幅面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(3)输出分辨率：≥4224*3168</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(4)数据传输方式及切换：支持无线、有线双通道传输，无线传输与有线传输切换只需要插拔数据线，切换软件即可，无需按键或开关切换。</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桌面云一体机</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1.★桌面云需要具备充足的使用资源，本次桌面云配置要求为：规格：2U，CPU≥2颗，每个 CPU 核数≥48 核（主频不低于 2.6Ghz），内存≥20*32GB DDR4 3200，系统盘≥2*240GB SATA SSD，缓存盘≥2*960GB  SSD，数据盘≥4*8T机械盘，标配盘位数≥12，电源：白金冗余电源，接口≥4千兆电口+2万兆光口。</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2.★本项目要求服务器与终端、桌面云软件同一品牌，桌面云服务器出厂时必须预装各类桌面云软件（含服务器虚拟化、存储虚拟化等），不允许提供祼机设备。</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3.要求服务器必须配备存储虚拟化软件模块，无需搭配外置存储，并不限制存储容量，提供低成本、高可靠的存储方案。</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4.支持虚拟机集中备份与恢复，可按需选择多个虚拟机或全部虚拟机备份至外置服务器，支持设置备份策略，实现全自动化备份。</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5.单集群管理时无需部署集中管理平台，通过Web方式接入集群主服务器，实现对服务器、虚拟机、网络、存储虚拟化等进行统一管理。</w:t>
            </w:r>
          </w:p>
          <w:p>
            <w:pPr>
              <w:keepNext w:val="0"/>
              <w:keepLines w:val="0"/>
              <w:widowControl/>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6.★为确保业务连续性，虚拟化平台需支持平滑滚动升级，支持群集不停机情况下的服务器逐台升级，升级时将自动迁移虚拟机至其他主机，不影响业务运行。为保障业务实时性，虚拟化平台非内核级更新支持业务不中断热升级，升级过程无需重启主机。</w:t>
            </w:r>
            <w:r>
              <w:rPr>
                <w:rStyle w:val="37"/>
                <w:color w:val="auto"/>
                <w:lang w:val="en-US" w:eastAsia="zh-CN" w:bidi="ar"/>
              </w:rPr>
              <w:t>（需提供证明文件）</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w:t>
            </w:r>
            <w:r>
              <w:rPr>
                <w:rStyle w:val="62"/>
                <w:b w:val="0"/>
                <w:bCs w:val="0"/>
                <w:color w:val="auto"/>
                <w:lang w:val="en-US" w:eastAsia="zh-CN" w:bidi="ar"/>
              </w:rPr>
              <w:t>需提供证明文件</w:t>
            </w:r>
            <w:r>
              <w:rPr>
                <w:rFonts w:hint="eastAsia" w:ascii="宋体" w:hAnsi="宋体" w:eastAsia="宋体" w:cs="宋体"/>
                <w:i w:val="0"/>
                <w:iCs w:val="0"/>
                <w:color w:val="auto"/>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8.可通过运维平台进行自定义告警设置，设置内容包括告警名称、告警描述、告警类型、严重程度、检测指标、告警阈值、持续时间、查询语句、优化建议、告警对象。</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9.提供三年硬件质保和软件升级服务。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VDI授权与配件</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本项目要求提供122个VDI并发用户连接授权，支持发布专有桌面、还原桌面（包括池化桌面）、共享桌面、远程应用和TCI终端至少6种桌面资源，满足不同场景的应用需求。</w:t>
            </w:r>
          </w:p>
          <w:p>
            <w:pPr>
              <w:keepNext w:val="0"/>
              <w:keepLines w:val="0"/>
              <w:widowControl/>
              <w:numPr>
                <w:ilvl w:val="0"/>
                <w:numId w:val="5"/>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2.支持鼠标、键盘、打印机等常用外设，其中支持用户在广域网场景下，用户可以直接在虚拟机内使用终端网络上的网络打印机正常完成打印任务。</w:t>
            </w:r>
          </w:p>
          <w:p>
            <w:pPr>
              <w:keepNext w:val="0"/>
              <w:keepLines w:val="0"/>
              <w:widowControl/>
              <w:numPr>
                <w:ilvl w:val="0"/>
                <w:numId w:val="5"/>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3.为了提高虚拟桌面与虚拟应用的会话稳定性，需支持会话连接保持功能，在更换不同终端接入、临时性网络中断（自动重连）等情况下，用户重新登录后依然可以返回之前的会话界面，保障工作连续性。</w:t>
            </w:r>
          </w:p>
          <w:p>
            <w:pPr>
              <w:keepNext w:val="0"/>
              <w:keepLines w:val="0"/>
              <w:widowControl/>
              <w:numPr>
                <w:ilvl w:val="0"/>
                <w:numId w:val="5"/>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4.为了实现大规模部署及简化管理，平台需提供全局模板功能，可通过跨多个虚拟化集群使用全局模板实现云桌面统一创建、统一更新、统一管理，避免管理员需要重复维护多个相同配置的模板。</w:t>
            </w:r>
          </w:p>
          <w:p>
            <w:pPr>
              <w:keepNext w:val="0"/>
              <w:keepLines w:val="0"/>
              <w:widowControl/>
              <w:numPr>
                <w:ilvl w:val="0"/>
                <w:numId w:val="5"/>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5.★为了优化教学桌面云体验，支持自助快照恢复，当学生或老师自己误操作导致云桌面卡慢、蓝屏、死机或者中病毒的时候，用户通过导航条按钮，可以自助进行系统盘快照还原操作，支持安卓瘦终端、PC客户端。</w:t>
            </w:r>
            <w:r>
              <w:rPr>
                <w:rStyle w:val="37"/>
                <w:color w:val="auto"/>
                <w:lang w:val="en-US" w:eastAsia="zh-CN" w:bidi="ar"/>
              </w:rPr>
              <w:t>（需提供证明文件）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为方便管理员对于应用的监控运维，需具备应用知识图谱分析与排查能力，可基于内置深度学习模型输出应用体验评分，快速定位影响应用体验差的根因并能够给出应用体验优化处置建议，可以批量将处置方法推送到云桌面进行精准处理。(</w:t>
            </w:r>
            <w:r>
              <w:rPr>
                <w:rStyle w:val="62"/>
                <w:color w:val="auto"/>
                <w:lang w:val="en-US" w:eastAsia="zh-CN" w:bidi="ar"/>
              </w:rPr>
              <w:t>需提供证明文件</w:t>
            </w:r>
            <w:r>
              <w:rPr>
                <w:rFonts w:hint="eastAsia" w:ascii="宋体" w:hAnsi="宋体" w:eastAsia="宋体" w:cs="宋体"/>
                <w:i w:val="0"/>
                <w:iCs w:val="0"/>
                <w:color w:val="auto"/>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7.为了提高桌面运维管理的灵活性，桌面云管理控制台应支持模板版本管理功能，支持新增、删除、编辑、切换模板版本状态，支持针对不同桌面虚拟机应用不同模板版本。</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8.为便于管理员分析桌面云平台使用情况，输出云桌面运行报告，管理平台应支持用户接入时长统计，通过智能监控历史会话功能列表，查询当天或指定时间段的接入数据，快速了解用户接入状态及接入时长。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9.提供三年硬件质保和软件升级服务。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教学管理软件</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1.★包含122个课堂管理系统软件，纯软件产品，安装部署快捷，升级简易方便，全中文人性化界面设计，配有详细的在线帮助，支持主窗口功能按钮、浮动工具条、右键菜单、快捷键多项操作方式。（</w:t>
            </w:r>
            <w:r>
              <w:rPr>
                <w:rStyle w:val="62"/>
                <w:color w:val="auto"/>
                <w:lang w:val="en-US" w:eastAsia="zh-CN" w:bidi="ar"/>
              </w:rPr>
              <w:t>需提供证明文件</w:t>
            </w:r>
            <w:r>
              <w:rPr>
                <w:rFonts w:hint="eastAsia" w:ascii="宋体" w:hAnsi="宋体" w:eastAsia="宋体" w:cs="宋体"/>
                <w:i w:val="0"/>
                <w:iCs w:val="0"/>
                <w:color w:val="auto"/>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2.支持教学文件分发和提交支持拖拽添加文件，可添加不同目录下的文件或文件目录。</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3.全面支持Windows系列操作系统，包括Windows 8（32位、64位）操作系统。</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4.支持根据使用习惯或教学需要，将功能栏显示在顶部或底部</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5.支持显示学生笔记本或平板电池电量，低于特定数值，开始报警</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6.★支持远程命令，可以进行远程开机、关机、重启等操作，远程关闭所有学生正在执行的应用程序功能。（</w:t>
            </w:r>
            <w:r>
              <w:rPr>
                <w:rStyle w:val="62"/>
                <w:color w:val="auto"/>
                <w:lang w:val="en-US" w:eastAsia="zh-CN" w:bidi="ar"/>
              </w:rPr>
              <w:t>需提供证明文件</w:t>
            </w:r>
            <w:r>
              <w:rPr>
                <w:rFonts w:hint="eastAsia" w:ascii="宋体" w:hAnsi="宋体" w:eastAsia="宋体" w:cs="宋体"/>
                <w:i w:val="0"/>
                <w:iCs w:val="0"/>
                <w:color w:val="auto"/>
                <w:kern w:val="0"/>
                <w:sz w:val="22"/>
                <w:szCs w:val="22"/>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aDesk瘦终端(学生机)</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★本次提供云终端配置要求：CPU≥双核1.4GHz，内存≥1GB，硬盘容量≥4GB，百兆电口≥1个，HDMI≥1个，USB2.0≥6个。</w:t>
            </w:r>
          </w:p>
          <w:p>
            <w:pPr>
              <w:keepNext w:val="0"/>
              <w:keepLines w:val="0"/>
              <w:widowControl/>
              <w:numPr>
                <w:ilvl w:val="0"/>
                <w:numId w:val="6"/>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2.★在瘦终端的管理方面，需支持分组管理、批量移动、删除、关闭瘦终端，支持配置定时开关机计划及加电自启动功能，支持自定义开机画面、支持联动关机功能、配置自动登录和保存密码。</w:t>
            </w:r>
            <w:r>
              <w:rPr>
                <w:rStyle w:val="37"/>
                <w:color w:val="auto"/>
                <w:lang w:val="en-US" w:eastAsia="zh-CN" w:bidi="ar"/>
              </w:rPr>
              <w:t>（需提供证明文件）</w:t>
            </w:r>
          </w:p>
          <w:p>
            <w:pPr>
              <w:keepNext w:val="0"/>
              <w:keepLines w:val="0"/>
              <w:widowControl/>
              <w:numPr>
                <w:ilvl w:val="0"/>
                <w:numId w:val="0"/>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3.★为了方便管理，管理方式为虚拟机和瘦终端统一管理，降低管理难度。</w:t>
            </w:r>
            <w:r>
              <w:rPr>
                <w:rStyle w:val="37"/>
                <w:color w:val="auto"/>
                <w:lang w:val="en-US" w:eastAsia="zh-CN" w:bidi="ar"/>
              </w:rPr>
              <w:t>（需提供证明文件）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4.考虑到接入安全，需支持修改云终端配置和登录信息时需要密码，可限制未接入过环境的瘦终端的接入或者接入桌面环境需要输入密码。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5.提供三年硬件质保和软件升级服务。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aDesk瘦终端（教师机）</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7"/>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★本次提供云终端配置要求：CPU≥双核1.6GHz，内存≥1GB，硬盘容量≥4GB，百兆电口≥1个，HDMI≥1个，USB2.0≥6个。</w:t>
            </w:r>
          </w:p>
          <w:p>
            <w:pPr>
              <w:keepNext w:val="0"/>
              <w:keepLines w:val="0"/>
              <w:widowControl/>
              <w:numPr>
                <w:ilvl w:val="0"/>
                <w:numId w:val="7"/>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2.★在瘦终端的管理方面，需支持分组管理、批量移动、删除、关闭瘦终端，支持配置定时开关机计划及加电自启动功能，支持自定义开机画面、支持联动关机功能、配置自动登录和保存密码。</w:t>
            </w:r>
            <w:r>
              <w:rPr>
                <w:rStyle w:val="37"/>
                <w:color w:val="auto"/>
                <w:lang w:val="en-US" w:eastAsia="zh-CN" w:bidi="ar"/>
              </w:rPr>
              <w:t>（需提供证明文件）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3.为了简化管理，要求瘦终端支持远程唤醒，管理员可以使用桌面云控制器或者第三方教学软件，例如极域等，远程开机瘦终端。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4、考虑到接入安全，需支持修改云终端配置和登录信息时需要密码，可限制未接入过环境的瘦终端的接入或者接入桌面环境需要输入密码。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5、提供不少于三年硬件质保和软件升级服务。</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存储交换机</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8"/>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交换容量≥1.28Tbps/12.8Tbps；包转发率≥480Mpps；万兆SFP+光口≥12个，千兆电口≥12个；</w:t>
            </w:r>
          </w:p>
          <w:p>
            <w:pPr>
              <w:keepNext w:val="0"/>
              <w:keepLines w:val="0"/>
              <w:widowControl/>
              <w:numPr>
                <w:ilvl w:val="0"/>
                <w:numId w:val="8"/>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2.支持MAC地址≥160K，支持MAC地址自动学习；支持源MAC地址过滤；支持接口MAC地址学习个数限制；</w:t>
            </w:r>
          </w:p>
          <w:p>
            <w:pPr>
              <w:keepNext w:val="0"/>
              <w:keepLines w:val="0"/>
              <w:widowControl/>
              <w:numPr>
                <w:ilvl w:val="0"/>
                <w:numId w:val="8"/>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3.支持防网关ARP欺骗，支持端口保护、隔离、防止ARP泛洪攻击功能；</w:t>
            </w:r>
          </w:p>
          <w:p>
            <w:pPr>
              <w:keepNext w:val="0"/>
              <w:keepLines w:val="0"/>
              <w:widowControl/>
              <w:numPr>
                <w:ilvl w:val="0"/>
                <w:numId w:val="8"/>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4.支持DHCP Snooping，支持交换机端口设置为信任端口或非信任端口，非信任端口也可设置白名单响应DHCP报文；</w:t>
            </w:r>
          </w:p>
          <w:p>
            <w:pPr>
              <w:keepNext w:val="0"/>
              <w:keepLines w:val="0"/>
              <w:widowControl/>
              <w:numPr>
                <w:ilvl w:val="0"/>
                <w:numId w:val="8"/>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5.★支持通过控制器平台一键替换“按钮”即可完成故障设备替换，</w:t>
            </w:r>
            <w:r>
              <w:rPr>
                <w:rStyle w:val="37"/>
                <w:color w:val="auto"/>
                <w:lang w:val="en-US" w:eastAsia="zh-CN" w:bidi="ar"/>
              </w:rPr>
              <w:t>（需提供证明文件）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6.支持通过控制器平台查看交换机端口负载情况，支持通过在控制器平台的Web页面对交换机进行可视化管理查看，包括交换机的端口状态及配置、vlan信息； </w:t>
            </w:r>
          </w:p>
          <w:p>
            <w:pPr>
              <w:keepNext w:val="0"/>
              <w:keepLines w:val="0"/>
              <w:widowControl/>
              <w:numPr>
                <w:ilvl w:val="0"/>
                <w:numId w:val="0"/>
              </w:numPr>
              <w:suppressLineNumbers w:val="0"/>
              <w:jc w:val="left"/>
              <w:textAlignment w:val="center"/>
              <w:rPr>
                <w:rStyle w:val="37"/>
                <w:color w:val="auto"/>
                <w:lang w:val="en-US" w:eastAsia="zh-CN" w:bidi="ar"/>
              </w:rPr>
            </w:pPr>
            <w:r>
              <w:rPr>
                <w:rFonts w:hint="eastAsia" w:ascii="宋体" w:hAnsi="宋体" w:eastAsia="宋体" w:cs="宋体"/>
                <w:i w:val="0"/>
                <w:iCs w:val="0"/>
                <w:color w:val="auto"/>
                <w:kern w:val="0"/>
                <w:sz w:val="22"/>
                <w:szCs w:val="22"/>
                <w:u w:val="none"/>
                <w:lang w:val="en-US" w:eastAsia="zh-CN" w:bidi="ar"/>
              </w:rPr>
              <w:t>7.★支持基于终端类型自动识别结果，禁止非法终端(例如私接路由器)接入，</w:t>
            </w:r>
            <w:r>
              <w:rPr>
                <w:rStyle w:val="37"/>
                <w:color w:val="auto"/>
                <w:lang w:val="en-US" w:eastAsia="zh-CN" w:bidi="ar"/>
              </w:rPr>
              <w:t>（需提供证明文件）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8.不少于3年原厂质保和售后服务技术支持</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接入交换机1</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1.交换容量≥430Gbps，包转发率≥160Mpps，以官网最小值为准；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2.配置千兆电口≥48个，千兆光口≥4个；</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3.支持静态路由、RIP、OSPF、RIPng、OSPFv3等三层协议；</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4.支持CPCAR，攻击溯源，可信启动，数字签名；</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5.ARP地址表≥2K，支持MAC地址≥16K；</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接入交换机2</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1.交换容量≥336Gbps,包转发率≥50Mpps;</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2.千兆电口≥24个，千兆SFP≥4个；</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3.支持MAC地址≥16K，支持ARP表项≥4K；</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4.支持4K个VLAN，支持VoiceVLAN，基于端口的VLAN，基于MAC的VLAN，基于协议的VLAN，支持VLAN内端口隔离，支持Smartlink；</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5.支持RIP、RIPng、OSPF、OSPFv3路由协议，支持IPv4FIB表项≥4K，支持VRRP；</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6.支持IGMPv1/v2/v3Snooping，支持VLAN内组播转发和组播多VLAN复制，支持捆绑端口的组播负载分担，支持可控组播，基于端口的组播流量统计；</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7.支持防止DOS、ARP攻击功能、ICMP防攻击，支持端口隔离、端口安全、StickyMAC，支持IP/Port/MAC的绑定功能；；</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8.支持G.8032开放环网协议；</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9.支持纵向虚拟化，作为纵向子节点零配置即插即用；</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10.支持对端口接收报文速率和发送报文速率进行限制，支持SP、WRR、SP+WRR等队列调度算法，支持基于端口的流量监管，支持基于队列限速和端口整形的功能；</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11.支持SNMPv1/v2/v3、Telnet、RMON，支持通过命令行、Web、中文图形化配置软件等方式进行配置和管理；</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12.支持Telemetry技术，配合网络分析组件通过智能故障识别算法对网络数据进行分析，精准展现网络实时状态，并能及时有效地定界故障以及定位故障发生原因，发现影响用户体验的网络问题，精准保障用户体验；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显示器</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≥23英寸超窄边框IPS屏， 分辨率≥1920×1080，16:9，刷新率≥100MHz，响应时间不高于4ms，可俯仰底座，HDMI接口≥2个 ，需含HDMI线，需支持壁挂.</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鼠标键盘</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需采用防泼溅设计，键盘标准104键，具备可调节支架，鼠标分辨率1600DPI</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网线</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超五类4对非屏蔽电缆，传输速率1000Mbps</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单股，灰色</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导体材料：无氧圆铜</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导体直径：0.5±0.008</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线规：24AWG</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绝缘材料：HDPE</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绝缘颜色：白-蓝/蓝，白-橙/橙，白-绿/绿，白-棕/棕</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护套材料：PVC LSZH PE</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电缆外径：5.1±0.3mm</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p>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p>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114300</wp:posOffset>
                  </wp:positionH>
                  <wp:positionV relativeFrom="paragraph">
                    <wp:posOffset>180975</wp:posOffset>
                  </wp:positionV>
                  <wp:extent cx="76835" cy="0"/>
                  <wp:effectExtent l="0" t="0" r="0" b="0"/>
                  <wp:wrapNone/>
                  <wp:docPr id="33" name="Text_Box_13"/>
                  <wp:cNvGraphicFramePr/>
                  <a:graphic xmlns:a="http://schemas.openxmlformats.org/drawingml/2006/main">
                    <a:graphicData uri="http://schemas.openxmlformats.org/drawingml/2006/picture">
                      <pic:pic xmlns:pic="http://schemas.openxmlformats.org/drawingml/2006/picture">
                        <pic:nvPicPr>
                          <pic:cNvPr id="33" name="Text_Box_13"/>
                          <pic:cNvPicPr/>
                        </pic:nvPicPr>
                        <pic:blipFill>
                          <a:blip r:embed="rId18"/>
                          <a:stretch>
                            <a:fillRect/>
                          </a:stretch>
                        </pic:blipFill>
                        <pic:spPr>
                          <a:xfrm>
                            <a:off x="0" y="0"/>
                            <a:ext cx="76835"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123190</wp:posOffset>
                  </wp:positionH>
                  <wp:positionV relativeFrom="paragraph">
                    <wp:posOffset>180975</wp:posOffset>
                  </wp:positionV>
                  <wp:extent cx="79375" cy="0"/>
                  <wp:effectExtent l="0" t="0" r="0" b="0"/>
                  <wp:wrapNone/>
                  <wp:docPr id="34" name="Text_Box_11"/>
                  <wp:cNvGraphicFramePr/>
                  <a:graphic xmlns:a="http://schemas.openxmlformats.org/drawingml/2006/main">
                    <a:graphicData uri="http://schemas.openxmlformats.org/drawingml/2006/picture">
                      <pic:pic xmlns:pic="http://schemas.openxmlformats.org/drawingml/2006/picture">
                        <pic:nvPicPr>
                          <pic:cNvPr id="34" name="Text_Box_11"/>
                          <pic:cNvPicPr/>
                        </pic:nvPicPr>
                        <pic:blipFill>
                          <a:blip r:embed="rId18"/>
                          <a:stretch>
                            <a:fillRect/>
                          </a:stretch>
                        </pic:blipFill>
                        <pic:spPr>
                          <a:xfrm>
                            <a:off x="0" y="0"/>
                            <a:ext cx="79375"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27" name="Text_Box_3"/>
                  <wp:cNvGraphicFramePr/>
                  <a:graphic xmlns:a="http://schemas.openxmlformats.org/drawingml/2006/main">
                    <a:graphicData uri="http://schemas.openxmlformats.org/drawingml/2006/picture">
                      <pic:pic xmlns:pic="http://schemas.openxmlformats.org/drawingml/2006/picture">
                        <pic:nvPicPr>
                          <pic:cNvPr id="27" name="Text_Box_3"/>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29" name="Text_Box_1"/>
                  <wp:cNvGraphicFramePr/>
                  <a:graphic xmlns:a="http://schemas.openxmlformats.org/drawingml/2006/main">
                    <a:graphicData uri="http://schemas.openxmlformats.org/drawingml/2006/picture">
                      <pic:pic xmlns:pic="http://schemas.openxmlformats.org/drawingml/2006/picture">
                        <pic:nvPicPr>
                          <pic:cNvPr id="29" name="Text_Box_1"/>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22" name="Text_Box_2"/>
                  <wp:cNvGraphicFramePr/>
                  <a:graphic xmlns:a="http://schemas.openxmlformats.org/drawingml/2006/main">
                    <a:graphicData uri="http://schemas.openxmlformats.org/drawingml/2006/picture">
                      <pic:pic xmlns:pic="http://schemas.openxmlformats.org/drawingml/2006/picture">
                        <pic:nvPicPr>
                          <pic:cNvPr id="22" name="Text_Box_2"/>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683260</wp:posOffset>
                  </wp:positionH>
                  <wp:positionV relativeFrom="paragraph">
                    <wp:posOffset>180975</wp:posOffset>
                  </wp:positionV>
                  <wp:extent cx="13970" cy="0"/>
                  <wp:effectExtent l="0" t="0" r="0" b="0"/>
                  <wp:wrapNone/>
                  <wp:docPr id="31" name="Text_Box_4"/>
                  <wp:cNvGraphicFramePr/>
                  <a:graphic xmlns:a="http://schemas.openxmlformats.org/drawingml/2006/main">
                    <a:graphicData uri="http://schemas.openxmlformats.org/drawingml/2006/picture">
                      <pic:pic xmlns:pic="http://schemas.openxmlformats.org/drawingml/2006/picture">
                        <pic:nvPicPr>
                          <pic:cNvPr id="31" name="Text_Box_4"/>
                          <pic:cNvPicPr/>
                        </pic:nvPicPr>
                        <pic:blipFill>
                          <a:blip r:embed="rId18"/>
                          <a:stretch>
                            <a:fillRect/>
                          </a:stretch>
                        </pic:blipFill>
                        <pic:spPr>
                          <a:xfrm>
                            <a:off x="0" y="0"/>
                            <a:ext cx="13970" cy="0"/>
                          </a:xfrm>
                          <a:prstGeom prst="rect">
                            <a:avLst/>
                          </a:prstGeom>
                          <a:noFill/>
                          <a:ln>
                            <a:noFill/>
                          </a:ln>
                        </pic:spPr>
                      </pic:pic>
                    </a:graphicData>
                  </a:graphic>
                </wp:anchor>
              </w:drawing>
            </w:r>
            <w:r>
              <w:rPr>
                <w:rFonts w:hint="eastAsia" w:ascii="宋体" w:hAnsi="宋体" w:cs="宋体"/>
                <w:i w:val="0"/>
                <w:iCs w:val="0"/>
                <w:color w:val="auto"/>
                <w:sz w:val="22"/>
                <w:szCs w:val="22"/>
                <w:u w:val="none"/>
                <w:lang w:val="en-US" w:eastAsia="zh-CN"/>
              </w:rPr>
              <w:t>桌椅</w:t>
            </w:r>
          </w:p>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p>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饰面采用饰面采用优质的三聚氰胺饰面板。面板外观美丽、硬度高，表面光滑平整不易变形，基材采用E1级实木颗粒板。封边采用专业的自动封边机封边，封边胶采用专业高温环保胶水，温度适应封边条和板材完美结合，保证不翘边，无毛刺，不脱落；站脚采用钢制结构，可自由组合。</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426085</wp:posOffset>
                  </wp:positionH>
                  <wp:positionV relativeFrom="paragraph">
                    <wp:posOffset>180975</wp:posOffset>
                  </wp:positionV>
                  <wp:extent cx="76200" cy="0"/>
                  <wp:effectExtent l="0" t="0" r="0" b="0"/>
                  <wp:wrapNone/>
                  <wp:docPr id="35" name="Text_Box_11_SpCnt_1"/>
                  <wp:cNvGraphicFramePr/>
                  <a:graphic xmlns:a="http://schemas.openxmlformats.org/drawingml/2006/main">
                    <a:graphicData uri="http://schemas.openxmlformats.org/drawingml/2006/picture">
                      <pic:pic xmlns:pic="http://schemas.openxmlformats.org/drawingml/2006/picture">
                        <pic:nvPicPr>
                          <pic:cNvPr id="35" name="Text_Box_11_SpCnt_1"/>
                          <pic:cNvPicPr/>
                        </pic:nvPicPr>
                        <pic:blipFill>
                          <a:blip r:embed="rId18"/>
                          <a:stretch>
                            <a:fillRect/>
                          </a:stretch>
                        </pic:blipFill>
                        <pic:spPr>
                          <a:xfrm>
                            <a:off x="0" y="0"/>
                            <a:ext cx="7620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426085</wp:posOffset>
                  </wp:positionH>
                  <wp:positionV relativeFrom="paragraph">
                    <wp:posOffset>180975</wp:posOffset>
                  </wp:positionV>
                  <wp:extent cx="76200" cy="0"/>
                  <wp:effectExtent l="0" t="0" r="0" b="0"/>
                  <wp:wrapNone/>
                  <wp:docPr id="26" name="Text_Box_9"/>
                  <wp:cNvGraphicFramePr/>
                  <a:graphic xmlns:a="http://schemas.openxmlformats.org/drawingml/2006/main">
                    <a:graphicData uri="http://schemas.openxmlformats.org/drawingml/2006/picture">
                      <pic:pic xmlns:pic="http://schemas.openxmlformats.org/drawingml/2006/picture">
                        <pic:nvPicPr>
                          <pic:cNvPr id="26" name="Text_Box_9"/>
                          <pic:cNvPicPr/>
                        </pic:nvPicPr>
                        <pic:blipFill>
                          <a:blip r:embed="rId18"/>
                          <a:stretch>
                            <a:fillRect/>
                          </a:stretch>
                        </pic:blipFill>
                        <pic:spPr>
                          <a:xfrm>
                            <a:off x="0" y="0"/>
                            <a:ext cx="7620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防静电地板</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其中防静电地板高度不高于300mm，配套地板横梁、支座、支架、收边支架、地板四周角钢等、全钢陶瓷无边框防静电地板，</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要求</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地板规格：602×602×40mm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集中载荷：≥205kg，</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极载载荷：≥5885N</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均布载荷：≥9725N/㎡</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滚动载荷：滚动10000次，饶度≦1.7mm，永久变形≦4.5mm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冲击载荷：实验区不能有任何塌陷，地板永久变形≦1.2mm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表面平整度：≦0.2mm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板厚极限偏差：±0.1mm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相邻边垂直度：≦0.2mm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防火等级：≧B1级（GB50222-95）</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表面质量：涂塑层色泽均匀、无破损、不开胶、无明显色差、难燃、高耐磨、接缝美观、耐腐蚀，耐磨损，无明显可见的色差，起泡及疵点；支架要求可调并进行镀锌处理。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地板贴面：陶瓷面。防静电地板表面应不反光、不滑、耐腐蚀、不起尘、不吸尘、易于清扫。</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支架高度：≤300mm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支架荷载：＞200KN（只）</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接地系统：抗静电地板安装时，同时要求安装静电泄露系统。铺设静电泄露地网，通过静电泄露干线和机房安全保护地的接地端子封在一起，将静电泄露掉。</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性能特点要求</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采用优质钢板经拉伸、成型、焊接、喷塑、支座、横梁整体镀锌，支座高度可调并能自锁。</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要求地板防火、防水、耐磨、承载力大、不易变形、经久耐用。</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采用四边支撑式的加强结构，含不少于4个踏步制作。</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243</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不锈钢踢脚线</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细木工打底不锈钢饰面</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静电泄流网</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0.1*40mm铜箔</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777</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1270</wp:posOffset>
                  </wp:positionH>
                  <wp:positionV relativeFrom="paragraph">
                    <wp:posOffset>1905</wp:posOffset>
                  </wp:positionV>
                  <wp:extent cx="372745" cy="225425"/>
                  <wp:effectExtent l="0" t="0" r="0" b="0"/>
                  <wp:wrapNone/>
                  <wp:docPr id="20" name="Text_Box_14"/>
                  <wp:cNvGraphicFramePr/>
                  <a:graphic xmlns:a="http://schemas.openxmlformats.org/drawingml/2006/main">
                    <a:graphicData uri="http://schemas.openxmlformats.org/drawingml/2006/picture">
                      <pic:pic xmlns:pic="http://schemas.openxmlformats.org/drawingml/2006/picture">
                        <pic:nvPicPr>
                          <pic:cNvPr id="20" name="Text_Box_14"/>
                          <pic:cNvPicPr/>
                        </pic:nvPicPr>
                        <pic:blipFill>
                          <a:blip r:embed="rId21"/>
                          <a:stretch>
                            <a:fillRect/>
                          </a:stretch>
                        </pic:blipFill>
                        <pic:spPr>
                          <a:xfrm>
                            <a:off x="0" y="0"/>
                            <a:ext cx="372745" cy="225425"/>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1270</wp:posOffset>
                  </wp:positionH>
                  <wp:positionV relativeFrom="paragraph">
                    <wp:posOffset>1905</wp:posOffset>
                  </wp:positionV>
                  <wp:extent cx="372745" cy="225425"/>
                  <wp:effectExtent l="0" t="0" r="0" b="0"/>
                  <wp:wrapNone/>
                  <wp:docPr id="25" name="Text_Box_14_SpCnt_1"/>
                  <wp:cNvGraphicFramePr/>
                  <a:graphic xmlns:a="http://schemas.openxmlformats.org/drawingml/2006/main">
                    <a:graphicData uri="http://schemas.openxmlformats.org/drawingml/2006/picture">
                      <pic:pic xmlns:pic="http://schemas.openxmlformats.org/drawingml/2006/picture">
                        <pic:nvPicPr>
                          <pic:cNvPr id="25" name="Text_Box_14_SpCnt_1"/>
                          <pic:cNvPicPr/>
                        </pic:nvPicPr>
                        <pic:blipFill>
                          <a:blip r:embed="rId21"/>
                          <a:stretch>
                            <a:fillRect/>
                          </a:stretch>
                        </pic:blipFill>
                        <pic:spPr>
                          <a:xfrm>
                            <a:off x="0" y="0"/>
                            <a:ext cx="372745" cy="225425"/>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1270</wp:posOffset>
                  </wp:positionH>
                  <wp:positionV relativeFrom="paragraph">
                    <wp:posOffset>180975</wp:posOffset>
                  </wp:positionV>
                  <wp:extent cx="372745" cy="248920"/>
                  <wp:effectExtent l="0" t="0" r="0" b="0"/>
                  <wp:wrapNone/>
                  <wp:docPr id="28" name="Text_Box_14_SpCnt_2"/>
                  <wp:cNvGraphicFramePr/>
                  <a:graphic xmlns:a="http://schemas.openxmlformats.org/drawingml/2006/main">
                    <a:graphicData uri="http://schemas.openxmlformats.org/drawingml/2006/picture">
                      <pic:pic xmlns:pic="http://schemas.openxmlformats.org/drawingml/2006/picture">
                        <pic:nvPicPr>
                          <pic:cNvPr id="28" name="Text_Box_14_SpCnt_2"/>
                          <pic:cNvPicPr/>
                        </pic:nvPicPr>
                        <pic:blipFill>
                          <a:blip r:embed="rId22"/>
                          <a:stretch>
                            <a:fillRect/>
                          </a:stretch>
                        </pic:blipFill>
                        <pic:spPr>
                          <a:xfrm>
                            <a:off x="0" y="0"/>
                            <a:ext cx="372745" cy="24892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静电泄流排</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3*30mm铜排</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1270</wp:posOffset>
                  </wp:positionH>
                  <wp:positionV relativeFrom="paragraph">
                    <wp:posOffset>180975</wp:posOffset>
                  </wp:positionV>
                  <wp:extent cx="372745" cy="0"/>
                  <wp:effectExtent l="0" t="0" r="0" b="0"/>
                  <wp:wrapNone/>
                  <wp:docPr id="24" name="Text_Box_14_SpCnt_3"/>
                  <wp:cNvGraphicFramePr/>
                  <a:graphic xmlns:a="http://schemas.openxmlformats.org/drawingml/2006/main">
                    <a:graphicData uri="http://schemas.openxmlformats.org/drawingml/2006/picture">
                      <pic:pic xmlns:pic="http://schemas.openxmlformats.org/drawingml/2006/picture">
                        <pic:nvPicPr>
                          <pic:cNvPr id="24" name="Text_Box_14_SpCnt_3"/>
                          <pic:cNvPicPr/>
                        </pic:nvPicPr>
                        <pic:blipFill>
                          <a:blip r:embed="rId18"/>
                          <a:stretch>
                            <a:fillRect/>
                          </a:stretch>
                        </pic:blipFill>
                        <pic:spPr>
                          <a:xfrm>
                            <a:off x="0" y="0"/>
                            <a:ext cx="372745"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1270</wp:posOffset>
                  </wp:positionH>
                  <wp:positionV relativeFrom="paragraph">
                    <wp:posOffset>180975</wp:posOffset>
                  </wp:positionV>
                  <wp:extent cx="372745" cy="0"/>
                  <wp:effectExtent l="0" t="0" r="0" b="0"/>
                  <wp:wrapNone/>
                  <wp:docPr id="30" name="Text_Box_14_SpCnt_4"/>
                  <wp:cNvGraphicFramePr/>
                  <a:graphic xmlns:a="http://schemas.openxmlformats.org/drawingml/2006/main">
                    <a:graphicData uri="http://schemas.openxmlformats.org/drawingml/2006/picture">
                      <pic:pic xmlns:pic="http://schemas.openxmlformats.org/drawingml/2006/picture">
                        <pic:nvPicPr>
                          <pic:cNvPr id="30" name="Text_Box_14_SpCnt_4"/>
                          <pic:cNvPicPr/>
                        </pic:nvPicPr>
                        <pic:blipFill>
                          <a:blip r:embed="rId18"/>
                          <a:stretch>
                            <a:fillRect/>
                          </a:stretch>
                        </pic:blipFill>
                        <pic:spPr>
                          <a:xfrm>
                            <a:off x="0" y="0"/>
                            <a:ext cx="372745"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绝缘铜导线</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ZRBVR6㎜²</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弱电桥架</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镀锌桥架200*100*0.8mm</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强电桥架</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镀锌桥架100*50*0.8mm</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机柜</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标准19"机柜，≥540*450*450mm 黑色，承重不低于50KG；前玻璃门，后钢板</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文化墙制作</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教室内墙面优化，环保亚克力材质，厚度≥1.6mm，现代简约，整体内容积极向上，符合学校风格。</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电缆</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国标yjv铜芯电缆5芯10平方电缆线</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电线</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63"/>
                <w:color w:val="auto"/>
                <w:lang w:val="en-US" w:eastAsia="zh-CN" w:bidi="ar"/>
              </w:rPr>
              <w:t>国标BVR4</w:t>
            </w:r>
            <w:r>
              <w:rPr>
                <w:rStyle w:val="45"/>
                <w:color w:val="auto"/>
                <w:lang w:val="en-US" w:eastAsia="zh-CN" w:bidi="ar"/>
              </w:rPr>
              <w:t>㎡</w:t>
            </w:r>
            <w:r>
              <w:rPr>
                <w:rStyle w:val="63"/>
                <w:color w:val="auto"/>
                <w:lang w:val="en-US" w:eastAsia="zh-CN" w:bidi="ar"/>
              </w:rPr>
              <w:t>电线铜芯</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400</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配电柜</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壁挂成套配电柜</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水晶头</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超五类水晶头</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辅材</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电工胶带、扎带、插座、自攻丝、膨胀栓、打印标签纸、PVC线槽、金属软管等</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系统集成服务</w:t>
            </w:r>
          </w:p>
        </w:tc>
        <w:tc>
          <w:tcPr>
            <w:tcW w:w="3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1、48套办公电脑按照要求安装在具体工位，并联网、联电，确保正常开机使用。</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26套智慧黑板安装确保框架结构牢固，尺寸正确，黑板面平整，无明显的凹凸不平，电源插座和信号接口正确连接，确保不露明线，不影响智慧黑板的外观；根据实际需要，将教室音响等设备连接到智慧黑板上，确保连接稳定，不影响使用效果。</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3、计算机教室综合布线、设备安装调试、达到教学使用效果</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4、清洁安装过程产生的垃圾。</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r>
    </w:tbl>
    <w:p>
      <w:pPr>
        <w:pStyle w:val="32"/>
        <w:bidi w:val="0"/>
        <w:rPr>
          <w:rFonts w:hint="default"/>
          <w:lang w:val="en-US" w:eastAsia="zh-CN"/>
        </w:rPr>
      </w:pPr>
      <w:r>
        <w:rPr>
          <w:rFonts w:hint="eastAsia"/>
          <w:b/>
          <w:bCs/>
          <w:u w:val="single"/>
          <w:lang w:val="en-US" w:eastAsia="zh-CN"/>
        </w:rPr>
        <w:t xml:space="preserve">项目核心产品：   办公电脑  </w:t>
      </w:r>
      <w:r>
        <w:rPr>
          <w:rFonts w:hint="eastAsia"/>
          <w:lang w:val="en-US" w:eastAsia="zh-CN"/>
        </w:rPr>
        <w:t xml:space="preserve">      </w:t>
      </w:r>
    </w:p>
    <w:p>
      <w:pPr>
        <w:pStyle w:val="28"/>
        <w:rPr>
          <w:rFonts w:asciiTheme="minorEastAsia" w:hAnsiTheme="minorEastAsia" w:eastAsiaTheme="minorEastAsia" w:cstheme="minorEastAsia"/>
          <w:color w:val="0000FF"/>
          <w:spacing w:val="-1"/>
        </w:rPr>
      </w:pPr>
    </w:p>
    <w:p>
      <w:pPr>
        <w:pStyle w:val="8"/>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核心产品:□关于核心产品本项目/包不适用。</w:t>
      </w:r>
    </w:p>
    <w:p>
      <w:pPr>
        <w:pStyle w:val="8"/>
        <w:kinsoku/>
        <w:wordWrap w:val="0"/>
        <w:spacing w:line="360" w:lineRule="auto"/>
        <w:jc w:val="both"/>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本项目为单一产品采购项目。</w:t>
      </w:r>
    </w:p>
    <w:p>
      <w:pPr>
        <w:pStyle w:val="8"/>
        <w:kinsoku/>
        <w:wordWrap w:val="0"/>
        <w:spacing w:line="360" w:lineRule="auto"/>
        <w:jc w:val="both"/>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本项目为非单一产品采购项目，核心产品为：</w:t>
      </w:r>
      <w:r>
        <w:rPr>
          <w:rFonts w:hint="eastAsia" w:asciiTheme="minorEastAsia" w:hAnsiTheme="minorEastAsia" w:eastAsiaTheme="minorEastAsia" w:cstheme="minorEastAsia"/>
          <w:spacing w:val="-1"/>
          <w:sz w:val="24"/>
          <w:szCs w:val="24"/>
          <w:highlight w:val="none"/>
          <w:u w:val="single"/>
          <w:lang w:eastAsia="zh-CN"/>
        </w:rPr>
        <w:t xml:space="preserve">        </w:t>
      </w:r>
      <w:r>
        <w:rPr>
          <w:rFonts w:hint="eastAsia"/>
          <w:b/>
          <w:bCs/>
          <w:u w:val="single"/>
          <w:lang w:val="en-US" w:eastAsia="zh-CN"/>
        </w:rPr>
        <w:t>办公电脑</w:t>
      </w:r>
      <w:r>
        <w:rPr>
          <w:rFonts w:hint="eastAsia" w:asciiTheme="minorEastAsia" w:hAnsiTheme="minorEastAsia" w:eastAsiaTheme="minorEastAsia" w:cstheme="minorEastAsia"/>
          <w:spacing w:val="-1"/>
          <w:sz w:val="24"/>
          <w:szCs w:val="24"/>
          <w:highlight w:val="none"/>
          <w:u w:val="single"/>
          <w:lang w:eastAsia="zh-CN"/>
        </w:rPr>
        <w:t xml:space="preserve">       </w:t>
      </w:r>
      <w:r>
        <w:rPr>
          <w:rFonts w:hint="eastAsia" w:asciiTheme="minorEastAsia" w:hAnsiTheme="minorEastAsia" w:eastAsiaTheme="minorEastAsia" w:cstheme="minorEastAsia"/>
          <w:spacing w:val="-1"/>
          <w:sz w:val="24"/>
          <w:szCs w:val="24"/>
          <w:highlight w:val="none"/>
          <w:lang w:eastAsia="zh-CN"/>
        </w:rPr>
        <w:t>,多家投标人提供的核心产品品牌相同且通过资格审查、符合性审查的，按一家投标人计算，评审后得分最高的同品牌投标人获得中标人推荐。</w:t>
      </w:r>
    </w:p>
    <w:p>
      <w:pPr>
        <w:pStyle w:val="8"/>
        <w:spacing w:after="0"/>
        <w:rPr>
          <w:rFonts w:hint="eastAsia"/>
          <w:lang w:val="en-US" w:eastAsia="zh-CN"/>
        </w:rPr>
      </w:pPr>
    </w:p>
    <w:p>
      <w:pPr>
        <w:wordWrap w:val="0"/>
        <w:rPr>
          <w:rFonts w:ascii="宋体" w:hAnsi="宋体" w:cs="宋体"/>
          <w:b/>
          <w:szCs w:val="24"/>
          <w:lang w:eastAsia="zh-CN"/>
        </w:rPr>
      </w:pPr>
    </w:p>
    <w:p>
      <w:pPr>
        <w:ind w:firstLine="242"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交货要求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sz w:val="24"/>
          <w:szCs w:val="24"/>
          <w:lang w:eastAsia="zh-CN"/>
        </w:rPr>
        <w:t>1.1交货时间：</w:t>
      </w:r>
      <w:r>
        <w:rPr>
          <w:rFonts w:hint="eastAsia" w:asciiTheme="minorEastAsia" w:hAnsiTheme="minorEastAsia" w:eastAsiaTheme="minorEastAsia" w:cstheme="minorEastAsia"/>
          <w:color w:val="auto"/>
          <w:sz w:val="24"/>
          <w:szCs w:val="24"/>
          <w:lang w:eastAsia="zh-CN"/>
        </w:rPr>
        <w:t>合</w:t>
      </w:r>
      <w:r>
        <w:rPr>
          <w:rFonts w:hint="eastAsia" w:ascii="Times New Roman" w:hAnsi="Times New Roman" w:cs="Times New Roman"/>
          <w:color w:val="auto"/>
          <w:sz w:val="24"/>
          <w:szCs w:val="24"/>
          <w:lang w:eastAsia="zh-CN"/>
        </w:rPr>
        <w:t>同签订后</w:t>
      </w:r>
      <w:r>
        <w:rPr>
          <w:rFonts w:hint="eastAsia" w:ascii="Times New Roman" w:hAnsi="Times New Roman" w:cs="Times New Roman"/>
          <w:color w:val="auto"/>
          <w:sz w:val="24"/>
          <w:szCs w:val="24"/>
          <w:u w:val="single"/>
          <w:lang w:val="en-US" w:eastAsia="zh-CN"/>
        </w:rPr>
        <w:t>25</w:t>
      </w:r>
      <w:r>
        <w:rPr>
          <w:rFonts w:hint="eastAsia" w:ascii="Times New Roman" w:hAnsi="Times New Roman" w:cs="Times New Roman"/>
          <w:color w:val="auto"/>
          <w:sz w:val="24"/>
          <w:szCs w:val="24"/>
          <w:u w:val="single"/>
          <w:lang w:eastAsia="zh-CN"/>
        </w:rPr>
        <w:t>日历天内</w:t>
      </w:r>
      <w:r>
        <w:rPr>
          <w:rFonts w:hint="eastAsia" w:ascii="Times New Roman" w:hAnsi="Times New Roman" w:cs="Times New Roman"/>
          <w:color w:val="auto"/>
          <w:sz w:val="24"/>
          <w:szCs w:val="24"/>
          <w:lang w:eastAsia="zh-CN"/>
        </w:rPr>
        <w:t>供货完毕并申请验收；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1.2交货地点：</w:t>
      </w:r>
      <w:r>
        <w:rPr>
          <w:rFonts w:hint="eastAsia" w:asciiTheme="minorEastAsia" w:hAnsiTheme="minorEastAsia" w:eastAsiaTheme="minorEastAsia" w:cstheme="minorEastAsia"/>
          <w:color w:val="auto"/>
          <w:sz w:val="24"/>
          <w:szCs w:val="24"/>
          <w:u w:val="single"/>
          <w:lang w:val="en-US" w:eastAsia="zh-CN"/>
        </w:rPr>
        <w:t>南阳市第十五小学校</w:t>
      </w:r>
      <w:r>
        <w:rPr>
          <w:rFonts w:hint="eastAsia" w:asciiTheme="minorEastAsia" w:hAnsiTheme="minorEastAsia" w:eastAsiaTheme="minorEastAsia" w:cstheme="minorEastAsia"/>
          <w:color w:val="auto"/>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w:t>
      </w:r>
      <w:r>
        <w:rPr>
          <w:rFonts w:hint="eastAsia"/>
          <w:sz w:val="24"/>
          <w:szCs w:val="24"/>
          <w:lang w:eastAsia="zh-CN"/>
        </w:rPr>
        <w:t>货物按照采购人指定地点安装调试完毕、验收检测合格后一次性支付全部货款。</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3.包装和运输（须满足财政部《关于印发〈商品包装政府采购需求标准（试行）〉、〈快递包装政府采购需求标准（试行）〉的通知》（财办库﹝2020﹞123 号）。</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4.质保期</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8"/>
          <w:sz w:val="24"/>
          <w:szCs w:val="24"/>
          <w:lang w:eastAsia="zh-CN"/>
        </w:rPr>
        <w:t>4.1</w:t>
      </w:r>
      <w:r>
        <w:rPr>
          <w:rFonts w:hint="eastAsia"/>
          <w:color w:val="auto"/>
          <w:sz w:val="24"/>
          <w:szCs w:val="24"/>
          <w:lang w:eastAsia="zh-CN"/>
        </w:rPr>
        <w:t>质量保证期为</w:t>
      </w:r>
      <w:r>
        <w:rPr>
          <w:rFonts w:hint="eastAsia"/>
          <w:color w:val="auto"/>
          <w:sz w:val="24"/>
          <w:szCs w:val="24"/>
          <w:u w:val="single"/>
          <w:lang w:eastAsia="zh-CN"/>
        </w:rPr>
        <w:t xml:space="preserve"> </w:t>
      </w:r>
      <w:r>
        <w:rPr>
          <w:rFonts w:hint="eastAsia"/>
          <w:color w:val="auto"/>
          <w:sz w:val="24"/>
          <w:szCs w:val="24"/>
          <w:u w:val="single"/>
          <w:lang w:val="en-US" w:eastAsia="zh-CN"/>
        </w:rPr>
        <w:t>3</w:t>
      </w:r>
      <w:r>
        <w:rPr>
          <w:rFonts w:hint="eastAsia"/>
          <w:color w:val="auto"/>
          <w:sz w:val="24"/>
          <w:szCs w:val="24"/>
          <w:u w:val="single"/>
          <w:lang w:eastAsia="zh-CN"/>
        </w:rPr>
        <w:t xml:space="preserve"> </w:t>
      </w:r>
      <w:r>
        <w:rPr>
          <w:rFonts w:hint="eastAsia"/>
          <w:color w:val="auto"/>
          <w:sz w:val="24"/>
          <w:szCs w:val="24"/>
          <w:lang w:eastAsia="zh-CN"/>
        </w:rPr>
        <w:t>年</w:t>
      </w:r>
      <w:r>
        <w:rPr>
          <w:rFonts w:hint="eastAsia" w:asciiTheme="minorEastAsia" w:hAnsiTheme="minorEastAsia" w:eastAsiaTheme="minorEastAsia" w:cstheme="minorEastAsia"/>
          <w:color w:val="auto"/>
          <w:spacing w:val="-5"/>
          <w:sz w:val="24"/>
          <w:szCs w:val="24"/>
          <w:lang w:eastAsia="zh-CN"/>
        </w:rPr>
        <w:t>自验收合格之日起开始计算。</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w:t>
      </w:r>
      <w:r>
        <w:rPr>
          <w:rFonts w:hint="eastAsia" w:asciiTheme="minorEastAsia" w:hAnsiTheme="minorEastAsia" w:cstheme="minorEastAsia"/>
          <w:spacing w:val="-5"/>
          <w:sz w:val="24"/>
          <w:szCs w:val="24"/>
          <w:lang w:val="en-US" w:eastAsia="zh-CN"/>
        </w:rPr>
        <w:t>1</w:t>
      </w:r>
      <w:r>
        <w:rPr>
          <w:rFonts w:hint="eastAsia" w:asciiTheme="minorEastAsia" w:hAnsiTheme="minorEastAsia" w:eastAsiaTheme="minorEastAsia" w:cstheme="minorEastAsia"/>
          <w:spacing w:val="-5"/>
          <w:sz w:val="24"/>
          <w:szCs w:val="24"/>
          <w:lang w:eastAsia="zh-CN"/>
        </w:rPr>
        <w:t>强制采购的节能产品:</w:t>
      </w:r>
      <w:r>
        <w:rPr>
          <w:rFonts w:hint="eastAsia" w:asciiTheme="minorEastAsia" w:hAnsiTheme="minorEastAsia" w:cstheme="minorEastAsia"/>
          <w:spacing w:val="-5"/>
          <w:sz w:val="24"/>
          <w:szCs w:val="24"/>
          <w:lang w:val="en-US" w:eastAsia="zh-CN"/>
        </w:rPr>
        <w:t>计算机、打印机、显示器</w:t>
      </w:r>
      <w:r>
        <w:rPr>
          <w:rFonts w:hint="eastAsia" w:asciiTheme="minorEastAsia" w:hAnsiTheme="minorEastAsia" w:eastAsiaTheme="minorEastAsia" w:cstheme="minorEastAsia"/>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5.3投标人所投产品如属于政府优先节能产品或环境标志产品或无线局域网产品，应提供处于有效期之内认证证书等相关证明，在评标时予以优先采购。</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Theme="minorEastAsia" w:hAnsiTheme="minorEastAsia" w:eastAsiaTheme="minorEastAsia" w:cstheme="minorEastAsia"/>
          <w:spacing w:val="-5"/>
          <w:sz w:val="24"/>
          <w:szCs w:val="24"/>
          <w:lang w:eastAsia="zh-CN"/>
        </w:rPr>
        <w:t>上述政策以国家发布最新为准，未尽事宜，按国家有关规定执行。</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6.验收标准及方式：</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6.1验收小组应由采购人、使用单位、受邀的第三方组成。</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6.2货物验收：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6.3安装验收：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货物及组装材料验收合格后方可进行安装调试，安装调试应以达到采购人正常使用为标准。中标人向验收小组发出全面验收邀请。</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pPr>
        <w:pStyle w:val="8"/>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pPr>
        <w:pStyle w:val="8"/>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8.</w:t>
      </w:r>
      <w:r>
        <w:rPr>
          <w:rFonts w:hint="eastAsia" w:asciiTheme="minorEastAsia" w:hAnsiTheme="minorEastAsia" w:eastAsiaTheme="minorEastAsia" w:cstheme="minorEastAsia"/>
          <w:b/>
          <w:bCs/>
          <w:spacing w:val="30"/>
          <w:sz w:val="24"/>
          <w:szCs w:val="24"/>
          <w:highlight w:val="none"/>
          <w:lang w:eastAsia="zh-CN"/>
        </w:rPr>
        <w:t xml:space="preserve"> </w:t>
      </w:r>
      <w:r>
        <w:rPr>
          <w:rFonts w:hint="eastAsia" w:asciiTheme="minorEastAsia" w:hAnsiTheme="minorEastAsia" w:eastAsiaTheme="minorEastAsia" w:cstheme="minorEastAsia"/>
          <w:b w:val="0"/>
          <w:bCs w:val="0"/>
          <w:spacing w:val="30"/>
          <w:sz w:val="24"/>
          <w:szCs w:val="24"/>
          <w:highlight w:val="none"/>
          <w:lang w:eastAsia="zh-CN"/>
        </w:rPr>
        <w:t>□有</w:t>
      </w:r>
      <w:r>
        <w:rPr>
          <w:rFonts w:hint="eastAsia" w:asciiTheme="minorEastAsia" w:hAnsiTheme="minorEastAsia" w:eastAsiaTheme="minorEastAsia" w:cstheme="minorEastAsia"/>
          <w:b w:val="0"/>
          <w:bCs w:val="0"/>
          <w:sz w:val="24"/>
          <w:szCs w:val="24"/>
          <w:highlight w:val="none"/>
          <w:lang w:eastAsia="zh-CN"/>
        </w:rPr>
        <w:t>演示，演示要求、内容、方式及地点。鼓励使用不见面演示。</w:t>
      </w:r>
    </w:p>
    <w:p>
      <w:pPr>
        <w:pStyle w:val="8"/>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30"/>
          <w:sz w:val="24"/>
          <w:szCs w:val="24"/>
          <w:highlight w:val="none"/>
          <w:lang w:eastAsia="zh-CN"/>
        </w:rPr>
        <w:t>☑无</w:t>
      </w:r>
      <w:r>
        <w:rPr>
          <w:rFonts w:hint="eastAsia" w:asciiTheme="minorEastAsia" w:hAnsiTheme="minorEastAsia" w:eastAsiaTheme="minorEastAsia" w:cstheme="minorEastAsia"/>
          <w:b w:val="0"/>
          <w:bCs w:val="0"/>
          <w:sz w:val="24"/>
          <w:szCs w:val="24"/>
          <w:highlight w:val="none"/>
          <w:lang w:eastAsia="zh-CN"/>
        </w:rPr>
        <w:t>演示。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9.质量要求：满足采购人需求，符合国家及行业相关标准。</w:t>
      </w:r>
    </w:p>
    <w:p>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10其他要求：中标人在供货安装调试过程中，如对采购人原设备、物品有损坏的应无偿恢复。</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eastAsia="zh-CN"/>
        </w:rPr>
      </w:pPr>
      <w:r>
        <w:rPr>
          <w:rFonts w:hint="eastAsia"/>
          <w:sz w:val="24"/>
          <w:szCs w:val="24"/>
          <w:highlight w:val="yellow"/>
          <w:lang w:eastAsia="zh-CN"/>
        </w:rPr>
        <w:br w:type="page"/>
      </w:r>
    </w:p>
    <w:p>
      <w:pPr>
        <w:pStyle w:val="3"/>
        <w:jc w:val="center"/>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bookmarkStart w:id="3" w:name="_Toc27799"/>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bookmarkEnd w:id="3"/>
    </w:p>
    <w:p>
      <w:pPr>
        <w:pStyle w:val="8"/>
        <w:spacing w:line="221" w:lineRule="auto"/>
        <w:ind w:left="4009"/>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34"/>
        <w:gridCol w:w="7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条款</w:t>
            </w:r>
            <w:r>
              <w:rPr>
                <w:rFonts w:hint="eastAsia" w:asciiTheme="minorEastAsia" w:hAnsiTheme="minorEastAsia" w:eastAsiaTheme="minorEastAsia" w:cstheme="minorEastAsia"/>
                <w:szCs w:val="24"/>
                <w:lang w:eastAsia="zh-CN"/>
              </w:rPr>
              <w:t>名称</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ind w:left="1080" w:leftChars="257" w:hanging="54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Cs/>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before="78" w:line="221" w:lineRule="auto"/>
              <w:jc w:val="center"/>
              <w:rPr>
                <w:rFonts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spacing w:val="-3"/>
                <w:szCs w:val="24"/>
              </w:rPr>
              <w:t>项目属性</w:t>
            </w:r>
          </w:p>
        </w:tc>
        <w:tc>
          <w:tcPr>
            <w:tcW w:w="7545" w:type="dxa"/>
            <w:tcBorders>
              <w:top w:val="single" w:color="auto" w:sz="4" w:space="0"/>
              <w:left w:val="single" w:color="auto" w:sz="4" w:space="0"/>
              <w:bottom w:val="single" w:color="auto" w:sz="4" w:space="0"/>
              <w:right w:val="single" w:color="auto" w:sz="4" w:space="0"/>
            </w:tcBorders>
            <w:vAlign w:val="center"/>
          </w:tcPr>
          <w:p>
            <w:pPr>
              <w:pStyle w:val="48"/>
              <w:spacing w:line="220"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48"/>
              <w:spacing w:before="25" w:line="207" w:lineRule="auto"/>
              <w:ind w:left="126"/>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before="78" w:line="219" w:lineRule="auto"/>
              <w:ind w:left="134"/>
              <w:jc w:val="center"/>
              <w:rPr>
                <w:rFonts w:asciiTheme="minorEastAsia" w:hAnsiTheme="minorEastAsia" w:eastAsiaTheme="minorEastAsia" w:cstheme="minorEastAsia"/>
                <w:szCs w:val="24"/>
                <w:highlight w:val="yellow"/>
              </w:rPr>
            </w:pPr>
            <w:r>
              <w:rPr>
                <w:rFonts w:hint="eastAsia" w:asciiTheme="minorEastAsia" w:hAnsiTheme="minorEastAsia" w:eastAsiaTheme="minorEastAsia" w:cstheme="minorEastAsia"/>
                <w:spacing w:val="-2"/>
                <w:szCs w:val="24"/>
              </w:rPr>
              <w:t>科研仪器设备</w:t>
            </w:r>
          </w:p>
        </w:tc>
        <w:tc>
          <w:tcPr>
            <w:tcW w:w="7545" w:type="dxa"/>
            <w:tcBorders>
              <w:top w:val="single" w:color="auto" w:sz="4" w:space="0"/>
              <w:left w:val="single" w:color="auto" w:sz="4" w:space="0"/>
              <w:bottom w:val="single" w:color="auto" w:sz="4" w:space="0"/>
              <w:right w:val="single" w:color="auto" w:sz="4" w:space="0"/>
            </w:tcBorders>
          </w:tcPr>
          <w:p>
            <w:pPr>
              <w:spacing w:before="37" w:line="238" w:lineRule="auto"/>
              <w:ind w:left="118"/>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5"/>
                <w:szCs w:val="24"/>
                <w:lang w:eastAsia="zh-CN"/>
              </w:rPr>
              <w:t>是否属于科研仪器设备采购项目：</w:t>
            </w:r>
          </w:p>
          <w:p>
            <w:pPr>
              <w:pStyle w:val="48"/>
              <w:spacing w:line="223"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48"/>
              <w:spacing w:before="21" w:line="207" w:lineRule="auto"/>
              <w:ind w:left="126"/>
              <w:jc w:val="center"/>
              <w:rPr>
                <w:rFonts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34" w:type="dxa"/>
            <w:tcBorders>
              <w:top w:val="single" w:color="auto" w:sz="4" w:space="0"/>
              <w:left w:val="single" w:color="auto" w:sz="4" w:space="0"/>
              <w:bottom w:val="single" w:color="auto" w:sz="4" w:space="0"/>
              <w:right w:val="single" w:color="auto" w:sz="4" w:space="0"/>
            </w:tcBorders>
          </w:tcPr>
          <w:p>
            <w:pPr>
              <w:pStyle w:val="48"/>
              <w:spacing w:line="240" w:lineRule="auto"/>
              <w:jc w:val="center"/>
              <w:rPr>
                <w:rFonts w:asciiTheme="minorEastAsia" w:hAnsiTheme="minorEastAsia" w:eastAsiaTheme="minorEastAsia" w:cstheme="minorEastAsia"/>
              </w:rPr>
            </w:pPr>
          </w:p>
          <w:p>
            <w:pPr>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
                <w:szCs w:val="24"/>
              </w:rPr>
              <w:t>现场考察</w:t>
            </w:r>
          </w:p>
        </w:tc>
        <w:tc>
          <w:tcPr>
            <w:tcW w:w="7545" w:type="dxa"/>
            <w:tcBorders>
              <w:top w:val="single" w:color="auto" w:sz="4" w:space="0"/>
              <w:left w:val="single" w:color="auto" w:sz="4" w:space="0"/>
              <w:bottom w:val="single" w:color="auto" w:sz="4" w:space="0"/>
              <w:right w:val="single" w:color="auto" w:sz="4" w:space="0"/>
            </w:tcBorders>
          </w:tcPr>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spacing w:line="240" w:lineRule="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5"/>
                <w:szCs w:val="24"/>
              </w:rPr>
              <w:t>考察地点：</w:t>
            </w:r>
            <w:r>
              <w:rPr>
                <w:rFonts w:hint="eastAsia" w:asciiTheme="minorEastAsia" w:hAnsiTheme="minorEastAsia" w:eastAsiaTheme="minorEastAsia" w:cstheme="minorEastAsia"/>
                <w:spacing w:val="17"/>
                <w:szCs w:val="24"/>
              </w:rPr>
              <w:t xml:space="preserve">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pacing w:val="-25"/>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2"/>
                <w:szCs w:val="24"/>
              </w:rPr>
              <w:t>开标前答疑会</w:t>
            </w:r>
          </w:p>
        </w:tc>
        <w:tc>
          <w:tcPr>
            <w:tcW w:w="7545" w:type="dxa"/>
            <w:tcBorders>
              <w:top w:val="single" w:color="auto" w:sz="4" w:space="0"/>
              <w:left w:val="single" w:color="auto" w:sz="4" w:space="0"/>
              <w:bottom w:val="single" w:color="auto" w:sz="4" w:space="0"/>
              <w:right w:val="single" w:color="auto" w:sz="4" w:space="0"/>
            </w:tcBorders>
          </w:tcPr>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spacing w:line="240" w:lineRule="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6"/>
                <w:szCs w:val="24"/>
              </w:rPr>
              <w:t>召开地点：</w:t>
            </w:r>
            <w:r>
              <w:rPr>
                <w:rFonts w:hint="eastAsia" w:asciiTheme="minorEastAsia" w:hAnsiTheme="minorEastAsia" w:eastAsiaTheme="minorEastAsia" w:cstheme="minorEastAsia"/>
                <w:spacing w:val="14"/>
                <w:szCs w:val="24"/>
              </w:rPr>
              <w:t xml:space="preserve">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pacing w:val="-26"/>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中小企业</w:t>
            </w:r>
          </w:p>
        </w:tc>
        <w:tc>
          <w:tcPr>
            <w:tcW w:w="7545" w:type="dxa"/>
            <w:tcBorders>
              <w:top w:val="single" w:color="auto" w:sz="4" w:space="0"/>
              <w:left w:val="single" w:color="auto" w:sz="4" w:space="0"/>
              <w:bottom w:val="single" w:color="auto" w:sz="4" w:space="0"/>
              <w:right w:val="single" w:color="auto" w:sz="4" w:space="0"/>
            </w:tcBorders>
            <w:vAlign w:val="center"/>
          </w:tcPr>
          <w:p>
            <w:pPr>
              <w:pStyle w:val="48"/>
              <w:spacing w:line="240" w:lineRule="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14"/>
                <w:sz w:val="24"/>
                <w:szCs w:val="24"/>
                <w:u w:val="single"/>
                <w:lang w:val="en-US" w:eastAsia="zh-CN"/>
              </w:rPr>
              <w:t xml:space="preserve"> </w:t>
            </w:r>
            <w:r>
              <w:rPr>
                <w:rFonts w:hint="eastAsia" w:asciiTheme="minorEastAsia" w:hAnsiTheme="minorEastAsia" w:eastAsiaTheme="minorEastAsia" w:cstheme="minorEastAsia"/>
                <w:b w:val="0"/>
                <w:bCs w:val="0"/>
                <w:spacing w:val="14"/>
                <w:sz w:val="24"/>
                <w:szCs w:val="24"/>
                <w:u w:val="single"/>
                <w:lang w:val="en-US" w:eastAsia="zh-CN"/>
              </w:rPr>
              <w:t>制造业</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lang w:eastAsia="zh-CN"/>
              </w:rPr>
              <w:t>；</w:t>
            </w:r>
          </w:p>
          <w:p>
            <w:pPr>
              <w:pStyle w:val="48"/>
              <w:spacing w:line="240" w:lineRule="auto"/>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☑本项目专门面向中小企业采购。</w:t>
            </w:r>
          </w:p>
          <w:p>
            <w:pPr>
              <w:kinsoku/>
              <w:autoSpaceDE/>
              <w:autoSpaceDN/>
              <w:adjustRightInd/>
              <w:snapToGrid/>
              <w:textAlignment w:val="auto"/>
              <w:rPr>
                <w:rFonts w:asciiTheme="minorEastAsia" w:hAnsiTheme="minorEastAsia" w:eastAsiaTheme="minorEastAsia" w:cstheme="minorEastAsia"/>
                <w:color w:val="auto"/>
                <w:spacing w:val="14"/>
                <w:szCs w:val="24"/>
                <w:lang w:eastAsia="zh-CN"/>
              </w:rPr>
            </w:pPr>
            <w:r>
              <w:rPr>
                <w:rFonts w:hint="eastAsia" w:asciiTheme="minorEastAsia" w:hAnsiTheme="minorEastAsia" w:cstheme="minorEastAsia"/>
                <w:color w:val="auto"/>
                <w:spacing w:val="-13"/>
                <w:szCs w:val="24"/>
                <w:lang w:eastAsia="zh-CN"/>
              </w:rPr>
              <w:t>□</w:t>
            </w:r>
            <w:r>
              <w:rPr>
                <w:rFonts w:hint="eastAsia" w:asciiTheme="minorEastAsia" w:hAnsiTheme="minorEastAsia" w:eastAsiaTheme="minorEastAsia" w:cstheme="minorEastAsia"/>
                <w:color w:val="auto"/>
                <w:spacing w:val="29"/>
                <w:szCs w:val="24"/>
                <w:lang w:eastAsia="zh-CN"/>
              </w:rPr>
              <w:t>本项目小微企业价格折扣比例</w:t>
            </w:r>
            <w:r>
              <w:rPr>
                <w:rFonts w:hint="eastAsia" w:asciiTheme="minorEastAsia" w:hAnsiTheme="minorEastAsia" w:cstheme="minorEastAsia"/>
                <w:color w:val="auto"/>
                <w:spacing w:val="29"/>
                <w:szCs w:val="24"/>
                <w:lang w:val="en-US" w:eastAsia="zh-CN"/>
              </w:rPr>
              <w:t xml:space="preserve"> </w:t>
            </w:r>
            <w:r>
              <w:rPr>
                <w:rFonts w:hint="eastAsia" w:asciiTheme="minorEastAsia" w:hAnsiTheme="minorEastAsia" w:eastAsiaTheme="minorEastAsia" w:cstheme="minorEastAsia"/>
                <w:color w:val="auto"/>
                <w:spacing w:val="29"/>
                <w:szCs w:val="24"/>
                <w:lang w:eastAsia="zh-CN"/>
              </w:rPr>
              <w:t>%。</w:t>
            </w:r>
          </w:p>
          <w:p>
            <w:pPr>
              <w:kinsoku/>
              <w:autoSpaceDE/>
              <w:autoSpaceDN/>
              <w:adjustRightInd/>
              <w:snapToGrid/>
              <w:textAlignment w:val="auto"/>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spacing w:val="1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34" w:type="dxa"/>
            <w:tcBorders>
              <w:top w:val="single" w:color="auto" w:sz="4" w:space="0"/>
              <w:left w:val="single" w:color="auto" w:sz="4" w:space="0"/>
              <w:bottom w:val="single" w:color="auto" w:sz="4" w:space="0"/>
              <w:right w:val="single" w:color="auto" w:sz="4" w:space="0"/>
            </w:tcBorders>
          </w:tcPr>
          <w:p>
            <w:pPr>
              <w:pStyle w:val="48"/>
              <w:spacing w:line="269" w:lineRule="auto"/>
              <w:rPr>
                <w:rFonts w:asciiTheme="minorEastAsia" w:hAnsiTheme="minorEastAsia" w:eastAsiaTheme="minorEastAsia" w:cstheme="minorEastAsia"/>
                <w:lang w:eastAsia="zh-CN"/>
              </w:rPr>
            </w:pPr>
          </w:p>
          <w:p>
            <w:pPr>
              <w:spacing w:before="78" w:line="219" w:lineRule="auto"/>
              <w:ind w:left="377"/>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
                <w:szCs w:val="24"/>
              </w:rPr>
              <w:t>投标报价</w:t>
            </w:r>
          </w:p>
        </w:tc>
        <w:tc>
          <w:tcPr>
            <w:tcW w:w="7545" w:type="dxa"/>
            <w:tcBorders>
              <w:top w:val="single" w:color="auto" w:sz="4" w:space="0"/>
              <w:left w:val="single" w:color="auto" w:sz="4" w:space="0"/>
              <w:bottom w:val="single" w:color="auto" w:sz="4" w:space="0"/>
              <w:right w:val="single" w:color="auto" w:sz="4" w:space="0"/>
            </w:tcBorders>
          </w:tcPr>
          <w:p>
            <w:pPr>
              <w:spacing w:before="40"/>
              <w:ind w:left="117"/>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7"/>
                <w:szCs w:val="24"/>
                <w:lang w:eastAsia="zh-CN"/>
              </w:rPr>
              <w:t>投标报价的特殊规定：</w:t>
            </w:r>
          </w:p>
          <w:p>
            <w:pPr>
              <w:pStyle w:val="48"/>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48"/>
              <w:spacing w:before="23" w:line="189" w:lineRule="auto"/>
              <w:ind w:left="12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p>
            <w:pPr>
              <w:pStyle w:val="48"/>
              <w:spacing w:line="19" w:lineRule="exact"/>
              <w:ind w:left="200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项目预算</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u w:val="single"/>
                <w:lang w:val="en-US" w:eastAsia="zh-CN"/>
              </w:rPr>
              <w:t>149.167</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投标有效期</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开标之日起60</w:t>
            </w:r>
            <w:r>
              <w:rPr>
                <w:rFonts w:hint="eastAsia" w:asciiTheme="minorEastAsia" w:hAnsiTheme="minorEastAsia" w:eastAsiaTheme="minorEastAsia" w:cstheme="minorEastAsia"/>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投标文件</w:t>
            </w:r>
            <w:r>
              <w:rPr>
                <w:rFonts w:hint="eastAsia" w:asciiTheme="minorEastAsia" w:hAnsiTheme="minorEastAsia" w:eastAsiaTheme="minorEastAsia" w:cstheme="minorEastAsia"/>
                <w:szCs w:val="24"/>
                <w:lang w:eastAsia="zh-CN"/>
              </w:rPr>
              <w:t>数量</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投标截止时间</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u w:val="single"/>
                <w:lang w:eastAsia="zh-CN"/>
              </w:rPr>
              <w:t>2024</w:t>
            </w:r>
            <w:r>
              <w:rPr>
                <w:rFonts w:hint="eastAsia" w:asciiTheme="minorEastAsia" w:hAnsiTheme="minorEastAsia" w:eastAsiaTheme="minorEastAsia" w:cstheme="minorEastAsia"/>
                <w:color w:val="auto"/>
                <w:spacing w:val="-107"/>
                <w:szCs w:val="24"/>
                <w:lang w:eastAsia="zh-CN"/>
              </w:rPr>
              <w:t xml:space="preserve"> </w:t>
            </w:r>
            <w:r>
              <w:rPr>
                <w:rFonts w:hint="eastAsia" w:asciiTheme="minorEastAsia" w:hAnsiTheme="minorEastAsia" w:eastAsiaTheme="minorEastAsia" w:cstheme="minorEastAsia"/>
                <w:color w:val="auto"/>
                <w:spacing w:val="-14"/>
                <w:szCs w:val="24"/>
                <w:lang w:eastAsia="zh-CN"/>
              </w:rPr>
              <w:t>年</w:t>
            </w:r>
            <w:r>
              <w:rPr>
                <w:rFonts w:hint="eastAsia" w:asciiTheme="minorEastAsia" w:hAnsiTheme="minorEastAsia" w:eastAsiaTheme="minorEastAsia" w:cstheme="minorEastAsia"/>
                <w:color w:val="auto"/>
                <w:spacing w:val="-14"/>
                <w:szCs w:val="24"/>
                <w:u w:val="single"/>
                <w:lang w:eastAsia="zh-CN"/>
              </w:rPr>
              <w:t xml:space="preserve"> </w:t>
            </w:r>
            <w:r>
              <w:rPr>
                <w:rFonts w:hint="eastAsia" w:asciiTheme="minorEastAsia" w:hAnsiTheme="minorEastAsia" w:cstheme="minorEastAsia"/>
                <w:color w:val="auto"/>
                <w:spacing w:val="-14"/>
                <w:szCs w:val="24"/>
                <w:u w:val="single"/>
                <w:lang w:val="en-US" w:eastAsia="zh-CN"/>
              </w:rPr>
              <w:t>8</w:t>
            </w:r>
            <w:r>
              <w:rPr>
                <w:rFonts w:hint="eastAsia" w:asciiTheme="minorEastAsia" w:hAnsiTheme="minorEastAsia" w:eastAsiaTheme="minorEastAsia" w:cstheme="minorEastAsia"/>
                <w:color w:val="auto"/>
                <w:spacing w:val="-14"/>
                <w:szCs w:val="24"/>
                <w:lang w:eastAsia="zh-CN"/>
              </w:rPr>
              <w:t>月</w:t>
            </w:r>
            <w:r>
              <w:rPr>
                <w:rFonts w:hint="eastAsia" w:asciiTheme="minorEastAsia" w:hAnsiTheme="minorEastAsia" w:eastAsiaTheme="minorEastAsia" w:cstheme="minorEastAsia"/>
                <w:color w:val="auto"/>
                <w:spacing w:val="-14"/>
                <w:szCs w:val="24"/>
                <w:u w:val="single"/>
                <w:lang w:eastAsia="zh-CN"/>
              </w:rPr>
              <w:t xml:space="preserve"> </w:t>
            </w:r>
            <w:r>
              <w:rPr>
                <w:rFonts w:hint="eastAsia" w:asciiTheme="minorEastAsia" w:hAnsiTheme="minorEastAsia" w:cstheme="minorEastAsia"/>
                <w:color w:val="auto"/>
                <w:spacing w:val="-14"/>
                <w:szCs w:val="24"/>
                <w:u w:val="single"/>
                <w:lang w:val="en-US" w:eastAsia="zh-CN"/>
              </w:rPr>
              <w:t>6</w:t>
            </w:r>
            <w:r>
              <w:rPr>
                <w:rFonts w:hint="eastAsia" w:asciiTheme="minorEastAsia" w:hAnsiTheme="minorEastAsia" w:eastAsiaTheme="minorEastAsia" w:cstheme="minorEastAsia"/>
                <w:color w:val="auto"/>
                <w:spacing w:val="-70"/>
                <w:szCs w:val="24"/>
                <w:lang w:eastAsia="zh-CN"/>
              </w:rPr>
              <w:t xml:space="preserve"> </w:t>
            </w:r>
            <w:r>
              <w:rPr>
                <w:rFonts w:hint="eastAsia" w:asciiTheme="minorEastAsia" w:hAnsiTheme="minorEastAsia" w:eastAsiaTheme="minorEastAsia" w:cstheme="minorEastAsia"/>
                <w:color w:val="auto"/>
                <w:spacing w:val="-15"/>
                <w:szCs w:val="24"/>
                <w:lang w:eastAsia="zh-CN"/>
              </w:rPr>
              <w:t>日</w:t>
            </w:r>
            <w:r>
              <w:rPr>
                <w:rFonts w:hint="eastAsia" w:asciiTheme="minorEastAsia" w:hAnsiTheme="minorEastAsia" w:eastAsiaTheme="minorEastAsia" w:cstheme="minorEastAsia"/>
                <w:color w:val="auto"/>
                <w:spacing w:val="60"/>
                <w:szCs w:val="24"/>
                <w:u w:val="single"/>
                <w:lang w:eastAsia="zh-CN"/>
              </w:rPr>
              <w:t>9</w:t>
            </w:r>
            <w:r>
              <w:rPr>
                <w:rFonts w:hint="eastAsia" w:asciiTheme="minorEastAsia" w:hAnsiTheme="minorEastAsia" w:eastAsiaTheme="minorEastAsia" w:cstheme="minorEastAsia"/>
                <w:color w:val="auto"/>
                <w:spacing w:val="-102"/>
                <w:szCs w:val="24"/>
                <w:lang w:eastAsia="zh-CN"/>
              </w:rPr>
              <w:t xml:space="preserve"> </w:t>
            </w:r>
            <w:r>
              <w:rPr>
                <w:rFonts w:hint="eastAsia" w:asciiTheme="minorEastAsia" w:hAnsiTheme="minorEastAsia" w:eastAsiaTheme="minorEastAsia" w:cstheme="minorEastAsia"/>
                <w:color w:val="auto"/>
                <w:spacing w:val="-15"/>
                <w:szCs w:val="24"/>
                <w:lang w:eastAsia="zh-CN"/>
              </w:rPr>
              <w:t>点</w:t>
            </w:r>
            <w:r>
              <w:rPr>
                <w:rFonts w:hint="eastAsia" w:asciiTheme="minorEastAsia" w:hAnsiTheme="minorEastAsia" w:eastAsiaTheme="minorEastAsia" w:cstheme="minorEastAsia"/>
                <w:color w:val="auto"/>
                <w:szCs w:val="24"/>
                <w:u w:val="single"/>
                <w:lang w:eastAsia="zh-CN"/>
              </w:rPr>
              <w:t>00</w:t>
            </w:r>
            <w:r>
              <w:rPr>
                <w:rFonts w:hint="eastAsia" w:asciiTheme="minorEastAsia" w:hAnsiTheme="minorEastAsia" w:eastAsiaTheme="minorEastAsia" w:cstheme="minorEastAsia"/>
                <w:color w:val="auto"/>
                <w:spacing w:val="-108"/>
                <w:szCs w:val="24"/>
                <w:lang w:eastAsia="zh-CN"/>
              </w:rPr>
              <w:t xml:space="preserve"> </w:t>
            </w:r>
            <w:r>
              <w:rPr>
                <w:rFonts w:hint="eastAsia" w:asciiTheme="minorEastAsia" w:hAnsiTheme="minorEastAsia" w:eastAsiaTheme="minorEastAsia" w:cstheme="minorEastAsia"/>
                <w:color w:val="auto"/>
                <w:spacing w:val="-15"/>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开标时间</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auto"/>
                <w:szCs w:val="24"/>
                <w:u w:val="single"/>
                <w:lang w:eastAsia="zh-CN"/>
              </w:rPr>
            </w:pPr>
            <w:r>
              <w:rPr>
                <w:rFonts w:hint="eastAsia" w:asciiTheme="minorEastAsia" w:hAnsiTheme="minorEastAsia" w:eastAsiaTheme="minorEastAsia" w:cstheme="minorEastAsia"/>
                <w:color w:val="auto"/>
                <w:szCs w:val="24"/>
                <w:u w:val="single"/>
                <w:lang w:eastAsia="zh-CN"/>
              </w:rPr>
              <w:t>2024</w:t>
            </w:r>
            <w:r>
              <w:rPr>
                <w:rFonts w:hint="eastAsia" w:asciiTheme="minorEastAsia" w:hAnsiTheme="minorEastAsia" w:eastAsiaTheme="minorEastAsia" w:cstheme="minorEastAsia"/>
                <w:color w:val="auto"/>
                <w:spacing w:val="-107"/>
                <w:szCs w:val="24"/>
                <w:lang w:eastAsia="zh-CN"/>
              </w:rPr>
              <w:t xml:space="preserve"> </w:t>
            </w:r>
            <w:r>
              <w:rPr>
                <w:rFonts w:hint="eastAsia" w:asciiTheme="minorEastAsia" w:hAnsiTheme="minorEastAsia" w:eastAsiaTheme="minorEastAsia" w:cstheme="minorEastAsia"/>
                <w:color w:val="auto"/>
                <w:spacing w:val="-14"/>
                <w:szCs w:val="24"/>
                <w:lang w:eastAsia="zh-CN"/>
              </w:rPr>
              <w:t>年</w:t>
            </w:r>
            <w:r>
              <w:rPr>
                <w:rFonts w:hint="eastAsia" w:asciiTheme="minorEastAsia" w:hAnsiTheme="minorEastAsia" w:eastAsiaTheme="minorEastAsia" w:cstheme="minorEastAsia"/>
                <w:color w:val="auto"/>
                <w:spacing w:val="-14"/>
                <w:szCs w:val="24"/>
                <w:u w:val="single"/>
                <w:lang w:eastAsia="zh-CN"/>
              </w:rPr>
              <w:t xml:space="preserve"> </w:t>
            </w:r>
            <w:r>
              <w:rPr>
                <w:rFonts w:hint="eastAsia" w:asciiTheme="minorEastAsia" w:hAnsiTheme="minorEastAsia" w:cstheme="minorEastAsia"/>
                <w:color w:val="auto"/>
                <w:spacing w:val="-14"/>
                <w:szCs w:val="24"/>
                <w:u w:val="single"/>
                <w:lang w:val="en-US" w:eastAsia="zh-CN"/>
              </w:rPr>
              <w:t>8</w:t>
            </w:r>
            <w:r>
              <w:rPr>
                <w:rFonts w:hint="eastAsia" w:asciiTheme="minorEastAsia" w:hAnsiTheme="minorEastAsia" w:eastAsiaTheme="minorEastAsia" w:cstheme="minorEastAsia"/>
                <w:color w:val="auto"/>
                <w:spacing w:val="-14"/>
                <w:szCs w:val="24"/>
                <w:lang w:eastAsia="zh-CN"/>
              </w:rPr>
              <w:t>月</w:t>
            </w:r>
            <w:r>
              <w:rPr>
                <w:rFonts w:hint="eastAsia" w:asciiTheme="minorEastAsia" w:hAnsiTheme="minorEastAsia" w:eastAsiaTheme="minorEastAsia" w:cstheme="minorEastAsia"/>
                <w:color w:val="auto"/>
                <w:spacing w:val="-14"/>
                <w:szCs w:val="24"/>
                <w:u w:val="single"/>
                <w:lang w:eastAsia="zh-CN"/>
              </w:rPr>
              <w:t xml:space="preserve"> </w:t>
            </w:r>
            <w:r>
              <w:rPr>
                <w:rFonts w:hint="eastAsia" w:asciiTheme="minorEastAsia" w:hAnsiTheme="minorEastAsia" w:cstheme="minorEastAsia"/>
                <w:color w:val="auto"/>
                <w:spacing w:val="-14"/>
                <w:szCs w:val="24"/>
                <w:u w:val="single"/>
                <w:lang w:val="en-US" w:eastAsia="zh-CN"/>
              </w:rPr>
              <w:t>6</w:t>
            </w:r>
            <w:r>
              <w:rPr>
                <w:rFonts w:hint="eastAsia" w:asciiTheme="minorEastAsia" w:hAnsiTheme="minorEastAsia" w:eastAsiaTheme="minorEastAsia" w:cstheme="minorEastAsia"/>
                <w:color w:val="auto"/>
                <w:spacing w:val="-70"/>
                <w:szCs w:val="24"/>
                <w:lang w:eastAsia="zh-CN"/>
              </w:rPr>
              <w:t xml:space="preserve"> </w:t>
            </w:r>
            <w:r>
              <w:rPr>
                <w:rFonts w:hint="eastAsia" w:asciiTheme="minorEastAsia" w:hAnsiTheme="minorEastAsia" w:eastAsiaTheme="minorEastAsia" w:cstheme="minorEastAsia"/>
                <w:color w:val="auto"/>
                <w:spacing w:val="-15"/>
                <w:szCs w:val="24"/>
                <w:lang w:eastAsia="zh-CN"/>
              </w:rPr>
              <w:t>日</w:t>
            </w:r>
            <w:r>
              <w:rPr>
                <w:rFonts w:hint="eastAsia" w:asciiTheme="minorEastAsia" w:hAnsiTheme="minorEastAsia" w:eastAsiaTheme="minorEastAsia" w:cstheme="minorEastAsia"/>
                <w:color w:val="auto"/>
                <w:spacing w:val="60"/>
                <w:szCs w:val="24"/>
                <w:u w:val="single"/>
                <w:lang w:eastAsia="zh-CN"/>
              </w:rPr>
              <w:t>9</w:t>
            </w:r>
            <w:r>
              <w:rPr>
                <w:rFonts w:hint="eastAsia" w:asciiTheme="minorEastAsia" w:hAnsiTheme="minorEastAsia" w:eastAsiaTheme="minorEastAsia" w:cstheme="minorEastAsia"/>
                <w:color w:val="auto"/>
                <w:spacing w:val="-102"/>
                <w:szCs w:val="24"/>
                <w:lang w:eastAsia="zh-CN"/>
              </w:rPr>
              <w:t xml:space="preserve"> </w:t>
            </w:r>
            <w:r>
              <w:rPr>
                <w:rFonts w:hint="eastAsia" w:asciiTheme="minorEastAsia" w:hAnsiTheme="minorEastAsia" w:eastAsiaTheme="minorEastAsia" w:cstheme="minorEastAsia"/>
                <w:color w:val="auto"/>
                <w:spacing w:val="-15"/>
                <w:szCs w:val="24"/>
                <w:lang w:eastAsia="zh-CN"/>
              </w:rPr>
              <w:t>点</w:t>
            </w:r>
            <w:r>
              <w:rPr>
                <w:rFonts w:hint="eastAsia" w:asciiTheme="minorEastAsia" w:hAnsiTheme="minorEastAsia" w:eastAsiaTheme="minorEastAsia" w:cstheme="minorEastAsia"/>
                <w:color w:val="auto"/>
                <w:szCs w:val="24"/>
                <w:u w:val="single"/>
                <w:lang w:eastAsia="zh-CN"/>
              </w:rPr>
              <w:t>00</w:t>
            </w:r>
            <w:r>
              <w:rPr>
                <w:rFonts w:hint="eastAsia" w:asciiTheme="minorEastAsia" w:hAnsiTheme="minorEastAsia" w:eastAsiaTheme="minorEastAsia" w:cstheme="minorEastAsia"/>
                <w:color w:val="auto"/>
                <w:spacing w:val="-108"/>
                <w:szCs w:val="24"/>
                <w:lang w:eastAsia="zh-CN"/>
              </w:rPr>
              <w:t xml:space="preserve"> </w:t>
            </w:r>
            <w:r>
              <w:rPr>
                <w:rFonts w:hint="eastAsia" w:asciiTheme="minorEastAsia" w:hAnsiTheme="minorEastAsia" w:eastAsiaTheme="minorEastAsia" w:cstheme="minorEastAsia"/>
                <w:color w:val="auto"/>
                <w:spacing w:val="-15"/>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highlight w:val="yellow"/>
              </w:rPr>
            </w:pPr>
            <w:r>
              <w:rPr>
                <w:rFonts w:hint="eastAsia" w:asciiTheme="minorEastAsia" w:hAnsiTheme="minorEastAsia" w:eastAsiaTheme="minorEastAsia" w:cstheme="minorEastAsia"/>
                <w:szCs w:val="24"/>
              </w:rPr>
              <w:t>核心产品</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FF0000"/>
                <w:szCs w:val="24"/>
                <w:highlight w:val="yellow"/>
                <w:lang w:eastAsia="zh-CN"/>
              </w:rPr>
            </w:pPr>
            <w:r>
              <w:rPr>
                <w:rFonts w:hint="eastAsia" w:asciiTheme="minorEastAsia" w:hAnsiTheme="minorEastAsia" w:eastAsiaTheme="minorEastAsia" w:cstheme="minorEastAsia"/>
                <w:szCs w:val="24"/>
                <w:lang w:eastAsia="zh-CN"/>
              </w:rPr>
              <w:t>详见第二部分“采购清单”。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评标方法</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i/>
                <w:szCs w:val="24"/>
                <w:lang w:eastAsia="zh-CN"/>
              </w:rPr>
            </w:pPr>
            <w:r>
              <w:rPr>
                <w:rFonts w:hint="eastAsia" w:asciiTheme="minorEastAsia" w:hAnsiTheme="minorEastAsia" w:eastAsiaTheme="minorEastAsia" w:cstheme="minorEastAsia"/>
                <w:szCs w:val="24"/>
                <w:lang w:eastAsia="zh-CN"/>
              </w:rPr>
              <w:t>　</w:t>
            </w:r>
            <w:r>
              <w:rPr>
                <w:rFonts w:hint="eastAsia" w:asciiTheme="minorEastAsia" w:hAnsiTheme="minorEastAsia" w:eastAsiaTheme="minorEastAsia" w:cstheme="minorEastAsia"/>
                <w:spacing w:val="14"/>
                <w:szCs w:val="24"/>
                <w:lang w:eastAsia="zh-CN"/>
              </w:rPr>
              <w:t>☑</w:t>
            </w:r>
            <w:r>
              <w:rPr>
                <w:rFonts w:hint="eastAsia" w:asciiTheme="minorEastAsia" w:hAnsiTheme="minorEastAsia" w:eastAsiaTheme="minorEastAsia" w:cstheme="minorEastAsia"/>
                <w:szCs w:val="24"/>
                <w:lang w:eastAsia="zh-CN"/>
              </w:rPr>
              <w:t xml:space="preserve">综合评分法　 </w:t>
            </w:r>
            <w:r>
              <w:rPr>
                <w:rFonts w:hint="eastAsia" w:asciiTheme="minorEastAsia" w:hAnsiTheme="minorEastAsia" w:eastAsiaTheme="minorEastAsia" w:cstheme="minorEastAsia"/>
                <w:spacing w:val="14"/>
                <w:szCs w:val="24"/>
                <w:lang w:eastAsia="zh-CN"/>
              </w:rPr>
              <w:t>□</w:t>
            </w:r>
            <w:r>
              <w:rPr>
                <w:rFonts w:hint="eastAsia" w:asciiTheme="minorEastAsia" w:hAnsiTheme="minorEastAsia" w:eastAsiaTheme="minorEastAsia" w:cstheme="minorEastAsia"/>
                <w:szCs w:val="24"/>
                <w:lang w:eastAsia="zh-CN"/>
              </w:rPr>
              <w:t>最低评标价法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确定中标人</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采购人是否委托评标委员会直接确定中标人：</w:t>
            </w:r>
          </w:p>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cstheme="minorEastAsia"/>
                <w:spacing w:val="14"/>
                <w:szCs w:val="24"/>
                <w:lang w:eastAsia="zh-CN"/>
              </w:rPr>
              <w:t>☑</w:t>
            </w:r>
            <w:r>
              <w:rPr>
                <w:rFonts w:hint="eastAsia" w:asciiTheme="minorEastAsia" w:hAnsiTheme="minorEastAsia" w:eastAsiaTheme="minorEastAsia" w:cstheme="minorEastAsia"/>
                <w:szCs w:val="24"/>
                <w:lang w:eastAsia="zh-CN"/>
              </w:rPr>
              <w:t>是</w:t>
            </w:r>
          </w:p>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cstheme="minorEastAsia"/>
                <w:spacing w:val="14"/>
                <w:szCs w:val="24"/>
                <w:lang w:eastAsia="zh-CN"/>
              </w:rPr>
              <w:t>□</w:t>
            </w:r>
            <w:r>
              <w:rPr>
                <w:rFonts w:hint="eastAsia" w:asciiTheme="minorEastAsia" w:hAnsiTheme="minorEastAsia" w:eastAsiaTheme="minorEastAsia" w:cstheme="minorEastAsia"/>
                <w:spacing w:val="14"/>
                <w:szCs w:val="24"/>
                <w:lang w:eastAsia="zh-CN"/>
              </w:rPr>
              <w:t>否，推荐的中标候选人数：3人；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8"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rFonts w:hint="eastAsia" w:asciiTheme="minorEastAsia" w:hAnsiTheme="minorEastAsia" w:eastAsiaTheme="minorEastAsia" w:cstheme="minorEastAsia"/>
                <w:szCs w:val="24"/>
                <w:lang w:eastAsia="zh-CN"/>
              </w:rPr>
              <w:t>代理费</w:t>
            </w:r>
          </w:p>
        </w:tc>
        <w:tc>
          <w:tcPr>
            <w:tcW w:w="7545" w:type="dxa"/>
            <w:tcBorders>
              <w:top w:val="single" w:color="auto" w:sz="4" w:space="0"/>
              <w:left w:val="single" w:color="auto" w:sz="4" w:space="0"/>
              <w:bottom w:val="single" w:color="auto" w:sz="4" w:space="0"/>
              <w:right w:val="single" w:color="auto" w:sz="4" w:space="0"/>
            </w:tcBorders>
            <w:vAlign w:val="center"/>
          </w:tcPr>
          <w:p>
            <w:pPr>
              <w:pStyle w:val="48"/>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pPr>
              <w:pStyle w:val="48"/>
              <w:spacing w:before="1" w:line="220" w:lineRule="auto"/>
              <w:ind w:left="126"/>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 xml:space="preserve">□采购人  </w:t>
            </w:r>
            <w:r>
              <w:rPr>
                <w:rFonts w:hint="eastAsia" w:asciiTheme="minorEastAsia" w:hAnsiTheme="minorEastAsia" w:eastAsiaTheme="minorEastAsia" w:cstheme="minorEastAsia"/>
                <w:spacing w:val="-13"/>
                <w:sz w:val="24"/>
                <w:szCs w:val="24"/>
                <w:lang w:eastAsia="zh-CN"/>
              </w:rPr>
              <w:t>□中标人</w:t>
            </w:r>
          </w:p>
          <w:p>
            <w:pPr>
              <w:pStyle w:val="48"/>
              <w:spacing w:before="1" w:line="220" w:lineRule="auto"/>
              <w:ind w:left="126"/>
              <w:rPr>
                <w:sz w:val="24"/>
                <w:lang w:eastAsia="zh-CN"/>
              </w:rPr>
            </w:pPr>
            <w:r>
              <w:rPr>
                <w:rFonts w:hint="eastAsia" w:asciiTheme="minorEastAsia" w:hAnsiTheme="minorEastAsia" w:eastAsiaTheme="minorEastAsia" w:cstheme="minorEastAsia"/>
                <w:spacing w:val="-13"/>
                <w:sz w:val="24"/>
                <w:szCs w:val="24"/>
                <w:lang w:eastAsia="zh-CN"/>
              </w:rPr>
              <w:t>收费标准：</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w:t>
            </w:r>
          </w:p>
        </w:tc>
      </w:tr>
    </w:tbl>
    <w:p>
      <w:pPr>
        <w:rPr>
          <w:lang w:eastAsia="zh-CN"/>
        </w:rPr>
      </w:pPr>
      <w:r>
        <w:rPr>
          <w:rFonts w:hint="eastAsia"/>
          <w:lang w:eastAsia="zh-CN"/>
        </w:rPr>
        <w:br w:type="page"/>
      </w:r>
    </w:p>
    <w:p>
      <w:pPr>
        <w:pStyle w:val="8"/>
        <w:spacing w:before="91"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t>投标人须知</w:t>
      </w:r>
    </w:p>
    <w:p>
      <w:pPr>
        <w:pStyle w:val="8"/>
        <w:spacing w:before="268"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明</w:t>
      </w:r>
    </w:p>
    <w:p>
      <w:pPr>
        <w:pStyle w:val="8"/>
        <w:spacing w:before="202" w:line="219" w:lineRule="auto"/>
        <w:rPr>
          <w:rFonts w:asciiTheme="minorEastAsia" w:hAnsiTheme="minorEastAsia" w:eastAsiaTheme="minorEastAsia" w:cstheme="minorEastAsia"/>
          <w:spacing w:val="-1"/>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500" w:lineRule="exact"/>
        <w:ind w:firstLine="478"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pPr>
        <w:pStyle w:val="8"/>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2.资金来源、项目属性、科研仪器设备采购、核心产品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50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2.1资金来源为财政性资金</w:t>
      </w:r>
      <w:r>
        <w:rPr>
          <w:rFonts w:hint="eastAsia" w:asciiTheme="minorEastAsia" w:hAnsiTheme="minorEastAsia" w:eastAsiaTheme="minorEastAsia" w:cstheme="minorEastAsia"/>
          <w:b w:val="0"/>
          <w:bCs w:val="0"/>
          <w:spacing w:val="-14"/>
          <w:sz w:val="24"/>
          <w:szCs w:val="24"/>
          <w:u w:val="single"/>
          <w:lang w:val="en-US" w:eastAsia="zh-CN"/>
        </w:rPr>
        <w:t>149.167</w:t>
      </w:r>
      <w:r>
        <w:rPr>
          <w:rFonts w:hint="eastAsia" w:asciiTheme="minorEastAsia" w:hAnsiTheme="minorEastAsia" w:eastAsiaTheme="minorEastAsia" w:cstheme="minorEastAsia"/>
          <w:b w:val="0"/>
          <w:bCs w:val="0"/>
          <w:spacing w:val="-14"/>
          <w:sz w:val="24"/>
          <w:szCs w:val="24"/>
          <w:u w:val="single"/>
          <w:lang w:eastAsia="zh-CN"/>
        </w:rPr>
        <w:t xml:space="preserve">  </w:t>
      </w:r>
      <w:r>
        <w:rPr>
          <w:rFonts w:hint="eastAsia" w:asciiTheme="minorEastAsia" w:hAnsiTheme="minorEastAsia" w:eastAsiaTheme="minorEastAsia" w:cstheme="minorEastAsia"/>
          <w:b w:val="0"/>
          <w:bCs w:val="0"/>
          <w:spacing w:val="-14"/>
          <w:sz w:val="24"/>
          <w:szCs w:val="24"/>
          <w:lang w:eastAsia="zh-CN"/>
        </w:rPr>
        <w:t>万元</w:t>
      </w:r>
      <w:r>
        <w:rPr>
          <w:rFonts w:hint="eastAsia" w:asciiTheme="minorEastAsia" w:hAnsiTheme="minorEastAsia" w:eastAsiaTheme="minorEastAsia" w:cstheme="minorEastAsia"/>
          <w:spacing w:val="-9"/>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4"/>
          <w:sz w:val="24"/>
          <w:szCs w:val="24"/>
          <w:lang w:eastAsia="zh-CN"/>
        </w:rPr>
        <w:t>2.2项目属性见《投标人须知表》。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68"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3是否属于科研仪器设备采购见《投标人须知表》。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2.4核心产品见《投标人须知表》。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78"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3.现场考察、开标前答疑会</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3.1若《投标人须知表》中规定了组织现场考察、召开开标前答疑会，则投标人应按要求在规定的时间和地点参</w:t>
      </w:r>
      <w:r>
        <w:rPr>
          <w:rFonts w:hint="eastAsia" w:asciiTheme="minorEastAsia" w:hAnsiTheme="minorEastAsia" w:eastAsiaTheme="minorEastAsia" w:cstheme="minorEastAsia"/>
          <w:spacing w:val="-3"/>
          <w:sz w:val="24"/>
          <w:szCs w:val="24"/>
          <w:lang w:eastAsia="zh-CN"/>
        </w:rPr>
        <w:t>加。</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pPr>
        <w:pStyle w:val="8"/>
        <w:keepNext w:val="0"/>
        <w:keepLines w:val="0"/>
        <w:pageBreakBefore w:val="0"/>
        <w:widowControl w:val="0"/>
        <w:kinsoku/>
        <w:wordWrap/>
        <w:overflowPunct/>
        <w:topLinePunct w:val="0"/>
        <w:autoSpaceDE/>
        <w:autoSpaceDN/>
        <w:bidi w:val="0"/>
        <w:adjustRightInd/>
        <w:snapToGrid/>
        <w:spacing w:line="500" w:lineRule="exact"/>
        <w:ind w:firstLine="478"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8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pPr>
        <w:pStyle w:val="8"/>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pPr>
        <w:pStyle w:val="8"/>
        <w:keepNext w:val="0"/>
        <w:keepLines w:val="0"/>
        <w:pageBreakBefore w:val="0"/>
        <w:widowControl w:val="0"/>
        <w:kinsoku/>
        <w:wordWrap/>
        <w:overflowPunct/>
        <w:topLinePunct w:val="0"/>
        <w:autoSpaceDE/>
        <w:autoSpaceDN/>
        <w:bidi w:val="0"/>
        <w:adjustRightInd/>
        <w:snapToGrid/>
        <w:spacing w:line="500" w:lineRule="exact"/>
        <w:ind w:firstLine="48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"5.2.1.1"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"5.2.1.2"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"5.2.1.3"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"5.2.1.4"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以联合体形式参加政府采购活动，联合体各方均为中小企业的， 联合体视同中小企业。其中，联合体各方均为小微企业的，联合体视同小微企业。</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"5.2.3.1"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"5.2.3.2"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"5.2.3.3"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"5.2.3.4"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"5.2.3.5"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"5.2.3.6"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4.3.1政府采购节能产品、环境标志产品实施品目清单管理。财政部、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8"/>
        <w:keepNext w:val="0"/>
        <w:keepLines w:val="0"/>
        <w:pageBreakBefore w:val="0"/>
        <w:widowControl w:val="0"/>
        <w:kinsoku/>
        <w:wordWrap/>
        <w:overflowPunct/>
        <w:topLinePunct w:val="0"/>
        <w:autoSpaceDE/>
        <w:autoSpaceDN/>
        <w:bidi w:val="0"/>
        <w:adjustRightInd/>
        <w:snapToGrid/>
        <w:spacing w:line="500" w:lineRule="exact"/>
        <w:ind w:firstLine="46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pPr>
        <w:pStyle w:val="8"/>
        <w:keepNext w:val="0"/>
        <w:keepLines w:val="0"/>
        <w:pageBreakBefore w:val="0"/>
        <w:widowControl w:val="0"/>
        <w:kinsoku/>
        <w:wordWrap/>
        <w:overflowPunct/>
        <w:topLinePunct w:val="0"/>
        <w:autoSpaceDE/>
        <w:autoSpaceDN/>
        <w:bidi w:val="0"/>
        <w:adjustRightInd/>
        <w:snapToGrid/>
        <w:spacing w:line="500" w:lineRule="exact"/>
        <w:ind w:firstLine="44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8"/>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pPr>
        <w:pStyle w:val="8"/>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 根据财政部、生态环境部、工业和信息化部关于印发《绿色数据中心政府采购需求标准（试行）》的通知（财库〔2023〕7 号），本项目如涉及绿色数据中心，则具体要求见第二章《采购需求》。</w:t>
      </w:r>
    </w:p>
    <w:p>
      <w:pPr>
        <w:pStyle w:val="8"/>
        <w:keepNext w:val="0"/>
        <w:keepLines w:val="0"/>
        <w:pageBreakBefore w:val="0"/>
        <w:widowControl w:val="0"/>
        <w:kinsoku/>
        <w:wordWrap/>
        <w:overflowPunct/>
        <w:topLinePunct w:val="0"/>
        <w:autoSpaceDE/>
        <w:autoSpaceDN/>
        <w:bidi w:val="0"/>
        <w:adjustRightInd/>
        <w:snapToGrid/>
        <w:spacing w:line="500" w:lineRule="exact"/>
        <w:ind w:firstLine="47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投标人应自行承担所有与准备和招标有关的费用，无论招标的结果如何，采购人或采购代理机构在任何情况下均无承担这些费用的义务和责任。</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6.2“监督管理部门”是指</w:t>
      </w:r>
      <w:r>
        <w:rPr>
          <w:rFonts w:hint="eastAsia" w:asciiTheme="minorEastAsia" w:hAnsiTheme="minorEastAsia" w:eastAsiaTheme="minorEastAsia" w:cstheme="minorEastAsia"/>
          <w:spacing w:val="-2"/>
          <w:sz w:val="24"/>
          <w:szCs w:val="24"/>
          <w:highlight w:val="none"/>
          <w:lang w:eastAsia="zh-CN"/>
        </w:rPr>
        <w:t>南阳市财政局。</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6.3“货物”指投标人按招标文件规定，须向采购人提供的与本次招标相关的</w:t>
      </w:r>
      <w:r>
        <w:rPr>
          <w:rFonts w:hint="eastAsia" w:ascii="宋体" w:hAnsi="宋体" w:eastAsia="宋体" w:cs="宋体"/>
          <w:sz w:val="24"/>
          <w:szCs w:val="24"/>
          <w:u w:val="single"/>
          <w:lang w:val="en-US" w:eastAsia="zh-CN"/>
        </w:rPr>
        <w:t>货物</w:t>
      </w:r>
      <w:r>
        <w:rPr>
          <w:rFonts w:hint="eastAsia" w:ascii="宋体" w:hAnsi="宋体" w:eastAsia="宋体" w:cs="宋体"/>
          <w:sz w:val="24"/>
          <w:szCs w:val="24"/>
          <w:u w:val="single"/>
          <w:lang w:eastAsia="zh-CN"/>
        </w:rPr>
        <w:t>及其他配套设施设备</w:t>
      </w:r>
      <w:r>
        <w:rPr>
          <w:rFonts w:hint="eastAsia" w:asciiTheme="minorEastAsia" w:hAnsiTheme="minorEastAsia" w:eastAsiaTheme="minorEastAsia" w:cstheme="minorEastAsia"/>
          <w:spacing w:val="-2"/>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6.4“服务”指招标文件规定投标人应承担的</w:t>
      </w:r>
      <w:r>
        <w:rPr>
          <w:rFonts w:hint="eastAsia" w:asciiTheme="minorEastAsia" w:hAnsiTheme="minorEastAsia" w:eastAsiaTheme="minorEastAsia" w:cstheme="minorEastAsia"/>
          <w:spacing w:val="-2"/>
          <w:sz w:val="24"/>
          <w:szCs w:val="24"/>
          <w:u w:val="single"/>
          <w:lang w:eastAsia="zh-CN"/>
        </w:rPr>
        <w:t>送货安装、售后</w:t>
      </w:r>
      <w:r>
        <w:rPr>
          <w:rFonts w:hint="eastAsia" w:asciiTheme="minorEastAsia" w:hAnsiTheme="minorEastAsia" w:eastAsiaTheme="minorEastAsia" w:cstheme="minorEastAsia"/>
          <w:spacing w:val="-2"/>
          <w:sz w:val="24"/>
          <w:szCs w:val="24"/>
          <w:lang w:eastAsia="zh-CN"/>
        </w:rPr>
        <w:t>服务。</w:t>
      </w:r>
    </w:p>
    <w:p>
      <w:pPr>
        <w:spacing w:line="290" w:lineRule="auto"/>
        <w:rPr>
          <w:rFonts w:asciiTheme="minorEastAsia" w:hAnsiTheme="minorEastAsia" w:eastAsiaTheme="minorEastAsia" w:cstheme="minorEastAsia"/>
          <w:sz w:val="24"/>
          <w:szCs w:val="24"/>
          <w:lang w:eastAsia="zh-CN"/>
        </w:rPr>
      </w:pPr>
    </w:p>
    <w:p>
      <w:pPr>
        <w:pStyle w:val="8"/>
        <w:spacing w:before="92" w:line="221" w:lineRule="auto"/>
        <w:ind w:left="3637"/>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pPr>
        <w:pStyle w:val="32"/>
        <w:rPr>
          <w:rFonts w:ascii="宋体" w:hAnsi="宋体" w:eastAsia="宋体" w:cs="宋体"/>
          <w:spacing w:val="-5"/>
          <w:sz w:val="28"/>
          <w:szCs w:val="28"/>
          <w:lang w:eastAsia="zh-CN"/>
          <w14:textOutline w14:w="1803" w14:cap="flat" w14:cmpd="sng">
            <w14:solidFill>
              <w14:srgbClr w14:val="000000"/>
            </w14:solidFill>
            <w14:prstDash w14:val="solid"/>
            <w14:miter w14:val="0"/>
          </w14:textOutline>
        </w:rPr>
      </w:pPr>
    </w:p>
    <w:p>
      <w:pPr>
        <w:pStyle w:val="33"/>
        <w:rPr>
          <w:rFonts w:ascii="宋体" w:hAnsi="宋体" w:eastAsia="宋体" w:cs="宋体"/>
          <w:spacing w:val="-5"/>
          <w:sz w:val="28"/>
          <w:szCs w:val="28"/>
          <w:lang w:eastAsia="zh-CN"/>
          <w14:textOutline w14:w="1803" w14:cap="flat" w14:cmpd="sng">
            <w14:solidFill>
              <w14:srgbClr w14:val="000000"/>
            </w14:solidFill>
            <w14:prstDash w14:val="solid"/>
            <w14:miter w14:val="0"/>
          </w14:textOutline>
        </w:rPr>
      </w:pPr>
    </w:p>
    <w:p>
      <w:pPr>
        <w:pStyle w:val="28"/>
        <w:bidi w:val="0"/>
        <w:rPr>
          <w:lang w:eastAsia="zh-CN"/>
        </w:rPr>
      </w:pPr>
    </w:p>
    <w:p>
      <w:pPr>
        <w:pStyle w:val="28"/>
        <w:bidi w:val="0"/>
        <w:rPr>
          <w:lang w:eastAsia="zh-CN"/>
        </w:rPr>
      </w:pPr>
    </w:p>
    <w:p>
      <w:pPr>
        <w:pStyle w:val="28"/>
        <w:bidi w:val="0"/>
        <w:rPr>
          <w:lang w:eastAsia="zh-CN"/>
        </w:rPr>
      </w:pPr>
    </w:p>
    <w:p>
      <w:pPr>
        <w:pStyle w:val="28"/>
        <w:bidi w:val="0"/>
        <w:rPr>
          <w:lang w:eastAsia="zh-CN"/>
        </w:rPr>
      </w:pPr>
    </w:p>
    <w:p>
      <w:pPr>
        <w:pStyle w:val="8"/>
        <w:spacing w:before="92" w:line="221"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pPr>
        <w:pStyle w:val="8"/>
        <w:pageBreakBefore w:val="0"/>
        <w:widowControl w:val="0"/>
        <w:kinsoku/>
        <w:wordWrap/>
        <w:overflowPunct/>
        <w:topLinePunct w:val="0"/>
        <w:autoSpaceDE/>
        <w:autoSpaceDN/>
        <w:bidi w:val="0"/>
        <w:adjustRightInd/>
        <w:spacing w:line="500" w:lineRule="exact"/>
        <w:textAlignment w:val="auto"/>
        <w:rPr>
          <w:rFonts w:asciiTheme="minorEastAsia" w:hAnsiTheme="minorEastAsia" w:eastAsiaTheme="minorEastAsia" w:cstheme="minorEastAsia"/>
          <w:spacing w:val="-2"/>
          <w:sz w:val="24"/>
          <w:szCs w:val="24"/>
          <w:lang w:eastAsia="zh-CN"/>
        </w:rPr>
      </w:pPr>
    </w:p>
    <w:p>
      <w:pPr>
        <w:pStyle w:val="8"/>
        <w:pageBreakBefore w:val="0"/>
        <w:widowControl w:val="0"/>
        <w:kinsoku/>
        <w:wordWrap/>
        <w:overflowPunct/>
        <w:topLinePunct w:val="0"/>
        <w:autoSpaceDE/>
        <w:autoSpaceDN/>
        <w:bidi w:val="0"/>
        <w:adjustRightInd/>
        <w:spacing w:line="500" w:lineRule="exact"/>
        <w:ind w:firstLine="474" w:firstLineChars="200"/>
        <w:textAlignment w:val="auto"/>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pPr>
        <w:pStyle w:val="8"/>
        <w:pageBreakBefore w:val="0"/>
        <w:widowControl w:val="0"/>
        <w:kinsoku/>
        <w:wordWrap/>
        <w:overflowPunct/>
        <w:topLinePunct w:val="0"/>
        <w:autoSpaceDE/>
        <w:autoSpaceDN/>
        <w:bidi w:val="0"/>
        <w:adjustRightIn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pPr>
        <w:pStyle w:val="8"/>
        <w:pageBreakBefore w:val="0"/>
        <w:widowControl w:val="0"/>
        <w:kinsoku/>
        <w:wordWrap/>
        <w:overflowPunct/>
        <w:topLinePunct w:val="0"/>
        <w:autoSpaceDE/>
        <w:autoSpaceDN/>
        <w:bidi w:val="0"/>
        <w:adjustRightInd/>
        <w:spacing w:line="500" w:lineRule="exact"/>
        <w:ind w:firstLine="450"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pPr>
        <w:pStyle w:val="8"/>
        <w:pageBreakBefore w:val="0"/>
        <w:widowControl w:val="0"/>
        <w:kinsoku/>
        <w:wordWrap/>
        <w:overflowPunct/>
        <w:topLinePunct w:val="0"/>
        <w:autoSpaceDE/>
        <w:autoSpaceDN/>
        <w:bidi w:val="0"/>
        <w:adjustRightIn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pPr>
        <w:pStyle w:val="8"/>
        <w:pageBreakBefore w:val="0"/>
        <w:widowControl w:val="0"/>
        <w:kinsoku/>
        <w:wordWrap/>
        <w:overflowPunct/>
        <w:topLinePunct w:val="0"/>
        <w:autoSpaceDE/>
        <w:autoSpaceDN/>
        <w:bidi w:val="0"/>
        <w:adjustRightIn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8"/>
        <w:pageBreakBefore w:val="0"/>
        <w:widowControl w:val="0"/>
        <w:kinsoku/>
        <w:wordWrap/>
        <w:overflowPunct/>
        <w:topLinePunct w:val="0"/>
        <w:autoSpaceDE/>
        <w:autoSpaceDN/>
        <w:bidi w:val="0"/>
        <w:adjustRightInd/>
        <w:spacing w:line="500" w:lineRule="exact"/>
        <w:ind w:firstLine="450" w:firstLineChars="200"/>
        <w:textAlignment w:val="auto"/>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8"/>
        <w:pageBreakBefore w:val="0"/>
        <w:widowControl w:val="0"/>
        <w:kinsoku/>
        <w:wordWrap/>
        <w:overflowPunct/>
        <w:topLinePunct w:val="0"/>
        <w:autoSpaceDE/>
        <w:autoSpaceDN/>
        <w:bidi w:val="0"/>
        <w:adjustRightInd/>
        <w:spacing w:line="500" w:lineRule="exact"/>
        <w:ind w:firstLine="450" w:firstLineChars="200"/>
        <w:textAlignment w:val="auto"/>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pPr>
        <w:pageBreakBefore w:val="0"/>
        <w:widowControl w:val="0"/>
        <w:kinsoku/>
        <w:wordWrap/>
        <w:overflowPunct/>
        <w:topLinePunct w:val="0"/>
        <w:autoSpaceDE/>
        <w:autoSpaceDN/>
        <w:bidi w:val="0"/>
        <w:adjustRightInd/>
        <w:spacing w:line="500" w:lineRule="exact"/>
        <w:ind w:firstLine="420" w:firstLineChars="200"/>
        <w:textAlignment w:val="auto"/>
        <w:rPr>
          <w:rFonts w:asciiTheme="minorEastAsia" w:hAnsiTheme="minorEastAsia" w:eastAsiaTheme="minorEastAsia" w:cstheme="minorEastAsia"/>
          <w:sz w:val="21"/>
          <w:lang w:eastAsia="zh-CN"/>
        </w:rPr>
      </w:pPr>
    </w:p>
    <w:p>
      <w:pPr>
        <w:pStyle w:val="8"/>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pPr>
        <w:pStyle w:val="8"/>
        <w:pageBreakBefore w:val="0"/>
        <w:widowControl w:val="0"/>
        <w:kinsoku/>
        <w:wordWrap/>
        <w:overflowPunct/>
        <w:topLinePunct w:val="0"/>
        <w:autoSpaceDE/>
        <w:autoSpaceDN/>
        <w:bidi w:val="0"/>
        <w:adjustRightInd/>
        <w:spacing w:line="500" w:lineRule="exact"/>
        <w:jc w:val="both"/>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14:textOutline w14:w="1803" w14:cap="flat" w14:cmpd="sng" w14:algn="ctr">
            <w14:solidFill>
              <w14:srgbClr w14:val="000000"/>
            </w14:solidFill>
            <w14:prstDash w14:val="solid"/>
            <w14:miter w14:val="0"/>
          </w14:textOutline>
        </w:rPr>
        <w:t>投标文件的编制</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具体要求见《投标人须知表》。投标人应当对所投采购包对应第二章《采购需求》所列的全部内容进行投标，不得将一个采购包中的内容拆分投标，否则其对该采购包的投标将被认定为无效投标。</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10.3电子投标文件应使用企业电子营业执照生成并在截止时间前上传其加密版本，根据招标文件中规定的下载平台要求，具体详见《电子营业执照应用平台系统操作手册-投标单位》。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仿宋_GB2312" w:hAnsi="宋体" w:eastAsia="仿宋_GB2312"/>
          <w:b/>
          <w:color w:val="auto"/>
          <w:sz w:val="24"/>
          <w:szCs w:val="24"/>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进口产品手续费等；报价时应详细列出所投产品的生产厂商、品牌、型号、单价、数量、总价等。</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13.2招标文件要求盖章的内容，一般通过电子营业执照加盖电子签章。</w:t>
      </w:r>
    </w:p>
    <w:p>
      <w:pPr>
        <w:pageBreakBefore w:val="0"/>
        <w:widowControl w:val="0"/>
        <w:kinsoku/>
        <w:wordWrap/>
        <w:overflowPunct/>
        <w:topLinePunct w:val="0"/>
        <w:autoSpaceDE/>
        <w:autoSpaceDN/>
        <w:bidi w:val="0"/>
        <w:adjustRightInd/>
        <w:spacing w:line="500" w:lineRule="exact"/>
        <w:textAlignment w:val="auto"/>
        <w:rPr>
          <w:rFonts w:asciiTheme="minorEastAsia" w:hAnsiTheme="minorEastAsia" w:eastAsiaTheme="minorEastAsia" w:cstheme="minorEastAsia"/>
          <w:sz w:val="24"/>
          <w:szCs w:val="24"/>
          <w:lang w:eastAsia="zh-CN"/>
        </w:rPr>
      </w:pPr>
    </w:p>
    <w:p>
      <w:pPr>
        <w:pStyle w:val="8"/>
        <w:pageBreakBefore w:val="0"/>
        <w:widowControl w:val="0"/>
        <w:kinsoku/>
        <w:wordWrap/>
        <w:overflowPunct/>
        <w:topLinePunct w:val="0"/>
        <w:autoSpaceDE/>
        <w:autoSpaceDN/>
        <w:bidi w:val="0"/>
        <w:adjustRightInd/>
        <w:spacing w:line="500" w:lineRule="exact"/>
        <w:jc w:val="both"/>
        <w:textAlignment w:val="auto"/>
        <w:rPr>
          <w:rFonts w:asciiTheme="minorEastAsia" w:hAnsiTheme="minorEastAsia" w:eastAsiaTheme="minorEastAsia" w:cstheme="minorEastAsia"/>
          <w:spacing w:val="1"/>
          <w:sz w:val="28"/>
          <w:szCs w:val="28"/>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pPr>
        <w:pageBreakBefore w:val="0"/>
        <w:widowControl w:val="0"/>
        <w:kinsoku/>
        <w:wordWrap/>
        <w:overflowPunct/>
        <w:topLinePunct w:val="0"/>
        <w:autoSpaceDE/>
        <w:autoSpaceDN/>
        <w:bidi w:val="0"/>
        <w:adjustRightInd/>
        <w:spacing w:line="500" w:lineRule="exact"/>
        <w:ind w:firstLine="486"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pPr>
        <w:pStyle w:val="8"/>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14.2采购人及采购代理机构拒绝接受通过南阳市公共资源电子营业执照应用平台以外任何形式提交的投标文件。</w:t>
      </w:r>
    </w:p>
    <w:p>
      <w:pPr>
        <w:pStyle w:val="8"/>
        <w:pageBreakBefore w:val="0"/>
        <w:widowControl w:val="0"/>
        <w:kinsoku/>
        <w:wordWrap/>
        <w:overflowPunct/>
        <w:topLinePunct w:val="0"/>
        <w:autoSpaceDE/>
        <w:autoSpaceDN/>
        <w:bidi w:val="0"/>
        <w:adjustRightInd/>
        <w:spacing w:line="500" w:lineRule="exact"/>
        <w:ind w:firstLine="494" w:firstLineChars="200"/>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pPr>
        <w:pStyle w:val="8"/>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15.1投标人应在招标文件要求的投标文件截止时间前，将电子投标文件提交至南阳市公共资源电子营业执照应用平台</w:t>
      </w:r>
      <w:r>
        <w:rPr>
          <w:rFonts w:hint="eastAsia" w:asciiTheme="minorEastAsia" w:hAnsiTheme="minorEastAsia" w:eastAsiaTheme="minorEastAsia" w:cstheme="minorEastAsia"/>
          <w:spacing w:val="-9"/>
          <w:sz w:val="24"/>
          <w:szCs w:val="24"/>
          <w:lang w:eastAsia="zh-CN"/>
        </w:rPr>
        <w:t>。</w:t>
      </w:r>
    </w:p>
    <w:p>
      <w:pPr>
        <w:pStyle w:val="8"/>
        <w:pageBreakBefore w:val="0"/>
        <w:widowControl w:val="0"/>
        <w:kinsoku/>
        <w:wordWrap/>
        <w:overflowPunct/>
        <w:topLinePunct w:val="0"/>
        <w:autoSpaceDE/>
        <w:autoSpaceDN/>
        <w:bidi w:val="0"/>
        <w:adjustRightInd/>
        <w:spacing w:line="500" w:lineRule="exact"/>
        <w:ind w:firstLine="478"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z w:val="24"/>
          <w:szCs w:val="24"/>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南阳市公共资源电子营业执照应用平台系统最后一份解密投标文件为准。投标截止时间之后，投标人不得修改或撤回电子投标文件。</w:t>
      </w:r>
    </w:p>
    <w:p>
      <w:pPr>
        <w:pageBreakBefore w:val="0"/>
        <w:widowControl w:val="0"/>
        <w:kinsoku/>
        <w:wordWrap/>
        <w:overflowPunct/>
        <w:topLinePunct w:val="0"/>
        <w:autoSpaceDE/>
        <w:autoSpaceDN/>
        <w:bidi w:val="0"/>
        <w:adjustRightInd/>
        <w:spacing w:line="500" w:lineRule="exact"/>
        <w:textAlignment w:val="auto"/>
        <w:rPr>
          <w:sz w:val="24"/>
          <w:szCs w:val="24"/>
          <w:lang w:eastAsia="zh-CN"/>
        </w:rPr>
      </w:pPr>
      <w:r>
        <w:rPr>
          <w:rFonts w:hint="eastAsia" w:asciiTheme="minorEastAsia" w:hAnsiTheme="minorEastAsia" w:eastAsiaTheme="minorEastAsia" w:cstheme="minorEastAsia"/>
          <w:sz w:val="24"/>
          <w:szCs w:val="24"/>
          <w:lang w:eastAsia="zh-CN"/>
          <w14:textOutline w14:w="2311" w14:cap="flat" w14:cmpd="sng" w14:algn="ctr">
            <w14:solidFill>
              <w14:srgbClr w14:val="000000"/>
            </w14:solidFill>
            <w14:prstDash w14:val="solid"/>
            <w14:miter w14:val="0"/>
          </w14:textOutline>
        </w:rPr>
        <w:br w:type="page"/>
      </w:r>
    </w:p>
    <w:p>
      <w:pPr>
        <w:pStyle w:val="3"/>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bookmarkStart w:id="4" w:name="_Toc25117"/>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bookmarkEnd w:id="4"/>
    </w:p>
    <w:p>
      <w:pPr>
        <w:pStyle w:val="8"/>
        <w:pageBreakBefore w:val="0"/>
        <w:widowControl w:val="0"/>
        <w:kinsoku/>
        <w:wordWrap/>
        <w:overflowPunct/>
        <w:topLinePunct w:val="0"/>
        <w:autoSpaceDE/>
        <w:autoSpaceDN/>
        <w:bidi w:val="0"/>
        <w:adjustRightInd/>
        <w:spacing w:before="255" w:line="500" w:lineRule="exact"/>
        <w:ind w:left="3942"/>
        <w:textAlignment w:val="auto"/>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pPr>
        <w:pageBreakBefore w:val="0"/>
        <w:widowControl w:val="0"/>
        <w:kinsoku/>
        <w:wordWrap/>
        <w:overflowPunct/>
        <w:topLinePunct w:val="0"/>
        <w:autoSpaceDE/>
        <w:autoSpaceDN/>
        <w:bidi w:val="0"/>
        <w:adjustRightInd/>
        <w:spacing w:line="500" w:lineRule="exact"/>
        <w:ind w:firstLine="494" w:firstLineChars="200"/>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pPr>
        <w:pageBreakBefore w:val="0"/>
        <w:widowControl w:val="0"/>
        <w:kinsoku/>
        <w:wordWrap/>
        <w:overflowPunct/>
        <w:topLinePunct w:val="0"/>
        <w:autoSpaceDE/>
        <w:autoSpaceDN/>
        <w:bidi w:val="0"/>
        <w:adjustRightInd/>
        <w:spacing w:line="500" w:lineRule="exact"/>
        <w:ind w:firstLine="494"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1.开标结束后，采购人或采购代理机构将根据资格审查要求中的规定，对投标人进行资格审查，并形成资格审查结果。</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2.投标人《资格证明文件》有任何一项不符合《资格审查要求》的，资格审查不合格，其投标无效。</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3.资格审查合格的投标人不足 3 家的，不进行评标。</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Style w:val="8"/>
        <w:rPr>
          <w:rFonts w:asciiTheme="minorEastAsia" w:hAnsiTheme="minorEastAsia" w:eastAsiaTheme="minorEastAsia" w:cstheme="minorEastAsia"/>
          <w:spacing w:val="3"/>
          <w:szCs w:val="24"/>
          <w:lang w:eastAsia="zh-CN"/>
        </w:rPr>
      </w:pPr>
    </w:p>
    <w:p>
      <w:pPr>
        <w:pStyle w:val="32"/>
        <w:rPr>
          <w:rFonts w:asciiTheme="minorEastAsia" w:hAnsiTheme="minorEastAsia" w:eastAsiaTheme="minorEastAsia" w:cstheme="minorEastAsia"/>
          <w:spacing w:val="3"/>
          <w:szCs w:val="24"/>
          <w:lang w:eastAsia="zh-CN"/>
        </w:rPr>
      </w:pPr>
    </w:p>
    <w:p>
      <w:pPr>
        <w:pStyle w:val="33"/>
        <w:rPr>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ageBreakBefore w:val="0"/>
        <w:widowControl w:val="0"/>
        <w:kinsoku/>
        <w:wordWrap/>
        <w:overflowPunct/>
        <w:topLinePunct w:val="0"/>
        <w:autoSpaceDE/>
        <w:autoSpaceDN/>
        <w:bidi w:val="0"/>
        <w:adjustRightInd/>
        <w:spacing w:line="500" w:lineRule="exact"/>
        <w:ind w:firstLine="556" w:firstLineChars="200"/>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eastAsia="zh-CN"/>
          <w14:textOutline w14:w="1536" w14:cap="flat" w14:cmpd="sng" w14:algn="ctr">
            <w14:solidFill>
              <w14:srgbClr w14:val="000000"/>
            </w14:solidFill>
            <w14:prstDash w14:val="solid"/>
            <w14:miter w14:val="0"/>
          </w14:textOutline>
        </w:rPr>
        <w:t>资格审查要求</w:t>
      </w:r>
    </w:p>
    <w:tbl>
      <w:tblPr>
        <w:tblStyle w:val="47"/>
        <w:tblpPr w:leftFromText="180" w:rightFromText="180" w:vertAnchor="text" w:horzAnchor="page" w:tblpX="1260" w:tblpY="131"/>
        <w:tblOverlap w:val="never"/>
        <w:tblW w:w="100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057"/>
        <w:gridCol w:w="5129"/>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11"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
                <w:szCs w:val="24"/>
                <w14:textOutline w14:w="1536" w14:cap="flat" w14:cmpd="sng" w14:algn="ctr">
                  <w14:solidFill>
                    <w14:srgbClr w14:val="000000"/>
                  </w14:solidFill>
                  <w14:prstDash w14:val="solid"/>
                  <w14:miter w14:val="0"/>
                </w14:textOutline>
              </w:rPr>
              <w:t>序号</w:t>
            </w:r>
          </w:p>
        </w:tc>
        <w:tc>
          <w:tcPr>
            <w:tcW w:w="1057"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4"/>
                <w:szCs w:val="24"/>
                <w14:textOutline w14:w="1536" w14:cap="flat" w14:cmpd="sng" w14:algn="ctr">
                  <w14:solidFill>
                    <w14:srgbClr w14:val="000000"/>
                  </w14:solidFill>
                  <w14:prstDash w14:val="solid"/>
                  <w14:miter w14:val="0"/>
                </w14:textOutline>
              </w:rPr>
              <w:t>审查因素</w:t>
            </w:r>
          </w:p>
        </w:tc>
        <w:tc>
          <w:tcPr>
            <w:tcW w:w="5129"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4"/>
                <w:szCs w:val="24"/>
                <w14:textOutline w14:w="1536" w14:cap="flat" w14:cmpd="sng" w14:algn="ctr">
                  <w14:solidFill>
                    <w14:srgbClr w14:val="000000"/>
                  </w14:solidFill>
                  <w14:prstDash w14:val="solid"/>
                  <w14:miter w14:val="0"/>
                </w14:textOutline>
              </w:rPr>
              <w:t>审查内容</w:t>
            </w:r>
          </w:p>
        </w:tc>
        <w:tc>
          <w:tcPr>
            <w:tcW w:w="3081"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
                <w:szCs w:val="24"/>
                <w:lang w:eastAsia="zh-CN"/>
                <w14:textOutline w14:w="153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7" w:hRule="atLeast"/>
        </w:trPr>
        <w:tc>
          <w:tcPr>
            <w:tcW w:w="811" w:type="dxa"/>
            <w:vAlign w:val="center"/>
          </w:tcPr>
          <w:p>
            <w:pPr>
              <w:pStyle w:val="48"/>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eastAsiaTheme="minorEastAsia" w:cstheme="minorEastAsia"/>
              </w:rPr>
            </w:pPr>
          </w:p>
          <w:p>
            <w:pPr>
              <w:pStyle w:val="48"/>
              <w:pageBreakBefore w:val="0"/>
              <w:widowControl w:val="0"/>
              <w:kinsoku/>
              <w:wordWrap/>
              <w:overflowPunct/>
              <w:topLinePunct w:val="0"/>
              <w:autoSpaceDE/>
              <w:autoSpaceDN/>
              <w:bidi w:val="0"/>
              <w:adjustRightInd/>
              <w:spacing w:before="69" w:line="500" w:lineRule="exact"/>
              <w:ind w:left="372"/>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7" w:type="dxa"/>
            <w:vAlign w:val="center"/>
          </w:tcPr>
          <w:p>
            <w:pPr>
              <w:pageBreakBefore w:val="0"/>
              <w:widowControl w:val="0"/>
              <w:kinsoku/>
              <w:wordWrap/>
              <w:overflowPunct/>
              <w:topLinePunct w:val="0"/>
              <w:autoSpaceDE/>
              <w:autoSpaceDN/>
              <w:bidi w:val="0"/>
              <w:adjustRightInd/>
              <w:spacing w:before="32" w:line="500" w:lineRule="exact"/>
              <w:ind w:left="112" w:right="105"/>
              <w:jc w:val="center"/>
              <w:textAlignment w:val="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
                <w:szCs w:val="24"/>
                <w:lang w:eastAsia="zh-CN"/>
              </w:rPr>
              <w:t>满足第一章《公开招标公告》投标人具备的资格要求</w:t>
            </w:r>
          </w:p>
        </w:tc>
        <w:tc>
          <w:tcPr>
            <w:tcW w:w="5129" w:type="dxa"/>
          </w:tcPr>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1.注册于中华人民共和国境内，具有独立承担民事责任能力；</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1.1应提供营业执照副本。</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2.1应提供本单位2023年度经会计师事务所出具的审计报告或本公司出具的财务报表或提供银行出具的证明文件。银行出具的证明文件应能说明该投标人与银行之间业务往来正常，企业信誉良好等；</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2.2应提供企业有关财务会计制度。</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3.1应提供具有履行合同所必需的设备和专业技术能力的承诺。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4.1应提供近半年内任意三个月的有效凭证。</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6.1应出具信用记录查询结果网页截图。</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val="en-US" w:eastAsia="zh-CN"/>
              </w:rPr>
              <w:t>7.</w:t>
            </w:r>
            <w:r>
              <w:rPr>
                <w:rFonts w:hint="eastAsia" w:ascii="宋体" w:hAnsi="宋体" w:eastAsia="宋体" w:cs="宋体"/>
                <w:b w:val="0"/>
                <w:bCs w:val="0"/>
                <w:spacing w:val="-2"/>
                <w:sz w:val="24"/>
                <w:szCs w:val="24"/>
                <w:lang w:eastAsia="zh-CN"/>
              </w:rPr>
              <w:t>遵守国家有关法律、法规、规章。</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宋体" w:hAnsi="宋体" w:eastAsia="宋体" w:cs="宋体"/>
                <w:b w:val="0"/>
                <w:bCs w:val="0"/>
                <w:spacing w:val="-2"/>
                <w:sz w:val="24"/>
                <w:szCs w:val="24"/>
                <w:lang w:eastAsia="zh-CN"/>
              </w:rPr>
            </w:pPr>
            <w:r>
              <w:rPr>
                <w:rFonts w:hint="eastAsia" w:asciiTheme="minorEastAsia" w:hAnsiTheme="minorEastAsia" w:cstheme="minorEastAsia"/>
                <w:b w:val="0"/>
                <w:bCs w:val="0"/>
                <w:snapToGrid w:val="0"/>
                <w:color w:val="auto"/>
                <w:spacing w:val="-14"/>
                <w:kern w:val="0"/>
                <w:sz w:val="24"/>
                <w:szCs w:val="24"/>
                <w:lang w:val="en-US" w:eastAsia="zh-CN" w:bidi="ar-SA"/>
              </w:rPr>
              <w:t>8</w:t>
            </w:r>
            <w:r>
              <w:rPr>
                <w:rFonts w:hint="eastAsia" w:asciiTheme="minorEastAsia" w:hAnsiTheme="minorEastAsia" w:eastAsiaTheme="minorEastAsia" w:cstheme="minorEastAsia"/>
                <w:b w:val="0"/>
                <w:bCs w:val="0"/>
                <w:snapToGrid w:val="0"/>
                <w:color w:val="auto"/>
                <w:spacing w:val="-14"/>
                <w:kern w:val="0"/>
                <w:sz w:val="24"/>
                <w:szCs w:val="24"/>
                <w:lang w:val="en-US" w:eastAsia="zh-CN" w:bidi="ar-SA"/>
              </w:rPr>
              <w:t>本项目专门面向中小企业采购，供应商须提交服务企业中小企业声明函。</w:t>
            </w:r>
          </w:p>
          <w:p>
            <w:pPr>
              <w:rPr>
                <w:rFonts w:hint="eastAsia"/>
                <w:lang w:eastAsia="zh-CN"/>
              </w:rPr>
            </w:pPr>
          </w:p>
        </w:tc>
        <w:tc>
          <w:tcPr>
            <w:tcW w:w="3081" w:type="dxa"/>
          </w:tcPr>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pPr>
              <w:pageBreakBefore w:val="0"/>
              <w:widowControl w:val="0"/>
              <w:kinsoku/>
              <w:wordWrap/>
              <w:overflowPunct/>
              <w:topLinePunct w:val="0"/>
              <w:autoSpaceDE/>
              <w:autoSpaceDN/>
              <w:bidi w:val="0"/>
              <w:adjustRightInd/>
              <w:spacing w:line="500" w:lineRule="exact"/>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bl>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在中标后，应将上述由信用承诺书替代的证明材料提交采购人或采购代理机构，证明材料将随公告一并公示。”</w:t>
      </w:r>
    </w:p>
    <w:p>
      <w:pPr>
        <w:pageBreakBefore w:val="0"/>
        <w:widowControl w:val="0"/>
        <w:kinsoku/>
        <w:wordWrap/>
        <w:overflowPunct/>
        <w:topLinePunct w:val="0"/>
        <w:autoSpaceDE/>
        <w:autoSpaceDN/>
        <w:bidi w:val="0"/>
        <w:adjustRightInd/>
        <w:spacing w:line="500" w:lineRule="exact"/>
        <w:ind w:firstLine="434" w:firstLineChars="200"/>
        <w:textAlignment w:val="auto"/>
        <w:rPr>
          <w:rFonts w:asciiTheme="minorEastAsia" w:hAnsiTheme="minorEastAsia" w:eastAsiaTheme="minorEastAsia" w:cstheme="minorEastAsia"/>
          <w:b/>
          <w:bCs/>
          <w:spacing w:val="3"/>
          <w:szCs w:val="24"/>
          <w:lang w:eastAsia="zh-CN"/>
        </w:rPr>
      </w:pPr>
      <w:r>
        <w:rPr>
          <w:rFonts w:hint="eastAsia" w:asciiTheme="minorEastAsia" w:hAnsiTheme="minorEastAsia" w:eastAsiaTheme="minorEastAsia" w:cstheme="minorEastAsia"/>
          <w:b/>
          <w:bCs/>
          <w:spacing w:val="3"/>
          <w:szCs w:val="24"/>
          <w:lang w:eastAsia="zh-CN"/>
        </w:rPr>
        <w:t>三、评标委员会</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7.1评标委员会组成不符合本办法规定的;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7.2政府采购货物和服务招标投标管理办法（87号令）第六十二条第一至五项情形的;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7.3评标委员会及其成员独立评标受到非法干预的;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7.4有政府采购法实施条例第七十五条规定的违法行为的。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 号)的规定，发放劳务报酬。</w:t>
      </w:r>
    </w:p>
    <w:p>
      <w:pPr>
        <w:ind w:firstLine="494"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1.投标文件的符合性审查</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1.1评标委员会对资格审查合格的投标人的投标文件进行符合性审查，以确定其是否满足招标文件的实质性要求。</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8"/>
        <w:spacing w:before="178" w:line="220" w:lineRule="auto"/>
        <w:ind w:left="3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pPr>
        <w:spacing w:line="145" w:lineRule="exact"/>
        <w:rPr>
          <w:rFonts w:asciiTheme="minorEastAsia" w:hAnsiTheme="minorEastAsia" w:eastAsiaTheme="minorEastAsia" w:cstheme="minorEastAsia"/>
        </w:rPr>
      </w:pPr>
    </w:p>
    <w:tbl>
      <w:tblPr>
        <w:tblStyle w:val="47"/>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685"/>
        <w:gridCol w:w="7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5" w:type="dxa"/>
          </w:tcPr>
          <w:p>
            <w:pPr>
              <w:spacing w:before="0" w:after="0"/>
              <w:ind w:left="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685" w:type="dxa"/>
          </w:tcPr>
          <w:p>
            <w:pPr>
              <w:spacing w:before="0" w:after="0"/>
              <w:ind w:left="4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7076" w:type="dxa"/>
          </w:tcPr>
          <w:p>
            <w:pPr>
              <w:spacing w:before="0" w:after="0"/>
              <w:ind w:left="28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5" w:type="dxa"/>
          </w:tcPr>
          <w:p>
            <w:pPr>
              <w:pStyle w:val="48"/>
              <w:spacing w:before="0" w:after="0"/>
              <w:ind w:left="32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85" w:type="dxa"/>
          </w:tcPr>
          <w:p>
            <w:pPr>
              <w:spacing w:before="0" w:after="0"/>
              <w:ind w:left="11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48"/>
              <w:spacing w:before="0" w:after="0"/>
              <w:ind w:left="3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685" w:type="dxa"/>
            <w:vAlign w:val="center"/>
          </w:tcPr>
          <w:p>
            <w:pPr>
              <w:spacing w:before="0" w:after="0"/>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7076" w:type="dxa"/>
            <w:vAlign w:val="center"/>
          </w:tcPr>
          <w:p>
            <w:pPr>
              <w:spacing w:before="0" w:after="0"/>
              <w:jc w:val="center"/>
              <w:rPr>
                <w:rFonts w:ascii="宋体" w:hAnsi="宋体" w:cs="宋体"/>
                <w:sz w:val="24"/>
                <w:szCs w:val="24"/>
                <w:lang w:eastAsia="zh-CN"/>
              </w:rPr>
            </w:pPr>
            <w:r>
              <w:rPr>
                <w:rFonts w:hint="eastAsia" w:ascii="宋体" w:hAnsi="宋体" w:cs="宋体"/>
                <w:sz w:val="24"/>
                <w:szCs w:val="24"/>
                <w:lang w:eastAsia="zh-CN"/>
              </w:rPr>
              <w:t>未将一个采购包中的内容拆分投标；</w:t>
            </w:r>
          </w:p>
          <w:p>
            <w:pPr>
              <w:spacing w:before="0" w:after="0"/>
              <w:jc w:val="center"/>
              <w:rPr>
                <w:rFonts w:ascii="宋体" w:hAnsi="宋体" w:cs="宋体"/>
                <w:sz w:val="24"/>
                <w:szCs w:val="24"/>
                <w:lang w:eastAsia="zh-CN"/>
              </w:rPr>
            </w:pPr>
            <w:r>
              <w:rPr>
                <w:rFonts w:hint="eastAsia" w:ascii="宋体" w:hAnsi="宋体" w:cs="宋体"/>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8"/>
              <w:spacing w:before="0" w:after="0"/>
              <w:ind w:left="3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85" w:type="dxa"/>
          </w:tcPr>
          <w:p>
            <w:pPr>
              <w:spacing w:before="0" w:after="0"/>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投标报价未超过招标文件中规定的项目预算金额或者项目最高限价。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8"/>
              <w:spacing w:before="0" w:after="0"/>
              <w:ind w:left="30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685" w:type="dxa"/>
          </w:tcPr>
          <w:p>
            <w:pPr>
              <w:spacing w:before="0" w:after="0"/>
              <w:ind w:left="1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投标文件未出现可选择性或可调整的报价（招标文件另有规定 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8"/>
              <w:spacing w:before="0" w:after="0"/>
              <w:ind w:left="3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85" w:type="dxa"/>
          </w:tcPr>
          <w:p>
            <w:pPr>
              <w:spacing w:before="0" w:after="0"/>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投标文件中承诺的投标有效期满足招标文件中载明的投标有效期的。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8"/>
              <w:spacing w:before="0" w:after="0"/>
              <w:ind w:left="31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685" w:type="dxa"/>
          </w:tcPr>
          <w:p>
            <w:pPr>
              <w:spacing w:before="0" w:after="0"/>
              <w:ind w:left="11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标记为实质性格式的文件均按招标文件要求提供且签署、盖章的。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685" w:type="dxa"/>
          </w:tcPr>
          <w:p>
            <w:pPr>
              <w:spacing w:before="0" w:after="0"/>
              <w:ind w:left="112" w:right="123" w:hanging="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7"/>
                <w:sz w:val="24"/>
                <w:szCs w:val="24"/>
              </w:rPr>
              <w:t>有）</w:t>
            </w:r>
          </w:p>
        </w:tc>
        <w:tc>
          <w:tcPr>
            <w:tcW w:w="7076" w:type="dxa"/>
          </w:tcPr>
          <w:p>
            <w:pPr>
              <w:spacing w:before="0" w:after="0"/>
              <w:jc w:val="center"/>
              <w:rPr>
                <w:rFonts w:ascii="宋体" w:hAnsi="宋体" w:cs="宋体"/>
                <w:sz w:val="24"/>
                <w:szCs w:val="24"/>
              </w:rPr>
            </w:pPr>
            <w:r>
              <w:rPr>
                <w:rFonts w:hint="eastAsia" w:ascii="宋体" w:hAnsi="宋体" w:cs="宋体"/>
                <w:sz w:val="24"/>
                <w:szCs w:val="24"/>
                <w:lang w:eastAsia="zh-CN"/>
              </w:rPr>
              <w:t>不涉及报价修正，或投标文件报价出现前后不一致时，投标人对修正后的报价予以确认。</w:t>
            </w:r>
            <w:r>
              <w:rPr>
                <w:rFonts w:hint="eastAsia" w:ascii="宋体" w:hAnsi="宋体" w:cs="宋体"/>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48"/>
              <w:spacing w:before="0" w:after="0"/>
              <w:jc w:val="center"/>
              <w:rPr>
                <w:rFonts w:asciiTheme="minorEastAsia" w:hAnsiTheme="minorEastAsia" w:eastAsiaTheme="minorEastAsia" w:cstheme="minorEastAsia"/>
                <w:sz w:val="24"/>
                <w:szCs w:val="24"/>
              </w:rPr>
            </w:pPr>
          </w:p>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685" w:type="dxa"/>
          </w:tcPr>
          <w:p>
            <w:pPr>
              <w:pStyle w:val="48"/>
              <w:spacing w:before="0" w:after="0"/>
              <w:jc w:val="center"/>
              <w:rPr>
                <w:rFonts w:asciiTheme="minorEastAsia" w:hAnsiTheme="minorEastAsia" w:eastAsiaTheme="minorEastAsia" w:cstheme="minorEastAsia"/>
                <w:sz w:val="24"/>
                <w:szCs w:val="24"/>
              </w:rPr>
            </w:pPr>
          </w:p>
          <w:p>
            <w:pPr>
              <w:spacing w:before="0" w:after="0"/>
              <w:ind w:left="1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报价合理，或投标人的报价明显低于其他通过符合性审查投标 人的报价，有可能影响产品质量或者不能诚信履约的，能够应评标委员会要求在规定时间内证明其报价合理性的。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48"/>
              <w:spacing w:before="0" w:after="0"/>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685" w:type="dxa"/>
          </w:tcPr>
          <w:p>
            <w:pPr>
              <w:spacing w:before="0" w:after="0"/>
              <w:ind w:left="122" w:right="129" w:hanging="7"/>
              <w:jc w:val="center"/>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pPr>
              <w:spacing w:before="0" w:after="0"/>
              <w:ind w:left="122" w:right="129" w:hanging="7"/>
              <w:jc w:val="center"/>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7076" w:type="dxa"/>
            <w:vAlign w:val="center"/>
          </w:tcPr>
          <w:p>
            <w:pPr>
              <w:spacing w:before="0" w:after="0"/>
              <w:jc w:val="center"/>
              <w:rPr>
                <w:rFonts w:ascii="宋体" w:hAnsi="宋体" w:cs="宋体"/>
                <w:sz w:val="24"/>
                <w:szCs w:val="24"/>
                <w:lang w:eastAsia="zh-CN"/>
              </w:rPr>
            </w:pPr>
            <w:r>
              <w:rPr>
                <w:rFonts w:hint="eastAsia" w:ascii="宋体" w:hAnsi="宋体" w:cs="宋体"/>
                <w:sz w:val="24"/>
                <w:szCs w:val="24"/>
              </w:rPr>
              <w:t>是否符合招标要求</w:t>
            </w:r>
            <w:r>
              <w:rPr>
                <w:rFonts w:hint="eastAsia" w:ascii="宋体" w:hAnsi="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48"/>
              <w:spacing w:before="0" w:after="0"/>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685" w:type="dxa"/>
            <w:vAlign w:val="center"/>
          </w:tcPr>
          <w:p>
            <w:pPr>
              <w:spacing w:before="0" w:after="0"/>
              <w:ind w:left="110"/>
              <w:jc w:val="cente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pPr>
              <w:spacing w:before="0" w:after="0"/>
              <w:ind w:left="110"/>
              <w:jc w:val="cente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7076" w:type="dxa"/>
            <w:vAlign w:val="center"/>
          </w:tcPr>
          <w:p>
            <w:pPr>
              <w:spacing w:before="0" w:after="0"/>
              <w:jc w:val="center"/>
              <w:rPr>
                <w:rFonts w:ascii="宋体" w:hAnsi="宋体" w:cs="宋体"/>
                <w:sz w:val="24"/>
                <w:szCs w:val="24"/>
                <w:lang w:eastAsia="zh-CN"/>
              </w:rPr>
            </w:pPr>
            <w:r>
              <w:rPr>
                <w:rFonts w:hint="eastAsia" w:ascii="宋体" w:hAnsi="宋体" w:cs="宋体"/>
                <w:sz w:val="24"/>
                <w:szCs w:val="24"/>
              </w:rPr>
              <w:t>是否符合招标要求</w:t>
            </w:r>
            <w:r>
              <w:rPr>
                <w:rFonts w:hint="eastAsia" w:ascii="宋体" w:hAnsi="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85" w:type="dxa"/>
          </w:tcPr>
          <w:p>
            <w:pPr>
              <w:pStyle w:val="48"/>
              <w:spacing w:before="0" w:after="0"/>
              <w:jc w:val="center"/>
              <w:rPr>
                <w:rFonts w:asciiTheme="minorEastAsia" w:hAnsiTheme="minorEastAsia" w:eastAsiaTheme="minorEastAsia" w:cstheme="minorEastAsia"/>
                <w:sz w:val="24"/>
                <w:szCs w:val="24"/>
              </w:rPr>
            </w:pPr>
          </w:p>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685" w:type="dxa"/>
          </w:tcPr>
          <w:p>
            <w:pPr>
              <w:pStyle w:val="48"/>
              <w:spacing w:before="0" w:after="0"/>
              <w:rPr>
                <w:rFonts w:asciiTheme="minorEastAsia" w:hAnsiTheme="minorEastAsia" w:eastAsiaTheme="minorEastAsia" w:cstheme="minorEastAsia"/>
                <w:sz w:val="24"/>
                <w:szCs w:val="24"/>
              </w:rPr>
            </w:pPr>
          </w:p>
          <w:p>
            <w:pPr>
              <w:spacing w:before="0" w:after="0"/>
              <w:ind w:left="1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7076" w:type="dxa"/>
          </w:tcPr>
          <w:p>
            <w:pPr>
              <w:spacing w:before="0" w:after="0"/>
              <w:rPr>
                <w:rFonts w:ascii="宋体" w:hAnsi="宋体" w:cs="宋体"/>
                <w:sz w:val="24"/>
                <w:szCs w:val="24"/>
                <w:lang w:eastAsia="zh-CN"/>
              </w:rPr>
            </w:pPr>
            <w:r>
              <w:rPr>
                <w:rFonts w:hint="eastAsia" w:ascii="宋体" w:hAnsi="宋体" w:cs="宋体"/>
                <w:sz w:val="24"/>
                <w:szCs w:val="24"/>
                <w:lang w:eastAsia="zh-CN"/>
              </w:rPr>
              <w:t>投标人遵循公平竞争的原则，不存在恶意串通，妨碍其他投标 人的竞争行为，不存在损害采购人或者其他投标人的合法权益 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p>
          <w:p>
            <w:pPr>
              <w:pStyle w:val="48"/>
              <w:spacing w:before="0" w:after="0"/>
              <w:jc w:val="center"/>
              <w:rPr>
                <w:rFonts w:asciiTheme="minorEastAsia" w:hAnsiTheme="minorEastAsia" w:eastAsiaTheme="minorEastAsia" w:cstheme="minorEastAsia"/>
                <w:sz w:val="24"/>
                <w:szCs w:val="24"/>
                <w:lang w:eastAsia="zh-CN"/>
              </w:rPr>
            </w:pPr>
          </w:p>
          <w:p>
            <w:pPr>
              <w:pStyle w:val="48"/>
              <w:spacing w:before="0" w:after="0"/>
              <w:jc w:val="center"/>
              <w:rPr>
                <w:rFonts w:asciiTheme="minorEastAsia" w:hAnsiTheme="minorEastAsia" w:eastAsiaTheme="minorEastAsia" w:cstheme="minorEastAsia"/>
                <w:sz w:val="24"/>
                <w:szCs w:val="24"/>
                <w:lang w:eastAsia="zh-CN"/>
              </w:rPr>
            </w:pPr>
          </w:p>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685" w:type="dxa"/>
          </w:tcPr>
          <w:p>
            <w:pPr>
              <w:pStyle w:val="48"/>
              <w:spacing w:before="0" w:after="0"/>
              <w:rPr>
                <w:rFonts w:asciiTheme="minorEastAsia" w:hAnsiTheme="minorEastAsia" w:eastAsiaTheme="minorEastAsia" w:cstheme="minorEastAsia"/>
                <w:sz w:val="24"/>
                <w:szCs w:val="24"/>
              </w:rPr>
            </w:pPr>
          </w:p>
          <w:p>
            <w:pPr>
              <w:pStyle w:val="48"/>
              <w:spacing w:before="0" w:after="0"/>
              <w:rPr>
                <w:rFonts w:asciiTheme="minorEastAsia" w:hAnsiTheme="minorEastAsia" w:eastAsiaTheme="minorEastAsia" w:cstheme="minorEastAsia"/>
                <w:sz w:val="24"/>
                <w:szCs w:val="24"/>
              </w:rPr>
            </w:pPr>
          </w:p>
          <w:p>
            <w:pPr>
              <w:pStyle w:val="48"/>
              <w:spacing w:before="0" w:after="0"/>
              <w:rPr>
                <w:rFonts w:asciiTheme="minorEastAsia" w:hAnsiTheme="minorEastAsia" w:eastAsiaTheme="minorEastAsia" w:cstheme="minorEastAsia"/>
                <w:sz w:val="24"/>
                <w:szCs w:val="24"/>
              </w:rPr>
            </w:pPr>
          </w:p>
          <w:p>
            <w:pPr>
              <w:spacing w:before="0" w:after="0"/>
              <w:ind w:left="13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7076" w:type="dxa"/>
          </w:tcPr>
          <w:p>
            <w:pPr>
              <w:spacing w:before="0" w:after="0"/>
              <w:ind w:firstLine="480" w:firstLineChars="200"/>
              <w:rPr>
                <w:rFonts w:ascii="宋体" w:hAnsi="宋体" w:cs="宋体"/>
                <w:sz w:val="24"/>
                <w:szCs w:val="24"/>
                <w:lang w:eastAsia="zh-CN"/>
              </w:rPr>
            </w:pPr>
            <w:r>
              <w:rPr>
                <w:rFonts w:hint="eastAsia" w:ascii="宋体" w:hAnsi="宋体" w:cs="宋体"/>
                <w:sz w:val="24"/>
                <w:szCs w:val="24"/>
                <w:lang w:eastAsia="zh-CN"/>
              </w:rPr>
              <w:t>不存在《政府采购货物和服务招标投标管理办法》视为投标人串通投标的情形：</w:t>
            </w:r>
          </w:p>
          <w:p>
            <w:pPr>
              <w:spacing w:before="0" w:after="0"/>
              <w:rPr>
                <w:rFonts w:ascii="宋体" w:hAnsi="宋体" w:cs="宋体"/>
                <w:sz w:val="24"/>
                <w:szCs w:val="24"/>
                <w:lang w:eastAsia="zh-CN"/>
              </w:rPr>
            </w:pPr>
            <w:r>
              <w:rPr>
                <w:rFonts w:hint="eastAsia" w:ascii="宋体" w:hAnsi="宋体" w:cs="宋体"/>
                <w:sz w:val="24"/>
                <w:szCs w:val="24"/>
                <w:lang w:eastAsia="zh-CN"/>
              </w:rPr>
              <w:t>（一）不同投标人的投标文件由同一单位或者同一个人编制；</w:t>
            </w:r>
          </w:p>
          <w:p>
            <w:pPr>
              <w:spacing w:before="0" w:after="0"/>
              <w:rPr>
                <w:rFonts w:ascii="宋体" w:hAnsi="宋体" w:cs="宋体"/>
                <w:sz w:val="24"/>
                <w:szCs w:val="24"/>
                <w:lang w:eastAsia="zh-CN"/>
              </w:rPr>
            </w:pPr>
            <w:r>
              <w:rPr>
                <w:rFonts w:hint="eastAsia" w:ascii="宋体" w:hAnsi="宋体" w:cs="宋体"/>
                <w:sz w:val="24"/>
                <w:szCs w:val="24"/>
                <w:lang w:eastAsia="zh-CN"/>
              </w:rPr>
              <w:t>（二）不同投标人委托同一单位或者个人办理投标事宜；</w:t>
            </w:r>
          </w:p>
          <w:p>
            <w:pPr>
              <w:spacing w:before="0" w:after="0"/>
              <w:rPr>
                <w:rFonts w:ascii="宋体" w:hAnsi="宋体" w:cs="宋体"/>
                <w:sz w:val="24"/>
                <w:szCs w:val="24"/>
                <w:lang w:eastAsia="zh-CN"/>
              </w:rPr>
            </w:pPr>
            <w:r>
              <w:rPr>
                <w:rFonts w:hint="eastAsia" w:ascii="宋体" w:hAnsi="宋体" w:cs="宋体"/>
                <w:sz w:val="24"/>
                <w:szCs w:val="24"/>
                <w:lang w:eastAsia="zh-CN"/>
              </w:rPr>
              <w:t>（三）不同投标人的投标文件载明的项目管理成员或者联系人员为同一人；</w:t>
            </w:r>
          </w:p>
          <w:p>
            <w:pPr>
              <w:spacing w:before="0" w:after="0"/>
              <w:rPr>
                <w:rFonts w:ascii="宋体" w:hAnsi="宋体" w:cs="宋体"/>
                <w:sz w:val="24"/>
                <w:szCs w:val="24"/>
                <w:lang w:eastAsia="zh-CN"/>
              </w:rPr>
            </w:pPr>
            <w:r>
              <w:rPr>
                <w:rFonts w:hint="eastAsia" w:ascii="宋体" w:hAnsi="宋体" w:cs="宋体"/>
                <w:sz w:val="24"/>
                <w:szCs w:val="24"/>
                <w:lang w:eastAsia="zh-CN"/>
              </w:rPr>
              <w:t>（四）不同投标人的投标文件异常一致或者投标报价呈规律性差异；</w:t>
            </w:r>
          </w:p>
          <w:p>
            <w:pPr>
              <w:spacing w:before="0" w:after="0"/>
              <w:rPr>
                <w:rFonts w:ascii="宋体" w:hAnsi="宋体" w:cs="宋体"/>
                <w:sz w:val="24"/>
                <w:szCs w:val="24"/>
                <w:lang w:eastAsia="zh-CN"/>
              </w:rPr>
            </w:pPr>
            <w:r>
              <w:rPr>
                <w:rFonts w:hint="eastAsia" w:ascii="宋体" w:hAnsi="宋体" w:cs="宋体"/>
                <w:sz w:val="24"/>
                <w:szCs w:val="24"/>
                <w:lang w:eastAsia="zh-CN"/>
              </w:rPr>
              <w:t>（五）不同投标人的投标文件相互混装；</w:t>
            </w:r>
          </w:p>
          <w:p>
            <w:pPr>
              <w:spacing w:before="0" w:after="0"/>
              <w:rPr>
                <w:rFonts w:ascii="宋体" w:hAnsi="宋体" w:cs="宋体"/>
                <w:sz w:val="24"/>
                <w:szCs w:val="24"/>
                <w:lang w:eastAsia="zh-CN"/>
              </w:rPr>
            </w:pPr>
            <w:r>
              <w:rPr>
                <w:rFonts w:hint="eastAsia" w:ascii="宋体" w:hAnsi="宋体" w:cs="宋体"/>
                <w:sz w:val="24"/>
                <w:szCs w:val="24"/>
                <w:lang w:eastAsia="zh-CN"/>
              </w:rPr>
              <w:t>（六）不同投标人的投标保证金从同一单位或者个人的账户转出；</w:t>
            </w:r>
          </w:p>
          <w:p>
            <w:pPr>
              <w:spacing w:before="0" w:after="0"/>
              <w:ind w:firstLine="480" w:firstLineChars="200"/>
              <w:rPr>
                <w:rFonts w:ascii="宋体" w:hAnsi="宋体" w:cs="宋体"/>
                <w:sz w:val="24"/>
                <w:szCs w:val="24"/>
                <w:lang w:eastAsia="zh-CN"/>
              </w:rPr>
            </w:pPr>
            <w:r>
              <w:rPr>
                <w:rFonts w:hint="eastAsia" w:ascii="宋体" w:hAnsi="宋体" w:cs="宋体"/>
                <w:sz w:val="24"/>
                <w:szCs w:val="24"/>
                <w:lang w:eastAsia="zh-CN"/>
              </w:rPr>
              <w:t>不存在南阳市财政局关于防范供应商串通投标促进政府采购公平竞争的通知（宛财购〔2022〕3号）投标人串通投标的情形：</w:t>
            </w:r>
          </w:p>
          <w:p>
            <w:pPr>
              <w:spacing w:before="0" w:after="0"/>
              <w:rPr>
                <w:rFonts w:ascii="宋体" w:hAnsi="宋体" w:cs="宋体"/>
                <w:sz w:val="24"/>
                <w:szCs w:val="24"/>
                <w:lang w:eastAsia="zh-CN"/>
              </w:rPr>
            </w:pPr>
            <w:r>
              <w:rPr>
                <w:rFonts w:hint="eastAsia" w:ascii="宋体" w:hAnsi="宋体" w:cs="宋体"/>
                <w:sz w:val="24"/>
                <w:szCs w:val="24"/>
                <w:lang w:eastAsia="zh-CN"/>
              </w:rPr>
              <w:t>（一）不同供应商的电子投标（响应）文件上传的计算机网卡MAC地址、CPU序列号和硬盘序列号等硬件信息相同的；</w:t>
            </w:r>
          </w:p>
          <w:p>
            <w:pPr>
              <w:spacing w:before="0" w:after="0"/>
              <w:rPr>
                <w:rFonts w:ascii="宋体" w:hAnsi="宋体" w:cs="宋体"/>
                <w:sz w:val="24"/>
                <w:szCs w:val="24"/>
                <w:lang w:eastAsia="zh-CN"/>
              </w:rPr>
            </w:pPr>
            <w:r>
              <w:rPr>
                <w:rFonts w:hint="eastAsia" w:ascii="宋体" w:hAnsi="宋体" w:cs="宋体"/>
                <w:sz w:val="24"/>
                <w:szCs w:val="24"/>
                <w:lang w:eastAsia="zh-CN"/>
              </w:rPr>
              <w:t>（二）不同供应商的投标（响应）文件由同一电子设备编制、打印、加密或上传；</w:t>
            </w:r>
          </w:p>
          <w:p>
            <w:pPr>
              <w:spacing w:before="0" w:after="0"/>
              <w:rPr>
                <w:rFonts w:ascii="宋体" w:hAnsi="宋体" w:cs="宋体"/>
                <w:sz w:val="24"/>
                <w:szCs w:val="24"/>
                <w:lang w:eastAsia="zh-CN"/>
              </w:rPr>
            </w:pPr>
            <w:r>
              <w:rPr>
                <w:rFonts w:hint="eastAsia" w:ascii="宋体" w:hAnsi="宋体" w:cs="宋体"/>
                <w:sz w:val="24"/>
                <w:szCs w:val="24"/>
                <w:lang w:eastAsia="zh-CN"/>
              </w:rPr>
              <w:t>（三）不同供应商的投标（响应）文件由同一电子设备打印、复印；</w:t>
            </w:r>
          </w:p>
          <w:p>
            <w:pPr>
              <w:spacing w:before="0" w:after="0"/>
              <w:rPr>
                <w:rFonts w:ascii="宋体" w:hAnsi="宋体" w:cs="宋体"/>
                <w:sz w:val="24"/>
                <w:szCs w:val="24"/>
                <w:lang w:eastAsia="zh-CN"/>
              </w:rPr>
            </w:pPr>
            <w:r>
              <w:rPr>
                <w:rFonts w:hint="eastAsia" w:ascii="宋体" w:hAnsi="宋体" w:cs="宋体"/>
                <w:sz w:val="24"/>
                <w:szCs w:val="24"/>
                <w:lang w:eastAsia="zh-CN"/>
              </w:rPr>
              <w:t>（四）不同供应商的投标（响应）文件由同一人送达或分发，或者不同供应商的联系人为同一人或不同联系人的联系电话一致的；</w:t>
            </w:r>
          </w:p>
          <w:p>
            <w:pPr>
              <w:spacing w:before="0" w:after="0"/>
              <w:rPr>
                <w:rFonts w:ascii="宋体" w:hAnsi="宋体" w:cs="宋体"/>
                <w:sz w:val="24"/>
                <w:szCs w:val="24"/>
                <w:lang w:eastAsia="zh-CN"/>
              </w:rPr>
            </w:pPr>
            <w:r>
              <w:rPr>
                <w:rFonts w:hint="eastAsia" w:ascii="宋体" w:hAnsi="宋体" w:cs="宋体"/>
                <w:sz w:val="24"/>
                <w:szCs w:val="24"/>
                <w:lang w:eastAsia="zh-CN"/>
              </w:rPr>
              <w:t>（五）不同供应商的投标（响应）文件内容存在两处以上细节错误一致；</w:t>
            </w:r>
          </w:p>
          <w:p>
            <w:pPr>
              <w:spacing w:before="0" w:after="0"/>
              <w:rPr>
                <w:rFonts w:ascii="宋体" w:hAnsi="宋体" w:cs="宋体"/>
                <w:sz w:val="24"/>
                <w:szCs w:val="24"/>
                <w:lang w:eastAsia="zh-CN"/>
              </w:rPr>
            </w:pPr>
            <w:r>
              <w:rPr>
                <w:rFonts w:hint="eastAsia" w:ascii="宋体" w:hAnsi="宋体" w:cs="宋体"/>
                <w:sz w:val="24"/>
                <w:szCs w:val="24"/>
                <w:lang w:eastAsia="zh-CN"/>
              </w:rPr>
              <w:t>（六）不同供应商的法定代表人、委托代理人、项目经理、项目负责人等由同一单位缴纳社会保险或者领取报酬的；</w:t>
            </w:r>
          </w:p>
          <w:p>
            <w:pPr>
              <w:spacing w:before="0" w:after="0"/>
              <w:rPr>
                <w:rFonts w:ascii="宋体" w:hAnsi="宋体" w:cs="宋体"/>
                <w:sz w:val="24"/>
                <w:szCs w:val="24"/>
                <w:lang w:eastAsia="zh-CN"/>
              </w:rPr>
            </w:pPr>
            <w:r>
              <w:rPr>
                <w:rFonts w:hint="eastAsia" w:ascii="宋体" w:hAnsi="宋体" w:cs="宋体"/>
                <w:sz w:val="24"/>
                <w:szCs w:val="24"/>
                <w:lang w:eastAsia="zh-CN"/>
              </w:rPr>
              <w:t>（七）不同供应商投标（响应）文件中的法定代表人或负责人签名出自同一人之手；</w:t>
            </w:r>
          </w:p>
          <w:p>
            <w:pPr>
              <w:spacing w:before="0" w:after="0"/>
              <w:rPr>
                <w:rFonts w:asciiTheme="minorEastAsia" w:hAnsiTheme="minorEastAsia" w:eastAsiaTheme="minorEastAsia" w:cstheme="minorEastAsia"/>
                <w:spacing w:val="-1"/>
                <w:sz w:val="24"/>
                <w:szCs w:val="24"/>
              </w:rPr>
            </w:pPr>
            <w:r>
              <w:rPr>
                <w:rFonts w:hint="eastAsia" w:ascii="宋体" w:hAnsi="宋体" w:cs="宋体"/>
                <w:sz w:val="24"/>
                <w:szCs w:val="24"/>
              </w:rPr>
              <w:t>（</w:t>
            </w:r>
            <w:r>
              <w:rPr>
                <w:rFonts w:hint="eastAsia" w:ascii="宋体" w:hAnsi="宋体" w:cs="宋体"/>
                <w:sz w:val="24"/>
                <w:szCs w:val="24"/>
                <w:lang w:eastAsia="zh-CN"/>
              </w:rPr>
              <w:t>八</w:t>
            </w:r>
            <w:r>
              <w:rPr>
                <w:rFonts w:hint="eastAsia" w:ascii="宋体" w:hAnsi="宋体" w:cs="宋体"/>
                <w:sz w:val="24"/>
                <w:szCs w:val="24"/>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685" w:type="dxa"/>
          </w:tcPr>
          <w:p>
            <w:pPr>
              <w:spacing w:before="0" w:after="0"/>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7076" w:type="dxa"/>
          </w:tcPr>
          <w:p>
            <w:pPr>
              <w:spacing w:before="0" w:after="0"/>
              <w:rPr>
                <w:sz w:val="24"/>
                <w:szCs w:val="24"/>
                <w:lang w:eastAsia="zh-CN"/>
              </w:rPr>
            </w:pPr>
            <w:r>
              <w:rPr>
                <w:rFonts w:hint="eastAsia"/>
                <w:sz w:val="24"/>
                <w:szCs w:val="24"/>
                <w:lang w:eastAsia="zh-CN"/>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685" w:type="dxa"/>
          </w:tcPr>
          <w:p>
            <w:pPr>
              <w:spacing w:before="0" w:after="0"/>
              <w:ind w:lef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7076" w:type="dxa"/>
          </w:tcPr>
          <w:p>
            <w:pPr>
              <w:spacing w:before="0" w:after="0"/>
              <w:rPr>
                <w:sz w:val="24"/>
                <w:szCs w:val="24"/>
                <w:lang w:eastAsia="zh-CN"/>
              </w:rPr>
            </w:pPr>
            <w:r>
              <w:rPr>
                <w:rFonts w:hint="eastAsia"/>
                <w:sz w:val="24"/>
                <w:szCs w:val="24"/>
                <w:lang w:eastAsia="zh-CN"/>
              </w:rPr>
              <w:t>投标人、投标文件不存在不符合法律、法规和招标文件规定的 其他无效情形。</w:t>
            </w:r>
          </w:p>
        </w:tc>
      </w:tr>
    </w:tbl>
    <w:p>
      <w:pPr>
        <w:pStyle w:val="8"/>
        <w:ind w:left="420" w:left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8"/>
        <w:ind w:firstLine="488" w:firstLineChars="200"/>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 xml:space="preserve">       </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 xml:space="preserve">   /   </w:t>
      </w:r>
      <w:r>
        <w:rPr>
          <w:rFonts w:hint="eastAsia" w:asciiTheme="minorEastAsia" w:hAnsiTheme="minorEastAsia" w:eastAsiaTheme="minorEastAsia" w:cstheme="minorEastAsia"/>
          <w:spacing w:val="2"/>
          <w:position w:val="17"/>
          <w:sz w:val="24"/>
          <w:szCs w:val="24"/>
          <w:lang w:eastAsia="zh-CN"/>
        </w:rPr>
        <w:t>（如涉及）。</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3.关于无线局域网认证产品政府采购清单中的产品，优先采购的具体规定  </w:t>
      </w:r>
      <w:r>
        <w:rPr>
          <w:rFonts w:hint="eastAsia" w:asciiTheme="minorEastAsia" w:hAnsiTheme="minorEastAsia" w:eastAsiaTheme="minorEastAsia" w:cstheme="minorEastAsia"/>
          <w:spacing w:val="2"/>
          <w:position w:val="17"/>
          <w:sz w:val="24"/>
          <w:szCs w:val="24"/>
          <w:u w:val="single"/>
          <w:lang w:eastAsia="zh-CN"/>
        </w:rPr>
        <w:t xml:space="preserve"> /   </w:t>
      </w:r>
      <w:r>
        <w:rPr>
          <w:rFonts w:hint="eastAsia" w:asciiTheme="minorEastAsia" w:hAnsiTheme="minorEastAsia" w:eastAsiaTheme="minorEastAsia" w:cstheme="minorEastAsia"/>
          <w:spacing w:val="2"/>
          <w:position w:val="17"/>
          <w:sz w:val="24"/>
          <w:szCs w:val="24"/>
          <w:lang w:eastAsia="zh-CN"/>
        </w:rPr>
        <w:t>（如涉及）。</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随机抽取</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优先选择报价低的</w:t>
      </w:r>
      <w:r>
        <w:rPr>
          <w:rFonts w:hint="eastAsia" w:asciiTheme="minorEastAsia" w:hAnsiTheme="minorEastAsia" w:eastAsiaTheme="minorEastAsia" w:cstheme="minorEastAsia"/>
          <w:spacing w:val="2"/>
          <w:position w:val="17"/>
          <w:sz w:val="24"/>
          <w:szCs w:val="24"/>
          <w:lang w:eastAsia="zh-CN"/>
        </w:rPr>
        <w:t xml:space="preserve">。       </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pPr>
        <w:pStyle w:val="8"/>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pPr>
        <w:pStyle w:val="8"/>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pacing w:val="2"/>
          <w:position w:val="17"/>
          <w:sz w:val="24"/>
          <w:szCs w:val="24"/>
          <w:u w:val="single"/>
          <w:lang w:eastAsia="zh-CN"/>
        </w:rPr>
        <w:t xml:space="preserve"> 3 </w:t>
      </w:r>
      <w:r>
        <w:rPr>
          <w:rFonts w:hint="eastAsia" w:asciiTheme="minorEastAsia" w:hAnsiTheme="minorEastAsia" w:eastAsiaTheme="minorEastAsia" w:cstheme="minorEastAsia"/>
          <w:spacing w:val="2"/>
          <w:position w:val="17"/>
          <w:sz w:val="24"/>
          <w:szCs w:val="24"/>
          <w:lang w:eastAsia="zh-CN"/>
        </w:rPr>
        <w:t>名中标候选人。</w:t>
      </w:r>
    </w:p>
    <w:p>
      <w:pPr>
        <w:pStyle w:val="8"/>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pPr>
        <w:pStyle w:val="8"/>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pPr>
        <w:pStyle w:val="7"/>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7.1投标文件未按招标文件要求签署、盖章的；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7.2不具备招标文件中规定的资格要求的；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7.3报价超过招标文件中规定的预算金额或者最高限价的；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7.4投标文件含有采购人不能接受的附加条件的；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7.5不符合应提交投标文件资料数量要求的；</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7.6开标解密时未在规定时间（30分钟）内进行解密成功的视为撤销其投标文件（因电子开标系统原因除外）；</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7.7电子投标文件未使用电子营业执照认证并加密的；</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7.8未在投标截止时间前完成上传的；</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7.9法律、法规和招标文件规定的其他无效情形。</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8.1符合专业条件的供应商或者对招标文件作实质性响应的供应商不足三家的；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8.2出现影响采购公正的违法、违规行为的；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8.3投标人的报价均超过了预算金额，采购人不能支付的；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8.4因重大变故，采购任务取消的。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pPr>
        <w:pStyle w:val="28"/>
        <w:rPr>
          <w:rFonts w:hint="eastAsia"/>
          <w:sz w:val="32"/>
          <w:szCs w:val="32"/>
        </w:rPr>
      </w:pPr>
      <w:bookmarkStart w:id="5" w:name="_Hlk162861106"/>
    </w:p>
    <w:p>
      <w:pPr>
        <w:pStyle w:val="28"/>
        <w:rPr>
          <w:sz w:val="32"/>
          <w:szCs w:val="32"/>
        </w:rPr>
      </w:pPr>
      <w:r>
        <w:rPr>
          <w:rFonts w:hint="eastAsia"/>
          <w:sz w:val="32"/>
          <w:szCs w:val="32"/>
        </w:rPr>
        <w:t>评分标准</w:t>
      </w:r>
    </w:p>
    <w:p>
      <w:pPr>
        <w:pStyle w:val="28"/>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auto"/>
          <w:kern w:val="2"/>
          <w:sz w:val="24"/>
          <w:szCs w:val="24"/>
          <w:lang w:val="en-US" w:eastAsia="zh-CN" w:bidi="ar-SA"/>
        </w:rPr>
      </w:pPr>
      <w:r>
        <w:rPr>
          <w:rFonts w:hint="eastAsia" w:ascii="宋体" w:hAnsi="宋体" w:cs="宋体"/>
          <w:b/>
          <w:bCs/>
          <w:snapToGrid w:val="0"/>
          <w:color w:val="auto"/>
          <w:kern w:val="2"/>
          <w:sz w:val="24"/>
          <w:szCs w:val="24"/>
          <w:lang w:val="en-US" w:eastAsia="zh-CN" w:bidi="ar-SA"/>
        </w:rPr>
        <w:t>一、投标报价</w:t>
      </w:r>
      <w:r>
        <w:rPr>
          <w:rFonts w:hint="eastAsia" w:ascii="宋体" w:hAnsi="宋体" w:cs="宋体"/>
          <w:b/>
          <w:bCs/>
          <w:snapToGrid w:val="0"/>
          <w:color w:val="auto"/>
          <w:kern w:val="2"/>
          <w:sz w:val="24"/>
          <w:szCs w:val="24"/>
          <w:lang w:val="en-US" w:eastAsia="zh-CN" w:bidi="ar-SA"/>
        </w:rPr>
        <w:tab/>
      </w:r>
      <w:r>
        <w:rPr>
          <w:rFonts w:hint="eastAsia" w:ascii="宋体" w:hAnsi="宋体" w:cs="宋体"/>
          <w:b/>
          <w:bCs/>
          <w:snapToGrid w:val="0"/>
          <w:color w:val="auto"/>
          <w:kern w:val="2"/>
          <w:sz w:val="24"/>
          <w:szCs w:val="24"/>
          <w:lang w:val="en-US" w:eastAsia="zh-CN" w:bidi="ar-SA"/>
        </w:rPr>
        <w:t>（满分30分）</w:t>
      </w:r>
      <w:r>
        <w:rPr>
          <w:rFonts w:hint="eastAsia" w:ascii="宋体" w:hAnsi="宋体" w:cs="宋体"/>
          <w:b/>
          <w:bCs/>
          <w:snapToGrid w:val="0"/>
          <w:color w:val="auto"/>
          <w:kern w:val="2"/>
          <w:sz w:val="24"/>
          <w:szCs w:val="24"/>
          <w:lang w:val="en-US" w:eastAsia="zh-CN" w:bidi="ar-SA"/>
        </w:rPr>
        <w:tab/>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 xml:space="preserve">满足招标文件要求且投标价格最低的投标报价为评标基准价，其价格分为满分30分，其他投标人的价格分按照下列公式计算：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 xml:space="preserve">报价得分=（评标基准价/投标报价）×30%×100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12%后参与评审。参与优惠企业的报价=投标报价*（1-12%）。对于同时属于小微企业、监狱企业或残疾人福利性单位的，不重复进行投标报价扣除。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auto"/>
          <w:kern w:val="2"/>
          <w:sz w:val="24"/>
          <w:szCs w:val="24"/>
          <w:lang w:val="en-US" w:eastAsia="zh-CN" w:bidi="ar-SA"/>
        </w:rPr>
      </w:pPr>
      <w:r>
        <w:rPr>
          <w:rFonts w:hint="eastAsia" w:ascii="宋体" w:hAnsi="宋体" w:cs="宋体"/>
          <w:b/>
          <w:bCs/>
          <w:snapToGrid w:val="0"/>
          <w:color w:val="auto"/>
          <w:kern w:val="2"/>
          <w:sz w:val="24"/>
          <w:szCs w:val="24"/>
          <w:lang w:val="en-US" w:eastAsia="zh-CN" w:bidi="ar-SA"/>
        </w:rPr>
        <w:t>二、技术部分</w:t>
      </w:r>
      <w:r>
        <w:rPr>
          <w:rFonts w:hint="eastAsia" w:ascii="宋体" w:hAnsi="宋体" w:cs="宋体"/>
          <w:b/>
          <w:bCs/>
          <w:snapToGrid w:val="0"/>
          <w:color w:val="auto"/>
          <w:kern w:val="2"/>
          <w:sz w:val="24"/>
          <w:szCs w:val="24"/>
          <w:lang w:val="en-US" w:eastAsia="zh-CN" w:bidi="ar-SA"/>
        </w:rPr>
        <w:tab/>
      </w:r>
      <w:r>
        <w:rPr>
          <w:rFonts w:hint="eastAsia" w:ascii="宋体" w:hAnsi="宋体" w:cs="宋体"/>
          <w:b/>
          <w:bCs/>
          <w:snapToGrid w:val="0"/>
          <w:color w:val="auto"/>
          <w:kern w:val="2"/>
          <w:sz w:val="24"/>
          <w:szCs w:val="24"/>
          <w:lang w:val="en-US" w:eastAsia="zh-CN" w:bidi="ar-SA"/>
        </w:rPr>
        <w:t xml:space="preserve">（满分49分）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bCs/>
          <w:snapToGrid w:val="0"/>
          <w:color w:val="000000"/>
          <w:kern w:val="2"/>
          <w:sz w:val="24"/>
          <w:szCs w:val="24"/>
          <w:lang w:val="en-US" w:eastAsia="zh-CN" w:bidi="ar-SA"/>
        </w:rPr>
        <w:t>1、 投标产品技术响应</w:t>
      </w:r>
      <w:r>
        <w:rPr>
          <w:rFonts w:hint="eastAsia" w:ascii="宋体" w:hAnsi="宋体" w:cs="宋体"/>
          <w:b/>
          <w:bCs/>
          <w:snapToGrid w:val="0"/>
          <w:color w:val="000000"/>
          <w:kern w:val="2"/>
          <w:sz w:val="24"/>
          <w:szCs w:val="24"/>
          <w:lang w:val="en-US" w:eastAsia="zh-CN" w:bidi="ar-SA"/>
        </w:rPr>
        <w:tab/>
      </w:r>
      <w:r>
        <w:rPr>
          <w:rFonts w:hint="eastAsia" w:ascii="宋体" w:hAnsi="宋体" w:cs="宋体"/>
          <w:b/>
          <w:bCs/>
          <w:snapToGrid w:val="0"/>
          <w:color w:val="000000"/>
          <w:kern w:val="2"/>
          <w:sz w:val="24"/>
          <w:szCs w:val="24"/>
          <w:lang w:val="en-US" w:eastAsia="zh-CN" w:bidi="ar-SA"/>
        </w:rPr>
        <w:t>（满分28分）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ab/>
      </w:r>
      <w:r>
        <w:rPr>
          <w:rFonts w:hint="eastAsia" w:ascii="宋体" w:hAnsi="宋体" w:cs="宋体"/>
          <w:b w:val="0"/>
          <w:bCs w:val="0"/>
          <w:snapToGrid w:val="0"/>
          <w:color w:val="000000"/>
          <w:kern w:val="2"/>
          <w:sz w:val="24"/>
          <w:szCs w:val="24"/>
          <w:lang w:val="en-US" w:eastAsia="zh-CN" w:bidi="ar-SA"/>
        </w:rPr>
        <w:t>投标产品技术参数、性能及功能全部满足招标文件要求得满分28分；若投标产品技术指标与招标要求有负偏离，评委按照加“</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b w:val="0"/>
          <w:bCs w:val="0"/>
          <w:snapToGrid w:val="0"/>
          <w:color w:val="000000"/>
          <w:kern w:val="2"/>
          <w:sz w:val="24"/>
          <w:szCs w:val="24"/>
          <w:lang w:val="en-US" w:eastAsia="zh-CN" w:bidi="ar-SA"/>
        </w:rPr>
        <w:t>”产品技术指标每一处负偏离扣1分，其他产品技术指标每一处负偏离扣0.5分，扣完为止。（投标人应如实填写技术条款偏差表，如有弄虚作假的，一经查实，报主管部门处理.）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bCs/>
          <w:snapToGrid w:val="0"/>
          <w:color w:val="000000"/>
          <w:kern w:val="2"/>
          <w:sz w:val="24"/>
          <w:szCs w:val="24"/>
          <w:lang w:val="en-US" w:eastAsia="zh-CN" w:bidi="ar-SA"/>
        </w:rPr>
        <w:t>2、项目实施方案 （满分13分）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评委会根据供应商提供的项目实施方案综合评价，方案包括但不限于施工安装方案、实施步骤、施工进度计划、现场管理措施、产品质量保证和未达到标准的处罚措施等.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①能够切实满足项目需求且保证项目顺利实施、方案十分详实具体、对各个环节都有针对性的具体实施步骤、且具有切实可行的操作性得13分；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②能够满足项目需求且保证项目实施、方案较为详实具体、对各个环节有针对性的实施步骤、具有较为可行的操作性得11分；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③能够满足项目需求且保证项目实施、方案不太具体、对各个环实施步骤没有具体到各个环节、具有一定的操作性得7分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④实施方案基本详细、基本能满足项目需求，可操作性一般的得3分；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⑤实施方案不够详细，不能很好的满足项目需求的得1分；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缺项不得分。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bCs/>
          <w:snapToGrid w:val="0"/>
          <w:color w:val="000000"/>
          <w:kern w:val="2"/>
          <w:sz w:val="24"/>
          <w:szCs w:val="24"/>
          <w:lang w:val="en-US" w:eastAsia="zh-CN" w:bidi="ar-SA"/>
        </w:rPr>
        <w:t>3、供货进度方案 （满分8分）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（1）有针对本项目实际情况的供货安装计划、安装调试方案和项目实施人员、应急措施等内容，交货方式、送货运输等方案内容非常详尽、完善、满足实际需求得8分；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（2）有基本详细可行的供货安装计划、安装调试方案和项目实施人员、应急措施等内容，交货方式、送货运输等方案内容较为全面、能基本满足实际需求得5分；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（3）有供货安装计划、安装调试方案和项目实施人员、应急措施等内容，交货方式、送货运输等方案内容，但可行性不高，不能完全满足实际需求得1分；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（4）缺项不得分。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cs="宋体"/>
          <w:b/>
          <w:bCs/>
          <w:snapToGrid w:val="0"/>
          <w:color w:val="auto"/>
          <w:kern w:val="2"/>
          <w:sz w:val="24"/>
          <w:szCs w:val="24"/>
          <w:lang w:val="en-US" w:eastAsia="zh-CN" w:bidi="ar-SA"/>
        </w:rPr>
      </w:pPr>
      <w:r>
        <w:rPr>
          <w:rFonts w:hint="eastAsia" w:ascii="宋体" w:hAnsi="宋体" w:cs="宋体"/>
          <w:b/>
          <w:bCs/>
          <w:snapToGrid w:val="0"/>
          <w:color w:val="auto"/>
          <w:kern w:val="2"/>
          <w:sz w:val="24"/>
          <w:szCs w:val="24"/>
          <w:lang w:val="en-US" w:eastAsia="zh-CN" w:bidi="ar-SA"/>
        </w:rPr>
        <w:t>三、综合实力  （满分13分）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1、信用评价（满分2分）。根据《南阳市政府采购信用评价实施办法》，投标人登录“南阳市政府采购信用管理系统”打印并提交《南阳市政府采购供应商信用记录表》，诚信评价为三星级的加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2、所投教学应用系统厂商需具有包含电子出版物的出版物经营许可证及网络文化经营许可证，同时提供上述证书复印件，得2分，否则不得分；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3.为保障云桌面产品的技术可靠性，要求设备生产厂商具备中国网络安全审查技术与认证中心颁发的软件安全开发(一级)服务资质认证，满足得3分，不满足不得分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4.为保证桌面云产品的安全可靠性，满足安全监管要求，所投桌面云服务器生产厂商属于中华人民共和国国家标准《GB∕T 37950-2019 信息安全技术桌面云安全技术要求》标准起草单位之一，并提供相关证明材料的得3分，未提供不得分.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5.企业业绩（满分3分）投标人提供2021年以来同类项目业绩合同，每个得1分，最多得3分。注：未提供原件扫描件或提供不完整不清晰的不得分。</w:t>
      </w:r>
      <w:r>
        <w:rPr>
          <w:rFonts w:hint="eastAsia" w:ascii="宋体" w:hAnsi="宋体" w:cs="宋体"/>
          <w:b w:val="0"/>
          <w:bCs w:val="0"/>
          <w:snapToGrid w:val="0"/>
          <w:color w:val="000000"/>
          <w:kern w:val="2"/>
          <w:sz w:val="24"/>
          <w:szCs w:val="24"/>
          <w:lang w:val="en-US" w:eastAsia="zh-CN" w:bidi="ar-SA"/>
        </w:rPr>
        <w:tab/>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auto"/>
          <w:kern w:val="2"/>
          <w:sz w:val="24"/>
          <w:szCs w:val="24"/>
          <w:lang w:val="en-US" w:eastAsia="zh-CN" w:bidi="ar-SA"/>
        </w:rPr>
      </w:pPr>
      <w:r>
        <w:rPr>
          <w:rFonts w:hint="eastAsia" w:ascii="宋体" w:hAnsi="宋体" w:cs="宋体"/>
          <w:b/>
          <w:bCs/>
          <w:snapToGrid w:val="0"/>
          <w:color w:val="auto"/>
          <w:kern w:val="2"/>
          <w:sz w:val="24"/>
          <w:szCs w:val="24"/>
          <w:lang w:val="en-US" w:eastAsia="zh-CN" w:bidi="ar-SA"/>
        </w:rPr>
        <w:t>四、售后服务</w:t>
      </w:r>
      <w:r>
        <w:rPr>
          <w:rFonts w:hint="eastAsia" w:ascii="宋体" w:hAnsi="宋体" w:cs="宋体"/>
          <w:b/>
          <w:bCs/>
          <w:snapToGrid w:val="0"/>
          <w:color w:val="auto"/>
          <w:kern w:val="2"/>
          <w:sz w:val="24"/>
          <w:szCs w:val="24"/>
          <w:lang w:val="en-US" w:eastAsia="zh-CN" w:bidi="ar-SA"/>
        </w:rPr>
        <w:tab/>
      </w:r>
      <w:r>
        <w:rPr>
          <w:rFonts w:hint="eastAsia" w:ascii="宋体" w:hAnsi="宋体" w:cs="宋体"/>
          <w:b/>
          <w:bCs/>
          <w:snapToGrid w:val="0"/>
          <w:color w:val="auto"/>
          <w:kern w:val="2"/>
          <w:sz w:val="24"/>
          <w:szCs w:val="24"/>
          <w:lang w:val="en-US" w:eastAsia="zh-CN" w:bidi="ar-SA"/>
        </w:rPr>
        <w:t>（满分8分）</w:t>
      </w:r>
      <w:r>
        <w:rPr>
          <w:rFonts w:hint="eastAsia" w:ascii="宋体" w:hAnsi="宋体" w:cs="宋体"/>
          <w:b/>
          <w:bCs/>
          <w:snapToGrid w:val="0"/>
          <w:color w:val="auto"/>
          <w:kern w:val="2"/>
          <w:sz w:val="24"/>
          <w:szCs w:val="24"/>
          <w:lang w:val="en-US" w:eastAsia="zh-CN" w:bidi="ar-SA"/>
        </w:rPr>
        <w:tab/>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1、评委会依据各投标人提供的售后服务方案，包括服务体系、服务标准、服务内容，常见性故障提供解决方案，质保期内、质保期外服务标准，售后服务响应时间等方面进行评分.（满分6分）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（1）售后服务方案、措施及承诺特别全面、可行，可实施性强，完全满足且优于招标文件中售后服务要求得6分。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（2）服务方案、措施及承诺全面，基本合理可行，完全满足招标文件中售后服务要求的得4分；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（3）有服务方案，基本全面，基本合理可行，能够基本满足招标文件中售后服务要求，但实践实施性一般得2分；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（4）有服务方案，但方案内容不能完全满足采购人实际需求得1分。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napToGrid w:val="0"/>
          <w:color w:val="000000"/>
          <w:kern w:val="2"/>
          <w:sz w:val="24"/>
          <w:szCs w:val="24"/>
          <w:lang w:val="en-US" w:eastAsia="zh-CN" w:bidi="ar-SA"/>
        </w:rPr>
      </w:pPr>
      <w:r>
        <w:rPr>
          <w:rFonts w:hint="eastAsia" w:ascii="宋体" w:hAnsi="宋体" w:cs="宋体"/>
          <w:b/>
          <w:bCs/>
          <w:snapToGrid w:val="0"/>
          <w:color w:val="000000"/>
          <w:kern w:val="2"/>
          <w:sz w:val="24"/>
          <w:szCs w:val="24"/>
          <w:lang w:val="en-US" w:eastAsia="zh-CN" w:bidi="ar-SA"/>
        </w:rPr>
        <w:t>2、培训计划（满分2分）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（1）投标人应制定详实的培训计划及组织实施的方案，对设备操作人员和相关养护人员进行培训，直至熟练掌握使用方法及常规维护为止。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（2）培训计划全面详实，组织实施方案切实为采购人量身定制，周期规划非常合理、培训形式创新多样并配有详细方案类材料，目标体系清晰、科学合理，可行性高得2分；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（3）培训计划全面，组织实施方案和周期规划科学合理，培训形式多样，具有一定可行性的得1分；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b w:val="0"/>
          <w:bCs w:val="0"/>
          <w:snapToGrid w:val="0"/>
          <w:color w:val="000000"/>
          <w:kern w:val="2"/>
          <w:sz w:val="24"/>
          <w:szCs w:val="24"/>
          <w:lang w:val="en-US" w:eastAsia="zh-CN" w:bidi="ar-SA"/>
        </w:rPr>
      </w:pPr>
      <w:r>
        <w:rPr>
          <w:rFonts w:hint="eastAsia" w:ascii="宋体" w:hAnsi="宋体" w:cs="宋体"/>
          <w:b w:val="0"/>
          <w:bCs w:val="0"/>
          <w:snapToGrid w:val="0"/>
          <w:color w:val="000000"/>
          <w:kern w:val="2"/>
          <w:sz w:val="24"/>
          <w:szCs w:val="24"/>
          <w:lang w:val="en-US" w:eastAsia="zh-CN" w:bidi="ar-SA"/>
        </w:rPr>
        <w:t>（4）有培训计划和组织实施的方案，但跟本项目情况不太相符或有缺失不得分；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1"/>
          <w:szCs w:val="21"/>
        </w:rPr>
      </w:pPr>
      <w:r>
        <w:rPr>
          <w:rFonts w:hint="eastAsia" w:ascii="宋体" w:hAnsi="宋体" w:cs="宋体"/>
          <w:b/>
          <w:bCs/>
          <w:snapToGrid w:val="0"/>
          <w:color w:val="000000"/>
          <w:kern w:val="2"/>
          <w:sz w:val="24"/>
          <w:szCs w:val="24"/>
          <w:lang w:val="en-US" w:eastAsia="zh-CN" w:bidi="ar-SA"/>
        </w:rPr>
        <w:t>注：</w:t>
      </w:r>
      <w:r>
        <w:rPr>
          <w:rFonts w:hint="eastAsia" w:ascii="宋体" w:hAnsi="宋体" w:eastAsia="宋体" w:cs="宋体"/>
          <w:b/>
          <w:bCs/>
          <w:snapToGrid w:val="0"/>
          <w:color w:val="000000"/>
          <w:kern w:val="2"/>
          <w:sz w:val="24"/>
          <w:szCs w:val="24"/>
          <w:lang w:val="en-US" w:eastAsia="zh-CN" w:bidi="ar-SA"/>
        </w:rPr>
        <w:t>评分标准中涉及各类证书、认证、证明、业绩等内容，必须是原件的扫描件。</w:t>
      </w:r>
    </w:p>
    <w:p>
      <w:pPr>
        <w:pStyle w:val="28"/>
      </w:pPr>
    </w:p>
    <w:bookmarkEnd w:id="5"/>
    <w:p>
      <w:pPr>
        <w:ind w:firstLine="430" w:firstLineChars="200"/>
        <w:rPr>
          <w:rFonts w:asciiTheme="minorEastAsia" w:hAnsiTheme="minorEastAsia" w:eastAsiaTheme="minorEastAsia" w:cstheme="minorEastAsia"/>
          <w:b/>
          <w:bCs/>
          <w:spacing w:val="2"/>
          <w:position w:val="17"/>
          <w:szCs w:val="24"/>
          <w:lang w:eastAsia="zh-CN"/>
        </w:rPr>
      </w:pPr>
      <w:r>
        <w:rPr>
          <w:rFonts w:hint="eastAsia" w:asciiTheme="minorEastAsia" w:hAnsiTheme="minorEastAsia" w:eastAsiaTheme="minorEastAsia" w:cstheme="minorEastAsia"/>
          <w:b/>
          <w:bCs/>
          <w:spacing w:val="2"/>
          <w:position w:val="17"/>
          <w:szCs w:val="24"/>
          <w:lang w:eastAsia="zh-CN"/>
        </w:rPr>
        <w:t>六.中标通知及签订合同</w:t>
      </w:r>
    </w:p>
    <w:p>
      <w:pPr>
        <w:ind w:firstLine="567"/>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pPr>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1.1中标人被正式确定后，将在“河南省政府采购网”和“南阳市公共资源交易中心网”上公告中标结果，同时向中标人发出《中标通知书》。</w:t>
      </w:r>
    </w:p>
    <w:p>
      <w:pPr>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1.2《中标通知书》将作为签订合同的依据之一。</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1.3《中标通知书》发放办法：政府采购项目通过电子营业执照应用平台”向中标人发出电子《中标通知书》后，中标供应商可登录电子营业执照应用平台，自行打印加盖电子签章的《中标通知书》。</w:t>
      </w:r>
    </w:p>
    <w:p>
      <w:pPr>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pPr>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1、中标供应商打印《中标通知书》后及时与采购人签订政府采购合同。合同签订后，采购人应通过“河南省电子化政府采购系统”(www.hngp.gov.cn)合同管理栏目上传合同原件扫描件完成备案。</w:t>
      </w:r>
    </w:p>
    <w:p>
      <w:pPr>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2、招标文件、投标文件、答疑及澄清文件，均为签订合同的依据。</w:t>
      </w:r>
    </w:p>
    <w:p>
      <w:pPr>
        <w:ind w:firstLine="430" w:firstLineChars="200"/>
        <w:rPr>
          <w:rFonts w:asciiTheme="minorEastAsia" w:hAnsiTheme="minorEastAsia" w:eastAsiaTheme="minorEastAsia" w:cstheme="minorEastAsia"/>
          <w:b/>
          <w:bCs/>
          <w:spacing w:val="2"/>
          <w:position w:val="17"/>
          <w:szCs w:val="24"/>
          <w:lang w:eastAsia="zh-CN"/>
        </w:rPr>
      </w:pPr>
      <w:r>
        <w:rPr>
          <w:rFonts w:hint="eastAsia" w:asciiTheme="minorEastAsia" w:hAnsiTheme="minorEastAsia" w:eastAsiaTheme="minorEastAsia" w:cstheme="minorEastAsia"/>
          <w:b/>
          <w:bCs/>
          <w:spacing w:val="2"/>
          <w:position w:val="17"/>
          <w:szCs w:val="24"/>
          <w:lang w:eastAsia="zh-CN"/>
        </w:rPr>
        <w:t>七.质疑与答复</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在线接收，请质疑人上传质疑函原件扫描件到南阳市公共资源电子营业执照应用平台并电话通知到项目负责人。</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ind w:firstLine="430" w:firstLineChars="200"/>
        <w:rPr>
          <w:rFonts w:asciiTheme="minorEastAsia" w:hAnsiTheme="minorEastAsia" w:eastAsiaTheme="minorEastAsia" w:cstheme="minorEastAsia"/>
          <w:b/>
          <w:bCs/>
          <w:spacing w:val="2"/>
          <w:position w:val="17"/>
          <w:szCs w:val="24"/>
          <w:lang w:eastAsia="zh-CN"/>
        </w:rPr>
      </w:pPr>
      <w:r>
        <w:rPr>
          <w:rFonts w:hint="eastAsia" w:asciiTheme="minorEastAsia" w:hAnsiTheme="minorEastAsia" w:eastAsiaTheme="minorEastAsia" w:cstheme="minorEastAsia"/>
          <w:b/>
          <w:bCs/>
          <w:spacing w:val="2"/>
          <w:position w:val="17"/>
          <w:szCs w:val="24"/>
          <w:lang w:eastAsia="zh-CN"/>
        </w:rPr>
        <w:t>八、相关注意事项</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1.1开标及询标时，投标人法定代表人（负责人）或授权代表务必携带有效的身份证明，否则产生的不利后果由投标人自行承担（电子标除外）。</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1.2、各投标人应保证：投标文件中涉及到的所有内容，不会出现因第三方提出侵权而引发法律及经济纠纷，不论何种情况下若发生此类情况，其相应责任由投标人自行承担。</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1.3开标、评标期间，投标人不得向评委询问评标情况，不得进行旨在影响评标结果的活动。</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1.4为了保证评标的公正性，除询标外，评委不得与投标人交换意见。无论评标工作结束与否，参与评标的任何人均不得私下向外透露评标中的任何情况。</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1.5投标人应本着公平竞争的原则参与投标，不得用任何方式对其它投标人恶意攻击。</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1.6投标人如有违反上述要求或违反国家法律、法规的行为，无论评标结果如何，其投标资格将被取消。</w:t>
      </w:r>
    </w:p>
    <w:p>
      <w:pPr>
        <w:rPr>
          <w:rFonts w:asciiTheme="minorEastAsia" w:hAnsiTheme="minorEastAsia" w:eastAsiaTheme="minorEastAsia" w:cstheme="minorEastAsia"/>
          <w:b/>
          <w:bCs/>
          <w:spacing w:val="2"/>
          <w:position w:val="17"/>
          <w:szCs w:val="24"/>
          <w:lang w:eastAsia="zh-CN"/>
        </w:rPr>
      </w:pPr>
      <w:bookmarkStart w:id="6" w:name="_Toc26983"/>
      <w:r>
        <w:rPr>
          <w:rFonts w:hint="eastAsia" w:asciiTheme="minorEastAsia" w:hAnsiTheme="minorEastAsia" w:eastAsiaTheme="minorEastAsia" w:cstheme="minorEastAsia"/>
          <w:b/>
          <w:bCs/>
          <w:spacing w:val="2"/>
          <w:position w:val="17"/>
          <w:szCs w:val="24"/>
          <w:lang w:eastAsia="zh-CN"/>
        </w:rPr>
        <w:br w:type="page"/>
      </w:r>
    </w:p>
    <w:p>
      <w:pPr>
        <w:jc w:val="center"/>
        <w:rPr>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河南省政府采购合同融资政策告知函</w:t>
      </w:r>
      <w:bookmarkEnd w:id="6"/>
    </w:p>
    <w:p>
      <w:pPr>
        <w:jc w:val="both"/>
        <w:rPr>
          <w:rFonts w:asciiTheme="minorEastAsia" w:hAnsiTheme="minorEastAsia" w:eastAsiaTheme="minorEastAsia" w:cstheme="minorEastAsia"/>
          <w:spacing w:val="2"/>
          <w:position w:val="17"/>
          <w:szCs w:val="24"/>
          <w:lang w:eastAsia="zh-CN"/>
        </w:rPr>
      </w:pPr>
    </w:p>
    <w:p>
      <w:pPr>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pStyle w:val="8"/>
        <w:ind w:firstLine="430" w:firstLineChars="200"/>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 ），有需求的供应商，可按上述通知要求办理政采贷 。</w:t>
      </w:r>
    </w:p>
    <w:p>
      <w:pPr>
        <w:pStyle w:val="28"/>
        <w:sectPr>
          <w:pgSz w:w="11907" w:h="16840"/>
          <w:pgMar w:top="1117" w:right="1130" w:bottom="1060" w:left="1417" w:header="878" w:footer="886" w:gutter="0"/>
          <w:pgNumType w:fmt="numberInDash"/>
          <w:cols w:space="720" w:num="1"/>
        </w:sectPr>
      </w:pPr>
    </w:p>
    <w:p>
      <w:pPr>
        <w:pStyle w:val="3"/>
        <w:jc w:val="center"/>
        <w:rPr>
          <w:rFonts w:asciiTheme="minorEastAsia" w:hAnsiTheme="minorEastAsia" w:eastAsiaTheme="minorEastAsia" w:cstheme="minorEastAsia"/>
          <w:sz w:val="36"/>
          <w:szCs w:val="36"/>
          <w:lang w:eastAsia="zh-CN"/>
        </w:rPr>
      </w:pPr>
      <w:bookmarkStart w:id="7" w:name="_Toc25770"/>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政府采购合同（草案）</w:t>
      </w:r>
      <w:bookmarkEnd w:id="7"/>
    </w:p>
    <w:p>
      <w:pPr>
        <w:spacing w:line="312" w:lineRule="auto"/>
        <w:ind w:right="-159"/>
        <w:jc w:val="center"/>
        <w:rPr>
          <w:rFonts w:ascii="黑体" w:hAnsi="宋体" w:eastAsia="黑体"/>
          <w:sz w:val="36"/>
          <w:szCs w:val="36"/>
          <w:lang w:eastAsia="zh-CN"/>
        </w:rPr>
      </w:pPr>
      <w:r>
        <w:rPr>
          <w:rFonts w:hint="eastAsia" w:ascii="黑体" w:hAnsi="宋体" w:eastAsia="黑体"/>
          <w:sz w:val="36"/>
          <w:szCs w:val="36"/>
          <w:lang w:eastAsia="zh-CN"/>
        </w:rPr>
        <w:t>政府采购合同</w:t>
      </w:r>
    </w:p>
    <w:p>
      <w:pPr>
        <w:ind w:right="-159" w:firstLine="420" w:firstLineChars="200"/>
        <w:rPr>
          <w:rFonts w:ascii="仿宋_GB2312" w:hAnsi="宋体" w:eastAsia="仿宋_GB2312"/>
          <w:lang w:eastAsia="zh-CN"/>
        </w:rPr>
      </w:pPr>
    </w:p>
    <w:p>
      <w:pPr>
        <w:ind w:right="-159" w:firstLine="480" w:firstLineChars="200"/>
        <w:rPr>
          <w:rFonts w:ascii="宋体" w:hAnsi="宋体"/>
          <w:sz w:val="24"/>
          <w:szCs w:val="24"/>
          <w:highlight w:val="none"/>
          <w:lang w:eastAsia="zh-CN"/>
        </w:rPr>
      </w:pPr>
      <w:r>
        <w:rPr>
          <w:rFonts w:hint="eastAsia" w:ascii="宋体" w:hAnsi="宋体"/>
          <w:sz w:val="24"/>
          <w:szCs w:val="24"/>
          <w:highlight w:val="none"/>
          <w:lang w:eastAsia="zh-CN"/>
        </w:rPr>
        <w:t>甲方：</w:t>
      </w:r>
    </w:p>
    <w:p>
      <w:pPr>
        <w:ind w:right="-159" w:firstLine="480" w:firstLineChars="200"/>
        <w:rPr>
          <w:rFonts w:ascii="宋体" w:hAnsi="宋体"/>
          <w:sz w:val="24"/>
          <w:szCs w:val="24"/>
          <w:lang w:eastAsia="zh-CN"/>
        </w:rPr>
      </w:pPr>
      <w:r>
        <w:rPr>
          <w:rFonts w:hint="eastAsia" w:ascii="宋体" w:hAnsi="宋体"/>
          <w:sz w:val="24"/>
          <w:szCs w:val="24"/>
          <w:lang w:eastAsia="zh-CN"/>
        </w:rPr>
        <w:t>乙方：</w:t>
      </w:r>
    </w:p>
    <w:p>
      <w:pPr>
        <w:ind w:right="-159" w:firstLine="480" w:firstLineChars="200"/>
        <w:rPr>
          <w:rFonts w:ascii="宋体" w:hAnsi="宋体"/>
          <w:sz w:val="24"/>
          <w:szCs w:val="24"/>
          <w:lang w:eastAsia="zh-CN"/>
        </w:rPr>
      </w:pPr>
      <w:r>
        <w:rPr>
          <w:rFonts w:hint="eastAsia" w:ascii="宋体" w:hAnsi="宋体"/>
          <w:sz w:val="24"/>
          <w:szCs w:val="24"/>
          <w:lang w:eastAsia="zh-CN"/>
        </w:rPr>
        <w:t>根据《中华人民共和国政府采购法》《中华人民共和国民法典》及有关法律规定，按照项目编号</w:t>
      </w:r>
      <w:r>
        <w:rPr>
          <w:rFonts w:ascii="宋体" w:hAnsi="宋体"/>
          <w:sz w:val="24"/>
          <w:szCs w:val="24"/>
          <w:lang w:eastAsia="zh-CN"/>
        </w:rPr>
        <w:t>:</w:t>
      </w:r>
      <w:r>
        <w:rPr>
          <w:rFonts w:hint="eastAsia" w:ascii="宋体" w:hAnsi="宋体"/>
          <w:sz w:val="24"/>
          <w:szCs w:val="24"/>
          <w:lang w:eastAsia="zh-CN"/>
        </w:rPr>
        <w:t>____</w:t>
      </w:r>
      <w:r>
        <w:rPr>
          <w:rFonts w:ascii="宋体" w:hAnsi="宋体"/>
          <w:sz w:val="24"/>
          <w:szCs w:val="24"/>
          <w:lang w:eastAsia="zh-CN"/>
        </w:rPr>
        <w:t xml:space="preserve"> </w:t>
      </w:r>
      <w:r>
        <w:rPr>
          <w:rFonts w:hint="eastAsia" w:ascii="宋体" w:hAnsi="宋体"/>
          <w:sz w:val="24"/>
          <w:szCs w:val="24"/>
          <w:lang w:eastAsia="zh-CN"/>
        </w:rPr>
        <w:t>项目名称：_______</w:t>
      </w:r>
      <w:r>
        <w:rPr>
          <w:rFonts w:hint="eastAsia" w:ascii="宋体" w:hAnsi="宋体"/>
          <w:sz w:val="24"/>
          <w:szCs w:val="24"/>
          <w:u w:val="single"/>
          <w:lang w:eastAsia="zh-CN"/>
        </w:rPr>
        <w:t xml:space="preserve"> </w:t>
      </w:r>
      <w:r>
        <w:rPr>
          <w:rFonts w:hint="eastAsia" w:ascii="宋体" w:hAnsi="宋体"/>
          <w:sz w:val="24"/>
          <w:szCs w:val="24"/>
          <w:lang w:eastAsia="zh-CN"/>
        </w:rPr>
        <w:t>公开招标的中标通知书、招标文件、投标方投标文件的要求，经甲、乙双方协商，本着平等自愿、诚实信用的原则，双方就本项目（项目编号）的有关事项协商一致，共同达成如下协议，供双方共同遵守。</w:t>
      </w:r>
    </w:p>
    <w:p>
      <w:pPr>
        <w:ind w:right="-159" w:firstLine="482" w:firstLineChars="200"/>
        <w:rPr>
          <w:rFonts w:ascii="宋体" w:hAnsi="宋体"/>
          <w:b/>
          <w:bCs/>
          <w:sz w:val="24"/>
          <w:szCs w:val="24"/>
          <w:lang w:eastAsia="zh-CN"/>
        </w:rPr>
      </w:pPr>
      <w:r>
        <w:rPr>
          <w:rFonts w:hint="eastAsia" w:ascii="宋体" w:hAnsi="宋体"/>
          <w:b/>
          <w:bCs/>
          <w:sz w:val="24"/>
          <w:szCs w:val="24"/>
          <w:lang w:eastAsia="zh-CN"/>
        </w:rPr>
        <w:t>一、供货包号、产品的名称、商标、型号、制造厂商、数量、金额、交货时间等。</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、供货包号：</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、合同总价：大写</w:t>
      </w:r>
      <w:r>
        <w:rPr>
          <w:rFonts w:ascii="宋体" w:hAnsi="宋体"/>
          <w:sz w:val="24"/>
          <w:szCs w:val="24"/>
          <w:lang w:eastAsia="zh-CN"/>
        </w:rPr>
        <w:t xml:space="preserve">       </w:t>
      </w:r>
      <w:r>
        <w:rPr>
          <w:rFonts w:hint="eastAsia" w:ascii="宋体" w:hAnsi="宋体"/>
          <w:sz w:val="24"/>
          <w:szCs w:val="24"/>
          <w:lang w:eastAsia="zh-CN"/>
        </w:rPr>
        <w:t xml:space="preserve">           （小写</w:t>
      </w:r>
      <w:r>
        <w:rPr>
          <w:rFonts w:ascii="宋体" w:hAnsi="宋体"/>
          <w:sz w:val="24"/>
          <w:szCs w:val="24"/>
          <w:lang w:eastAsia="zh-CN"/>
        </w:rPr>
        <w:t xml:space="preserve">               </w:t>
      </w:r>
      <w:r>
        <w:rPr>
          <w:rFonts w:hint="eastAsia" w:ascii="宋体" w:hAnsi="宋体"/>
          <w:sz w:val="24"/>
          <w:szCs w:val="24"/>
          <w:lang w:eastAsia="zh-CN"/>
        </w:rPr>
        <w:t>）。</w:t>
      </w:r>
    </w:p>
    <w:p>
      <w:pPr>
        <w:ind w:right="-159" w:firstLine="480" w:firstLineChars="200"/>
        <w:rPr>
          <w:rFonts w:ascii="宋体" w:hAnsi="宋体"/>
          <w:sz w:val="24"/>
          <w:szCs w:val="24"/>
          <w:lang w:eastAsia="zh-CN"/>
        </w:rPr>
      </w:pPr>
      <w:r>
        <w:rPr>
          <w:rFonts w:hint="eastAsia" w:ascii="宋体" w:hAnsi="宋体"/>
          <w:sz w:val="24"/>
          <w:szCs w:val="24"/>
          <w:lang w:eastAsia="zh-CN"/>
        </w:rPr>
        <w:t>本项目为固定总价合同，甲方不再支付除合同总价以外的任何其他费用。</w:t>
      </w:r>
    </w:p>
    <w:p>
      <w:pPr>
        <w:ind w:right="-159" w:firstLine="480" w:firstLineChars="200"/>
        <w:rPr>
          <w:rFonts w:ascii="宋体" w:hAnsi="宋体"/>
          <w:sz w:val="24"/>
          <w:szCs w:val="24"/>
          <w:lang w:eastAsia="zh-CN"/>
        </w:rPr>
      </w:pPr>
      <w:r>
        <w:rPr>
          <w:rFonts w:hint="eastAsia" w:ascii="宋体" w:hAnsi="宋体"/>
          <w:sz w:val="24"/>
          <w:szCs w:val="24"/>
          <w:lang w:eastAsia="zh-CN"/>
        </w:rPr>
        <w:t>合同总价为包含暂估价、暂列金、室内空气（环境）检测费、</w:t>
      </w:r>
      <w:r>
        <w:rPr>
          <w:rFonts w:ascii="宋体" w:hAnsi="宋体"/>
          <w:sz w:val="24"/>
          <w:szCs w:val="24"/>
          <w:lang w:eastAsia="zh-CN"/>
        </w:rPr>
        <w:t>税费、保险、运输、安装</w:t>
      </w:r>
      <w:r>
        <w:rPr>
          <w:rFonts w:hint="eastAsia" w:ascii="宋体" w:hAnsi="宋体"/>
          <w:sz w:val="24"/>
          <w:szCs w:val="24"/>
          <w:lang w:eastAsia="zh-CN"/>
        </w:rPr>
        <w:t>（包括辅材等）</w:t>
      </w:r>
      <w:r>
        <w:rPr>
          <w:rFonts w:ascii="宋体" w:hAnsi="宋体"/>
          <w:sz w:val="24"/>
          <w:szCs w:val="24"/>
          <w:lang w:eastAsia="zh-CN"/>
        </w:rPr>
        <w:t>、调试、验收、售后服务、人员培训、招标服务费、进口设备的进口及相关手续办理费</w:t>
      </w:r>
      <w:r>
        <w:rPr>
          <w:rFonts w:hint="eastAsia" w:ascii="宋体" w:hAnsi="宋体"/>
          <w:sz w:val="24"/>
          <w:szCs w:val="24"/>
          <w:lang w:eastAsia="zh-CN"/>
        </w:rPr>
        <w:t>（如有）、在采购人指定地点交货、二次搬运费、达到采购人使用条件的所有费用，</w:t>
      </w:r>
      <w:r>
        <w:rPr>
          <w:rFonts w:ascii="宋体" w:hAnsi="宋体"/>
          <w:sz w:val="24"/>
          <w:szCs w:val="24"/>
          <w:lang w:eastAsia="zh-CN"/>
        </w:rPr>
        <w:t>采购人不再支付报价以外的任何费用。</w:t>
      </w:r>
      <w:r>
        <w:rPr>
          <w:rFonts w:hint="eastAsia" w:ascii="宋体" w:hAnsi="宋体"/>
          <w:sz w:val="24"/>
          <w:szCs w:val="24"/>
          <w:lang w:eastAsia="zh-CN"/>
        </w:rPr>
        <w:t>该价在合同履行期间固定不变。检测费用、检测机构应由甲方同意。</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、交货期限和交货方式：</w:t>
      </w:r>
    </w:p>
    <w:p>
      <w:pPr>
        <w:ind w:right="-159" w:firstLine="480" w:firstLineChars="200"/>
        <w:rPr>
          <w:rFonts w:ascii="宋体" w:hAnsi="宋体"/>
          <w:sz w:val="24"/>
          <w:szCs w:val="24"/>
          <w:lang w:eastAsia="zh-CN"/>
        </w:rPr>
      </w:pPr>
      <w:r>
        <w:rPr>
          <w:rFonts w:hint="eastAsia" w:ascii="宋体" w:hAnsi="宋体"/>
          <w:sz w:val="24"/>
          <w:szCs w:val="24"/>
          <w:lang w:eastAsia="zh-CN"/>
        </w:rPr>
        <w:t>3.1本合同签订之日起______日历天内供货完毕并申请验收；</w:t>
      </w:r>
    </w:p>
    <w:p>
      <w:pPr>
        <w:ind w:right="-159" w:firstLine="480" w:firstLineChars="200"/>
        <w:rPr>
          <w:rFonts w:ascii="宋体" w:hAnsi="宋体"/>
          <w:sz w:val="24"/>
          <w:szCs w:val="24"/>
          <w:lang w:eastAsia="zh-CN"/>
        </w:rPr>
      </w:pPr>
      <w:r>
        <w:rPr>
          <w:rFonts w:hint="eastAsia" w:ascii="宋体" w:hAnsi="宋体"/>
          <w:sz w:val="24"/>
          <w:szCs w:val="24"/>
          <w:lang w:eastAsia="zh-CN"/>
        </w:rPr>
        <w:t>3.2乙方将货物运输至甲方指定位置并负责安装调试；甲方验货后出具接货单，接货单应详细列明货物名称、品牌、规格、型号、制造商等信息。</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、项目清单详见附件。</w:t>
      </w:r>
    </w:p>
    <w:p>
      <w:pPr>
        <w:ind w:right="-159" w:firstLine="482" w:firstLineChars="200"/>
        <w:rPr>
          <w:rFonts w:ascii="宋体" w:hAnsi="宋体"/>
          <w:sz w:val="24"/>
          <w:szCs w:val="24"/>
          <w:lang w:eastAsia="zh-CN"/>
        </w:rPr>
      </w:pPr>
      <w:r>
        <w:rPr>
          <w:rFonts w:hint="eastAsia" w:ascii="宋体" w:hAnsi="宋体"/>
          <w:b/>
          <w:bCs/>
          <w:sz w:val="24"/>
          <w:szCs w:val="24"/>
          <w:lang w:eastAsia="zh-CN"/>
        </w:rPr>
        <w:t>二、货物产地及标准</w:t>
      </w:r>
    </w:p>
    <w:p>
      <w:pPr>
        <w:ind w:right="-159" w:firstLine="480" w:firstLineChars="200"/>
        <w:rPr>
          <w:rFonts w:ascii="宋体" w:hAnsi="宋体"/>
          <w:sz w:val="24"/>
          <w:szCs w:val="24"/>
          <w:lang w:eastAsia="zh-CN"/>
        </w:rPr>
      </w:pPr>
      <w:r>
        <w:rPr>
          <w:rFonts w:hint="eastAsia" w:ascii="宋体" w:hAnsi="宋体" w:cs="Times New Roman"/>
          <w:sz w:val="24"/>
          <w:szCs w:val="24"/>
          <w:lang w:eastAsia="zh-CN"/>
        </w:rPr>
        <w:t>1.乙方保证货物是全新的、未</w:t>
      </w:r>
      <w:r>
        <w:rPr>
          <w:rFonts w:hint="eastAsia" w:ascii="宋体" w:hAnsi="宋体"/>
          <w:sz w:val="24"/>
          <w:szCs w:val="24"/>
          <w:lang w:eastAsia="zh-CN"/>
        </w:rPr>
        <w:t>使用过的，完全符合国家规范及甲乙双方确认的响应文件、本合同关于货物数量、质量的要求。货物符合实行国家“三包”规定的，应执行“三包”规定。</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、标准：本合同所指的货物应符合招标文件要求、乙方响应投标时所列出的配置、技术参数及各项要求，同时应符合中华人民共和国国家质量及国家安全环保标准。</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、进口产品必须具备原产地证明和商检部门的检验证明及合法进货渠道证明。</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、国内制造的产品必须具备出厂合格证。</w:t>
      </w:r>
    </w:p>
    <w:p>
      <w:pPr>
        <w:ind w:right="-159" w:firstLine="480" w:firstLineChars="200"/>
        <w:rPr>
          <w:rFonts w:ascii="宋体" w:hAnsi="宋体"/>
          <w:sz w:val="24"/>
          <w:szCs w:val="24"/>
          <w:lang w:eastAsia="zh-CN"/>
        </w:rPr>
      </w:pPr>
      <w:r>
        <w:rPr>
          <w:rFonts w:ascii="宋体" w:hAnsi="宋体"/>
          <w:sz w:val="24"/>
          <w:szCs w:val="24"/>
          <w:lang w:eastAsia="zh-CN"/>
        </w:rPr>
        <w:t>5</w:t>
      </w:r>
      <w:r>
        <w:rPr>
          <w:rFonts w:hint="eastAsia" w:ascii="宋体" w:hAnsi="宋体"/>
          <w:sz w:val="24"/>
          <w:szCs w:val="24"/>
          <w:lang w:eastAsia="zh-CN"/>
        </w:rPr>
        <w:t>、乙方应将所供货物的用户手册、保修手册、有关资料及配件、备品备件、随机工具等交给甲方，甲方须知的重要资料应附有中文说明。</w:t>
      </w:r>
    </w:p>
    <w:p>
      <w:pPr>
        <w:ind w:right="-159" w:firstLine="482" w:firstLineChars="200"/>
        <w:rPr>
          <w:rFonts w:ascii="宋体" w:hAnsi="宋体"/>
          <w:sz w:val="24"/>
          <w:szCs w:val="24"/>
          <w:lang w:eastAsia="zh-CN"/>
        </w:rPr>
      </w:pPr>
      <w:r>
        <w:rPr>
          <w:rFonts w:hint="eastAsia" w:ascii="宋体" w:hAnsi="宋体"/>
          <w:b/>
          <w:bCs/>
          <w:sz w:val="24"/>
          <w:szCs w:val="24"/>
          <w:lang w:eastAsia="zh-CN"/>
        </w:rPr>
        <w:t>三、交货方式和交货地点</w:t>
      </w:r>
    </w:p>
    <w:p>
      <w:pPr>
        <w:ind w:right="-159" w:firstLine="480" w:firstLineChars="200"/>
        <w:rPr>
          <w:rFonts w:ascii="宋体" w:hAnsi="宋体"/>
          <w:sz w:val="24"/>
          <w:szCs w:val="24"/>
          <w:lang w:eastAsia="zh-CN"/>
        </w:rPr>
      </w:pPr>
      <w:r>
        <w:rPr>
          <w:rFonts w:hint="eastAsia" w:ascii="宋体" w:hAnsi="宋体"/>
          <w:sz w:val="24"/>
          <w:szCs w:val="24"/>
          <w:lang w:eastAsia="zh-CN"/>
        </w:rPr>
        <w:t>乙方免费送货上门至甲方指定地点，合同签订之日起_____历天内在采购人指定地点安装完成。</w:t>
      </w:r>
    </w:p>
    <w:p>
      <w:pPr>
        <w:ind w:right="-159" w:firstLine="482" w:firstLineChars="200"/>
        <w:rPr>
          <w:rFonts w:ascii="宋体" w:hAnsi="宋体"/>
          <w:sz w:val="24"/>
          <w:szCs w:val="24"/>
          <w:lang w:eastAsia="zh-CN"/>
        </w:rPr>
      </w:pPr>
      <w:r>
        <w:rPr>
          <w:rFonts w:hint="eastAsia" w:ascii="宋体" w:hAnsi="宋体"/>
          <w:b/>
          <w:bCs/>
          <w:sz w:val="24"/>
          <w:szCs w:val="24"/>
          <w:lang w:eastAsia="zh-CN"/>
        </w:rPr>
        <w:t>四、包装</w:t>
      </w:r>
    </w:p>
    <w:p>
      <w:pPr>
        <w:ind w:right="-159" w:firstLine="480" w:firstLineChars="200"/>
        <w:rPr>
          <w:rFonts w:ascii="宋体" w:hAnsi="宋体"/>
          <w:sz w:val="24"/>
          <w:szCs w:val="24"/>
          <w:lang w:eastAsia="zh-CN"/>
        </w:rPr>
      </w:pPr>
      <w:r>
        <w:rPr>
          <w:rFonts w:hint="eastAsia" w:ascii="宋体" w:hAnsi="宋体"/>
          <w:sz w:val="24"/>
          <w:szCs w:val="24"/>
          <w:lang w:eastAsia="zh-CN"/>
        </w:rPr>
        <w:t>乙方交付的货物应为制造商原厂包装，包装箱号与设备出厂批号一致。</w:t>
      </w:r>
      <w:r>
        <w:rPr>
          <w:rFonts w:hint="eastAsia" w:ascii="宋体" w:hAnsi="宋体"/>
          <w:b/>
          <w:bCs/>
          <w:sz w:val="24"/>
          <w:szCs w:val="24"/>
          <w:lang w:eastAsia="zh-CN"/>
        </w:rPr>
        <w:t>投标人须知</w:t>
      </w:r>
      <w:r>
        <w:rPr>
          <w:rFonts w:hint="eastAsia" w:ascii="宋体" w:hAnsi="宋体"/>
          <w:sz w:val="24"/>
          <w:szCs w:val="24"/>
          <w:lang w:eastAsia="zh-CN"/>
        </w:rPr>
        <w:t>有特殊要求的从特殊要求。</w:t>
      </w:r>
    </w:p>
    <w:p>
      <w:pPr>
        <w:ind w:right="-159" w:firstLine="482" w:firstLineChars="200"/>
        <w:rPr>
          <w:rFonts w:ascii="宋体" w:hAnsi="宋体"/>
          <w:sz w:val="24"/>
          <w:szCs w:val="24"/>
          <w:lang w:eastAsia="zh-CN"/>
        </w:rPr>
      </w:pPr>
      <w:r>
        <w:rPr>
          <w:rFonts w:hint="eastAsia" w:ascii="宋体" w:hAnsi="宋体"/>
          <w:b/>
          <w:bCs/>
          <w:sz w:val="24"/>
          <w:szCs w:val="24"/>
          <w:lang w:eastAsia="zh-CN"/>
        </w:rPr>
        <w:t>五、安装与调试</w:t>
      </w:r>
    </w:p>
    <w:p>
      <w:pPr>
        <w:ind w:right="-159" w:firstLine="476" w:firstLineChars="200"/>
        <w:rPr>
          <w:rFonts w:ascii="宋体" w:hAnsi="宋体"/>
          <w:sz w:val="24"/>
          <w:szCs w:val="24"/>
          <w:lang w:eastAsia="zh-CN"/>
        </w:rPr>
      </w:pPr>
      <w:r>
        <w:rPr>
          <w:rFonts w:hint="eastAsia" w:asciiTheme="minorEastAsia" w:hAnsiTheme="minorEastAsia" w:eastAsiaTheme="minorEastAsia" w:cstheme="minorEastAsia"/>
          <w:spacing w:val="-1"/>
          <w:sz w:val="24"/>
          <w:szCs w:val="24"/>
          <w:lang w:eastAsia="zh-CN"/>
        </w:rPr>
        <w:t>乙方对需定制的产品生产之前应对安装货物的房间进行尺寸复核，按照招标文件要求及实际情况进行尺寸微调，确保货物安装到位并调试至最佳状态并保证采购人原有物品不受损坏，否则由乙方照价赔偿。</w:t>
      </w:r>
    </w:p>
    <w:p>
      <w:pPr>
        <w:ind w:right="-159" w:firstLine="482" w:firstLineChars="200"/>
        <w:rPr>
          <w:rFonts w:ascii="宋体" w:hAnsi="宋体"/>
          <w:b/>
          <w:sz w:val="24"/>
          <w:szCs w:val="24"/>
          <w:lang w:eastAsia="zh-CN"/>
        </w:rPr>
      </w:pPr>
      <w:r>
        <w:rPr>
          <w:rFonts w:hint="eastAsia" w:ascii="宋体" w:hAnsi="宋体"/>
          <w:b/>
          <w:sz w:val="24"/>
          <w:szCs w:val="24"/>
          <w:lang w:eastAsia="zh-CN"/>
        </w:rPr>
        <w:t>六、验收方式、质量保证期及售后服务要求</w:t>
      </w:r>
    </w:p>
    <w:p>
      <w:pPr>
        <w:ind w:right="-159" w:firstLine="480" w:firstLineChars="200"/>
        <w:rPr>
          <w:rFonts w:ascii="宋体" w:hAnsi="宋体"/>
          <w:sz w:val="24"/>
          <w:szCs w:val="24"/>
          <w:lang w:eastAsia="zh-CN"/>
        </w:rPr>
      </w:pPr>
      <w:r>
        <w:rPr>
          <w:rFonts w:hint="eastAsia" w:ascii="宋体" w:hAnsi="宋体"/>
          <w:sz w:val="24"/>
          <w:szCs w:val="24"/>
          <w:lang w:eastAsia="zh-CN"/>
        </w:rPr>
        <w:t>1、验收</w:t>
      </w:r>
    </w:p>
    <w:p>
      <w:pPr>
        <w:ind w:right="-159" w:firstLine="480" w:firstLineChars="200"/>
        <w:rPr>
          <w:rFonts w:ascii="宋体" w:hAnsi="宋体"/>
          <w:sz w:val="24"/>
          <w:szCs w:val="24"/>
          <w:lang w:eastAsia="zh-CN"/>
        </w:rPr>
      </w:pPr>
      <w:r>
        <w:rPr>
          <w:rFonts w:hint="eastAsia" w:ascii="宋体" w:hAnsi="宋体"/>
          <w:sz w:val="24"/>
          <w:szCs w:val="24"/>
          <w:lang w:eastAsia="zh-CN"/>
        </w:rPr>
        <w:t>①验收小组应由采购人、使用单位、受邀的第三方组成。</w:t>
      </w:r>
    </w:p>
    <w:p>
      <w:pPr>
        <w:ind w:right="-159" w:firstLine="480" w:firstLineChars="200"/>
        <w:rPr>
          <w:rFonts w:ascii="宋体" w:hAnsi="宋体"/>
          <w:sz w:val="24"/>
          <w:szCs w:val="24"/>
          <w:lang w:eastAsia="zh-CN"/>
        </w:rPr>
      </w:pPr>
      <w:r>
        <w:rPr>
          <w:rFonts w:hint="eastAsia" w:ascii="宋体" w:hAnsi="宋体"/>
          <w:sz w:val="24"/>
          <w:szCs w:val="24"/>
          <w:lang w:eastAsia="zh-CN"/>
        </w:rPr>
        <w:t>②货物验收</w:t>
      </w:r>
    </w:p>
    <w:p>
      <w:pPr>
        <w:ind w:right="-159" w:firstLine="480" w:firstLineChars="200"/>
        <w:rPr>
          <w:rFonts w:ascii="宋体" w:hAnsi="宋体"/>
          <w:sz w:val="24"/>
          <w:szCs w:val="24"/>
          <w:lang w:eastAsia="zh-CN"/>
        </w:rPr>
      </w:pPr>
      <w:r>
        <w:rPr>
          <w:rFonts w:hint="eastAsia" w:ascii="宋体" w:hAnsi="宋体"/>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ind w:right="-159" w:firstLine="480" w:firstLineChars="200"/>
        <w:rPr>
          <w:rFonts w:ascii="宋体" w:hAnsi="宋体"/>
          <w:sz w:val="24"/>
          <w:szCs w:val="24"/>
          <w:lang w:eastAsia="zh-CN"/>
        </w:rPr>
      </w:pPr>
      <w:r>
        <w:rPr>
          <w:rFonts w:hint="eastAsia" w:ascii="宋体" w:hAnsi="宋体"/>
          <w:sz w:val="24"/>
          <w:szCs w:val="24"/>
          <w:lang w:eastAsia="zh-CN"/>
        </w:rPr>
        <w:t>③安装验收</w:t>
      </w:r>
    </w:p>
    <w:p>
      <w:pPr>
        <w:ind w:right="-159" w:firstLine="480" w:firstLineChars="200"/>
        <w:rPr>
          <w:rFonts w:ascii="宋体" w:hAnsi="宋体"/>
          <w:sz w:val="24"/>
          <w:szCs w:val="24"/>
          <w:lang w:eastAsia="zh-CN"/>
        </w:rPr>
      </w:pPr>
      <w:r>
        <w:rPr>
          <w:rFonts w:hint="eastAsia" w:ascii="宋体" w:hAnsi="宋体"/>
          <w:sz w:val="24"/>
          <w:szCs w:val="24"/>
          <w:lang w:eastAsia="zh-CN"/>
        </w:rPr>
        <w:t>货物及组装材料验收合格后方可进行安装调试，安装调试应以达到采购人正常使用为标准。中标人向验收小组发出全面验收邀请。</w:t>
      </w:r>
    </w:p>
    <w:p>
      <w:pPr>
        <w:ind w:right="-159" w:firstLine="480" w:firstLineChars="200"/>
        <w:rPr>
          <w:rFonts w:ascii="宋体" w:hAnsi="宋体"/>
          <w:sz w:val="24"/>
          <w:szCs w:val="24"/>
          <w:lang w:eastAsia="zh-CN"/>
        </w:rPr>
      </w:pPr>
      <w:r>
        <w:rPr>
          <w:rFonts w:hint="eastAsia" w:ascii="宋体" w:hAnsi="宋体"/>
          <w:sz w:val="24"/>
          <w:szCs w:val="24"/>
          <w:lang w:eastAsia="zh-CN"/>
        </w:rPr>
        <w:t>④中标人在要求期限内不能履行合同的，采购人有权终止合同，由此造成的经济损失及社会负面影响均有中标人承担，并依法报请南阳市政府采购监督管理部门处理。</w:t>
      </w:r>
    </w:p>
    <w:p>
      <w:pPr>
        <w:ind w:right="-159" w:firstLine="480" w:firstLineChars="200"/>
        <w:rPr>
          <w:rFonts w:ascii="宋体" w:hAnsi="宋体"/>
          <w:sz w:val="24"/>
          <w:szCs w:val="24"/>
          <w:lang w:eastAsia="zh-CN"/>
        </w:rPr>
      </w:pPr>
      <w:r>
        <w:rPr>
          <w:rFonts w:hint="eastAsia"/>
          <w:sz w:val="24"/>
          <w:szCs w:val="24"/>
          <w:lang w:eastAsia="zh-CN"/>
        </w:rPr>
        <w:t>2、</w:t>
      </w:r>
      <w:r>
        <w:rPr>
          <w:rFonts w:hint="eastAsia" w:ascii="宋体" w:hAnsi="宋体"/>
          <w:sz w:val="24"/>
          <w:szCs w:val="24"/>
          <w:lang w:eastAsia="zh-CN"/>
        </w:rPr>
        <w:t>甲乙双方以本合同约定的产品技术参数、配置为标准进行验收，验收合格后由甲方签署验收证明文件。</w:t>
      </w:r>
    </w:p>
    <w:p>
      <w:pPr>
        <w:ind w:firstLine="480" w:firstLineChars="200"/>
        <w:rPr>
          <w:rFonts w:ascii="宋体" w:hAnsi="宋体" w:cs="宋体"/>
          <w:sz w:val="24"/>
          <w:szCs w:val="24"/>
          <w:lang w:eastAsia="zh-CN"/>
        </w:rPr>
      </w:pPr>
      <w:r>
        <w:rPr>
          <w:rFonts w:hint="eastAsia" w:ascii="宋体" w:hAnsi="宋体" w:cs="宋体"/>
          <w:sz w:val="24"/>
          <w:szCs w:val="24"/>
          <w:lang w:eastAsia="zh-CN"/>
        </w:rPr>
        <w:t>3、质量保证</w:t>
      </w:r>
    </w:p>
    <w:p>
      <w:pPr>
        <w:ind w:firstLine="480" w:firstLineChars="200"/>
        <w:rPr>
          <w:rFonts w:ascii="宋体" w:hAnsi="宋体" w:cs="宋体"/>
          <w:sz w:val="24"/>
          <w:szCs w:val="24"/>
          <w:lang w:eastAsia="zh-CN"/>
        </w:rPr>
      </w:pPr>
      <w:r>
        <w:rPr>
          <w:rFonts w:hint="eastAsia" w:ascii="宋体" w:hAnsi="宋体" w:cs="宋体"/>
          <w:sz w:val="24"/>
          <w:szCs w:val="24"/>
          <w:lang w:eastAsia="zh-CN"/>
        </w:rPr>
        <w:t>软件质量保证期为</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eastAsia="zh-CN"/>
        </w:rPr>
        <w:t>年（年内免费升级维护）；</w:t>
      </w:r>
    </w:p>
    <w:p>
      <w:pPr>
        <w:ind w:right="-159" w:firstLine="480" w:firstLineChars="200"/>
        <w:rPr>
          <w:rFonts w:ascii="宋体" w:hAnsi="宋体"/>
          <w:sz w:val="24"/>
          <w:szCs w:val="24"/>
          <w:lang w:eastAsia="zh-CN"/>
        </w:rPr>
      </w:pPr>
      <w:r>
        <w:rPr>
          <w:rFonts w:hint="eastAsia" w:ascii="宋体" w:hAnsi="宋体" w:cs="宋体"/>
          <w:sz w:val="24"/>
          <w:szCs w:val="24"/>
          <w:lang w:eastAsia="zh-CN"/>
        </w:rPr>
        <w:t>硬件质量保证期为</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eastAsia="zh-CN"/>
        </w:rPr>
        <w:t>年，自验收合格之日起开始计算。在此期间，设备因制造、安装质量而发生损坏或不能正常工作时，</w:t>
      </w:r>
      <w:r>
        <w:rPr>
          <w:rFonts w:hint="eastAsia" w:ascii="宋体" w:hAnsi="宋体"/>
          <w:sz w:val="24"/>
          <w:szCs w:val="24"/>
          <w:lang w:eastAsia="zh-CN"/>
        </w:rPr>
        <w:t>乙方应无条件包修、包换、包退</w:t>
      </w:r>
      <w:r>
        <w:rPr>
          <w:rFonts w:hint="eastAsia" w:ascii="宋体" w:hAnsi="宋体" w:cs="宋体"/>
          <w:sz w:val="24"/>
          <w:szCs w:val="24"/>
          <w:lang w:eastAsia="zh-CN"/>
        </w:rPr>
        <w:t>，并赔偿发包人损失。</w:t>
      </w:r>
    </w:p>
    <w:p>
      <w:pPr>
        <w:ind w:right="-159" w:firstLine="480" w:firstLineChars="200"/>
        <w:rPr>
          <w:rFonts w:ascii="宋体" w:hAnsi="宋体"/>
          <w:sz w:val="24"/>
          <w:szCs w:val="24"/>
          <w:lang w:eastAsia="zh-CN"/>
        </w:rPr>
      </w:pPr>
      <w:r>
        <w:rPr>
          <w:rFonts w:hint="eastAsia" w:ascii="宋体" w:hAnsi="宋体"/>
          <w:sz w:val="24"/>
          <w:szCs w:val="24"/>
          <w:lang w:eastAsia="zh-CN"/>
        </w:rPr>
        <w:t>4、质量保证期内，整机或零部件非人为因素不能使用而更换部分的质量保证期和免费维修期相应延长。</w:t>
      </w:r>
    </w:p>
    <w:p>
      <w:pPr>
        <w:ind w:right="-159" w:firstLine="480" w:firstLineChars="200"/>
        <w:rPr>
          <w:rFonts w:ascii="宋体" w:hAnsi="宋体"/>
          <w:sz w:val="24"/>
          <w:szCs w:val="24"/>
          <w:lang w:eastAsia="zh-CN"/>
        </w:rPr>
      </w:pPr>
      <w:r>
        <w:rPr>
          <w:rFonts w:hint="eastAsia" w:ascii="宋体" w:hAnsi="宋体"/>
          <w:sz w:val="24"/>
          <w:szCs w:val="24"/>
          <w:lang w:eastAsia="zh-CN"/>
        </w:rPr>
        <w:t>5、乙方负责向甲方提供现场操作及维修保养方面的培训。</w:t>
      </w:r>
    </w:p>
    <w:p>
      <w:pPr>
        <w:ind w:right="-159" w:firstLine="482" w:firstLineChars="200"/>
        <w:rPr>
          <w:rFonts w:ascii="宋体" w:hAnsi="宋体"/>
          <w:b/>
          <w:sz w:val="24"/>
          <w:szCs w:val="24"/>
          <w:lang w:eastAsia="zh-CN"/>
        </w:rPr>
      </w:pPr>
      <w:r>
        <w:rPr>
          <w:rFonts w:hint="eastAsia" w:ascii="宋体" w:hAnsi="宋体"/>
          <w:b/>
          <w:sz w:val="24"/>
          <w:szCs w:val="24"/>
          <w:lang w:eastAsia="zh-CN"/>
        </w:rPr>
        <w:t>七、付款方式</w:t>
      </w:r>
    </w:p>
    <w:p>
      <w:pPr>
        <w:ind w:firstLine="480" w:firstLineChars="200"/>
        <w:rPr>
          <w:rFonts w:ascii="宋体" w:hAnsi="宋体"/>
          <w:sz w:val="24"/>
          <w:szCs w:val="24"/>
          <w:lang w:eastAsia="zh-CN"/>
        </w:rPr>
      </w:pPr>
      <w:r>
        <w:rPr>
          <w:rFonts w:hint="eastAsia" w:ascii="宋体" w:hAnsi="宋体"/>
          <w:sz w:val="24"/>
          <w:szCs w:val="24"/>
          <w:lang w:eastAsia="zh-CN"/>
        </w:rPr>
        <w:t>货物按照采购人指定地点安装调试完毕、验收检测合格后一次性支付全部货款。</w:t>
      </w:r>
    </w:p>
    <w:p>
      <w:pPr>
        <w:ind w:right="-159" w:firstLine="482" w:firstLineChars="200"/>
        <w:rPr>
          <w:rFonts w:ascii="宋体" w:hAnsi="宋体"/>
          <w:b/>
          <w:sz w:val="24"/>
          <w:szCs w:val="24"/>
          <w:lang w:eastAsia="zh-CN"/>
        </w:rPr>
      </w:pPr>
      <w:r>
        <w:rPr>
          <w:rFonts w:hint="eastAsia" w:ascii="宋体" w:hAnsi="宋体"/>
          <w:b/>
          <w:sz w:val="24"/>
          <w:szCs w:val="24"/>
          <w:lang w:eastAsia="zh-CN"/>
        </w:rPr>
        <w:t>八、违约责任</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乙方不能按本合同规定的交货时间交付货物，或在合同规定的交货时间内乙方交付的货物（包括安装、调试）达不到验收标准的，采购人有权终止合同，由此造成的经济损失和社会影响均有中标人承担。并依法依规向南阳市采购办上报处理。</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乙方不能按本合同规定的交货时间交付货物，或在合同规定的交货时间内乙方交付的货物（包括安装、调试）达不到验收标准的，除乙方按照第八条第一款交纳违约金外，从逾期之日起乙方需另外每日按本合同总价</w:t>
      </w:r>
      <w:r>
        <w:rPr>
          <w:rFonts w:ascii="宋体" w:hAnsi="宋体"/>
          <w:sz w:val="24"/>
          <w:szCs w:val="24"/>
          <w:lang w:eastAsia="zh-CN"/>
        </w:rPr>
        <w:t>2</w:t>
      </w:r>
      <w:r>
        <w:rPr>
          <w:rFonts w:hint="eastAsia" w:ascii="宋体" w:hAnsi="宋体"/>
          <w:sz w:val="24"/>
          <w:szCs w:val="24"/>
          <w:lang w:eastAsia="zh-CN"/>
        </w:rPr>
        <w:t>‰的数额向甲方支付违约金；逾期十天以上的，甲方有权终止合同，由此造成的甲方经济损失由乙方承担。</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、乙方不按其售后服务承诺响应甲方的服务请求的，乙方须向甲方支付合同总价</w:t>
      </w:r>
      <w:r>
        <w:rPr>
          <w:rFonts w:ascii="宋体" w:hAnsi="宋体"/>
          <w:sz w:val="24"/>
          <w:szCs w:val="24"/>
          <w:lang w:eastAsia="zh-CN"/>
        </w:rPr>
        <w:t>2</w:t>
      </w:r>
      <w:r>
        <w:rPr>
          <w:rFonts w:hint="eastAsia" w:ascii="宋体" w:hAnsi="宋体"/>
          <w:sz w:val="24"/>
          <w:szCs w:val="24"/>
          <w:lang w:eastAsia="zh-CN"/>
        </w:rPr>
        <w:t>％的违约金。</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、甲方不按合同规定接收货物，或无正当理由不按政府采购处的要求办理结算手续的，乙方可向南阳市政府采购管理部门投诉。</w:t>
      </w:r>
    </w:p>
    <w:p>
      <w:pPr>
        <w:ind w:right="-159" w:firstLine="482" w:firstLineChars="200"/>
        <w:rPr>
          <w:rFonts w:ascii="宋体" w:hAnsi="宋体"/>
          <w:sz w:val="24"/>
          <w:szCs w:val="24"/>
          <w:lang w:eastAsia="zh-CN"/>
        </w:rPr>
      </w:pPr>
      <w:r>
        <w:rPr>
          <w:rFonts w:hint="eastAsia" w:ascii="宋体" w:hAnsi="宋体"/>
          <w:b/>
          <w:bCs/>
          <w:sz w:val="24"/>
          <w:szCs w:val="24"/>
          <w:lang w:eastAsia="zh-CN"/>
        </w:rPr>
        <w:t>九、提出异议的时间和方法</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、甲方在验收中如发现货物的品种、型号、规格、质量不符合约定的，应在妥善保管货物的同时，自收到货物起</w:t>
      </w:r>
      <w:r>
        <w:rPr>
          <w:rFonts w:ascii="宋体" w:hAnsi="宋体"/>
          <w:sz w:val="24"/>
          <w:szCs w:val="24"/>
          <w:lang w:eastAsia="zh-CN"/>
        </w:rPr>
        <w:t>3</w:t>
      </w:r>
      <w:r>
        <w:rPr>
          <w:rFonts w:hint="eastAsia" w:ascii="宋体" w:hAnsi="宋体"/>
          <w:sz w:val="24"/>
          <w:szCs w:val="24"/>
          <w:lang w:eastAsia="zh-CN"/>
        </w:rPr>
        <w:t>天内向乙方提出书面异议。</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、甲方因违章操作、保管保养不善等自身因素造成质量问题的，不得提出异议。</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、乙方在接到甲方书面异议后，应在</w:t>
      </w:r>
      <w:r>
        <w:rPr>
          <w:rFonts w:ascii="宋体" w:hAnsi="宋体"/>
          <w:sz w:val="24"/>
          <w:szCs w:val="24"/>
          <w:lang w:eastAsia="zh-CN"/>
        </w:rPr>
        <w:t>24</w:t>
      </w:r>
      <w:r>
        <w:rPr>
          <w:rFonts w:hint="eastAsia" w:ascii="宋体" w:hAnsi="宋体"/>
          <w:sz w:val="24"/>
          <w:szCs w:val="24"/>
          <w:lang w:eastAsia="zh-CN"/>
        </w:rPr>
        <w:t>小时内作出处理并予以书面说明；否则，视为货物不合格。</w:t>
      </w:r>
    </w:p>
    <w:p>
      <w:pPr>
        <w:ind w:right="-159" w:firstLine="482" w:firstLineChars="200"/>
        <w:rPr>
          <w:rFonts w:ascii="宋体" w:hAnsi="宋体"/>
          <w:sz w:val="24"/>
          <w:szCs w:val="24"/>
          <w:lang w:eastAsia="zh-CN"/>
        </w:rPr>
      </w:pPr>
      <w:r>
        <w:rPr>
          <w:rFonts w:hint="eastAsia" w:ascii="宋体" w:hAnsi="宋体"/>
          <w:b/>
          <w:bCs/>
          <w:sz w:val="24"/>
          <w:szCs w:val="24"/>
          <w:lang w:eastAsia="zh-CN"/>
        </w:rPr>
        <w:t>十、不可抗力</w:t>
      </w:r>
    </w:p>
    <w:p>
      <w:pPr>
        <w:ind w:right="-159" w:firstLine="480" w:firstLineChars="200"/>
        <w:rPr>
          <w:rFonts w:ascii="宋体" w:hAnsi="宋体"/>
          <w:sz w:val="24"/>
          <w:szCs w:val="24"/>
          <w:lang w:eastAsia="zh-CN"/>
        </w:rPr>
      </w:pPr>
      <w:r>
        <w:rPr>
          <w:rFonts w:hint="eastAsia" w:ascii="宋体" w:hAnsi="宋体"/>
          <w:sz w:val="24"/>
          <w:szCs w:val="24"/>
          <w:lang w:eastAsia="zh-CN"/>
        </w:rPr>
        <w:t>任何一方由于不可抗力原因无法履行合同时，应在不可抗力事件结束后</w:t>
      </w:r>
      <w:r>
        <w:rPr>
          <w:rFonts w:ascii="宋体" w:hAnsi="宋体"/>
          <w:sz w:val="24"/>
          <w:szCs w:val="24"/>
          <w:lang w:eastAsia="zh-CN"/>
        </w:rPr>
        <w:t>1</w:t>
      </w:r>
      <w:r>
        <w:rPr>
          <w:rFonts w:hint="eastAsia" w:ascii="宋体" w:hAnsi="宋体"/>
          <w:sz w:val="24"/>
          <w:szCs w:val="24"/>
          <w:lang w:eastAsia="zh-CN"/>
        </w:rPr>
        <w:t>日内向对方通报，以减轻可能给对方造成的损失；在取得有关机构的不可抗力证明或者双方谅解确认后，允许延期履行或修订合同，并视情况免于承担部分或全部的违约责任。</w:t>
      </w:r>
    </w:p>
    <w:p>
      <w:pPr>
        <w:ind w:right="-159" w:firstLine="482" w:firstLineChars="200"/>
        <w:rPr>
          <w:rFonts w:ascii="宋体" w:hAnsi="宋体"/>
          <w:sz w:val="24"/>
          <w:szCs w:val="24"/>
          <w:lang w:eastAsia="zh-CN"/>
        </w:rPr>
      </w:pPr>
      <w:r>
        <w:rPr>
          <w:rFonts w:hint="eastAsia" w:ascii="宋体" w:hAnsi="宋体"/>
          <w:b/>
          <w:bCs/>
          <w:sz w:val="24"/>
          <w:szCs w:val="24"/>
          <w:lang w:eastAsia="zh-CN"/>
        </w:rPr>
        <w:t>十一、争议的解决</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、合同履行过程中发生争议，首先由双方协商解决。如协商不能达成一致，甲、乙双方可向南阳市有管辖权的人民法院提起诉讼。</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、因货物质量问题发生的争议，统一由南阳市市场监督管理局鉴定，其鉴定为最终鉴定。货物符合质量技术标准的，鉴定费由甲方承担；货物不符合质量技术标准的，鉴定费由乙方承担。</w:t>
      </w:r>
    </w:p>
    <w:p>
      <w:pPr>
        <w:ind w:right="-159" w:firstLine="482" w:firstLineChars="200"/>
        <w:rPr>
          <w:rFonts w:ascii="宋体" w:hAnsi="宋体"/>
          <w:b/>
          <w:bCs/>
          <w:sz w:val="24"/>
          <w:szCs w:val="24"/>
          <w:lang w:eastAsia="zh-CN"/>
        </w:rPr>
      </w:pPr>
      <w:r>
        <w:rPr>
          <w:rFonts w:hint="eastAsia" w:ascii="宋体" w:hAnsi="宋体"/>
          <w:b/>
          <w:bCs/>
          <w:sz w:val="24"/>
          <w:szCs w:val="24"/>
          <w:lang w:eastAsia="zh-CN"/>
        </w:rPr>
        <w:t>十二、补充条款</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承包方必须按相关规定及时支付本项目的工人工资及材料供应商的材料款，本项目若出现工人或材料供应商上访、闹事、堵门等事件，发包方有权从合同款中直接支付工人工资及材料供应商的材料款。同时，每出现一起因承包方责任引发的诉讼案件，承包方支付发包方违约金_5万元，每出现一次因承包方责任引发的上访或围堵校门事件，承包方支付发包方违约金_10万元，以上违约金从履约保证金或合同进度款中扣除。</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2）关于作业期间环保问题，承包方必须依据囯家、省、市相关部门以及《南阳市大气污染防治条例》的最新规定，严格按照相关部门的具体要求，做好作业现场的大气污染环保防治措施。若因承包方原因造成的环保等主管部门给予的处罚，则由承包方负责，若出现罚款则在合同款中直接扣除。</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3）在工程移交之前，承包人应当从作业现场清除承包人的全部工程设备、多余材料、垃圾和各种临时工程，并保持作业现场清洁整齐。经发包人书面同意，承包人可在发包人指定的地点保留承包人履行保修期内的各项义务所需要的材料、设备和临时辅材。如果不按上述要求执行，则由发包方另行进行处理，所产生的费用在合同款中扣除。</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4）由承包方采购的主要设备，承包方须提前向发包方提供样品，若因承包方原因提供时间滞后，而影响到工期，责任由承包方承担。且承包方在购置材料前必须得到发包方和监理方的认可，如有必要，承包方应配合监理方、造价方和发包方进行市场考察，费用由承包方承担。购置的材料、设备在使用前须按规定检验，其规格、标准、质量须符合设计要求并能满足工程需要。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（5）竣工备案资料由承包方统一组织整理（需由发包人、监理方和分包人提供的由承包人索取），并在规定的时间内向发包方备案，负责备案验收费用。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6）项目经理/项目负责人、项目管理团队人员按投标承诺到场工作，项目经理/项目负责人每少一天1000元/天向发包人支付违约金，技术负责人、安全负责人等主要管理人员缺一天1000元/天向发包人违约金，超过一月不到场解除合同。以上人员不得在其它工地兼职，否则向发包人支付违约5万元/人。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（7）承包人严格落实招标文件中要求和投标文件中各项承偌，如果不能遵守承担违约责任，承担违约金及解除合同，并承担各种损失。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8）确需分包的劳务或专业设备安装，必须依法依规（招标、发包方认可等）择优选择符合条件的企业。专业人员、劳务人员等相关人员必须具有职业资格证、上岗证等相关证件。若发现没有职业资格证、上岗证等必需证件的人员，清除出施工现场。未清除出施工现场的，违规在岗一天，罚承包方300元/人。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（9）与该标段组织机构管理团队无关的管理人员，不得进入作业现场参与管理。发现违规，清除出作业现场。未清除出作业现场的，违规在岗一天，罚承包方300元/人。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（10）承包商应在合同款不到位的情况下按照投标文件响应的工期计划依规完工。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11）外部施工环境关系和各标段之间的协调处理由承包人负责并承担费用；在资金不到位的情况下，保证连续作业，按照合同要求如期竣工交付；按照投标文件响应的工期计划依规竣工不得延误；以上视为承包人在投标文件中认可并响应。</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12）材料/半成品、设备须是一线大厂品牌，进场前必须提前申报监理、业主对比选优确认，依据设计方案、图纸及相关规范规定及检测合格后方可进场使用，未按程序或不合格清退出场，并按招标控制价处以5％-10％的违约金。</w:t>
      </w:r>
    </w:p>
    <w:p>
      <w:pPr>
        <w:ind w:right="-159" w:firstLine="480" w:firstLineChars="200"/>
        <w:rPr>
          <w:rFonts w:ascii="宋体" w:hAnsi="宋体" w:cs="Times New Roman"/>
          <w:sz w:val="24"/>
          <w:szCs w:val="24"/>
          <w:highlight w:val="none"/>
          <w:lang w:eastAsia="zh-CN"/>
        </w:rPr>
      </w:pPr>
      <w:r>
        <w:rPr>
          <w:rFonts w:hint="eastAsia" w:ascii="宋体" w:hAnsi="宋体" w:cs="Times New Roman"/>
          <w:sz w:val="24"/>
          <w:szCs w:val="24"/>
          <w:lang w:eastAsia="zh-CN"/>
        </w:rPr>
        <w:t>（13）承包方现场作业管理须遵守</w:t>
      </w:r>
      <w:r>
        <w:rPr>
          <w:rFonts w:hint="eastAsia" w:ascii="宋体" w:hAnsi="宋体" w:cs="Times New Roman"/>
          <w:sz w:val="24"/>
          <w:szCs w:val="24"/>
          <w:highlight w:val="none"/>
          <w:lang w:val="en-US" w:eastAsia="zh-CN"/>
        </w:rPr>
        <w:t>甲方</w:t>
      </w:r>
      <w:r>
        <w:rPr>
          <w:rFonts w:hint="eastAsia" w:ascii="宋体" w:hAnsi="宋体" w:cs="Times New Roman"/>
          <w:sz w:val="24"/>
          <w:szCs w:val="24"/>
          <w:highlight w:val="none"/>
          <w:lang w:eastAsia="zh-CN"/>
        </w:rPr>
        <w:t xml:space="preserve">建设项目现场管理办法。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（14）作业过程中工序验收、隐蔽项验收、设备验收、软件验收、测试验收等必须按国家相关规范规定、合同约定、甲方管理规定实施，未按标准规范规定流程验收等返工处理费用自理重新验收。</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15）承包方进场作业应严格按照业主及监理单位审核通过的项目实施方案有序、安全作业，和作业现场其他标段承包方良好配合，因承包方自身原因造成其他工程停工延误工期的，中标人应向业主支付招标控制价0.5％赔偿金。</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（16）中标人应向发包人提供产品使用说明书，培训至发包人能够熟练使用。</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（17）投入使用后，中标人接到故障电话应30分钟内应赶到现场解决问题。</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（18）承包人在安装调试过程中应保证发包人原有物品及建筑的完好，如有损坏应原样赔偿。以上内容视为承包人在投标文件中认可并响应。</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（19）招标清单中出现的检测费用均以实际发生为准，检测机构应由监理、发包方确认后方可实施。</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（20）开学前后2个月内应有7×24小时驻场服务人员，做好售后保障，确保设备正常运行。</w:t>
      </w:r>
    </w:p>
    <w:p>
      <w:pPr>
        <w:ind w:right="-159" w:firstLine="480" w:firstLineChars="200"/>
        <w:rPr>
          <w:rFonts w:ascii="宋体" w:hAnsi="宋体"/>
          <w:sz w:val="24"/>
          <w:szCs w:val="24"/>
          <w:lang w:eastAsia="zh-CN"/>
        </w:rPr>
      </w:pPr>
      <w:r>
        <w:rPr>
          <w:rFonts w:hint="eastAsia" w:ascii="宋体" w:hAnsi="宋体" w:cs="Times New Roman"/>
          <w:sz w:val="24"/>
          <w:szCs w:val="24"/>
          <w:lang w:eastAsia="zh-CN"/>
        </w:rPr>
        <w:t>（21）其他补充条款以双方实际签订内容为准。</w:t>
      </w:r>
    </w:p>
    <w:p>
      <w:pPr>
        <w:ind w:right="-159" w:firstLine="482" w:firstLineChars="200"/>
        <w:rPr>
          <w:rFonts w:ascii="宋体" w:hAnsi="宋体"/>
          <w:sz w:val="24"/>
          <w:szCs w:val="24"/>
          <w:lang w:eastAsia="zh-CN"/>
        </w:rPr>
      </w:pPr>
      <w:r>
        <w:rPr>
          <w:rFonts w:hint="eastAsia" w:ascii="宋体" w:hAnsi="宋体"/>
          <w:b/>
          <w:bCs/>
          <w:sz w:val="24"/>
          <w:szCs w:val="24"/>
          <w:lang w:eastAsia="zh-CN"/>
        </w:rPr>
        <w:t>十三、其它</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、本项目的招标文件、投标文件及所有附件均为本合同的有效组成部分，与合同具有同等的法律效力。</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、本项目的招标文件、投标文件与本合同不一致的，以本合同为准。</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、本合同经甲乙双方法定代表人或授权代理人签字盖章之日起生效。</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、本合同正本一式玖份，甲方持有柒份，乙方持有贰份，均具有同等法律效力。其他未尽事宜以合同的补充条款约定为准。</w:t>
      </w:r>
    </w:p>
    <w:p>
      <w:pPr>
        <w:ind w:right="-159" w:firstLine="480" w:firstLineChars="200"/>
        <w:rPr>
          <w:rFonts w:ascii="宋体" w:hAnsi="宋体"/>
          <w:sz w:val="24"/>
          <w:szCs w:val="24"/>
          <w:lang w:eastAsia="zh-CN"/>
        </w:rPr>
      </w:pPr>
    </w:p>
    <w:tbl>
      <w:tblPr>
        <w:tblStyle w:val="18"/>
        <w:tblW w:w="0" w:type="auto"/>
        <w:jc w:val="center"/>
        <w:tblLayout w:type="fixed"/>
        <w:tblCellMar>
          <w:top w:w="0" w:type="dxa"/>
          <w:left w:w="108" w:type="dxa"/>
          <w:bottom w:w="0" w:type="dxa"/>
          <w:right w:w="108" w:type="dxa"/>
        </w:tblCellMar>
      </w:tblPr>
      <w:tblGrid>
        <w:gridCol w:w="5104"/>
        <w:gridCol w:w="4394"/>
      </w:tblGrid>
      <w:tr>
        <w:tblPrEx>
          <w:tblCellMar>
            <w:top w:w="0" w:type="dxa"/>
            <w:left w:w="108" w:type="dxa"/>
            <w:bottom w:w="0" w:type="dxa"/>
            <w:right w:w="108" w:type="dxa"/>
          </w:tblCellMar>
        </w:tblPrEx>
        <w:trPr>
          <w:jc w:val="center"/>
        </w:trPr>
        <w:tc>
          <w:tcPr>
            <w:tcW w:w="5104" w:type="dxa"/>
          </w:tcPr>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甲方：(公章)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授权代理人：</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日期：</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地址：</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电话：</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传真：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甲方开户行：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甲方账号：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甲方账号名称：</w:t>
            </w:r>
          </w:p>
          <w:p>
            <w:pPr>
              <w:ind w:right="-159"/>
              <w:rPr>
                <w:rFonts w:ascii="宋体" w:hAnsi="宋体"/>
                <w:sz w:val="24"/>
                <w:szCs w:val="24"/>
                <w:lang w:eastAsia="zh-CN"/>
              </w:rPr>
            </w:pPr>
            <w:r>
              <w:rPr>
                <w:rFonts w:hint="eastAsia" w:ascii="宋体" w:hAnsi="宋体"/>
                <w:sz w:val="24"/>
                <w:szCs w:val="24"/>
                <w:lang w:eastAsia="zh-CN"/>
              </w:rPr>
              <w:t>甲方统一社会信用代码：</w:t>
            </w:r>
          </w:p>
        </w:tc>
        <w:tc>
          <w:tcPr>
            <w:tcW w:w="4394" w:type="dxa"/>
          </w:tcPr>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乙方：(公章)</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法定代表人(授权代理人)：</w:t>
            </w:r>
          </w:p>
          <w:p>
            <w:pPr>
              <w:spacing w:line="480" w:lineRule="auto"/>
              <w:ind w:right="-159" w:firstLine="480" w:firstLineChars="200"/>
              <w:rPr>
                <w:rFonts w:ascii="宋体" w:hAnsi="宋体"/>
                <w:sz w:val="24"/>
                <w:szCs w:val="24"/>
              </w:rPr>
            </w:pPr>
            <w:r>
              <w:rPr>
                <w:rFonts w:hint="eastAsia" w:ascii="宋体" w:hAnsi="宋体"/>
                <w:sz w:val="24"/>
                <w:szCs w:val="24"/>
              </w:rPr>
              <w:t>日期：</w:t>
            </w:r>
          </w:p>
          <w:p>
            <w:pPr>
              <w:spacing w:line="480" w:lineRule="auto"/>
              <w:ind w:right="-159" w:firstLine="480" w:firstLineChars="200"/>
              <w:rPr>
                <w:rFonts w:ascii="宋体" w:hAnsi="宋体"/>
                <w:sz w:val="24"/>
                <w:szCs w:val="24"/>
              </w:rPr>
            </w:pPr>
            <w:r>
              <w:rPr>
                <w:rFonts w:hint="eastAsia" w:ascii="宋体" w:hAnsi="宋体"/>
                <w:sz w:val="24"/>
                <w:szCs w:val="24"/>
              </w:rPr>
              <w:t>地址：</w:t>
            </w:r>
          </w:p>
          <w:p>
            <w:pPr>
              <w:spacing w:line="480" w:lineRule="auto"/>
              <w:ind w:right="-159" w:firstLine="480" w:firstLineChars="200"/>
              <w:rPr>
                <w:rFonts w:ascii="宋体" w:hAnsi="宋体"/>
                <w:sz w:val="24"/>
                <w:szCs w:val="24"/>
              </w:rPr>
            </w:pPr>
            <w:r>
              <w:rPr>
                <w:rFonts w:hint="eastAsia" w:ascii="宋体" w:hAnsi="宋体"/>
                <w:sz w:val="24"/>
                <w:szCs w:val="24"/>
              </w:rPr>
              <w:t>乙方手机：</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传真：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乙方开户行：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乙方账号：</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乙方账号名称：</w:t>
            </w:r>
          </w:p>
          <w:p>
            <w:pPr>
              <w:ind w:right="-159" w:firstLine="480" w:firstLineChars="200"/>
              <w:rPr>
                <w:rFonts w:ascii="宋体" w:hAnsi="宋体"/>
                <w:sz w:val="24"/>
                <w:szCs w:val="24"/>
                <w:lang w:eastAsia="zh-CN"/>
              </w:rPr>
            </w:pPr>
            <w:r>
              <w:rPr>
                <w:rFonts w:hint="eastAsia" w:ascii="宋体" w:hAnsi="宋体"/>
                <w:sz w:val="24"/>
                <w:szCs w:val="24"/>
                <w:lang w:eastAsia="zh-CN"/>
              </w:rPr>
              <w:t>乙方统一社会信用代码：</w:t>
            </w:r>
          </w:p>
        </w:tc>
      </w:tr>
    </w:tbl>
    <w:p>
      <w:pPr>
        <w:spacing w:line="480" w:lineRule="auto"/>
        <w:ind w:right="-159" w:firstLine="480" w:firstLineChars="200"/>
        <w:rPr>
          <w:rFonts w:ascii="宋体" w:hAnsi="宋体"/>
          <w:sz w:val="24"/>
          <w:szCs w:val="24"/>
          <w:lang w:eastAsia="zh-CN"/>
        </w:rPr>
      </w:pPr>
    </w:p>
    <w:p>
      <w:pPr>
        <w:pStyle w:val="8"/>
        <w:rPr>
          <w:rFonts w:asciiTheme="minorEastAsia" w:hAnsiTheme="minorEastAsia" w:eastAsiaTheme="minorEastAsia" w:cstheme="minorEastAsia"/>
          <w:sz w:val="24"/>
          <w:szCs w:val="24"/>
          <w:lang w:eastAsia="zh-CN"/>
        </w:rPr>
      </w:pPr>
      <w:r>
        <w:rPr>
          <w:rFonts w:hint="eastAsia"/>
          <w:sz w:val="24"/>
          <w:szCs w:val="24"/>
          <w:lang w:eastAsia="zh-CN"/>
        </w:rPr>
        <w:t>企业规模：微企业    小企业     中型企业     大型企业（请在相对应选项划√）</w:t>
      </w:r>
    </w:p>
    <w:p>
      <w:pPr>
        <w:spacing w:line="220" w:lineRule="auto"/>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117" w:right="1130" w:bottom="1060" w:left="1700" w:header="878" w:footer="886" w:gutter="0"/>
          <w:pgNumType w:fmt="numberInDash"/>
          <w:cols w:space="720" w:num="1"/>
        </w:sectPr>
      </w:pPr>
    </w:p>
    <w:p>
      <w:pPr>
        <w:pStyle w:val="3"/>
        <w:jc w:val="center"/>
        <w:rPr>
          <w:rFonts w:asciiTheme="minorEastAsia" w:hAnsiTheme="minorEastAsia" w:eastAsiaTheme="minorEastAsia" w:cstheme="minorEastAsia"/>
          <w:sz w:val="32"/>
          <w:szCs w:val="32"/>
          <w:lang w:eastAsia="zh-CN"/>
        </w:rPr>
      </w:pPr>
      <w:bookmarkStart w:id="8" w:name="_Toc29889"/>
      <w: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1"/>
          <w:sz w:val="32"/>
          <w:szCs w:val="32"/>
          <w:lang w:eastAsia="zh-CN"/>
        </w:rPr>
        <w:t xml:space="preserve">   </w:t>
      </w:r>
      <w: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t>投标文件格式</w:t>
      </w:r>
      <w:bookmarkEnd w:id="8"/>
    </w:p>
    <w:p>
      <w:pPr>
        <w:pStyle w:val="8"/>
        <w:spacing w:before="78" w:line="220" w:lineRule="auto"/>
        <w:ind w:left="15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pPr>
        <w:pStyle w:val="8"/>
        <w:spacing w:before="181" w:line="307" w:lineRule="auto"/>
        <w:ind w:left="150" w:right="11" w:firstLine="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pPr>
        <w:spacing w:line="174" w:lineRule="auto"/>
        <w:ind w:left="15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展）填写提交。</w:t>
      </w:r>
    </w:p>
    <w:p>
      <w:pPr>
        <w:pStyle w:val="8"/>
        <w:spacing w:before="146" w:line="219" w:lineRule="auto"/>
        <w:ind w:left="16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pPr>
        <w:rPr>
          <w:rFonts w:ascii="宋体" w:hAnsi="宋体"/>
          <w:b/>
          <w:sz w:val="36"/>
          <w:szCs w:val="36"/>
          <w:lang w:eastAsia="zh-CN"/>
        </w:rPr>
      </w:pPr>
      <w:r>
        <w:rPr>
          <w:rFonts w:hint="eastAsia" w:asciiTheme="minorEastAsia" w:hAnsiTheme="minorEastAsia" w:eastAsiaTheme="minorEastAsia" w:cstheme="minorEastAsia"/>
          <w:spacing w:val="-2"/>
          <w:szCs w:val="24"/>
          <w:lang w:eastAsia="zh-CN"/>
        </w:rPr>
        <w:br w:type="page"/>
      </w:r>
    </w:p>
    <w:p>
      <w:pPr>
        <w:pStyle w:val="16"/>
        <w:ind w:left="0" w:leftChars="0" w:firstLine="0" w:firstLineChars="0"/>
        <w:rPr>
          <w:lang w:eastAsia="zh-CN"/>
        </w:rPr>
        <w:sectPr>
          <w:headerReference r:id="rId8" w:type="default"/>
          <w:footerReference r:id="rId9" w:type="default"/>
          <w:pgSz w:w="11907" w:h="16840"/>
          <w:pgMar w:top="1117" w:right="1132" w:bottom="1060" w:left="1700" w:header="878" w:footer="886" w:gutter="0"/>
          <w:pgNumType w:fmt="numberInDash"/>
          <w:cols w:space="720" w:num="1"/>
        </w:sectPr>
      </w:pPr>
    </w:p>
    <w:p>
      <w:pPr>
        <w:pStyle w:val="8"/>
        <w:spacing w:before="78" w:line="220" w:lineRule="auto"/>
        <w:ind w:left="13"/>
        <w:outlineLvl w:val="2"/>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4"/>
          <w:sz w:val="28"/>
          <w:szCs w:val="28"/>
          <w:lang w:eastAsia="zh-CN"/>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1"/>
          <w:sz w:val="28"/>
          <w:szCs w:val="28"/>
          <w:lang w:eastAsia="zh-CN"/>
        </w:rPr>
        <w:t xml:space="preserve"> </w:t>
      </w:r>
      <w:r>
        <w:rPr>
          <w:rFonts w:hint="eastAsia" w:asciiTheme="minorEastAsia" w:hAnsiTheme="minorEastAsia" w:eastAsiaTheme="minorEastAsia" w:cstheme="minorEastAsia"/>
          <w:spacing w:val="24"/>
          <w:sz w:val="28"/>
          <w:szCs w:val="28"/>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0"/>
          <w:sz w:val="28"/>
          <w:szCs w:val="28"/>
          <w:lang w:eastAsia="zh-CN"/>
        </w:rPr>
        <w:t xml:space="preserve"> </w:t>
      </w:r>
      <w:r>
        <w:rPr>
          <w:rFonts w:hint="eastAsia" w:asciiTheme="minorEastAsia" w:hAnsiTheme="minorEastAsia" w:eastAsiaTheme="minorEastAsia" w:cstheme="minorEastAsia"/>
          <w:spacing w:val="24"/>
          <w:sz w:val="28"/>
          <w:szCs w:val="28"/>
          <w:lang w:eastAsia="zh-CN"/>
          <w14:textOutline w14:w="1536" w14:cap="flat" w14:cmpd="sng" w14:algn="ctr">
            <w14:solidFill>
              <w14:srgbClr w14:val="000000"/>
            </w14:solidFill>
            <w14:prstDash w14:val="solid"/>
            <w14:miter w14:val="0"/>
          </w14:textOutline>
        </w:rPr>
        <w:t>资格证明文件格式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pPr>
        <w:jc w:val="both"/>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2.授权书格式</w:t>
      </w:r>
    </w:p>
    <w:p>
      <w:pPr>
        <w:ind w:firstLine="567"/>
        <w:jc w:val="center"/>
        <w:rPr>
          <w:rFonts w:asciiTheme="minorEastAsia" w:hAnsiTheme="minorEastAsia" w:eastAsiaTheme="minorEastAsia" w:cstheme="minorEastAsia"/>
          <w:b/>
          <w:sz w:val="32"/>
          <w:szCs w:val="32"/>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ind w:firstLine="604" w:firstLineChars="252"/>
        <w:rPr>
          <w:rFonts w:ascii="仿宋_GB2312" w:hAnsi="宋体" w:eastAsia="仿宋_GB2312"/>
          <w:sz w:val="24"/>
          <w:szCs w:val="24"/>
          <w:lang w:eastAsia="zh-CN"/>
        </w:rPr>
      </w:pPr>
    </w:p>
    <w:p>
      <w:pPr>
        <w:spacing w:line="220" w:lineRule="auto"/>
        <w:rPr>
          <w:rFonts w:asciiTheme="minorEastAsia" w:hAnsiTheme="minorEastAsia" w:eastAsiaTheme="minorEastAsia" w:cstheme="minorEastAsia"/>
          <w:szCs w:val="24"/>
          <w:lang w:eastAsia="zh-CN"/>
        </w:rPr>
        <w:sectPr>
          <w:headerReference r:id="rId10" w:type="default"/>
          <w:footerReference r:id="rId11" w:type="default"/>
          <w:pgSz w:w="11907" w:h="16840"/>
          <w:pgMar w:top="1117" w:right="1133" w:bottom="1060" w:left="1700" w:header="878" w:footer="886" w:gutter="0"/>
          <w:pgNumType w:fmt="numberInDash"/>
          <w:cols w:space="720" w:num="1"/>
        </w:sectPr>
      </w:pPr>
    </w:p>
    <w:p>
      <w:pPr>
        <w:spacing w:line="256" w:lineRule="auto"/>
        <w:rPr>
          <w:rFonts w:asciiTheme="minorEastAsia" w:hAnsiTheme="minorEastAsia" w:eastAsiaTheme="minorEastAsia" w:cstheme="minorEastAsia"/>
          <w:sz w:val="30"/>
          <w:szCs w:val="30"/>
          <w:lang w:eastAsia="zh-CN"/>
        </w:rPr>
      </w:pPr>
    </w:p>
    <w:p>
      <w:pP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3.资格声明函格式</w:t>
      </w:r>
    </w:p>
    <w:p>
      <w:pPr>
        <w:ind w:firstLine="567"/>
        <w:jc w:val="center"/>
        <w:rPr>
          <w:rFonts w:ascii="仿宋_GB2312" w:hAnsi="宋体" w:eastAsia="仿宋_GB2312"/>
          <w:sz w:val="30"/>
          <w:szCs w:val="30"/>
          <w:lang w:eastAsia="zh-CN"/>
        </w:rPr>
      </w:pPr>
    </w:p>
    <w:p>
      <w:pPr>
        <w:jc w:val="center"/>
        <w:rPr>
          <w:rFonts w:asciiTheme="minorEastAsia" w:hAnsiTheme="minorEastAsia" w:eastAsiaTheme="minorEastAsia" w:cstheme="minorEastAsia"/>
          <w:b/>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lang w:eastAsia="zh-CN"/>
          <w14:textFill>
            <w14:solidFill>
              <w14:schemeClr w14:val="tx1"/>
            </w14:solidFill>
          </w14:textFill>
        </w:rPr>
        <w:t>关于资格的声明函</w:t>
      </w:r>
    </w:p>
    <w:p>
      <w:pPr>
        <w:ind w:firstLine="567"/>
        <w:rPr>
          <w:rFonts w:ascii="仿宋_GB2312" w:hAnsi="宋体" w:eastAsia="仿宋_GB2312"/>
          <w:sz w:val="28"/>
          <w:szCs w:val="28"/>
          <w:lang w:eastAsia="zh-CN"/>
        </w:rPr>
      </w:pPr>
    </w:p>
    <w:p>
      <w:pPr>
        <w:pStyle w:val="8"/>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 xml:space="preserve"> 公开招标，本签字人愿意参加投标，提供“采购内容及要求”中规定的服务，并证明提交的下列文件和说明是准确的真实的。</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8"/>
        <w:ind w:firstLine="468" w:firstLineChars="200"/>
        <w:rPr>
          <w:rFonts w:asciiTheme="minorEastAsia" w:hAnsiTheme="minorEastAsia" w:eastAsiaTheme="minorEastAsia" w:cstheme="minorEastAsia"/>
          <w:spacing w:val="-3"/>
          <w:sz w:val="24"/>
          <w:szCs w:val="24"/>
          <w:lang w:eastAsia="zh-CN"/>
        </w:rPr>
      </w:pPr>
    </w:p>
    <w:p>
      <w:pPr>
        <w:pStyle w:val="8"/>
        <w:ind w:firstLine="468" w:firstLineChars="200"/>
        <w:rPr>
          <w:rFonts w:asciiTheme="minorEastAsia" w:hAnsiTheme="minorEastAsia" w:eastAsiaTheme="minorEastAsia" w:cstheme="minorEastAsia"/>
          <w:spacing w:val="-3"/>
          <w:sz w:val="24"/>
          <w:szCs w:val="24"/>
          <w:lang w:eastAsia="zh-CN"/>
        </w:rPr>
      </w:pP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投标人（企业电子签章）：                                                  </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w:t>
      </w:r>
      <w:r>
        <w:rPr>
          <w:rFonts w:hint="eastAsia" w:asciiTheme="minorEastAsia" w:hAnsiTheme="minorEastAsia" w:eastAsiaTheme="minorEastAsia" w:cstheme="minorEastAsia"/>
          <w:sz w:val="24"/>
          <w:szCs w:val="24"/>
          <w:lang w:eastAsia="zh-CN"/>
        </w:rPr>
        <w:t>（负责人）</w:t>
      </w:r>
      <w:r>
        <w:rPr>
          <w:rFonts w:hint="eastAsia" w:asciiTheme="minorEastAsia" w:hAnsiTheme="minorEastAsia" w:eastAsiaTheme="minorEastAsia" w:cstheme="minorEastAsia"/>
          <w:spacing w:val="-3"/>
          <w:sz w:val="24"/>
          <w:szCs w:val="24"/>
          <w:lang w:eastAsia="zh-CN"/>
        </w:rPr>
        <w:t xml:space="preserve">或授权代表（签字）：                          </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    年   月    日</w:t>
      </w:r>
    </w:p>
    <w:p>
      <w:pPr>
        <w:pStyle w:val="8"/>
        <w:ind w:firstLine="468" w:firstLineChars="200"/>
        <w:rPr>
          <w:rFonts w:asciiTheme="minorEastAsia" w:hAnsiTheme="minorEastAsia" w:eastAsiaTheme="minorEastAsia" w:cstheme="minorEastAsia"/>
          <w:spacing w:val="-3"/>
          <w:sz w:val="24"/>
          <w:szCs w:val="24"/>
          <w:lang w:eastAsia="zh-CN"/>
        </w:rPr>
      </w:pPr>
    </w:p>
    <w:p>
      <w:pPr>
        <w:pStyle w:val="8"/>
        <w:ind w:firstLine="470"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spacing w:val="-96"/>
          <w:sz w:val="24"/>
          <w:szCs w:val="24"/>
          <w:lang w:eastAsia="zh-CN"/>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3"/>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pPr>
        <w:spacing w:line="220" w:lineRule="auto"/>
        <w:rPr>
          <w:rFonts w:asciiTheme="minorEastAsia" w:hAnsiTheme="minorEastAsia" w:eastAsiaTheme="minorEastAsia" w:cstheme="minorEastAsia"/>
          <w:szCs w:val="24"/>
          <w:lang w:eastAsia="zh-CN"/>
        </w:rPr>
        <w:sectPr>
          <w:footerReference r:id="rId12" w:type="default"/>
          <w:pgSz w:w="11907" w:h="16840"/>
          <w:pgMar w:top="1117" w:right="1133" w:bottom="1060" w:left="1700" w:header="878" w:footer="886" w:gutter="0"/>
          <w:pgNumType w:fmt="numberInDash"/>
          <w:cols w:space="720" w:num="1"/>
        </w:sect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pStyle w:val="8"/>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pacing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Cs w:val="24"/>
          <w:lang w:eastAsia="zh-CN"/>
          <w14:textOutline w14:w="1536" w14:cap="flat" w14:cmpd="sng" w14:algn="ctr">
            <w14:solidFill>
              <w14:srgbClr w14:val="000000"/>
            </w14:solidFill>
            <w14:prstDash w14:val="solid"/>
            <w14:miter w14:val="0"/>
          </w14:textOutline>
        </w:rPr>
        <w:br w:type="page"/>
      </w:r>
    </w:p>
    <w:p>
      <w:pPr>
        <w:pStyle w:val="8"/>
        <w:spacing w:before="78" w:line="220" w:lineRule="auto"/>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商务技术文件格式</w:t>
      </w:r>
    </w:p>
    <w:p>
      <w:pP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pPr>
        <w:ind w:firstLine="3376" w:firstLineChars="1051"/>
        <w:jc w:val="both"/>
        <w:rPr>
          <w:rFonts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投  标  书</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         ） 的公开招标公告，签字代表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（全名、职务）经正式授权并代表投标人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（投标人名称、地址）提交电子投标文件一份，并对之负法律责任。</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项，商务技术文件第1至</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电话（传真）：                             </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投标人名称（企业电子签章）：</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sectPr>
          <w:headerReference r:id="rId13" w:type="default"/>
          <w:footerReference r:id="rId14" w:type="default"/>
          <w:pgSz w:w="11907" w:h="16840"/>
          <w:pgMar w:top="1117" w:right="1077" w:bottom="1060" w:left="1592" w:header="878" w:footer="886" w:gutter="0"/>
          <w:pgNumType w:fmt="numberInDash"/>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jc w:val="both"/>
        <w:rPr>
          <w:rFonts w:ascii="宋体" w:hAnsi="宋体"/>
          <w:b/>
          <w:szCs w:val="24"/>
          <w:lang w:eastAsia="zh-CN"/>
        </w:rPr>
      </w:pPr>
      <w:r>
        <w:rPr>
          <w:rFonts w:hint="eastAsia" w:ascii="宋体" w:hAnsi="宋体"/>
          <w:b/>
          <w:szCs w:val="24"/>
          <w:lang w:eastAsia="zh-CN"/>
        </w:rPr>
        <w:t>2、投标分项报价一览表</w:t>
      </w:r>
    </w:p>
    <w:p>
      <w:pPr>
        <w:jc w:val="center"/>
        <w:rPr>
          <w:lang w:eastAsia="zh-CN"/>
        </w:rPr>
      </w:pPr>
      <w:r>
        <w:rPr>
          <w:rFonts w:hint="eastAsia" w:asciiTheme="minorEastAsia" w:hAnsiTheme="minorEastAsia" w:eastAsiaTheme="minorEastAsia" w:cstheme="minorEastAsia"/>
          <w:b/>
          <w:szCs w:val="24"/>
        </w:rPr>
        <w:t>投标</w:t>
      </w:r>
      <w:r>
        <w:rPr>
          <w:rFonts w:hint="eastAsia" w:asciiTheme="minorEastAsia" w:hAnsiTheme="minorEastAsia" w:eastAsiaTheme="minorEastAsia" w:cstheme="minorEastAsia"/>
          <w:b/>
          <w:szCs w:val="24"/>
          <w:lang w:eastAsia="zh-CN"/>
        </w:rPr>
        <w:t>分项</w:t>
      </w:r>
      <w:r>
        <w:rPr>
          <w:rFonts w:hint="eastAsia" w:asciiTheme="minorEastAsia" w:hAnsiTheme="minorEastAsia" w:eastAsiaTheme="minorEastAsia" w:cstheme="minorEastAsia"/>
          <w:b/>
          <w:szCs w:val="24"/>
        </w:rPr>
        <w:t>报价一览表</w:t>
      </w:r>
    </w:p>
    <w:tbl>
      <w:tblPr>
        <w:tblStyle w:val="18"/>
        <w:tblpPr w:leftFromText="180" w:rightFromText="180" w:vertAnchor="text" w:horzAnchor="page" w:tblpXSpec="center" w:tblpY="348"/>
        <w:tblOverlap w:val="never"/>
        <w:tblW w:w="15136" w:type="dxa"/>
        <w:jc w:val="center"/>
        <w:tblLayout w:type="fixed"/>
        <w:tblCellMar>
          <w:top w:w="0" w:type="dxa"/>
          <w:left w:w="108" w:type="dxa"/>
          <w:bottom w:w="0" w:type="dxa"/>
          <w:right w:w="108" w:type="dxa"/>
        </w:tblCellMar>
      </w:tblPr>
      <w:tblGrid>
        <w:gridCol w:w="784"/>
        <w:gridCol w:w="1350"/>
        <w:gridCol w:w="1363"/>
        <w:gridCol w:w="1923"/>
        <w:gridCol w:w="1991"/>
        <w:gridCol w:w="723"/>
        <w:gridCol w:w="763"/>
        <w:gridCol w:w="1950"/>
        <w:gridCol w:w="1337"/>
        <w:gridCol w:w="1022"/>
        <w:gridCol w:w="1930"/>
      </w:tblGrid>
      <w:tr>
        <w:tblPrEx>
          <w:tblCellMar>
            <w:top w:w="0" w:type="dxa"/>
            <w:left w:w="108" w:type="dxa"/>
            <w:bottom w:w="0" w:type="dxa"/>
            <w:right w:w="108" w:type="dxa"/>
          </w:tblCellMar>
        </w:tblPrEx>
        <w:trPr>
          <w:trHeight w:val="504" w:hRule="exact"/>
          <w:jc w:val="center"/>
        </w:trPr>
        <w:tc>
          <w:tcPr>
            <w:tcW w:w="3497" w:type="dxa"/>
            <w:gridSpan w:val="3"/>
            <w:tcBorders>
              <w:top w:val="nil"/>
              <w:left w:val="nil"/>
              <w:bottom w:val="single" w:color="auto" w:sz="4" w:space="0"/>
              <w:right w:val="nil"/>
            </w:tcBorders>
            <w:vAlign w:val="center"/>
          </w:tcPr>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投标人名称（企业电子签章）：</w:t>
            </w:r>
          </w:p>
        </w:tc>
        <w:tc>
          <w:tcPr>
            <w:tcW w:w="3914" w:type="dxa"/>
            <w:gridSpan w:val="2"/>
            <w:tcBorders>
              <w:top w:val="nil"/>
              <w:left w:val="nil"/>
              <w:bottom w:val="single" w:color="auto" w:sz="4" w:space="0"/>
              <w:right w:val="nil"/>
            </w:tcBorders>
            <w:vAlign w:val="center"/>
          </w:tcPr>
          <w:p>
            <w:pPr>
              <w:ind w:firstLine="567"/>
              <w:rPr>
                <w:rFonts w:asciiTheme="minorEastAsia" w:hAnsiTheme="minorEastAsia" w:eastAsiaTheme="minorEastAsia" w:cstheme="minorEastAsia"/>
                <w:szCs w:val="24"/>
                <w:lang w:eastAsia="zh-CN"/>
              </w:rPr>
            </w:pPr>
          </w:p>
        </w:tc>
        <w:tc>
          <w:tcPr>
            <w:tcW w:w="723" w:type="dxa"/>
            <w:tcBorders>
              <w:top w:val="nil"/>
              <w:left w:val="nil"/>
              <w:bottom w:val="single" w:color="auto" w:sz="4" w:space="0"/>
              <w:right w:val="nil"/>
            </w:tcBorders>
            <w:vAlign w:val="center"/>
          </w:tcPr>
          <w:p>
            <w:pPr>
              <w:ind w:firstLine="567"/>
              <w:rPr>
                <w:rFonts w:asciiTheme="minorEastAsia" w:hAnsiTheme="minorEastAsia" w:eastAsiaTheme="minorEastAsia" w:cstheme="minorEastAsia"/>
                <w:szCs w:val="24"/>
                <w:lang w:eastAsia="zh-CN"/>
              </w:rPr>
            </w:pPr>
          </w:p>
        </w:tc>
        <w:tc>
          <w:tcPr>
            <w:tcW w:w="763" w:type="dxa"/>
            <w:tcBorders>
              <w:top w:val="nil"/>
              <w:left w:val="nil"/>
              <w:bottom w:val="single" w:color="auto" w:sz="4" w:space="0"/>
              <w:right w:val="nil"/>
            </w:tcBorders>
            <w:vAlign w:val="center"/>
          </w:tcPr>
          <w:p>
            <w:pPr>
              <w:ind w:firstLine="567"/>
              <w:rPr>
                <w:rFonts w:asciiTheme="minorEastAsia" w:hAnsiTheme="minorEastAsia" w:eastAsiaTheme="minorEastAsia" w:cstheme="minorEastAsia"/>
                <w:szCs w:val="24"/>
                <w:lang w:eastAsia="zh-CN"/>
              </w:rPr>
            </w:pPr>
          </w:p>
        </w:tc>
        <w:tc>
          <w:tcPr>
            <w:tcW w:w="3287" w:type="dxa"/>
            <w:gridSpan w:val="2"/>
            <w:tcBorders>
              <w:top w:val="nil"/>
              <w:left w:val="nil"/>
              <w:bottom w:val="single" w:color="auto" w:sz="4" w:space="0"/>
              <w:right w:val="nil"/>
            </w:tcBorders>
            <w:vAlign w:val="center"/>
          </w:tcPr>
          <w:p>
            <w:pPr>
              <w:ind w:firstLine="315" w:firstLineChars="15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项目编号：</w:t>
            </w:r>
          </w:p>
        </w:tc>
        <w:tc>
          <w:tcPr>
            <w:tcW w:w="1022" w:type="dxa"/>
            <w:tcBorders>
              <w:top w:val="nil"/>
              <w:left w:val="nil"/>
              <w:bottom w:val="single" w:color="auto" w:sz="4" w:space="0"/>
              <w:right w:val="nil"/>
            </w:tcBorders>
            <w:vAlign w:val="center"/>
          </w:tcPr>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   </w:t>
            </w:r>
          </w:p>
        </w:tc>
        <w:tc>
          <w:tcPr>
            <w:tcW w:w="1930" w:type="dxa"/>
            <w:tcBorders>
              <w:top w:val="nil"/>
              <w:left w:val="nil"/>
              <w:bottom w:val="single" w:color="auto" w:sz="4" w:space="0"/>
              <w:right w:val="nil"/>
            </w:tcBorders>
            <w:vAlign w:val="center"/>
          </w:tcPr>
          <w:p>
            <w:pPr>
              <w:rPr>
                <w:rFonts w:asciiTheme="minorEastAsia" w:hAnsiTheme="minorEastAsia" w:eastAsiaTheme="minorEastAsia" w:cstheme="minorEastAsia"/>
                <w:szCs w:val="24"/>
                <w:lang w:eastAsia="zh-CN"/>
              </w:rPr>
            </w:pPr>
          </w:p>
        </w:tc>
      </w:tr>
      <w:tr>
        <w:tblPrEx>
          <w:tblCellMar>
            <w:top w:w="0" w:type="dxa"/>
            <w:left w:w="108" w:type="dxa"/>
            <w:bottom w:w="0" w:type="dxa"/>
            <w:right w:w="108" w:type="dxa"/>
          </w:tblCellMar>
        </w:tblPrEx>
        <w:trPr>
          <w:trHeight w:val="98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99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生产厂家、产地</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投标单价（元）</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w:t>
            </w:r>
          </w:p>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是否为核心产品</w:t>
            </w: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350"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p>
            <w:pPr>
              <w:ind w:firstLine="567"/>
              <w:jc w:val="center"/>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350"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p>
            <w:pPr>
              <w:ind w:firstLine="567"/>
              <w:jc w:val="center"/>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736" w:hRule="atLeast"/>
          <w:jc w:val="center"/>
        </w:trPr>
        <w:tc>
          <w:tcPr>
            <w:tcW w:w="15136" w:type="dxa"/>
            <w:gridSpan w:val="11"/>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投标报价金额合计（大写）：                                      </w:t>
            </w:r>
            <w:r>
              <w:rPr>
                <w:szCs w:val="24"/>
                <w:lang w:eastAsia="zh-CN"/>
              </w:rPr>
              <w:t>人民币（小写）：</w:t>
            </w:r>
          </w:p>
        </w:tc>
      </w:tr>
    </w:tbl>
    <w:p>
      <w:pPr>
        <w:ind w:firstLine="210" w:firstLineChars="10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法定代表人（负责人）或授权代表（签字）：                                   时间：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月</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日</w:t>
      </w:r>
    </w:p>
    <w:p>
      <w:pPr>
        <w:ind w:firstLine="210" w:firstLineChars="100"/>
        <w:rPr>
          <w:rFonts w:asciiTheme="minorEastAsia" w:hAnsiTheme="minorEastAsia" w:eastAsiaTheme="minorEastAsia" w:cstheme="minorEastAsia"/>
          <w:szCs w:val="24"/>
          <w:lang w:eastAsia="zh-CN"/>
        </w:rPr>
        <w:sectPr>
          <w:pgSz w:w="16840" w:h="11907" w:orient="landscape"/>
          <w:pgMar w:top="1803" w:right="1440" w:bottom="1803" w:left="1440" w:header="851" w:footer="992" w:gutter="0"/>
          <w:pgNumType w:fmt="numberInDash"/>
          <w:cols w:space="720" w:num="1"/>
          <w:docGrid w:linePitch="332" w:charSpace="0"/>
        </w:sectPr>
      </w:pPr>
    </w:p>
    <w:p>
      <w:pPr>
        <w:jc w:val="center"/>
        <w:rPr>
          <w:b/>
          <w:bCs/>
          <w:highlight w:val="none"/>
          <w:lang w:eastAsia="zh-CN"/>
        </w:rPr>
      </w:pPr>
      <w:r>
        <w:rPr>
          <w:rFonts w:hint="eastAsia"/>
          <w:b/>
          <w:highlight w:val="none"/>
          <w:lang w:eastAsia="zh-CN"/>
        </w:rPr>
        <w:t>核心产品</w:t>
      </w:r>
      <w:r>
        <w:rPr>
          <w:b/>
          <w:bCs/>
          <w:highlight w:val="none"/>
          <w:lang w:eastAsia="zh-CN"/>
        </w:rPr>
        <w:t>投标报价一览表</w:t>
      </w:r>
    </w:p>
    <w:p>
      <w:pPr>
        <w:rPr>
          <w:b/>
          <w:lang w:eastAsia="zh-CN"/>
        </w:rPr>
      </w:pPr>
    </w:p>
    <w:p>
      <w:pPr>
        <w:rPr>
          <w:rFonts w:ascii="宋体" w:hAnsi="宋体" w:cs="宋体"/>
          <w:b/>
          <w:bCs/>
          <w:u w:val="single"/>
          <w:lang w:eastAsia="zh-CN"/>
        </w:rPr>
      </w:pPr>
      <w:r>
        <w:rPr>
          <w:rFonts w:hint="eastAsia" w:ascii="宋体" w:hAnsi="宋体" w:cs="宋体"/>
          <w:lang w:eastAsia="zh-CN"/>
        </w:rPr>
        <w:t>投标人（</w:t>
      </w:r>
      <w:r>
        <w:rPr>
          <w:rFonts w:hint="eastAsia" w:asciiTheme="minorEastAsia" w:hAnsiTheme="minorEastAsia" w:eastAsiaTheme="minorEastAsia" w:cstheme="minorEastAsia"/>
          <w:szCs w:val="24"/>
          <w:lang w:eastAsia="zh-CN"/>
        </w:rPr>
        <w:t>企业电子签章</w:t>
      </w:r>
      <w:r>
        <w:rPr>
          <w:rFonts w:hint="eastAsia" w:ascii="宋体" w:hAnsi="宋体" w:cs="宋体"/>
          <w:lang w:eastAsia="zh-CN"/>
        </w:rPr>
        <w:t>）：</w:t>
      </w:r>
      <w:r>
        <w:rPr>
          <w:rFonts w:ascii="宋体" w:hAnsi="宋体" w:cs="宋体"/>
          <w:u w:val="single"/>
          <w:lang w:eastAsia="zh-CN"/>
        </w:rPr>
        <w:t xml:space="preserve">            </w:t>
      </w:r>
      <w:r>
        <w:rPr>
          <w:rFonts w:hint="eastAsia" w:ascii="宋体" w:hAnsi="宋体" w:cs="宋体"/>
          <w:lang w:eastAsia="zh-CN"/>
        </w:rPr>
        <w:t>项目编号：</w:t>
      </w:r>
      <w:r>
        <w:rPr>
          <w:rFonts w:ascii="宋体" w:hAnsi="宋体" w:cs="宋体"/>
          <w:i/>
          <w:u w:val="single"/>
          <w:lang w:eastAsia="zh-CN"/>
        </w:rPr>
        <w:t xml:space="preserve">                      </w:t>
      </w:r>
    </w:p>
    <w:tbl>
      <w:tblPr>
        <w:tblStyle w:val="18"/>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1276"/>
        <w:gridCol w:w="1276"/>
        <w:gridCol w:w="778"/>
        <w:gridCol w:w="1097"/>
        <w:gridCol w:w="152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vAlign w:val="center"/>
          </w:tcPr>
          <w:p>
            <w:pPr>
              <w:jc w:val="center"/>
              <w:rPr>
                <w:rFonts w:ascii="宋体" w:hAnsi="宋体" w:cs="宋体"/>
                <w:b/>
              </w:rPr>
            </w:pPr>
            <w:r>
              <w:rPr>
                <w:rFonts w:hint="eastAsia" w:ascii="宋体" w:hAnsi="宋体" w:cs="宋体"/>
                <w:b/>
              </w:rPr>
              <w:t>序号</w:t>
            </w:r>
          </w:p>
        </w:tc>
        <w:tc>
          <w:tcPr>
            <w:tcW w:w="1306" w:type="dxa"/>
            <w:vAlign w:val="center"/>
          </w:tcPr>
          <w:p>
            <w:pPr>
              <w:jc w:val="center"/>
              <w:rPr>
                <w:rFonts w:ascii="宋体" w:hAnsi="宋体" w:cs="宋体"/>
                <w:b/>
              </w:rPr>
            </w:pPr>
            <w:r>
              <w:rPr>
                <w:rFonts w:hint="eastAsia" w:ascii="宋体" w:hAnsi="宋体" w:cs="宋体"/>
                <w:b/>
              </w:rPr>
              <w:t>设备名称</w:t>
            </w:r>
          </w:p>
        </w:tc>
        <w:tc>
          <w:tcPr>
            <w:tcW w:w="1276" w:type="dxa"/>
            <w:vAlign w:val="center"/>
          </w:tcPr>
          <w:p>
            <w:pPr>
              <w:jc w:val="center"/>
              <w:rPr>
                <w:rFonts w:ascii="宋体" w:hAnsi="宋体" w:cs="宋体"/>
                <w:b/>
                <w:lang w:eastAsia="zh-CN"/>
              </w:rPr>
            </w:pPr>
            <w:r>
              <w:rPr>
                <w:rFonts w:hint="eastAsia" w:ascii="宋体" w:hAnsi="宋体" w:cs="宋体"/>
                <w:b/>
                <w:lang w:eastAsia="zh-CN"/>
              </w:rPr>
              <w:t>生产厂家</w:t>
            </w:r>
          </w:p>
        </w:tc>
        <w:tc>
          <w:tcPr>
            <w:tcW w:w="1276" w:type="dxa"/>
            <w:vAlign w:val="center"/>
          </w:tcPr>
          <w:p>
            <w:pPr>
              <w:jc w:val="center"/>
              <w:rPr>
                <w:rFonts w:ascii="宋体" w:hAnsi="宋体" w:cs="宋体"/>
                <w:b/>
              </w:rPr>
            </w:pPr>
            <w:r>
              <w:rPr>
                <w:rFonts w:hint="eastAsia" w:ascii="宋体" w:hAnsi="宋体" w:cs="宋体"/>
                <w:b/>
              </w:rPr>
              <w:t>规格型号</w:t>
            </w:r>
          </w:p>
        </w:tc>
        <w:tc>
          <w:tcPr>
            <w:tcW w:w="778" w:type="dxa"/>
            <w:vAlign w:val="center"/>
          </w:tcPr>
          <w:p>
            <w:pPr>
              <w:jc w:val="center"/>
              <w:rPr>
                <w:rFonts w:ascii="宋体" w:hAnsi="宋体" w:cs="宋体"/>
                <w:b/>
              </w:rPr>
            </w:pPr>
            <w:r>
              <w:rPr>
                <w:rFonts w:hint="eastAsia" w:ascii="宋体" w:hAnsi="宋体" w:cs="宋体"/>
                <w:b/>
              </w:rPr>
              <w:t>单位</w:t>
            </w:r>
          </w:p>
        </w:tc>
        <w:tc>
          <w:tcPr>
            <w:tcW w:w="1097" w:type="dxa"/>
            <w:vAlign w:val="center"/>
          </w:tcPr>
          <w:p>
            <w:pPr>
              <w:jc w:val="center"/>
              <w:rPr>
                <w:rFonts w:ascii="宋体" w:hAnsi="宋体" w:cs="宋体"/>
                <w:b/>
              </w:rPr>
            </w:pPr>
            <w:r>
              <w:rPr>
                <w:rFonts w:hint="eastAsia" w:ascii="宋体" w:hAnsi="宋体" w:cs="宋体"/>
                <w:b/>
              </w:rPr>
              <w:t>数量</w:t>
            </w:r>
          </w:p>
        </w:tc>
        <w:tc>
          <w:tcPr>
            <w:tcW w:w="1521" w:type="dxa"/>
            <w:vAlign w:val="center"/>
          </w:tcPr>
          <w:p>
            <w:pPr>
              <w:jc w:val="center"/>
              <w:rPr>
                <w:rFonts w:ascii="宋体" w:hAnsi="宋体" w:cs="宋体"/>
                <w:b/>
              </w:rPr>
            </w:pPr>
            <w:r>
              <w:rPr>
                <w:rFonts w:hint="eastAsia" w:ascii="宋体" w:hAnsi="宋体" w:cs="宋体"/>
                <w:b/>
              </w:rPr>
              <w:t>投标单价</w:t>
            </w:r>
          </w:p>
        </w:tc>
        <w:tc>
          <w:tcPr>
            <w:tcW w:w="2132" w:type="dxa"/>
            <w:vAlign w:val="center"/>
          </w:tcPr>
          <w:p>
            <w:pPr>
              <w:jc w:val="center"/>
              <w:rPr>
                <w:rFonts w:ascii="宋体" w:hAnsi="宋体" w:cs="宋体"/>
                <w:b/>
              </w:rPr>
            </w:pPr>
            <w:r>
              <w:rPr>
                <w:rFonts w:hint="eastAsia" w:ascii="宋体" w:hAnsi="宋体" w:cs="宋体"/>
                <w:b/>
              </w:rPr>
              <w:t>交付使用时间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vAlign w:val="center"/>
          </w:tcPr>
          <w:p>
            <w:pPr>
              <w:jc w:val="center"/>
              <w:rPr>
                <w:rFonts w:ascii="宋体" w:hAnsi="宋体" w:cs="宋体"/>
                <w:b/>
              </w:rPr>
            </w:pPr>
            <w:r>
              <w:rPr>
                <w:rFonts w:ascii="宋体" w:hAnsi="宋体" w:cs="宋体"/>
                <w:b/>
              </w:rPr>
              <w:t>1</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vAlign w:val="center"/>
          </w:tcPr>
          <w:p>
            <w:pPr>
              <w:jc w:val="center"/>
              <w:rPr>
                <w:rFonts w:ascii="宋体" w:hAnsi="宋体" w:cs="宋体"/>
                <w:b/>
              </w:rPr>
            </w:pPr>
            <w:r>
              <w:rPr>
                <w:rFonts w:ascii="宋体" w:hAnsi="宋体" w:cs="宋体"/>
                <w:b/>
              </w:rPr>
              <w:t>2</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vAlign w:val="center"/>
          </w:tcPr>
          <w:p>
            <w:pPr>
              <w:jc w:val="center"/>
              <w:rPr>
                <w:rFonts w:ascii="宋体" w:hAnsi="宋体" w:cs="宋体"/>
                <w:b/>
              </w:rPr>
            </w:pPr>
            <w:r>
              <w:rPr>
                <w:rFonts w:ascii="宋体" w:hAnsi="宋体" w:cs="宋体"/>
                <w:b/>
              </w:rPr>
              <w:t>3</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vAlign w:val="center"/>
          </w:tcPr>
          <w:p>
            <w:pPr>
              <w:jc w:val="center"/>
              <w:rPr>
                <w:rFonts w:ascii="宋体" w:hAnsi="宋体" w:cs="宋体"/>
                <w:b/>
              </w:rPr>
            </w:pPr>
            <w:r>
              <w:rPr>
                <w:rFonts w:ascii="宋体" w:hAnsi="宋体" w:cs="宋体"/>
                <w:b/>
              </w:rPr>
              <w:t>4</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vAlign w:val="center"/>
          </w:tcPr>
          <w:p>
            <w:pPr>
              <w:jc w:val="center"/>
              <w:rPr>
                <w:rFonts w:ascii="宋体" w:hAnsi="宋体" w:cs="宋体"/>
                <w:b/>
              </w:rPr>
            </w:pPr>
            <w:r>
              <w:rPr>
                <w:rFonts w:hint="eastAsia" w:ascii="宋体" w:hAnsi="宋体" w:cs="宋体"/>
                <w:b/>
              </w:rPr>
              <w:t>…</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920" w:type="dxa"/>
            <w:gridSpan w:val="8"/>
            <w:vAlign w:val="center"/>
          </w:tcPr>
          <w:p>
            <w:pPr>
              <w:rPr>
                <w:rFonts w:ascii="宋体" w:hAnsi="宋体" w:cs="宋体"/>
                <w:b/>
                <w:lang w:eastAsia="zh-CN"/>
              </w:rPr>
            </w:pPr>
            <w:r>
              <w:rPr>
                <w:rFonts w:hint="eastAsia" w:ascii="宋体" w:hAnsi="宋体" w:cs="宋体"/>
                <w:lang w:eastAsia="zh-CN"/>
              </w:rPr>
              <w:t>投标报价金额合计（大写）：</w:t>
            </w:r>
          </w:p>
        </w:tc>
      </w:tr>
    </w:tbl>
    <w:p>
      <w:pPr>
        <w:rPr>
          <w:rFonts w:ascii="宋体" w:hAnsi="宋体" w:cs="宋体"/>
          <w:b/>
          <w:lang w:eastAsia="zh-CN"/>
        </w:rPr>
      </w:pPr>
    </w:p>
    <w:p>
      <w:pPr>
        <w:rPr>
          <w:rFonts w:ascii="宋体" w:hAnsi="宋体"/>
          <w:b/>
          <w:lang w:eastAsia="zh-CN"/>
        </w:rPr>
      </w:pPr>
      <w:r>
        <w:rPr>
          <w:rFonts w:hint="eastAsia" w:ascii="宋体" w:hAnsi="宋体" w:cs="宋体"/>
          <w:b/>
          <w:lang w:eastAsia="zh-CN"/>
        </w:rPr>
        <w:t>法定代表人（负责人）或授权代表（签字）</w:t>
      </w:r>
      <w:r>
        <w:rPr>
          <w:rFonts w:hint="eastAsia" w:ascii="宋体" w:hAnsi="宋体" w:cs="宋体"/>
          <w:b/>
          <w:bCs/>
          <w:lang w:eastAsia="zh-CN"/>
        </w:rPr>
        <w:t>：</w:t>
      </w:r>
      <w:r>
        <w:rPr>
          <w:rFonts w:ascii="宋体" w:hAnsi="宋体" w:cs="宋体"/>
          <w:b/>
          <w:bCs/>
          <w:u w:val="single"/>
          <w:lang w:eastAsia="zh-CN"/>
        </w:rPr>
        <w:t xml:space="preserve">               </w:t>
      </w:r>
    </w:p>
    <w:p>
      <w:pPr>
        <w:rPr>
          <w:rFonts w:asciiTheme="minorEastAsia" w:hAnsiTheme="minorEastAsia" w:eastAsiaTheme="minorEastAsia" w:cstheme="minorEastAsia"/>
          <w:b/>
          <w:szCs w:val="24"/>
          <w:lang w:eastAsia="zh-CN"/>
        </w:rPr>
      </w:pPr>
      <w:r>
        <w:rPr>
          <w:rFonts w:hint="eastAsia" w:ascii="宋体" w:hAnsi="宋体" w:cs="宋体"/>
          <w:b/>
          <w:lang w:eastAsia="zh-CN"/>
        </w:rPr>
        <w:t>日期：</w:t>
      </w:r>
      <w:r>
        <w:rPr>
          <w:rFonts w:ascii="宋体" w:hAnsi="宋体" w:cs="宋体"/>
          <w:b/>
          <w:lang w:eastAsia="zh-CN"/>
        </w:rPr>
        <w:t xml:space="preserve">  </w:t>
      </w:r>
      <w:r>
        <w:rPr>
          <w:rFonts w:hint="eastAsia" w:ascii="宋体" w:hAnsi="宋体" w:cs="宋体"/>
          <w:b/>
          <w:lang w:eastAsia="zh-CN"/>
        </w:rPr>
        <w:t>年</w:t>
      </w:r>
      <w:r>
        <w:rPr>
          <w:rFonts w:ascii="宋体" w:hAnsi="宋体" w:cs="宋体"/>
          <w:b/>
          <w:lang w:eastAsia="zh-CN"/>
        </w:rPr>
        <w:t xml:space="preserve">   </w:t>
      </w:r>
      <w:r>
        <w:rPr>
          <w:rFonts w:hint="eastAsia" w:ascii="宋体" w:hAnsi="宋体" w:cs="宋体"/>
          <w:b/>
          <w:lang w:eastAsia="zh-CN"/>
        </w:rPr>
        <w:t>月</w:t>
      </w:r>
      <w:r>
        <w:rPr>
          <w:rFonts w:ascii="宋体" w:hAnsi="宋体" w:cs="宋体"/>
          <w:b/>
          <w:lang w:eastAsia="zh-CN"/>
        </w:rPr>
        <w:t xml:space="preserve">   </w:t>
      </w:r>
      <w:r>
        <w:rPr>
          <w:rFonts w:hint="eastAsia" w:ascii="宋体" w:hAnsi="宋体" w:cs="宋体"/>
          <w:b/>
          <w:lang w:eastAsia="zh-CN"/>
        </w:rPr>
        <w:t>日</w:t>
      </w:r>
    </w:p>
    <w:p>
      <w:pPr>
        <w:rPr>
          <w:rFonts w:asciiTheme="minorEastAsia" w:hAnsiTheme="minorEastAsia" w:eastAsiaTheme="minorEastAsia" w:cstheme="minorEastAsia"/>
          <w:b/>
          <w:szCs w:val="24"/>
          <w:lang w:eastAsia="zh-CN"/>
        </w:rPr>
      </w:pPr>
    </w:p>
    <w:p>
      <w:pPr>
        <w:rPr>
          <w:rFonts w:asciiTheme="minorEastAsia" w:hAnsiTheme="minorEastAsia" w:eastAsiaTheme="minorEastAsia" w:cstheme="minorEastAsia"/>
          <w:b/>
          <w:szCs w:val="24"/>
          <w:lang w:eastAsia="zh-CN"/>
        </w:rPr>
      </w:pPr>
      <w:r>
        <w:rPr>
          <w:rFonts w:hint="eastAsia" w:ascii="宋体" w:hAnsi="宋体" w:cs="宋体"/>
          <w:b/>
          <w:highlight w:val="none"/>
          <w:lang w:eastAsia="zh-CN"/>
        </w:rPr>
        <w:t>注：</w:t>
      </w:r>
      <w:r>
        <w:rPr>
          <w:rFonts w:hint="eastAsia"/>
          <w:b/>
          <w:highlight w:val="none"/>
          <w:lang w:eastAsia="zh-CN"/>
        </w:rPr>
        <w:t>本项目主要标的为核心产品，</w:t>
      </w:r>
      <w:r>
        <w:rPr>
          <w:rFonts w:hint="eastAsia" w:ascii="宋体" w:hAnsi="宋体" w:cs="宋体"/>
          <w:b/>
          <w:highlight w:val="none"/>
          <w:lang w:eastAsia="zh-CN"/>
        </w:rPr>
        <w:t>如中标，本表格将随同中标公告一同发出。</w:t>
      </w:r>
      <w:r>
        <w:rPr>
          <w:rFonts w:hint="eastAsia" w:asciiTheme="minorEastAsia" w:hAnsiTheme="minorEastAsia" w:eastAsiaTheme="minorEastAsia" w:cstheme="minorEastAsia"/>
          <w:b/>
          <w:szCs w:val="24"/>
          <w:lang w:eastAsia="zh-CN"/>
        </w:rPr>
        <w:br w:type="page"/>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3.主要设备技术指标及技术性能说明</w:t>
      </w:r>
      <w:r>
        <w:rPr>
          <w:rFonts w:hint="eastAsia" w:ascii="宋体" w:hAnsi="宋体"/>
          <w:b/>
          <w:szCs w:val="24"/>
          <w:lang w:eastAsia="zh-CN"/>
        </w:rPr>
        <w:t>（适用于货物）</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4.技术方案、售后服务、培训计划、承诺等</w:t>
      </w:r>
      <w:r>
        <w:rPr>
          <w:rFonts w:hint="eastAsia" w:ascii="宋体" w:hAnsi="宋体"/>
          <w:b/>
          <w:szCs w:val="24"/>
          <w:lang w:eastAsia="zh-CN"/>
        </w:rPr>
        <w:t>（格式自拟）</w:t>
      </w:r>
    </w:p>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b/>
          <w:szCs w:val="24"/>
          <w:lang w:eastAsia="zh-CN"/>
        </w:rPr>
        <w:t>5.技术偏差情况</w:t>
      </w:r>
    </w:p>
    <w:p>
      <w:pPr>
        <w:spacing w:line="240" w:lineRule="atLeast"/>
        <w:jc w:val="center"/>
        <w:rPr>
          <w:rFonts w:hint="eastAsia" w:asciiTheme="minorEastAsia" w:hAnsiTheme="minorEastAsia" w:eastAsiaTheme="minorEastAsia" w:cstheme="minorEastAsia"/>
          <w:b/>
          <w:bCs/>
          <w:szCs w:val="24"/>
          <w:lang w:eastAsia="zh-CN"/>
        </w:rPr>
      </w:pPr>
    </w:p>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asciiTheme="minorEastAsia" w:hAnsiTheme="minorEastAsia" w:eastAsiaTheme="minorEastAsia" w:cstheme="minorEastAsia"/>
          <w:szCs w:val="24"/>
          <w:lang w:eastAsia="zh-CN"/>
        </w:rPr>
      </w:pPr>
    </w:p>
    <w:p>
      <w:pPr>
        <w:spacing w:line="240" w:lineRule="atLeast"/>
        <w:ind w:left="1137" w:leftChars="485" w:hanging="119" w:hangingChars="57"/>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项目名称:                      项目编号: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bl>
    <w:p>
      <w:pPr>
        <w:ind w:firstLine="422" w:firstLineChars="200"/>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投标人（企业电子签章）：    法定代表人（负责人）或授权代表（签字）：</w:t>
      </w:r>
    </w:p>
    <w:p>
      <w:pPr>
        <w:ind w:firstLine="422" w:firstLineChars="200"/>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时间：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月</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日</w:t>
      </w:r>
      <w:r>
        <w:rPr>
          <w:rFonts w:hint="eastAsia" w:asciiTheme="minorEastAsia" w:hAnsiTheme="minorEastAsia" w:eastAsiaTheme="minorEastAsia" w:cstheme="minorEastAsia"/>
          <w:b/>
          <w:szCs w:val="24"/>
          <w:lang w:eastAsia="zh-CN"/>
        </w:rPr>
        <w:br w:type="page"/>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6.商务偏差表格式</w:t>
      </w:r>
    </w:p>
    <w:p>
      <w:pPr>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b/>
          <w:szCs w:val="24"/>
          <w:lang w:eastAsia="zh-CN"/>
        </w:rPr>
        <w:t>商务偏差表</w:t>
      </w:r>
    </w:p>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项目名称：                        项目编号：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招标文件</w:t>
            </w:r>
          </w:p>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bl>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投标人（企业电子签章）：      法定代表人（负责人）或授权代表（签字）：</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时间：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月</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日</w:t>
      </w:r>
      <w:r>
        <w:rPr>
          <w:rFonts w:hint="eastAsia" w:asciiTheme="minorEastAsia" w:hAnsiTheme="minorEastAsia" w:eastAsiaTheme="minorEastAsia" w:cstheme="minorEastAsia"/>
          <w:b/>
          <w:szCs w:val="24"/>
          <w:lang w:eastAsia="zh-CN"/>
        </w:rPr>
        <w:br w:type="page"/>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7.投标人业绩</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8.节能产品、环境标志产品明细表</w:t>
      </w:r>
    </w:p>
    <w:p>
      <w:pPr>
        <w:jc w:val="cente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节能产品明细表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品牌 </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制造商</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节字标</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志认证</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pPr>
              <w:widowControl w:val="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bl>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法定代表人（负责人）或被授权人（签字）： </w:t>
      </w: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投标人（</w:t>
      </w:r>
      <w:r>
        <w:rPr>
          <w:rFonts w:hint="eastAsia" w:ascii="宋体" w:hAnsi="宋体"/>
          <w:b/>
          <w:szCs w:val="24"/>
          <w:lang w:eastAsia="zh-CN"/>
        </w:rPr>
        <w:t>企业电子签章</w:t>
      </w:r>
      <w:r>
        <w:rPr>
          <w:rFonts w:hint="eastAsia" w:asciiTheme="minorEastAsia" w:hAnsiTheme="minorEastAsia" w:eastAsiaTheme="minorEastAsia" w:cstheme="minorEastAsia"/>
          <w:bCs/>
          <w:szCs w:val="24"/>
          <w:lang w:eastAsia="zh-CN"/>
        </w:rPr>
        <w:t xml:space="preserve">）： </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Cs/>
          <w:szCs w:val="24"/>
          <w:lang w:eastAsia="zh-CN"/>
        </w:rPr>
        <w:t>日期：</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月</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日</w:t>
      </w:r>
    </w:p>
    <w:p>
      <w:pPr>
        <w:ind w:firstLine="3584" w:firstLineChars="1700"/>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环境标志产品明细表</w:t>
      </w:r>
    </w:p>
    <w:p>
      <w:pPr>
        <w:jc w:val="center"/>
        <w:rPr>
          <w:rFonts w:asciiTheme="minorEastAsia" w:hAnsiTheme="minorEastAsia" w:eastAsiaTheme="minorEastAsia" w:cstheme="minorEastAsia"/>
          <w:b/>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602"/>
        <w:gridCol w:w="1275"/>
        <w:gridCol w:w="855"/>
        <w:gridCol w:w="106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品牌 </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制造商</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名称</w:t>
            </w: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中国环境标志认证证书编号</w:t>
            </w:r>
          </w:p>
        </w:tc>
        <w:tc>
          <w:tcPr>
            <w:tcW w:w="1275"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认证证书有效截止日期  </w:t>
            </w: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数量</w:t>
            </w: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单价</w:t>
            </w: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27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27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27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bl>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法定代表人（负责人）或被授权人（签字）： </w:t>
      </w: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投标人（</w:t>
      </w:r>
      <w:r>
        <w:rPr>
          <w:rFonts w:hint="eastAsia" w:ascii="宋体" w:hAnsi="宋体"/>
          <w:b/>
          <w:szCs w:val="24"/>
          <w:lang w:eastAsia="zh-CN"/>
        </w:rPr>
        <w:t>企业电子签章</w:t>
      </w:r>
      <w:r>
        <w:rPr>
          <w:rFonts w:hint="eastAsia" w:asciiTheme="minorEastAsia" w:hAnsiTheme="minorEastAsia" w:eastAsiaTheme="minorEastAsia" w:cstheme="minorEastAsia"/>
          <w:bCs/>
          <w:szCs w:val="24"/>
          <w:lang w:eastAsia="zh-CN"/>
        </w:rPr>
        <w:t xml:space="preserve">）： </w:t>
      </w: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日期：</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月</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日</w:t>
      </w:r>
    </w:p>
    <w:p>
      <w:pPr>
        <w:rPr>
          <w:rFonts w:asciiTheme="minorEastAsia" w:hAnsiTheme="minorEastAsia" w:eastAsiaTheme="minorEastAsia" w:cstheme="minorEastAsia"/>
          <w:bCs/>
          <w:szCs w:val="24"/>
          <w:lang w:eastAsia="zh-CN"/>
        </w:rPr>
      </w:pP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填报要求：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1. 本表的设备名称、品牌型号、金额应与货物分项报价一览表一致。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4. 请投标人正确填写本表，所填内容将作为评审的依据。其内容或数据应与对应的证明资料相符。 </w:t>
      </w:r>
    </w:p>
    <w:p>
      <w:pPr>
        <w:ind w:firstLine="420" w:firstLineChars="200"/>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Cs/>
          <w:szCs w:val="24"/>
          <w:lang w:eastAsia="zh-CN"/>
        </w:rPr>
        <w:t>5. 没有相关产品可不提供本表。</w:t>
      </w:r>
    </w:p>
    <w:p>
      <w:pPr>
        <w:rPr>
          <w:rFonts w:eastAsia="Arial"/>
          <w:b/>
          <w:szCs w:val="24"/>
          <w:lang w:eastAsia="zh-CN"/>
        </w:rPr>
      </w:pPr>
      <w:r>
        <w:rPr>
          <w:rFonts w:hint="eastAsia" w:eastAsia="Arial"/>
          <w:b/>
          <w:szCs w:val="24"/>
          <w:lang w:eastAsia="zh-CN"/>
        </w:rPr>
        <w:br w:type="page"/>
      </w:r>
    </w:p>
    <w:p>
      <w:pPr>
        <w:pStyle w:val="8"/>
        <w:rPr>
          <w:rFonts w:eastAsia="Arial" w:cs="Arial"/>
          <w:b/>
          <w:sz w:val="24"/>
          <w:szCs w:val="24"/>
          <w:lang w:eastAsia="zh-CN"/>
        </w:rPr>
      </w:pPr>
      <w:r>
        <w:rPr>
          <w:rFonts w:hint="eastAsia" w:eastAsia="Arial" w:cs="Arial"/>
          <w:b/>
          <w:sz w:val="24"/>
          <w:szCs w:val="24"/>
          <w:lang w:eastAsia="zh-CN"/>
        </w:rPr>
        <w:t>9.中小企业、监狱企业或残疾人福利性单位声明函（对于专门面向中小企业采购的项目必须提供，不专门面向的项目可选择提供）</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pPr>
        <w:pStyle w:val="28"/>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p>
      <w:pPr>
        <w:rPr>
          <w:rFonts w:asciiTheme="minorEastAsia" w:hAnsiTheme="minorEastAsia" w:eastAsiaTheme="minorEastAsia" w:cstheme="minorEastAsia"/>
          <w:sz w:val="21"/>
          <w:lang w:eastAsia="zh-CN"/>
        </w:rPr>
      </w:pPr>
    </w:p>
    <w:p>
      <w:pPr>
        <w:rPr>
          <w:rFonts w:asciiTheme="minorEastAsia" w:hAnsiTheme="minorEastAsia" w:eastAsiaTheme="minorEastAsia" w:cstheme="minorEastAsia"/>
          <w:b/>
          <w:bCs/>
          <w:spacing w:val="8"/>
          <w:position w:val="26"/>
          <w:szCs w:val="24"/>
          <w:lang w:eastAsia="zh-CN"/>
        </w:rPr>
      </w:pPr>
      <w:r>
        <w:rPr>
          <w:rFonts w:hint="eastAsia" w:asciiTheme="minorEastAsia" w:hAnsiTheme="minorEastAsia" w:eastAsiaTheme="minorEastAsia" w:cstheme="minorEastAsia"/>
          <w:b/>
          <w:bCs/>
          <w:spacing w:val="8"/>
          <w:position w:val="26"/>
          <w:szCs w:val="24"/>
          <w:lang w:eastAsia="zh-CN"/>
        </w:rPr>
        <w:br w:type="page"/>
      </w:r>
    </w:p>
    <w:p>
      <w:pPr>
        <w:rPr>
          <w:rFonts w:asciiTheme="minorEastAsia" w:hAnsiTheme="minorEastAsia" w:eastAsiaTheme="minorEastAsia" w:cstheme="minorEastAsia"/>
          <w:b/>
          <w:bCs/>
          <w:spacing w:val="8"/>
          <w:position w:val="26"/>
          <w:szCs w:val="24"/>
          <w:lang w:eastAsia="zh-CN"/>
        </w:rPr>
      </w:pPr>
      <w:r>
        <w:rPr>
          <w:rFonts w:hint="eastAsia" w:asciiTheme="minorEastAsia" w:hAnsiTheme="minorEastAsia" w:eastAsiaTheme="minorEastAsia" w:cstheme="minorEastAsia"/>
          <w:b/>
          <w:bCs/>
          <w:spacing w:val="8"/>
          <w:position w:val="26"/>
          <w:szCs w:val="24"/>
          <w:lang w:eastAsia="zh-CN"/>
        </w:rPr>
        <w:t>10.招标文件要求的其它材料及投标人认为有必要提供的材料</w:t>
      </w:r>
    </w:p>
    <w:p/>
    <w:sectPr>
      <w:headerReference r:id="rId15" w:type="default"/>
      <w:footerReference r:id="rId16" w:type="default"/>
      <w:pgSz w:w="11907" w:h="16840"/>
      <w:pgMar w:top="1117" w:right="1133" w:bottom="1060" w:left="1700" w:header="878" w:footer="88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eastAsia="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eastAsia="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9" w:lineRule="auto"/>
      <w:ind w:right="1"/>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B2F34B1C"/>
    <w:multiLevelType w:val="singleLevel"/>
    <w:tmpl w:val="B2F34B1C"/>
    <w:lvl w:ilvl="0" w:tentative="0">
      <w:start w:val="1"/>
      <w:numFmt w:val="chineseCounting"/>
      <w:suff w:val="nothing"/>
      <w:lvlText w:val="%1、"/>
      <w:lvlJc w:val="left"/>
      <w:rPr>
        <w:rFonts w:hint="eastAsia"/>
      </w:rPr>
    </w:lvl>
  </w:abstractNum>
  <w:abstractNum w:abstractNumId="2">
    <w:nsid w:val="BE7208F8"/>
    <w:multiLevelType w:val="singleLevel"/>
    <w:tmpl w:val="BE7208F8"/>
    <w:lvl w:ilvl="0" w:tentative="0">
      <w:start w:val="1"/>
      <w:numFmt w:val="decimal"/>
      <w:lvlText w:val="%1."/>
      <w:lvlJc w:val="left"/>
      <w:pPr>
        <w:tabs>
          <w:tab w:val="left" w:pos="312"/>
        </w:tabs>
      </w:pPr>
    </w:lvl>
  </w:abstractNum>
  <w:abstractNum w:abstractNumId="3">
    <w:nsid w:val="CA66A0C6"/>
    <w:multiLevelType w:val="singleLevel"/>
    <w:tmpl w:val="CA66A0C6"/>
    <w:lvl w:ilvl="0" w:tentative="0">
      <w:start w:val="5"/>
      <w:numFmt w:val="decimal"/>
      <w:lvlText w:val="%1."/>
      <w:lvlJc w:val="left"/>
      <w:pPr>
        <w:tabs>
          <w:tab w:val="left" w:pos="312"/>
        </w:tabs>
      </w:pPr>
    </w:lvl>
  </w:abstractNum>
  <w:abstractNum w:abstractNumId="4">
    <w:nsid w:val="E0C7262A"/>
    <w:multiLevelType w:val="singleLevel"/>
    <w:tmpl w:val="E0C7262A"/>
    <w:lvl w:ilvl="0" w:tentative="0">
      <w:start w:val="1"/>
      <w:numFmt w:val="decimal"/>
      <w:suff w:val="nothing"/>
      <w:lvlText w:val="%1"/>
      <w:lvlJc w:val="center"/>
      <w:pPr>
        <w:ind w:left="454" w:hanging="454"/>
      </w:pPr>
      <w:rPr>
        <w:rFonts w:hint="default"/>
      </w:rPr>
    </w:lvl>
  </w:abstractNum>
  <w:abstractNum w:abstractNumId="5">
    <w:nsid w:val="3C2D52EB"/>
    <w:multiLevelType w:val="singleLevel"/>
    <w:tmpl w:val="3C2D52EB"/>
    <w:lvl w:ilvl="0" w:tentative="0">
      <w:start w:val="1"/>
      <w:numFmt w:val="decimal"/>
      <w:lvlText w:val="%1."/>
      <w:lvlJc w:val="left"/>
      <w:pPr>
        <w:tabs>
          <w:tab w:val="left" w:pos="312"/>
        </w:tabs>
      </w:pPr>
    </w:lvl>
  </w:abstractNum>
  <w:abstractNum w:abstractNumId="6">
    <w:nsid w:val="44E9AB58"/>
    <w:multiLevelType w:val="singleLevel"/>
    <w:tmpl w:val="44E9AB58"/>
    <w:lvl w:ilvl="0" w:tentative="0">
      <w:start w:val="1"/>
      <w:numFmt w:val="decimal"/>
      <w:lvlText w:val="%1."/>
      <w:lvlJc w:val="left"/>
      <w:pPr>
        <w:tabs>
          <w:tab w:val="left" w:pos="312"/>
        </w:tabs>
      </w:pPr>
    </w:lvl>
  </w:abstractNum>
  <w:abstractNum w:abstractNumId="7">
    <w:nsid w:val="56935134"/>
    <w:multiLevelType w:val="singleLevel"/>
    <w:tmpl w:val="56935134"/>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DFjOGEyNWRlYTNkMjA0OTNkYmM2YTBlNjc3YTEifQ=="/>
  </w:docVars>
  <w:rsids>
    <w:rsidRoot w:val="6EBC0EFB"/>
    <w:rsid w:val="00A876CF"/>
    <w:rsid w:val="00EB3ED4"/>
    <w:rsid w:val="00ED07F7"/>
    <w:rsid w:val="01AF27F0"/>
    <w:rsid w:val="01B43B2F"/>
    <w:rsid w:val="01C25CDA"/>
    <w:rsid w:val="02906F11"/>
    <w:rsid w:val="02BC7D06"/>
    <w:rsid w:val="02ED2AB4"/>
    <w:rsid w:val="0369133E"/>
    <w:rsid w:val="03746005"/>
    <w:rsid w:val="046D4936"/>
    <w:rsid w:val="055A7BEB"/>
    <w:rsid w:val="05A76A4C"/>
    <w:rsid w:val="05C52642"/>
    <w:rsid w:val="06672033"/>
    <w:rsid w:val="06AC22B5"/>
    <w:rsid w:val="0706155D"/>
    <w:rsid w:val="078100F6"/>
    <w:rsid w:val="082C5A99"/>
    <w:rsid w:val="087F189E"/>
    <w:rsid w:val="08C61839"/>
    <w:rsid w:val="09755CB0"/>
    <w:rsid w:val="0A047AAE"/>
    <w:rsid w:val="0A4B46A7"/>
    <w:rsid w:val="0B7F7B23"/>
    <w:rsid w:val="0BA54AC1"/>
    <w:rsid w:val="0BEC4CBF"/>
    <w:rsid w:val="0BF7590B"/>
    <w:rsid w:val="0C172CC5"/>
    <w:rsid w:val="0C3D6D63"/>
    <w:rsid w:val="0D0C2F8B"/>
    <w:rsid w:val="0D2B32DD"/>
    <w:rsid w:val="0DAF3469"/>
    <w:rsid w:val="0E8518F4"/>
    <w:rsid w:val="0EB33D93"/>
    <w:rsid w:val="0F21737A"/>
    <w:rsid w:val="0F281BAF"/>
    <w:rsid w:val="0F512B49"/>
    <w:rsid w:val="104A1834"/>
    <w:rsid w:val="10B93AD7"/>
    <w:rsid w:val="1105418B"/>
    <w:rsid w:val="11427629"/>
    <w:rsid w:val="1196456A"/>
    <w:rsid w:val="119C142F"/>
    <w:rsid w:val="11C25C30"/>
    <w:rsid w:val="12950599"/>
    <w:rsid w:val="12A117B7"/>
    <w:rsid w:val="130D6C3B"/>
    <w:rsid w:val="13141F33"/>
    <w:rsid w:val="137E5AC0"/>
    <w:rsid w:val="138E7ECD"/>
    <w:rsid w:val="13BB2AD7"/>
    <w:rsid w:val="13DC7EDB"/>
    <w:rsid w:val="158C17BA"/>
    <w:rsid w:val="15E77DAC"/>
    <w:rsid w:val="168801D3"/>
    <w:rsid w:val="180E73E9"/>
    <w:rsid w:val="18A83216"/>
    <w:rsid w:val="194C6F47"/>
    <w:rsid w:val="197902A7"/>
    <w:rsid w:val="19816727"/>
    <w:rsid w:val="19C37774"/>
    <w:rsid w:val="1A815666"/>
    <w:rsid w:val="1A8A3DEE"/>
    <w:rsid w:val="1AD26A5E"/>
    <w:rsid w:val="1B916366"/>
    <w:rsid w:val="1BC76868"/>
    <w:rsid w:val="1C34734C"/>
    <w:rsid w:val="1D2B7CF1"/>
    <w:rsid w:val="1F3E361D"/>
    <w:rsid w:val="1FA41B10"/>
    <w:rsid w:val="20374E88"/>
    <w:rsid w:val="204463AE"/>
    <w:rsid w:val="205F55BE"/>
    <w:rsid w:val="212E550D"/>
    <w:rsid w:val="222C19AD"/>
    <w:rsid w:val="22DC0923"/>
    <w:rsid w:val="231E601D"/>
    <w:rsid w:val="232C72B3"/>
    <w:rsid w:val="246A195F"/>
    <w:rsid w:val="2535565C"/>
    <w:rsid w:val="26DC3C24"/>
    <w:rsid w:val="270E7C94"/>
    <w:rsid w:val="27566014"/>
    <w:rsid w:val="279941FD"/>
    <w:rsid w:val="27CE1508"/>
    <w:rsid w:val="28204E59"/>
    <w:rsid w:val="292C7326"/>
    <w:rsid w:val="2B0D77C0"/>
    <w:rsid w:val="2B2E1358"/>
    <w:rsid w:val="2BFD08C4"/>
    <w:rsid w:val="2C006812"/>
    <w:rsid w:val="2C301C3B"/>
    <w:rsid w:val="2CF64BCB"/>
    <w:rsid w:val="2D9B2304"/>
    <w:rsid w:val="2DE31A0F"/>
    <w:rsid w:val="2DFE2459"/>
    <w:rsid w:val="2E452E37"/>
    <w:rsid w:val="2E8B7B8B"/>
    <w:rsid w:val="2ECB1C75"/>
    <w:rsid w:val="2ED3590C"/>
    <w:rsid w:val="2F6D781E"/>
    <w:rsid w:val="2FC14D02"/>
    <w:rsid w:val="30696528"/>
    <w:rsid w:val="308D1E4C"/>
    <w:rsid w:val="30C45E54"/>
    <w:rsid w:val="316414B1"/>
    <w:rsid w:val="32A303A4"/>
    <w:rsid w:val="333E6427"/>
    <w:rsid w:val="336B6F34"/>
    <w:rsid w:val="3372701D"/>
    <w:rsid w:val="33BE1E09"/>
    <w:rsid w:val="33BF64CB"/>
    <w:rsid w:val="34B114C6"/>
    <w:rsid w:val="35121D52"/>
    <w:rsid w:val="35154ED0"/>
    <w:rsid w:val="353101FF"/>
    <w:rsid w:val="35A31DC0"/>
    <w:rsid w:val="35DC518C"/>
    <w:rsid w:val="36892BFA"/>
    <w:rsid w:val="370E7F02"/>
    <w:rsid w:val="37103BA1"/>
    <w:rsid w:val="37655866"/>
    <w:rsid w:val="38285B61"/>
    <w:rsid w:val="382D2531"/>
    <w:rsid w:val="38372159"/>
    <w:rsid w:val="389E4D88"/>
    <w:rsid w:val="38C26A52"/>
    <w:rsid w:val="39AD3130"/>
    <w:rsid w:val="39F52D83"/>
    <w:rsid w:val="3A9034CA"/>
    <w:rsid w:val="3B113D16"/>
    <w:rsid w:val="3D0715A3"/>
    <w:rsid w:val="3D4E6B52"/>
    <w:rsid w:val="3DA42B33"/>
    <w:rsid w:val="3DC75E49"/>
    <w:rsid w:val="3E4D3A13"/>
    <w:rsid w:val="3EC250DF"/>
    <w:rsid w:val="3EFD4068"/>
    <w:rsid w:val="3F692F76"/>
    <w:rsid w:val="4094070B"/>
    <w:rsid w:val="41B8730F"/>
    <w:rsid w:val="41CE5E73"/>
    <w:rsid w:val="422C39B2"/>
    <w:rsid w:val="43A511FC"/>
    <w:rsid w:val="43D31FC3"/>
    <w:rsid w:val="449D0925"/>
    <w:rsid w:val="44E90FF4"/>
    <w:rsid w:val="44F04025"/>
    <w:rsid w:val="453C30EF"/>
    <w:rsid w:val="45A43967"/>
    <w:rsid w:val="462514C7"/>
    <w:rsid w:val="462735C2"/>
    <w:rsid w:val="467B2764"/>
    <w:rsid w:val="48351711"/>
    <w:rsid w:val="4930775A"/>
    <w:rsid w:val="49561BA6"/>
    <w:rsid w:val="49A925E3"/>
    <w:rsid w:val="49CE38E3"/>
    <w:rsid w:val="49D46DB3"/>
    <w:rsid w:val="4A941E40"/>
    <w:rsid w:val="4AD06181"/>
    <w:rsid w:val="4ADC1329"/>
    <w:rsid w:val="4B1C7126"/>
    <w:rsid w:val="4B1F5D09"/>
    <w:rsid w:val="4BAF11E5"/>
    <w:rsid w:val="4C0A69B9"/>
    <w:rsid w:val="4C664981"/>
    <w:rsid w:val="4CDE7ACE"/>
    <w:rsid w:val="4DF766D0"/>
    <w:rsid w:val="4E0E02EE"/>
    <w:rsid w:val="4E3D5831"/>
    <w:rsid w:val="4EF858DE"/>
    <w:rsid w:val="50890923"/>
    <w:rsid w:val="50E000CD"/>
    <w:rsid w:val="523A6878"/>
    <w:rsid w:val="528849E6"/>
    <w:rsid w:val="52A12BAD"/>
    <w:rsid w:val="52FB65E8"/>
    <w:rsid w:val="538D41B8"/>
    <w:rsid w:val="53A86353"/>
    <w:rsid w:val="549539A7"/>
    <w:rsid w:val="54A64D2D"/>
    <w:rsid w:val="54C202E2"/>
    <w:rsid w:val="559B4936"/>
    <w:rsid w:val="55B91B6B"/>
    <w:rsid w:val="55DC1753"/>
    <w:rsid w:val="560E1252"/>
    <w:rsid w:val="5612745B"/>
    <w:rsid w:val="562F1587"/>
    <w:rsid w:val="57346FE0"/>
    <w:rsid w:val="57B41ECF"/>
    <w:rsid w:val="57D43C8E"/>
    <w:rsid w:val="582D5A2C"/>
    <w:rsid w:val="592A069B"/>
    <w:rsid w:val="595D5BFB"/>
    <w:rsid w:val="5AFC36E3"/>
    <w:rsid w:val="5C190A9E"/>
    <w:rsid w:val="5D565C85"/>
    <w:rsid w:val="5D7A2376"/>
    <w:rsid w:val="5DAF6086"/>
    <w:rsid w:val="5DB337A8"/>
    <w:rsid w:val="5DB372B4"/>
    <w:rsid w:val="5FA25476"/>
    <w:rsid w:val="5FAA271A"/>
    <w:rsid w:val="5FC15189"/>
    <w:rsid w:val="5FF33479"/>
    <w:rsid w:val="60501314"/>
    <w:rsid w:val="609356EA"/>
    <w:rsid w:val="60A477D7"/>
    <w:rsid w:val="617263F8"/>
    <w:rsid w:val="61760E0E"/>
    <w:rsid w:val="61DD297F"/>
    <w:rsid w:val="621D1342"/>
    <w:rsid w:val="62211BF5"/>
    <w:rsid w:val="62622135"/>
    <w:rsid w:val="626369CC"/>
    <w:rsid w:val="62847D56"/>
    <w:rsid w:val="630D2B29"/>
    <w:rsid w:val="63403F07"/>
    <w:rsid w:val="645A40E8"/>
    <w:rsid w:val="64A31D20"/>
    <w:rsid w:val="65035FCF"/>
    <w:rsid w:val="65905D2A"/>
    <w:rsid w:val="65AF0297"/>
    <w:rsid w:val="65C64355"/>
    <w:rsid w:val="65FC4B90"/>
    <w:rsid w:val="663E67A5"/>
    <w:rsid w:val="666417B4"/>
    <w:rsid w:val="6791304A"/>
    <w:rsid w:val="67E37401"/>
    <w:rsid w:val="680D2D4E"/>
    <w:rsid w:val="68442DFB"/>
    <w:rsid w:val="686149D1"/>
    <w:rsid w:val="68665680"/>
    <w:rsid w:val="687436E1"/>
    <w:rsid w:val="69724958"/>
    <w:rsid w:val="6A9805F0"/>
    <w:rsid w:val="6AE0754F"/>
    <w:rsid w:val="6B226335"/>
    <w:rsid w:val="6B5477F9"/>
    <w:rsid w:val="6B6D588B"/>
    <w:rsid w:val="6B9B1E33"/>
    <w:rsid w:val="6BB44D06"/>
    <w:rsid w:val="6BD34C37"/>
    <w:rsid w:val="6C362E41"/>
    <w:rsid w:val="6C362FF5"/>
    <w:rsid w:val="6D220A9C"/>
    <w:rsid w:val="6D880776"/>
    <w:rsid w:val="6DE348C8"/>
    <w:rsid w:val="6EAC6AF2"/>
    <w:rsid w:val="6EBC0EFB"/>
    <w:rsid w:val="6F6226B7"/>
    <w:rsid w:val="6FA255AC"/>
    <w:rsid w:val="6FBA49CC"/>
    <w:rsid w:val="704C14BF"/>
    <w:rsid w:val="706A0C4F"/>
    <w:rsid w:val="719941B8"/>
    <w:rsid w:val="71AC6B92"/>
    <w:rsid w:val="71CD6D33"/>
    <w:rsid w:val="71E23208"/>
    <w:rsid w:val="722A5015"/>
    <w:rsid w:val="72F6576E"/>
    <w:rsid w:val="73B5784F"/>
    <w:rsid w:val="73CD0E84"/>
    <w:rsid w:val="73DA2741"/>
    <w:rsid w:val="7477517A"/>
    <w:rsid w:val="74935D73"/>
    <w:rsid w:val="75803EAE"/>
    <w:rsid w:val="75E9434D"/>
    <w:rsid w:val="7643789D"/>
    <w:rsid w:val="76611E5A"/>
    <w:rsid w:val="767174B1"/>
    <w:rsid w:val="76782800"/>
    <w:rsid w:val="776E624A"/>
    <w:rsid w:val="77A45665"/>
    <w:rsid w:val="79273204"/>
    <w:rsid w:val="79452629"/>
    <w:rsid w:val="79674B9C"/>
    <w:rsid w:val="79D00037"/>
    <w:rsid w:val="7A2E7C9E"/>
    <w:rsid w:val="7A3B07A2"/>
    <w:rsid w:val="7A9C29AB"/>
    <w:rsid w:val="7AA341DD"/>
    <w:rsid w:val="7ABB1F6E"/>
    <w:rsid w:val="7B5353D8"/>
    <w:rsid w:val="7C4E0E11"/>
    <w:rsid w:val="7CC3658D"/>
    <w:rsid w:val="7E0821EE"/>
    <w:rsid w:val="7E917F33"/>
    <w:rsid w:val="7EC3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2">
    <w:name w:val="heading 2"/>
    <w:basedOn w:val="1"/>
    <w:next w:val="1"/>
    <w:link w:val="31"/>
    <w:semiHidden/>
    <w:unhideWhenUsed/>
    <w:qFormat/>
    <w:uiPriority w:val="0"/>
    <w:pPr>
      <w:keepNext/>
      <w:keepLines/>
      <w:snapToGrid w:val="0"/>
      <w:spacing w:beforeLines="0" w:beforeAutospacing="0" w:afterLines="0" w:afterAutospacing="0" w:line="240" w:lineRule="auto"/>
      <w:jc w:val="center"/>
      <w:outlineLvl w:val="1"/>
    </w:pPr>
    <w:rPr>
      <w:rFonts w:ascii="Arial" w:hAnsi="Arial" w:eastAsia="宋体" w:cs="Times New Roman"/>
      <w:b/>
      <w:sz w:val="36"/>
    </w:rPr>
  </w:style>
  <w:style w:type="paragraph" w:styleId="4">
    <w:name w:val="heading 3"/>
    <w:basedOn w:val="1"/>
    <w:next w:val="1"/>
    <w:link w:val="29"/>
    <w:semiHidden/>
    <w:unhideWhenUsed/>
    <w:qFormat/>
    <w:uiPriority w:val="0"/>
    <w:pPr>
      <w:keepNext/>
      <w:keepLines/>
      <w:snapToGrid w:val="0"/>
      <w:spacing w:beforeLines="0" w:beforeAutospacing="0" w:afterLines="0" w:afterAutospacing="0" w:line="240" w:lineRule="auto"/>
      <w:jc w:val="center"/>
      <w:outlineLvl w:val="2"/>
    </w:pPr>
    <w:rPr>
      <w:rFonts w:eastAsia="宋体" w:asciiTheme="minorAscii" w:hAnsiTheme="minorAscii"/>
      <w:b/>
      <w:sz w:val="32"/>
    </w:rPr>
  </w:style>
  <w:style w:type="paragraph" w:styleId="5">
    <w:name w:val="heading 4"/>
    <w:basedOn w:val="1"/>
    <w:next w:val="1"/>
    <w:semiHidden/>
    <w:unhideWhenUsed/>
    <w:qFormat/>
    <w:uiPriority w:val="0"/>
    <w:pPr>
      <w:keepNext/>
      <w:keepLines/>
      <w:spacing w:beforeLines="0" w:beforeAutospacing="0" w:afterLines="0" w:afterAutospacing="0" w:line="240" w:lineRule="auto"/>
      <w:jc w:val="center"/>
      <w:outlineLvl w:val="3"/>
    </w:pPr>
    <w:rPr>
      <w:rFonts w:ascii="Arial" w:hAnsi="Arial" w:eastAsia="黑体" w:cs="Times New Roman"/>
      <w:b/>
      <w:sz w:val="28"/>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1"/>
    <w:qFormat/>
    <w:uiPriority w:val="0"/>
    <w:pPr>
      <w:spacing w:after="120" w:afterLines="0" w:afterAutospacing="0"/>
    </w:pPr>
  </w:style>
  <w:style w:type="paragraph" w:styleId="9">
    <w:name w:val="Body Text Indent"/>
    <w:basedOn w:val="1"/>
    <w:next w:val="10"/>
    <w:qFormat/>
    <w:uiPriority w:val="99"/>
    <w:pPr>
      <w:ind w:left="420" w:leftChars="200"/>
    </w:pPr>
    <w:rPr>
      <w:kern w:val="2"/>
      <w:sz w:val="21"/>
      <w:lang w:eastAsia="zh-CN"/>
    </w:rPr>
  </w:style>
  <w:style w:type="paragraph" w:styleId="10">
    <w:name w:val="envelope return"/>
    <w:basedOn w:val="1"/>
    <w:qFormat/>
    <w:uiPriority w:val="0"/>
  </w:style>
  <w:style w:type="paragraph" w:styleId="11">
    <w:name w:val="Date"/>
    <w:basedOn w:val="1"/>
    <w:next w:val="1"/>
    <w:qFormat/>
    <w:uiPriority w:val="0"/>
    <w:rPr>
      <w:kern w:val="2"/>
      <w:sz w:val="21"/>
      <w:lang w:eastAsia="zh-CN"/>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4">
    <w:name w:val="toc 1"/>
    <w:basedOn w:val="1"/>
    <w:next w:val="1"/>
    <w:qFormat/>
    <w:uiPriority w:val="0"/>
  </w:style>
  <w:style w:type="paragraph" w:styleId="15">
    <w:name w:val="Normal (Web)"/>
    <w:basedOn w:val="1"/>
    <w:qFormat/>
    <w:uiPriority w:val="0"/>
    <w:pPr>
      <w:spacing w:before="0" w:beforeAutospacing="1" w:after="0" w:afterAutospacing="1"/>
    </w:pPr>
    <w:rPr>
      <w:rFonts w:cs="Times New Roman"/>
      <w:lang w:eastAsia="zh-CN"/>
    </w:rPr>
  </w:style>
  <w:style w:type="paragraph" w:styleId="16">
    <w:name w:val="Body Text First Indent"/>
    <w:basedOn w:val="8"/>
    <w:unhideWhenUsed/>
    <w:qFormat/>
    <w:uiPriority w:val="0"/>
    <w:pPr>
      <w:ind w:firstLine="420" w:firstLineChars="100"/>
    </w:pPr>
  </w:style>
  <w:style w:type="paragraph" w:styleId="17">
    <w:name w:val="Body Text First Indent 2"/>
    <w:basedOn w:val="9"/>
    <w:next w:val="1"/>
    <w:qFormat/>
    <w:uiPriority w:val="0"/>
    <w:pPr>
      <w:ind w:firstLine="20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color w:val="999999"/>
      <w:sz w:val="20"/>
      <w:szCs w:val="20"/>
    </w:rPr>
  </w:style>
  <w:style w:type="character" w:styleId="22">
    <w:name w:val="FollowedHyperlink"/>
    <w:basedOn w:val="20"/>
    <w:qFormat/>
    <w:uiPriority w:val="0"/>
    <w:rPr>
      <w:color w:val="333333"/>
      <w:u w:val="none"/>
    </w:rPr>
  </w:style>
  <w:style w:type="character" w:styleId="23">
    <w:name w:val="HTML Definition"/>
    <w:basedOn w:val="20"/>
    <w:qFormat/>
    <w:uiPriority w:val="0"/>
    <w:rPr>
      <w:i/>
      <w:iCs/>
    </w:rPr>
  </w:style>
  <w:style w:type="character" w:styleId="24">
    <w:name w:val="Hyperlink"/>
    <w:basedOn w:val="20"/>
    <w:qFormat/>
    <w:uiPriority w:val="0"/>
    <w:rPr>
      <w:color w:val="0000FF"/>
      <w:u w:val="single"/>
    </w:rPr>
  </w:style>
  <w:style w:type="character" w:styleId="25">
    <w:name w:val="HTML Code"/>
    <w:basedOn w:val="20"/>
    <w:qFormat/>
    <w:uiPriority w:val="0"/>
    <w:rPr>
      <w:rFonts w:hint="default" w:ascii="Consolas" w:hAnsi="Consolas" w:eastAsia="Consolas" w:cs="Consolas"/>
      <w:color w:val="C7254E"/>
      <w:sz w:val="21"/>
      <w:szCs w:val="21"/>
      <w:shd w:val="clear" w:fill="F9F2F4"/>
    </w:rPr>
  </w:style>
  <w:style w:type="character" w:styleId="26">
    <w:name w:val="HTML Keyboard"/>
    <w:basedOn w:val="20"/>
    <w:qFormat/>
    <w:uiPriority w:val="0"/>
    <w:rPr>
      <w:rFonts w:hint="default" w:ascii="Consolas" w:hAnsi="Consolas" w:eastAsia="Consolas" w:cs="Consolas"/>
      <w:color w:val="FFFFFF"/>
      <w:sz w:val="21"/>
      <w:szCs w:val="21"/>
      <w:shd w:val="clear" w:fill="333333"/>
    </w:rPr>
  </w:style>
  <w:style w:type="character" w:styleId="27">
    <w:name w:val="HTML Sample"/>
    <w:basedOn w:val="20"/>
    <w:qFormat/>
    <w:uiPriority w:val="0"/>
    <w:rPr>
      <w:rFonts w:ascii="Consolas" w:hAnsi="Consolas" w:eastAsia="Consolas" w:cs="Consolas"/>
      <w:sz w:val="21"/>
      <w:szCs w:val="21"/>
    </w:rPr>
  </w:style>
  <w:style w:type="paragraph" w:customStyle="1" w:styleId="28">
    <w:name w:val="自动更正"/>
    <w:qFormat/>
    <w:uiPriority w:val="99"/>
    <w:pPr>
      <w:widowControl w:val="0"/>
      <w:jc w:val="center"/>
    </w:pPr>
    <w:rPr>
      <w:rFonts w:asciiTheme="minorEastAsia" w:hAnsiTheme="minorEastAsia" w:eastAsiaTheme="minorEastAsia" w:cstheme="minorEastAsia"/>
      <w:b/>
      <w:bCs/>
      <w:spacing w:val="-2"/>
      <w:kern w:val="2"/>
      <w:sz w:val="24"/>
      <w:szCs w:val="24"/>
      <w:lang w:val="en-US" w:eastAsia="zh-CN" w:bidi="ar-SA"/>
      <w14:textOutline w14:w="1536" w14:cap="flat" w14:cmpd="sng" w14:algn="ctr">
        <w14:solidFill>
          <w14:srgbClr w14:val="000000"/>
        </w14:solidFill>
        <w14:prstDash w14:val="solid"/>
        <w14:miter w14:val="0"/>
      </w14:textOutline>
    </w:rPr>
  </w:style>
  <w:style w:type="character" w:customStyle="1" w:styleId="29">
    <w:name w:val="标题 3 Char"/>
    <w:link w:val="4"/>
    <w:qFormat/>
    <w:uiPriority w:val="9"/>
    <w:rPr>
      <w:rFonts w:eastAsia="宋体" w:asciiTheme="minorAscii" w:hAnsiTheme="minorAscii"/>
      <w:b/>
      <w:sz w:val="32"/>
    </w:rPr>
  </w:style>
  <w:style w:type="character" w:customStyle="1" w:styleId="30">
    <w:name w:val="标题 1 Char"/>
    <w:link w:val="3"/>
    <w:qFormat/>
    <w:uiPriority w:val="9"/>
    <w:rPr>
      <w:rFonts w:ascii="Times New Roman" w:hAnsi="Times New Roman" w:eastAsia="宋体" w:cs="Times New Roman"/>
      <w:b/>
      <w:kern w:val="44"/>
      <w:sz w:val="44"/>
    </w:rPr>
  </w:style>
  <w:style w:type="character" w:customStyle="1" w:styleId="31">
    <w:name w:val="标题 2 Char"/>
    <w:link w:val="2"/>
    <w:qFormat/>
    <w:uiPriority w:val="9"/>
    <w:rPr>
      <w:rFonts w:ascii="Arial" w:hAnsi="Arial" w:eastAsia="宋体" w:cs="Times New Roman"/>
      <w:b/>
      <w:sz w:val="36"/>
    </w:rPr>
  </w:style>
  <w:style w:type="paragraph" w:customStyle="1" w:styleId="32">
    <w:name w:val="Default"/>
    <w:next w:val="33"/>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3">
    <w:name w:val="Char Char10 Char Char Char Char"/>
    <w:basedOn w:val="1"/>
    <w:next w:val="34"/>
    <w:qFormat/>
    <w:uiPriority w:val="99"/>
    <w:rPr>
      <w:rFonts w:ascii="宋体" w:hAnsi="宋体" w:cs="宋体"/>
      <w:lang w:val="zh-CN" w:bidi="zh-CN"/>
    </w:rPr>
  </w:style>
  <w:style w:type="paragraph" w:customStyle="1" w:styleId="34">
    <w:name w:val="xl87"/>
    <w:basedOn w:val="1"/>
    <w:next w:val="35"/>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5">
    <w:name w:val="xl72"/>
    <w:basedOn w:val="1"/>
    <w:next w:val="1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character" w:customStyle="1" w:styleId="36">
    <w:name w:val="font191"/>
    <w:basedOn w:val="20"/>
    <w:qFormat/>
    <w:uiPriority w:val="0"/>
    <w:rPr>
      <w:rFonts w:hint="eastAsia" w:ascii="宋体" w:hAnsi="宋体" w:eastAsia="宋体" w:cs="宋体"/>
      <w:color w:val="000000"/>
      <w:sz w:val="22"/>
      <w:szCs w:val="22"/>
      <w:u w:val="none"/>
    </w:rPr>
  </w:style>
  <w:style w:type="character" w:customStyle="1" w:styleId="37">
    <w:name w:val="font11"/>
    <w:basedOn w:val="20"/>
    <w:qFormat/>
    <w:uiPriority w:val="0"/>
    <w:rPr>
      <w:rFonts w:hint="eastAsia" w:ascii="宋体" w:hAnsi="宋体" w:eastAsia="宋体" w:cs="宋体"/>
      <w:color w:val="000000"/>
      <w:sz w:val="22"/>
      <w:szCs w:val="22"/>
      <w:u w:val="none"/>
    </w:rPr>
  </w:style>
  <w:style w:type="character" w:customStyle="1" w:styleId="38">
    <w:name w:val="font291"/>
    <w:basedOn w:val="20"/>
    <w:qFormat/>
    <w:uiPriority w:val="0"/>
    <w:rPr>
      <w:rFonts w:ascii="Calibri" w:hAnsi="Calibri" w:cs="Calibri"/>
      <w:color w:val="000000"/>
      <w:sz w:val="22"/>
      <w:szCs w:val="22"/>
      <w:u w:val="none"/>
    </w:rPr>
  </w:style>
  <w:style w:type="character" w:customStyle="1" w:styleId="39">
    <w:name w:val="font321"/>
    <w:basedOn w:val="20"/>
    <w:qFormat/>
    <w:uiPriority w:val="0"/>
    <w:rPr>
      <w:rFonts w:hint="default" w:ascii="Calibri" w:hAnsi="Calibri" w:cs="Calibri"/>
      <w:b/>
      <w:bCs/>
      <w:color w:val="000000"/>
      <w:sz w:val="28"/>
      <w:szCs w:val="28"/>
      <w:u w:val="none"/>
    </w:rPr>
  </w:style>
  <w:style w:type="character" w:customStyle="1" w:styleId="40">
    <w:name w:val="font412"/>
    <w:basedOn w:val="20"/>
    <w:qFormat/>
    <w:uiPriority w:val="0"/>
    <w:rPr>
      <w:rFonts w:hint="eastAsia" w:ascii="宋体" w:hAnsi="宋体" w:eastAsia="宋体" w:cs="宋体"/>
      <w:b/>
      <w:bCs/>
      <w:color w:val="000000"/>
      <w:sz w:val="28"/>
      <w:szCs w:val="28"/>
      <w:u w:val="none"/>
    </w:rPr>
  </w:style>
  <w:style w:type="character" w:customStyle="1" w:styleId="41">
    <w:name w:val="font361"/>
    <w:basedOn w:val="20"/>
    <w:qFormat/>
    <w:uiPriority w:val="0"/>
    <w:rPr>
      <w:rFonts w:hint="eastAsia" w:ascii="微软雅黑" w:hAnsi="微软雅黑" w:eastAsia="微软雅黑" w:cs="微软雅黑"/>
      <w:color w:val="000000"/>
      <w:sz w:val="22"/>
      <w:szCs w:val="22"/>
      <w:u w:val="none"/>
    </w:rPr>
  </w:style>
  <w:style w:type="character" w:customStyle="1" w:styleId="42">
    <w:name w:val="font421"/>
    <w:basedOn w:val="20"/>
    <w:qFormat/>
    <w:uiPriority w:val="0"/>
    <w:rPr>
      <w:rFonts w:hint="default" w:ascii="Times New Roman" w:hAnsi="Times New Roman" w:cs="Times New Roman"/>
      <w:color w:val="000000"/>
      <w:sz w:val="22"/>
      <w:szCs w:val="22"/>
      <w:u w:val="none"/>
    </w:rPr>
  </w:style>
  <w:style w:type="character" w:customStyle="1" w:styleId="43">
    <w:name w:val="font101"/>
    <w:basedOn w:val="20"/>
    <w:qFormat/>
    <w:uiPriority w:val="0"/>
    <w:rPr>
      <w:rFonts w:hint="eastAsia" w:ascii="微软雅黑" w:hAnsi="微软雅黑" w:eastAsia="微软雅黑" w:cs="微软雅黑"/>
      <w:color w:val="000000"/>
      <w:sz w:val="24"/>
      <w:szCs w:val="24"/>
      <w:u w:val="none"/>
    </w:rPr>
  </w:style>
  <w:style w:type="character" w:customStyle="1" w:styleId="44">
    <w:name w:val="font112"/>
    <w:basedOn w:val="20"/>
    <w:qFormat/>
    <w:uiPriority w:val="0"/>
    <w:rPr>
      <w:rFonts w:hint="eastAsia" w:ascii="微软雅黑" w:hAnsi="微软雅黑" w:eastAsia="微软雅黑" w:cs="微软雅黑"/>
      <w:color w:val="FF0000"/>
      <w:sz w:val="24"/>
      <w:szCs w:val="24"/>
      <w:u w:val="none"/>
    </w:rPr>
  </w:style>
  <w:style w:type="character" w:customStyle="1" w:styleId="45">
    <w:name w:val="font61"/>
    <w:basedOn w:val="20"/>
    <w:qFormat/>
    <w:uiPriority w:val="0"/>
    <w:rPr>
      <w:rFonts w:hint="eastAsia" w:ascii="微软雅黑" w:hAnsi="微软雅黑" w:eastAsia="微软雅黑" w:cs="微软雅黑"/>
      <w:color w:val="000000"/>
      <w:sz w:val="24"/>
      <w:szCs w:val="24"/>
      <w:u w:val="none"/>
    </w:rPr>
  </w:style>
  <w:style w:type="character" w:customStyle="1" w:styleId="46">
    <w:name w:val="font01"/>
    <w:basedOn w:val="20"/>
    <w:qFormat/>
    <w:uiPriority w:val="0"/>
    <w:rPr>
      <w:rFonts w:hint="eastAsia" w:ascii="宋体" w:hAnsi="宋体" w:eastAsia="宋体" w:cs="宋体"/>
      <w:color w:val="000000"/>
      <w:sz w:val="22"/>
      <w:szCs w:val="22"/>
      <w:u w:val="none"/>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Table Text"/>
    <w:basedOn w:val="1"/>
    <w:semiHidden/>
    <w:qFormat/>
    <w:uiPriority w:val="0"/>
    <w:rPr>
      <w:rFonts w:eastAsia="Arial"/>
      <w:sz w:val="21"/>
    </w:rPr>
  </w:style>
  <w:style w:type="character" w:customStyle="1" w:styleId="49">
    <w:name w:val="first-child"/>
    <w:basedOn w:val="20"/>
    <w:qFormat/>
    <w:uiPriority w:val="0"/>
  </w:style>
  <w:style w:type="character" w:customStyle="1" w:styleId="50">
    <w:name w:val="first-child1"/>
    <w:basedOn w:val="20"/>
    <w:qFormat/>
    <w:uiPriority w:val="0"/>
    <w:rPr>
      <w:color w:val="1F3149"/>
      <w:sz w:val="24"/>
      <w:szCs w:val="24"/>
    </w:rPr>
  </w:style>
  <w:style w:type="character" w:customStyle="1" w:styleId="51">
    <w:name w:val="first-child2"/>
    <w:basedOn w:val="20"/>
    <w:qFormat/>
    <w:uiPriority w:val="0"/>
    <w:rPr>
      <w:color w:val="1F3149"/>
      <w:sz w:val="24"/>
      <w:szCs w:val="24"/>
    </w:rPr>
  </w:style>
  <w:style w:type="character" w:customStyle="1" w:styleId="52">
    <w:name w:val="first-child3"/>
    <w:basedOn w:val="20"/>
    <w:qFormat/>
    <w:uiPriority w:val="0"/>
  </w:style>
  <w:style w:type="character" w:customStyle="1" w:styleId="53">
    <w:name w:val="color-yellow"/>
    <w:basedOn w:val="20"/>
    <w:qFormat/>
    <w:uiPriority w:val="0"/>
    <w:rPr>
      <w:color w:val="FAAD14"/>
      <w:sz w:val="18"/>
      <w:szCs w:val="18"/>
      <w:bdr w:val="single" w:color="FAAD14" w:sz="6" w:space="0"/>
    </w:rPr>
  </w:style>
  <w:style w:type="character" w:customStyle="1" w:styleId="54">
    <w:name w:val="color-yellow1"/>
    <w:basedOn w:val="20"/>
    <w:qFormat/>
    <w:uiPriority w:val="0"/>
    <w:rPr>
      <w:color w:val="FAAD14"/>
      <w:sz w:val="18"/>
      <w:szCs w:val="18"/>
      <w:bdr w:val="single" w:color="FAAD14" w:sz="6" w:space="0"/>
    </w:rPr>
  </w:style>
  <w:style w:type="character" w:customStyle="1" w:styleId="55">
    <w:name w:val="fr"/>
    <w:basedOn w:val="20"/>
    <w:qFormat/>
    <w:uiPriority w:val="0"/>
  </w:style>
  <w:style w:type="character" w:customStyle="1" w:styleId="56">
    <w:name w:val="icon_ds"/>
    <w:basedOn w:val="20"/>
    <w:qFormat/>
    <w:uiPriority w:val="0"/>
  </w:style>
  <w:style w:type="character" w:customStyle="1" w:styleId="57">
    <w:name w:val="color-blue"/>
    <w:basedOn w:val="20"/>
    <w:qFormat/>
    <w:uiPriority w:val="0"/>
    <w:rPr>
      <w:color w:val="3F88CA"/>
      <w:sz w:val="18"/>
      <w:szCs w:val="18"/>
      <w:bdr w:val="single" w:color="3F88CA" w:sz="6" w:space="0"/>
    </w:rPr>
  </w:style>
  <w:style w:type="character" w:customStyle="1" w:styleId="58">
    <w:name w:val="icon_gys"/>
    <w:basedOn w:val="20"/>
    <w:qFormat/>
    <w:uiPriority w:val="0"/>
    <w:rPr>
      <w:sz w:val="21"/>
      <w:szCs w:val="21"/>
    </w:rPr>
  </w:style>
  <w:style w:type="character" w:customStyle="1" w:styleId="59">
    <w:name w:val="xiadan"/>
    <w:basedOn w:val="20"/>
    <w:qFormat/>
    <w:uiPriority w:val="0"/>
    <w:rPr>
      <w:shd w:val="clear" w:fill="E4393C"/>
    </w:rPr>
  </w:style>
  <w:style w:type="character" w:customStyle="1" w:styleId="60">
    <w:name w:val="hover17"/>
    <w:basedOn w:val="20"/>
    <w:qFormat/>
    <w:uiPriority w:val="0"/>
  </w:style>
  <w:style w:type="character" w:customStyle="1" w:styleId="61">
    <w:name w:val="hover18"/>
    <w:basedOn w:val="20"/>
    <w:qFormat/>
    <w:uiPriority w:val="0"/>
  </w:style>
  <w:style w:type="character" w:customStyle="1" w:styleId="62">
    <w:name w:val="font51"/>
    <w:basedOn w:val="20"/>
    <w:qFormat/>
    <w:uiPriority w:val="0"/>
    <w:rPr>
      <w:rFonts w:hint="eastAsia" w:ascii="宋体" w:hAnsi="宋体" w:eastAsia="宋体" w:cs="宋体"/>
      <w:color w:val="FF0000"/>
      <w:sz w:val="20"/>
      <w:szCs w:val="20"/>
      <w:u w:val="none"/>
    </w:rPr>
  </w:style>
  <w:style w:type="character" w:customStyle="1" w:styleId="63">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37922</Words>
  <Characters>40378</Characters>
  <Lines>0</Lines>
  <Paragraphs>0</Paragraphs>
  <TotalTime>20</TotalTime>
  <ScaleCrop>false</ScaleCrop>
  <LinksUpToDate>false</LinksUpToDate>
  <CharactersWithSpaces>41592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2024-04-01T01:13:00Z</dcterms:created>
  <dc:creator>Administrator</dc:creator>
  <cp:lastModifiedBy>NTKO</cp:lastModifiedBy>
  <dcterms:modified xsi:type="dcterms:W3CDTF">2024-07-12T09:20:02Z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0F19E02FBA214960B076473C01BD0E7B_13</vt:lpwstr>
  </property>
</Properties>
</file>