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bidi w:val="0"/>
        <w:rPr>
          <w:rFonts w:hint="eastAsia"/>
          <w:lang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2"/>
          <w:sz w:val="52"/>
          <w:szCs w:val="52"/>
          <w:lang w:eastAsia="zh-CN"/>
          <w14:textOutline w14:w="3844"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2"/>
          <w:sz w:val="52"/>
          <w:szCs w:val="52"/>
          <w:lang w:eastAsia="zh-CN"/>
          <w14:textOutline w14:w="3844"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z w:val="52"/>
          <w:szCs w:val="52"/>
        </w:rPr>
      </w:pPr>
      <w:r>
        <w:rPr>
          <w:rFonts w:hint="eastAsia" w:asciiTheme="minorEastAsia" w:hAnsiTheme="minorEastAsia" w:eastAsiaTheme="minorEastAsia" w:cstheme="minorEastAsia"/>
          <w:spacing w:val="-2"/>
          <w:sz w:val="52"/>
          <w:szCs w:val="52"/>
          <w:lang w:eastAsia="zh-CN"/>
          <w14:textOutline w14:w="3844" w14:cap="flat" w14:cmpd="sng">
            <w14:solidFill>
              <w14:srgbClr w14:val="000000"/>
            </w14:solidFill>
            <w14:prstDash w14:val="solid"/>
            <w14:miter w14:val="0"/>
          </w14:textOutline>
        </w:rPr>
        <w:t>南阳市</w:t>
      </w:r>
      <w:r>
        <w:rPr>
          <w:rFonts w:hint="eastAsia" w:asciiTheme="minorEastAsia" w:hAnsiTheme="minorEastAsia" w:eastAsiaTheme="minorEastAsia" w:cstheme="minorEastAsia"/>
          <w:spacing w:val="-2"/>
          <w:sz w:val="52"/>
          <w:szCs w:val="52"/>
          <w14:textOutline w14:w="3844" w14:cap="flat" w14:cmpd="sng">
            <w14:solidFill>
              <w14:srgbClr w14:val="000000"/>
            </w14:solidFill>
            <w14:prstDash w14:val="solid"/>
            <w14:miter w14:val="0"/>
          </w14:textOutline>
        </w:rPr>
        <w:t>政府采购项目</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z w:val="52"/>
          <w:szCs w:val="52"/>
        </w:rPr>
      </w:pPr>
      <w:r>
        <w:rPr>
          <w:rFonts w:hint="eastAsia" w:asciiTheme="minorEastAsia" w:hAnsiTheme="minorEastAsia" w:eastAsiaTheme="minorEastAsia" w:cstheme="minorEastAsia"/>
          <w:spacing w:val="-3"/>
          <w:sz w:val="52"/>
          <w:szCs w:val="52"/>
          <w14:textOutline w14:w="3844" w14:cap="flat" w14:cmpd="sng">
            <w14:solidFill>
              <w14:srgbClr w14:val="000000"/>
            </w14:solidFill>
            <w14:prstDash w14:val="solid"/>
            <w14:miter w14:val="0"/>
          </w14:textOutline>
        </w:rPr>
        <w:t>公开招标文件</w:t>
      </w:r>
    </w:p>
    <w:p>
      <w:pPr>
        <w:keepNext w:val="0"/>
        <w:keepLines w:val="0"/>
        <w:pageBreakBefore w:val="0"/>
        <w:kinsoku/>
        <w:wordWrap w:val="0"/>
        <w:overflowPunct/>
        <w:topLinePunct w:val="0"/>
        <w:bidi w:val="0"/>
        <w:spacing w:line="316"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316"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317" w:lineRule="auto"/>
        <w:jc w:val="both"/>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6"/>
          <w:szCs w:val="36"/>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6"/>
          <w:szCs w:val="36"/>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bCs/>
          <w:spacing w:val="-17"/>
          <w:sz w:val="32"/>
          <w:szCs w:val="32"/>
          <w:u w:val="single"/>
          <w:lang w:val="en-US" w:eastAsia="zh-CN"/>
        </w:rPr>
        <w:t xml:space="preserve">南阳市公安局交通管理支队2024年驾驶人社会考场服务项目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b/>
          <w:bCs/>
          <w:spacing w:val="-17"/>
          <w:sz w:val="32"/>
          <w:szCs w:val="32"/>
          <w:u w:val="single"/>
          <w:lang w:val="en-US" w:eastAsia="zh-CN"/>
        </w:rPr>
        <w:t xml:space="preserve">    南阳政采公开-2024-28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lang w:val="en-US"/>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u w:val="single"/>
          <w:lang w:val="en-US" w:eastAsia="zh-CN"/>
        </w:rPr>
        <w:t xml:space="preserve">     南阳市公安局交通管理支队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u w:val="single"/>
          <w:lang w:val="en-US" w:eastAsia="zh-CN"/>
        </w:rPr>
        <w:t xml:space="preserve">    南阳市公共资源交易中心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eastAsia" w:asciiTheme="minorEastAsia" w:hAnsiTheme="minorEastAsia" w:eastAsiaTheme="minorEastAsia" w:cstheme="minorEastAsia"/>
          <w:sz w:val="28"/>
          <w:szCs w:val="28"/>
          <w:lang w:val="en-US"/>
        </w:rPr>
      </w:sdtEndPr>
      <w:sdtContent>
        <w:p>
          <w:pPr>
            <w:pStyle w:val="2"/>
            <w:keepNext w:val="0"/>
            <w:keepLines w:val="0"/>
            <w:pageBreakBefore w:val="0"/>
            <w:kinsoku/>
            <w:wordWrap w:val="0"/>
            <w:overflowPunct/>
            <w:topLinePunct w:val="0"/>
            <w:bidi w:val="0"/>
            <w:spacing w:before="353" w:line="222" w:lineRule="auto"/>
            <w:ind w:left="3716"/>
            <w:jc w:val="both"/>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目</w:t>
          </w:r>
          <w:r>
            <w:rPr>
              <w:rFonts w:hint="eastAsia" w:asciiTheme="minorEastAsia" w:hAnsiTheme="minorEastAsia" w:eastAsiaTheme="minorEastAsia" w:cstheme="minorEastAsia"/>
              <w:spacing w:val="-42"/>
              <w:sz w:val="44"/>
              <w:szCs w:val="44"/>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录</w:t>
          </w:r>
        </w:p>
        <w:p>
          <w:pPr>
            <w:pStyle w:val="2"/>
            <w:keepNext w:val="0"/>
            <w:keepLines w:val="0"/>
            <w:pageBreakBefore w:val="0"/>
            <w:kinsoku/>
            <w:wordWrap w:val="0"/>
            <w:overflowPunct/>
            <w:topLinePunct w:val="0"/>
            <w:bidi w:val="0"/>
            <w:jc w:val="both"/>
            <w:rPr>
              <w:rFonts w:hint="eastAsia"/>
              <w:shd w:val="clear" w:color="FFFFFF" w:fill="D9D9D9"/>
            </w:rPr>
          </w:pPr>
        </w:p>
        <w:p>
          <w:pPr>
            <w:pStyle w:val="2"/>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第一章</w:t>
          </w:r>
          <w:r>
            <w:rPr>
              <w:rFonts w:hint="eastAsia"/>
              <w:sz w:val="28"/>
              <w:szCs w:val="28"/>
              <w:lang w:val="en-US" w:eastAsia="zh-CN"/>
            </w:rPr>
            <w:t xml:space="preserve"> </w:t>
          </w:r>
          <w:r>
            <w:rPr>
              <w:rFonts w:hint="eastAsia"/>
              <w:sz w:val="28"/>
              <w:szCs w:val="28"/>
              <w:lang w:eastAsia="zh-CN"/>
            </w:rPr>
            <w:t>公开招标公告</w:t>
          </w:r>
        </w:p>
        <w:p>
          <w:pPr>
            <w:pStyle w:val="2"/>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二</w:t>
          </w:r>
          <w:r>
            <w:rPr>
              <w:rFonts w:hint="eastAsia"/>
              <w:sz w:val="28"/>
              <w:szCs w:val="28"/>
            </w:rPr>
            <w:t>章</w:t>
          </w:r>
          <w:r>
            <w:rPr>
              <w:rFonts w:hint="eastAsia"/>
              <w:sz w:val="28"/>
              <w:szCs w:val="28"/>
              <w:lang w:val="en-US" w:eastAsia="zh-CN"/>
            </w:rPr>
            <w:t xml:space="preserve"> </w:t>
          </w:r>
          <w:r>
            <w:rPr>
              <w:rFonts w:hint="eastAsia"/>
              <w:sz w:val="28"/>
              <w:szCs w:val="28"/>
            </w:rPr>
            <w:t>采购需求</w:t>
          </w:r>
        </w:p>
        <w:p>
          <w:pPr>
            <w:pStyle w:val="2"/>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三</w:t>
          </w:r>
          <w:r>
            <w:rPr>
              <w:rFonts w:hint="eastAsia"/>
              <w:sz w:val="28"/>
              <w:szCs w:val="28"/>
            </w:rPr>
            <w:t>章</w:t>
          </w:r>
          <w:r>
            <w:rPr>
              <w:rFonts w:hint="eastAsia"/>
              <w:sz w:val="28"/>
              <w:szCs w:val="28"/>
              <w:lang w:val="en-US" w:eastAsia="zh-CN"/>
            </w:rPr>
            <w:t xml:space="preserve"> </w:t>
          </w:r>
          <w:r>
            <w:rPr>
              <w:rFonts w:hint="eastAsia"/>
              <w:sz w:val="28"/>
              <w:szCs w:val="28"/>
            </w:rPr>
            <w:t>投标人须知</w:t>
          </w:r>
        </w:p>
        <w:p>
          <w:pPr>
            <w:pStyle w:val="2"/>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四</w:t>
          </w:r>
          <w:r>
            <w:rPr>
              <w:rFonts w:hint="eastAsia"/>
              <w:sz w:val="28"/>
              <w:szCs w:val="28"/>
            </w:rPr>
            <w:t>章</w:t>
          </w:r>
          <w:r>
            <w:rPr>
              <w:rFonts w:hint="eastAsia"/>
              <w:sz w:val="28"/>
              <w:szCs w:val="28"/>
              <w:lang w:val="en-US" w:eastAsia="zh-CN"/>
            </w:rPr>
            <w:t xml:space="preserve"> 开、</w:t>
          </w:r>
          <w:r>
            <w:rPr>
              <w:rFonts w:hint="eastAsia"/>
              <w:sz w:val="28"/>
              <w:szCs w:val="28"/>
            </w:rPr>
            <w:t>评标程序、评标方法和评标标准</w:t>
          </w:r>
        </w:p>
        <w:p>
          <w:pPr>
            <w:pStyle w:val="2"/>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五</w:t>
          </w:r>
          <w:r>
            <w:rPr>
              <w:rFonts w:hint="eastAsia"/>
              <w:sz w:val="28"/>
              <w:szCs w:val="28"/>
            </w:rPr>
            <w:t>章</w:t>
          </w:r>
          <w:r>
            <w:rPr>
              <w:rFonts w:hint="eastAsia"/>
              <w:sz w:val="28"/>
              <w:szCs w:val="28"/>
              <w:lang w:val="en-US" w:eastAsia="zh-CN"/>
            </w:rPr>
            <w:t xml:space="preserve"> </w:t>
          </w:r>
          <w:r>
            <w:rPr>
              <w:rFonts w:hint="eastAsia"/>
              <w:sz w:val="28"/>
              <w:szCs w:val="28"/>
              <w:lang w:eastAsia="zh-CN"/>
            </w:rPr>
            <w:t>政府采购合同（草案）</w:t>
          </w:r>
        </w:p>
        <w:p>
          <w:pPr>
            <w:pStyle w:val="2"/>
            <w:keepNext w:val="0"/>
            <w:keepLines w:val="0"/>
            <w:pageBreakBefore w:val="0"/>
            <w:kinsoku/>
            <w:wordWrap w:val="0"/>
            <w:overflowPunct/>
            <w:topLinePunct w:val="0"/>
            <w:bidi w:val="0"/>
            <w:spacing w:line="360" w:lineRule="auto"/>
            <w:jc w:val="both"/>
            <w:rPr>
              <w:rFonts w:hint="eastAsia"/>
              <w:sz w:val="28"/>
              <w:szCs w:val="28"/>
            </w:rPr>
          </w:pPr>
          <w:r>
            <w:rPr>
              <w:rFonts w:hint="eastAsia"/>
              <w:sz w:val="28"/>
              <w:szCs w:val="28"/>
            </w:rPr>
            <w:t>第</w:t>
          </w:r>
          <w:r>
            <w:rPr>
              <w:rFonts w:hint="eastAsia"/>
              <w:sz w:val="28"/>
              <w:szCs w:val="28"/>
              <w:lang w:val="en-US" w:eastAsia="zh-CN"/>
            </w:rPr>
            <w:t>六</w:t>
          </w:r>
          <w:r>
            <w:rPr>
              <w:rFonts w:hint="eastAsia"/>
              <w:sz w:val="28"/>
              <w:szCs w:val="28"/>
            </w:rPr>
            <w:t>章</w:t>
          </w:r>
          <w:r>
            <w:rPr>
              <w:rFonts w:hint="eastAsia"/>
              <w:sz w:val="28"/>
              <w:szCs w:val="28"/>
              <w:lang w:val="en-US" w:eastAsia="zh-CN"/>
            </w:rPr>
            <w:t xml:space="preserve"> </w:t>
          </w:r>
          <w:r>
            <w:rPr>
              <w:rFonts w:hint="eastAsia"/>
              <w:sz w:val="28"/>
              <w:szCs w:val="28"/>
            </w:rPr>
            <w:t>投标文件格式</w:t>
          </w:r>
        </w:p>
      </w:sdtContent>
    </w:sdt>
    <w:p>
      <w:pPr>
        <w:pStyle w:val="2"/>
        <w:keepNext w:val="0"/>
        <w:keepLines w:val="0"/>
        <w:pageBreakBefore w:val="0"/>
        <w:kinsoku/>
        <w:wordWrap w:val="0"/>
        <w:overflowPunct/>
        <w:topLinePunct w:val="0"/>
        <w:bidi w:val="0"/>
        <w:spacing w:before="117" w:line="220" w:lineRule="auto"/>
        <w:jc w:val="center"/>
        <w:rPr>
          <w:rFonts w:hint="eastAsia" w:asciiTheme="minorEastAsia" w:hAnsiTheme="minorEastAsia" w:eastAsiaTheme="minorEastAsia" w:cstheme="minorEastAsia"/>
          <w:spacing w:val="-3"/>
          <w:sz w:val="44"/>
          <w:szCs w:val="44"/>
          <w14:textOutline w14:w="2306" w14:cap="flat" w14:cmpd="sng">
            <w14:solidFill>
              <w14:srgbClr w14:val="000000"/>
            </w14:solidFill>
            <w14:prstDash w14:val="solid"/>
            <w14:miter w14:val="0"/>
          </w14:textOutline>
        </w:rPr>
        <w:sectPr>
          <w:headerReference r:id="rId5" w:type="default"/>
          <w:footerReference r:id="rId6" w:type="default"/>
          <w:pgSz w:w="11907" w:h="16840"/>
          <w:pgMar w:top="1440" w:right="1800" w:bottom="1440" w:left="1800" w:header="878" w:footer="886" w:gutter="0"/>
          <w:pgNumType w:fmt="decimal"/>
          <w:cols w:space="720" w:num="1"/>
        </w:sectPr>
      </w:pPr>
    </w:p>
    <w:p>
      <w:pPr>
        <w:pStyle w:val="2"/>
        <w:keepNext w:val="0"/>
        <w:keepLines w:val="0"/>
        <w:pageBreakBefore w:val="0"/>
        <w:kinsoku/>
        <w:wordWrap w:val="0"/>
        <w:overflowPunct/>
        <w:topLinePunct w:val="0"/>
        <w:bidi w:val="0"/>
        <w:spacing w:before="353" w:line="360" w:lineRule="auto"/>
        <w:ind w:firstLine="2506" w:firstLineChars="700"/>
        <w:jc w:val="both"/>
        <w:rPr>
          <w:color w:val="auto"/>
          <w:spacing w:val="-6"/>
          <w:sz w:val="36"/>
          <w:szCs w:val="36"/>
        </w:rPr>
      </w:pPr>
      <w:r>
        <w:rPr>
          <w:rFonts w:hint="eastAsia" w:asciiTheme="minorEastAsia" w:hAnsiTheme="minorEastAsia" w:eastAsiaTheme="minorEastAsia" w:cstheme="minorEastAsia"/>
          <w:color w:val="auto"/>
          <w:spacing w:val="-1"/>
          <w:sz w:val="36"/>
          <w:szCs w:val="36"/>
          <w14:textOutline w14:w="2306" w14:cap="flat" w14:cmpd="sng">
            <w14:solidFill>
              <w14:srgbClr w14:val="000000"/>
            </w14:solidFill>
            <w14:prstDash w14:val="solid"/>
            <w14:miter w14:val="0"/>
          </w14:textOutline>
        </w:rPr>
        <w:t>第一章</w:t>
      </w:r>
      <w:r>
        <w:rPr>
          <w:rFonts w:hint="eastAsia" w:asciiTheme="minorEastAsia" w:hAnsiTheme="minorEastAsia" w:eastAsiaTheme="minorEastAsia" w:cstheme="minorEastAsia"/>
          <w:color w:val="auto"/>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color w:val="auto"/>
          <w:spacing w:val="-1"/>
          <w:sz w:val="36"/>
          <w:szCs w:val="36"/>
          <w:lang w:eastAsia="zh-CN"/>
          <w14:textOutline w14:w="2306" w14:cap="flat" w14:cmpd="sng">
            <w14:solidFill>
              <w14:srgbClr w14:val="000000"/>
            </w14:solidFill>
            <w14:prstDash w14:val="solid"/>
            <w14:miter w14:val="0"/>
          </w14:textOutline>
        </w:rPr>
        <w:t>公开招标公告</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color w:val="auto"/>
          <w:spacing w:val="-6"/>
          <w:sz w:val="24"/>
          <w:szCs w:val="24"/>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color w:val="auto"/>
          <w:spacing w:val="-6"/>
          <w:sz w:val="24"/>
          <w:szCs w:val="24"/>
        </w:rPr>
      </w:pPr>
      <w:r>
        <w:rPr>
          <w:color w:val="auto"/>
          <w:spacing w:val="-6"/>
          <w:sz w:val="24"/>
          <w:szCs w:val="24"/>
        </w:rPr>
        <w:t>采购人拟就下述项目以</w:t>
      </w:r>
      <w:r>
        <w:rPr>
          <w:rFonts w:hint="eastAsia"/>
          <w:color w:val="auto"/>
          <w:spacing w:val="-6"/>
          <w:sz w:val="24"/>
          <w:szCs w:val="24"/>
          <w:lang w:val="en-US" w:eastAsia="zh-CN"/>
        </w:rPr>
        <w:t>公开</w:t>
      </w:r>
      <w:r>
        <w:rPr>
          <w:color w:val="auto"/>
          <w:spacing w:val="-6"/>
          <w:sz w:val="24"/>
          <w:szCs w:val="24"/>
        </w:rPr>
        <w:t>招标方式组织采购活动，</w:t>
      </w:r>
      <w:r>
        <w:rPr>
          <w:rFonts w:hint="eastAsia"/>
          <w:color w:val="auto"/>
          <w:spacing w:val="-6"/>
          <w:sz w:val="24"/>
          <w:szCs w:val="24"/>
          <w:lang w:eastAsia="zh-CN"/>
        </w:rPr>
        <w:t>欢迎潜在投标人</w:t>
      </w:r>
      <w:r>
        <w:rPr>
          <w:color w:val="auto"/>
          <w:spacing w:val="-6"/>
          <w:sz w:val="24"/>
          <w:szCs w:val="24"/>
        </w:rPr>
        <w:t>参与本项目投标。</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14:textOutline w14:w="1537" w14:cap="flat" w14:cmpd="sng">
            <w14:solidFill>
              <w14:srgbClr w14:val="000000"/>
            </w14:solidFill>
            <w14:prstDash w14:val="solid"/>
            <w14:miter w14:val="0"/>
          </w14:textOutline>
        </w:rPr>
        <w:t>一、项目基本情况</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5"/>
          <w:sz w:val="24"/>
          <w:szCs w:val="24"/>
        </w:rPr>
        <w:t xml:space="preserve">1.项目编号： 南阳政采公开-2024-28 </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4"/>
          <w:sz w:val="24"/>
          <w:szCs w:val="24"/>
        </w:rPr>
        <w:t xml:space="preserve">2.项目名称：南阳市公安局交通管理支队2024年驾驶人社会考场服务项目    </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4"/>
          <w:sz w:val="24"/>
          <w:szCs w:val="24"/>
        </w:rPr>
        <w:t>3.项目预算金额：</w:t>
      </w:r>
      <w:r>
        <w:rPr>
          <w:rFonts w:hint="eastAsia" w:asciiTheme="minorEastAsia" w:hAnsiTheme="minorEastAsia" w:eastAsiaTheme="minorEastAsia" w:cstheme="minorEastAsia"/>
          <w:color w:val="auto"/>
          <w:spacing w:val="-14"/>
          <w:sz w:val="24"/>
          <w:szCs w:val="24"/>
          <w:u w:val="single"/>
          <w:lang w:val="en-US" w:eastAsia="zh-CN"/>
        </w:rPr>
        <w:t xml:space="preserve">   156.98  </w:t>
      </w:r>
      <w:r>
        <w:rPr>
          <w:rFonts w:hint="eastAsia" w:asciiTheme="minorEastAsia" w:hAnsiTheme="minorEastAsia" w:eastAsiaTheme="minorEastAsia" w:cstheme="minorEastAsia"/>
          <w:color w:val="auto"/>
          <w:spacing w:val="-14"/>
          <w:sz w:val="24"/>
          <w:szCs w:val="24"/>
        </w:rPr>
        <w:t>万元、项目最高限价（如有</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pacing w:val="-14"/>
          <w:sz w:val="24"/>
          <w:szCs w:val="24"/>
          <w:u w:val="single"/>
          <w:lang w:val="en-US" w:eastAsia="zh-CN"/>
        </w:rPr>
        <w:t>156.98</w:t>
      </w:r>
      <w:r>
        <w:rPr>
          <w:rFonts w:hint="eastAsia" w:asciiTheme="minorEastAsia" w:hAnsiTheme="minorEastAsia" w:eastAsiaTheme="minorEastAsia" w:cstheme="minorEastAsia"/>
          <w:color w:val="auto"/>
          <w:spacing w:val="5"/>
          <w:sz w:val="24"/>
          <w:szCs w:val="24"/>
          <w:u w:val="single"/>
          <w:lang w:val="en-US" w:eastAsia="zh-CN"/>
        </w:rPr>
        <w:t xml:space="preserve">   </w:t>
      </w:r>
      <w:r>
        <w:rPr>
          <w:rFonts w:hint="eastAsia" w:asciiTheme="minorEastAsia" w:hAnsiTheme="minorEastAsia" w:eastAsiaTheme="minorEastAsia" w:cstheme="minorEastAsia"/>
          <w:color w:val="auto"/>
          <w:spacing w:val="-14"/>
          <w:sz w:val="24"/>
          <w:szCs w:val="24"/>
        </w:rPr>
        <w:t>万元</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4.采购需求：</w:t>
      </w:r>
    </w:p>
    <w:tbl>
      <w:tblPr>
        <w:tblStyle w:val="23"/>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包号</w:t>
            </w:r>
          </w:p>
        </w:tc>
        <w:tc>
          <w:tcPr>
            <w:tcW w:w="4215" w:type="dxa"/>
            <w:vAlign w:val="center"/>
          </w:tcPr>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lang w:val="en-US" w:eastAsia="zh-CN"/>
              </w:rPr>
              <w:t>包</w:t>
            </w:r>
            <w:r>
              <w:rPr>
                <w:rFonts w:hint="eastAsia" w:asciiTheme="minorEastAsia" w:hAnsiTheme="minorEastAsia" w:eastAsiaTheme="minorEastAsia" w:cstheme="minorEastAsia"/>
                <w:color w:val="auto"/>
                <w:spacing w:val="7"/>
                <w:sz w:val="24"/>
                <w:szCs w:val="24"/>
              </w:rPr>
              <w:t>名称</w:t>
            </w:r>
          </w:p>
        </w:tc>
        <w:tc>
          <w:tcPr>
            <w:tcW w:w="2321" w:type="dxa"/>
            <w:vAlign w:val="center"/>
          </w:tcPr>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 w:firstLineChars="20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包预算</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万</w:t>
            </w:r>
            <w:r>
              <w:rPr>
                <w:rFonts w:hint="eastAsia" w:asciiTheme="minorEastAsia" w:hAnsiTheme="minorEastAsia" w:eastAsiaTheme="minorEastAsia" w:cstheme="minorEastAsia"/>
                <w:color w:val="auto"/>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vAlign w:val="top"/>
          </w:tcPr>
          <w:p>
            <w:pPr>
              <w:pStyle w:val="2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5"/>
                <w:sz w:val="24"/>
                <w:szCs w:val="24"/>
              </w:rPr>
              <w:t xml:space="preserve">南阳政采公开-2024-28 </w:t>
            </w:r>
            <w:r>
              <w:rPr>
                <w:rFonts w:hint="eastAsia" w:asciiTheme="minorEastAsia" w:hAnsiTheme="minorEastAsia" w:eastAsiaTheme="minorEastAsia" w:cstheme="minorEastAsia"/>
                <w:color w:val="auto"/>
                <w:spacing w:val="14"/>
                <w:sz w:val="24"/>
                <w:szCs w:val="24"/>
                <w:lang w:val="en-US" w:eastAsia="zh-CN"/>
              </w:rPr>
              <w:t>-</w:t>
            </w:r>
            <w:r>
              <w:rPr>
                <w:rFonts w:hint="eastAsia" w:asciiTheme="minorEastAsia" w:hAnsiTheme="minorEastAsia" w:eastAsiaTheme="minorEastAsia" w:cstheme="minorEastAsia"/>
                <w:color w:val="auto"/>
                <w:spacing w:val="14"/>
                <w:sz w:val="24"/>
                <w:szCs w:val="24"/>
              </w:rPr>
              <w:t>1</w:t>
            </w:r>
          </w:p>
        </w:tc>
        <w:tc>
          <w:tcPr>
            <w:tcW w:w="4215" w:type="dxa"/>
            <w:vAlign w:val="top"/>
          </w:tcPr>
          <w:p>
            <w:pPr>
              <w:pStyle w:val="2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384" w:firstLineChars="200"/>
              <w:jc w:val="both"/>
              <w:textAlignment w:val="baseline"/>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pacing w:val="-24"/>
                <w:sz w:val="24"/>
                <w:szCs w:val="24"/>
              </w:rPr>
              <w:t xml:space="preserve">南阳市公安局交通管理支队2024年驾驶人社会考场服务项目  </w:t>
            </w:r>
            <w:r>
              <w:rPr>
                <w:rFonts w:hint="eastAsia" w:asciiTheme="minorEastAsia" w:hAnsiTheme="minorEastAsia" w:eastAsiaTheme="minorEastAsia" w:cstheme="minorEastAsia"/>
                <w:color w:val="auto"/>
                <w:spacing w:val="-24"/>
                <w:sz w:val="24"/>
                <w:szCs w:val="24"/>
                <w:lang w:val="en-US" w:eastAsia="zh-CN"/>
              </w:rPr>
              <w:t>第一标段</w:t>
            </w:r>
          </w:p>
        </w:tc>
        <w:tc>
          <w:tcPr>
            <w:tcW w:w="2321" w:type="dxa"/>
            <w:vAlign w:val="top"/>
          </w:tcPr>
          <w:p>
            <w:pPr>
              <w:pStyle w:val="2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635" w:type="dxa"/>
            <w:vAlign w:val="top"/>
          </w:tcPr>
          <w:p>
            <w:pPr>
              <w:pStyle w:val="2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5"/>
                <w:sz w:val="24"/>
                <w:szCs w:val="24"/>
              </w:rPr>
              <w:t xml:space="preserve">南阳政采公开-2024-28 </w:t>
            </w:r>
            <w:r>
              <w:rPr>
                <w:rFonts w:hint="eastAsia" w:asciiTheme="minorEastAsia" w:hAnsiTheme="minorEastAsia" w:eastAsiaTheme="minorEastAsia" w:cstheme="minorEastAsia"/>
                <w:color w:val="auto"/>
                <w:spacing w:val="14"/>
                <w:sz w:val="24"/>
                <w:szCs w:val="24"/>
                <w:lang w:val="en-US" w:eastAsia="zh-CN"/>
              </w:rPr>
              <w:t>-</w:t>
            </w:r>
            <w:r>
              <w:rPr>
                <w:rFonts w:hint="eastAsia" w:asciiTheme="minorEastAsia" w:hAnsiTheme="minorEastAsia" w:eastAsiaTheme="minorEastAsia" w:cstheme="minorEastAsia"/>
                <w:color w:val="auto"/>
                <w:spacing w:val="14"/>
                <w:sz w:val="24"/>
                <w:szCs w:val="24"/>
              </w:rPr>
              <w:t>2</w:t>
            </w:r>
          </w:p>
        </w:tc>
        <w:tc>
          <w:tcPr>
            <w:tcW w:w="4215" w:type="dxa"/>
            <w:vAlign w:val="top"/>
          </w:tcPr>
          <w:p>
            <w:pPr>
              <w:pStyle w:val="2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384" w:firstLineChars="20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4"/>
                <w:sz w:val="24"/>
                <w:szCs w:val="24"/>
              </w:rPr>
              <w:t xml:space="preserve">南阳市公安局交通管理支队2024年驾驶人社会考场服务项目  </w:t>
            </w:r>
            <w:r>
              <w:rPr>
                <w:rFonts w:hint="eastAsia" w:asciiTheme="minorEastAsia" w:hAnsiTheme="minorEastAsia" w:eastAsiaTheme="minorEastAsia" w:cstheme="minorEastAsia"/>
                <w:color w:val="auto"/>
                <w:spacing w:val="-24"/>
                <w:sz w:val="24"/>
                <w:szCs w:val="24"/>
                <w:lang w:val="en-US" w:eastAsia="zh-CN"/>
              </w:rPr>
              <w:t>第二标段</w:t>
            </w:r>
          </w:p>
        </w:tc>
        <w:tc>
          <w:tcPr>
            <w:tcW w:w="2321" w:type="dxa"/>
            <w:vAlign w:val="top"/>
          </w:tcPr>
          <w:p>
            <w:pPr>
              <w:pStyle w:val="2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53.58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635" w:type="dxa"/>
            <w:vAlign w:val="top"/>
          </w:tcPr>
          <w:p>
            <w:pPr>
              <w:pStyle w:val="2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5"/>
                <w:sz w:val="24"/>
                <w:szCs w:val="24"/>
              </w:rPr>
              <w:t>南阳政采公开-2024-28</w:t>
            </w:r>
            <w:r>
              <w:rPr>
                <w:rFonts w:hint="eastAsia" w:asciiTheme="minorEastAsia" w:hAnsiTheme="minorEastAsia" w:eastAsiaTheme="minorEastAsia" w:cstheme="minorEastAsia"/>
                <w:color w:val="auto"/>
                <w:spacing w:val="-25"/>
                <w:sz w:val="24"/>
                <w:szCs w:val="24"/>
                <w:lang w:val="en-US" w:eastAsia="zh-CN"/>
              </w:rPr>
              <w:t>-3</w:t>
            </w:r>
            <w:r>
              <w:rPr>
                <w:rFonts w:hint="eastAsia" w:asciiTheme="minorEastAsia" w:hAnsiTheme="minorEastAsia" w:eastAsiaTheme="minorEastAsia" w:cstheme="minorEastAsia"/>
                <w:color w:val="auto"/>
                <w:spacing w:val="-25"/>
                <w:sz w:val="24"/>
                <w:szCs w:val="24"/>
              </w:rPr>
              <w:t xml:space="preserve"> </w:t>
            </w:r>
          </w:p>
        </w:tc>
        <w:tc>
          <w:tcPr>
            <w:tcW w:w="4215" w:type="dxa"/>
            <w:vAlign w:val="top"/>
          </w:tcPr>
          <w:p>
            <w:pPr>
              <w:pStyle w:val="2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384" w:firstLineChars="20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4"/>
                <w:sz w:val="24"/>
                <w:szCs w:val="24"/>
              </w:rPr>
              <w:t xml:space="preserve">南阳市公安局交通管理支队2024年驾驶人社会考场服务项目 </w:t>
            </w:r>
            <w:r>
              <w:rPr>
                <w:rFonts w:hint="eastAsia" w:asciiTheme="minorEastAsia" w:hAnsiTheme="minorEastAsia" w:eastAsiaTheme="minorEastAsia" w:cstheme="minorEastAsia"/>
                <w:color w:val="auto"/>
                <w:spacing w:val="-24"/>
                <w:sz w:val="24"/>
                <w:szCs w:val="24"/>
                <w:lang w:val="en-US" w:eastAsia="zh-CN"/>
              </w:rPr>
              <w:t>第三标段</w:t>
            </w:r>
          </w:p>
        </w:tc>
        <w:tc>
          <w:tcPr>
            <w:tcW w:w="2321" w:type="dxa"/>
            <w:vAlign w:val="top"/>
          </w:tcPr>
          <w:p>
            <w:pPr>
              <w:pStyle w:val="2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75.2</w:t>
            </w:r>
          </w:p>
        </w:tc>
      </w:tr>
    </w:tbl>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default" w:asciiTheme="minorEastAsia" w:hAnsiTheme="minorEastAsia" w:eastAsiaTheme="minorEastAsia" w:cstheme="minorEastAsia"/>
          <w:color w:val="auto"/>
          <w:spacing w:val="-5"/>
          <w:sz w:val="24"/>
          <w:szCs w:val="24"/>
          <w:lang w:val="en-US" w:eastAsia="zh-CN"/>
        </w:rPr>
      </w:pPr>
      <w:r>
        <w:rPr>
          <w:rFonts w:hint="eastAsia" w:asciiTheme="minorEastAsia" w:hAnsiTheme="minorEastAsia" w:eastAsiaTheme="minorEastAsia" w:cstheme="minorEastAsia"/>
          <w:color w:val="auto"/>
          <w:spacing w:val="-5"/>
          <w:sz w:val="24"/>
          <w:szCs w:val="24"/>
          <w:lang w:val="en-US" w:eastAsia="zh-CN"/>
        </w:rPr>
        <w:t>5.服务要求</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0" w:right="0" w:firstLine="460" w:firstLineChars="200"/>
        <w:jc w:val="both"/>
        <w:textAlignment w:val="baseline"/>
        <w:rPr>
          <w:rFonts w:hint="eastAsia" w:asciiTheme="minorEastAsia" w:hAnsiTheme="minorEastAsia" w:eastAsiaTheme="minorEastAsia" w:cstheme="minorEastAsia"/>
          <w:color w:val="auto"/>
          <w:spacing w:val="-5"/>
          <w:sz w:val="24"/>
          <w:szCs w:val="24"/>
          <w:lang w:val="en-US" w:eastAsia="zh-CN"/>
        </w:rPr>
      </w:pPr>
      <w:r>
        <w:rPr>
          <w:rFonts w:hint="eastAsia" w:asciiTheme="minorEastAsia" w:hAnsiTheme="minorEastAsia" w:eastAsiaTheme="minorEastAsia" w:cstheme="minorEastAsia"/>
          <w:color w:val="auto"/>
          <w:spacing w:val="-5"/>
          <w:sz w:val="24"/>
          <w:szCs w:val="24"/>
          <w:lang w:val="en-US" w:eastAsia="zh-CN"/>
        </w:rPr>
        <w:t>现通过公开招标选择定点社会考场服务，第一标段道路交通安全法律、法规和相关知识考场(以下简称“科目一考场”)，第二标段场地驾驶技能考场(以下简称“科目二考场”)，第三标段道路驾驶技能考场(以下简称“科目三道路考场”)，服务期限均为1年。</w:t>
      </w:r>
      <w:r>
        <w:rPr>
          <w:rFonts w:hint="eastAsia" w:asciiTheme="minorEastAsia" w:hAnsiTheme="minorEastAsia" w:eastAsiaTheme="minorEastAsia" w:cstheme="minorEastAsia"/>
          <w:snapToGrid w:val="0"/>
          <w:color w:val="auto"/>
          <w:spacing w:val="-1"/>
          <w:kern w:val="0"/>
          <w:sz w:val="24"/>
          <w:szCs w:val="24"/>
          <w:lang w:val="en-US" w:eastAsia="zh-CN" w:bidi="ar-SA"/>
        </w:rPr>
        <w:t>（其中科目一考场服务根据《机动车驾驶证业务工作规范》（公交管[2022]73号）、《河南省机动车驾驶人考场管理规定》（豫公交办〔2022〕283号）</w:t>
      </w:r>
      <w:r>
        <w:rPr>
          <w:rFonts w:hint="eastAsia" w:asciiTheme="minorEastAsia" w:hAnsiTheme="minorEastAsia" w:eastAsiaTheme="minorEastAsia" w:cstheme="minorEastAsia"/>
          <w:snapToGrid w:val="0"/>
          <w:color w:val="000000" w:themeColor="text1"/>
          <w:spacing w:val="-1"/>
          <w:kern w:val="0"/>
          <w:sz w:val="24"/>
          <w:szCs w:val="24"/>
          <w:lang w:val="en-US" w:eastAsia="zh-CN" w:bidi="ar-SA"/>
          <w14:textFill>
            <w14:solidFill>
              <w14:schemeClr w14:val="tx1"/>
            </w14:solidFill>
          </w14:textFill>
        </w:rPr>
        <w:t>等</w:t>
      </w:r>
      <w:r>
        <w:rPr>
          <w:rFonts w:hint="eastAsia" w:asciiTheme="minorEastAsia" w:hAnsiTheme="minorEastAsia" w:eastAsiaTheme="minorEastAsia" w:cstheme="minorEastAsia"/>
          <w:snapToGrid w:val="0"/>
          <w:color w:val="auto"/>
          <w:spacing w:val="-1"/>
          <w:kern w:val="0"/>
          <w:sz w:val="24"/>
          <w:szCs w:val="24"/>
          <w:lang w:val="en-US" w:eastAsia="zh-CN" w:bidi="ar-SA"/>
        </w:rPr>
        <w:t>要求：公安机关交通管理部门应当自行建设驾驶理论考场。在采购人驾驶理论考场建成使用后，采购人可随时终止第一标段科目一考场购买服务，使用费用据实结算）</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color w:val="auto"/>
          <w:spacing w:val="-2"/>
          <w:sz w:val="24"/>
          <w:szCs w:val="24"/>
        </w:rPr>
      </w:pPr>
      <w:r>
        <w:rPr>
          <w:rFonts w:hint="eastAsia" w:asciiTheme="minorEastAsia" w:hAnsiTheme="minorEastAsia" w:eastAsiaTheme="minorEastAsia" w:cstheme="minorEastAsia"/>
          <w:color w:val="auto"/>
          <w:spacing w:val="-2"/>
          <w:sz w:val="24"/>
          <w:szCs w:val="24"/>
          <w:lang w:val="en-US" w:eastAsia="zh-CN"/>
        </w:rPr>
        <w:t>6</w:t>
      </w:r>
      <w:r>
        <w:rPr>
          <w:rFonts w:hint="eastAsia" w:asciiTheme="minorEastAsia" w:hAnsiTheme="minorEastAsia" w:eastAsiaTheme="minorEastAsia" w:cstheme="minorEastAsia"/>
          <w:color w:val="auto"/>
          <w:spacing w:val="-2"/>
          <w:sz w:val="24"/>
          <w:szCs w:val="24"/>
        </w:rPr>
        <w:t>.本项目是否接受联合体投标：</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2"/>
          <w:sz w:val="24"/>
          <w:szCs w:val="24"/>
        </w:rPr>
        <w:t>是</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2"/>
          <w:sz w:val="24"/>
          <w:szCs w:val="24"/>
        </w:rPr>
        <w:t>否。</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color w:val="auto"/>
          <w:sz w:val="21"/>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color w:val="auto"/>
          <w:spacing w:val="-1"/>
          <w:sz w:val="24"/>
          <w:szCs w:val="24"/>
          <w:lang w:val="en-US" w:eastAsia="zh-CN"/>
          <w14:textOutline w14:w="1537" w14:cap="flat" w14:cmpd="sng">
            <w14:solidFill>
              <w14:srgbClr w14:val="000000"/>
            </w14:solidFill>
            <w14:prstDash w14:val="solid"/>
            <w14:miter w14:val="0"/>
          </w14:textOutline>
        </w:rPr>
        <w:t>投标人具备的</w:t>
      </w:r>
      <w:r>
        <w:rPr>
          <w:rFonts w:hint="eastAsia" w:asciiTheme="minorEastAsia" w:hAnsiTheme="minorEastAsia" w:eastAsiaTheme="minorEastAsia" w:cstheme="minorEastAsia"/>
          <w:color w:val="auto"/>
          <w:spacing w:val="-1"/>
          <w:sz w:val="24"/>
          <w:szCs w:val="24"/>
          <w14:textOutline w14:w="1537" w14:cap="flat" w14:cmpd="sng">
            <w14:solidFill>
              <w14:srgbClr w14:val="000000"/>
            </w14:solidFill>
            <w14:prstDash w14:val="solid"/>
            <w14:miter w14:val="0"/>
          </w14:textOutline>
        </w:rPr>
        <w:t>资格要求（须同时满足）</w:t>
      </w:r>
    </w:p>
    <w:p>
      <w:pPr>
        <w:keepNext w:val="0"/>
        <w:keepLines w:val="0"/>
        <w:pageBreakBefore w:val="0"/>
        <w:widowControl/>
        <w:kinsoku/>
        <w:wordWrap w:val="0"/>
        <w:overflowPunct/>
        <w:topLinePunct w:val="0"/>
        <w:autoSpaceDE/>
        <w:autoSpaceDN/>
        <w:bidi w:val="0"/>
        <w:adjustRightInd/>
        <w:snapToGrid/>
        <w:spacing w:line="360" w:lineRule="auto"/>
        <w:ind w:leftChars="0" w:firstLine="424" w:firstLineChars="200"/>
        <w:jc w:val="both"/>
        <w:textAlignment w:val="auto"/>
        <w:rPr>
          <w:rFonts w:hint="eastAsia" w:asciiTheme="minorEastAsia" w:hAnsiTheme="minorEastAsia" w:eastAsiaTheme="minorEastAsia" w:cstheme="minorEastAsia"/>
          <w:snapToGrid w:val="0"/>
          <w:color w:val="auto"/>
          <w:spacing w:val="-14"/>
          <w:kern w:val="0"/>
          <w:sz w:val="24"/>
          <w:szCs w:val="24"/>
          <w:lang w:val="en-US" w:eastAsia="zh-CN" w:bidi="ar-SA"/>
        </w:rPr>
      </w:pPr>
      <w:r>
        <w:rPr>
          <w:rFonts w:hint="eastAsia" w:asciiTheme="minorEastAsia" w:hAnsiTheme="minorEastAsia" w:eastAsiaTheme="minorEastAsia" w:cstheme="minorEastAsia"/>
          <w:snapToGrid w:val="0"/>
          <w:color w:val="auto"/>
          <w:spacing w:val="-14"/>
          <w:kern w:val="0"/>
          <w:sz w:val="24"/>
          <w:szCs w:val="24"/>
          <w:lang w:val="en-US" w:eastAsia="zh-CN" w:bidi="ar-SA"/>
        </w:rPr>
        <w:t>1.投标人须是注册于中华人民共和国境内，具有独立承担民事责任能力的专业服务机构，且拥有考场建设用地所有权或使用权证明（附带宗地图，土地使用性质应为非农林业用地）；属于租赁的，还应提供租赁合同。且保证所用土地满足本项目服务期限。</w:t>
      </w:r>
    </w:p>
    <w:p>
      <w:pPr>
        <w:keepNext w:val="0"/>
        <w:keepLines w:val="0"/>
        <w:pageBreakBefore w:val="0"/>
        <w:widowControl/>
        <w:kinsoku/>
        <w:wordWrap w:val="0"/>
        <w:overflowPunct/>
        <w:topLinePunct w:val="0"/>
        <w:autoSpaceDE/>
        <w:autoSpaceDN/>
        <w:bidi w:val="0"/>
        <w:adjustRightInd/>
        <w:snapToGrid/>
        <w:spacing w:line="360" w:lineRule="auto"/>
        <w:ind w:leftChars="0" w:firstLine="424" w:firstLineChars="200"/>
        <w:jc w:val="both"/>
        <w:textAlignment w:val="auto"/>
        <w:rPr>
          <w:rFonts w:hint="eastAsia" w:asciiTheme="minorEastAsia" w:hAnsiTheme="minorEastAsia" w:eastAsiaTheme="minorEastAsia" w:cstheme="minorEastAsia"/>
          <w:snapToGrid w:val="0"/>
          <w:color w:val="000000" w:themeColor="text1"/>
          <w:spacing w:val="-14"/>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auto"/>
          <w:spacing w:val="-14"/>
          <w:kern w:val="0"/>
          <w:sz w:val="24"/>
          <w:szCs w:val="24"/>
          <w:lang w:val="en-US" w:eastAsia="zh-CN" w:bidi="ar-SA"/>
        </w:rPr>
        <w:t>2.投标人需符合《机动车驾驶证业务工作规范》（公交管[2022]73号）、《河南省机动车驾驶人考场管理规定》（豫公交办〔2022〕283号）中关于社会考场使用的相关要求。</w:t>
      </w:r>
    </w:p>
    <w:p>
      <w:pPr>
        <w:keepNext w:val="0"/>
        <w:keepLines w:val="0"/>
        <w:pageBreakBefore w:val="0"/>
        <w:widowControl/>
        <w:kinsoku/>
        <w:wordWrap w:val="0"/>
        <w:overflowPunct/>
        <w:topLinePunct w:val="0"/>
        <w:autoSpaceDE/>
        <w:autoSpaceDN/>
        <w:bidi w:val="0"/>
        <w:adjustRightInd/>
        <w:snapToGrid/>
        <w:spacing w:line="360" w:lineRule="auto"/>
        <w:ind w:leftChars="0" w:firstLine="424" w:firstLineChars="200"/>
        <w:jc w:val="both"/>
        <w:textAlignment w:val="auto"/>
        <w:rPr>
          <w:rFonts w:hint="eastAsia" w:asciiTheme="minorEastAsia" w:hAnsiTheme="minorEastAsia" w:eastAsiaTheme="minorEastAsia" w:cstheme="minorEastAsia"/>
          <w:snapToGrid w:val="0"/>
          <w:color w:val="auto"/>
          <w:spacing w:val="-14"/>
          <w:kern w:val="0"/>
          <w:sz w:val="24"/>
          <w:szCs w:val="24"/>
          <w:lang w:val="en-US" w:eastAsia="zh-CN" w:bidi="ar-SA"/>
        </w:rPr>
      </w:pPr>
      <w:r>
        <w:rPr>
          <w:rFonts w:hint="eastAsia" w:asciiTheme="minorEastAsia" w:hAnsiTheme="minorEastAsia" w:eastAsiaTheme="minorEastAsia" w:cstheme="minorEastAsia"/>
          <w:snapToGrid w:val="0"/>
          <w:color w:val="000000" w:themeColor="text1"/>
          <w:spacing w:val="-14"/>
          <w:kern w:val="0"/>
          <w:sz w:val="24"/>
          <w:szCs w:val="24"/>
          <w:lang w:val="en-US" w:eastAsia="zh-CN" w:bidi="ar-SA"/>
          <w14:textFill>
            <w14:solidFill>
              <w14:schemeClr w14:val="tx1"/>
            </w14:solidFill>
          </w14:textFill>
        </w:rPr>
        <w:t>3.第一标段科目一考场需通过河南省公安厅验收备案,具备服务该标段考试的能力并提供相关证明,</w:t>
      </w:r>
      <w:r>
        <w:rPr>
          <w:rFonts w:hint="eastAsia" w:asciiTheme="minorEastAsia" w:hAnsiTheme="minorEastAsia" w:eastAsiaTheme="minorEastAsia" w:cstheme="minorEastAsia"/>
          <w:snapToGrid w:val="0"/>
          <w:color w:val="auto"/>
          <w:spacing w:val="-14"/>
          <w:kern w:val="0"/>
          <w:sz w:val="24"/>
          <w:szCs w:val="24"/>
          <w:lang w:val="en-US" w:eastAsia="zh-CN" w:bidi="ar-SA"/>
        </w:rPr>
        <w:t>且需提供所建房屋安全检测证明（须附检测单位资质证明）或房屋竣工验收备案表、消防部门出具的考场经消防检查合格证明或消防检查意见书。</w:t>
      </w:r>
    </w:p>
    <w:p>
      <w:pPr>
        <w:keepNext w:val="0"/>
        <w:keepLines w:val="0"/>
        <w:pageBreakBefore w:val="0"/>
        <w:widowControl/>
        <w:kinsoku/>
        <w:wordWrap w:val="0"/>
        <w:overflowPunct/>
        <w:topLinePunct w:val="0"/>
        <w:autoSpaceDE/>
        <w:autoSpaceDN/>
        <w:bidi w:val="0"/>
        <w:adjustRightInd/>
        <w:snapToGrid/>
        <w:spacing w:line="360" w:lineRule="auto"/>
        <w:ind w:leftChars="0" w:firstLine="424" w:firstLineChars="200"/>
        <w:jc w:val="both"/>
        <w:textAlignment w:val="auto"/>
        <w:rPr>
          <w:rFonts w:hint="eastAsia" w:asciiTheme="minorEastAsia" w:hAnsiTheme="minorEastAsia" w:eastAsiaTheme="minorEastAsia" w:cstheme="minorEastAsia"/>
          <w:snapToGrid w:val="0"/>
          <w:color w:val="auto"/>
          <w:spacing w:val="-14"/>
          <w:kern w:val="0"/>
          <w:sz w:val="24"/>
          <w:szCs w:val="24"/>
          <w:lang w:val="en-US" w:eastAsia="zh-CN" w:bidi="ar-SA"/>
        </w:rPr>
      </w:pPr>
      <w:r>
        <w:rPr>
          <w:rFonts w:hint="eastAsia" w:asciiTheme="minorEastAsia" w:hAnsiTheme="minorEastAsia" w:eastAsiaTheme="minorEastAsia" w:cstheme="minorEastAsia"/>
          <w:snapToGrid w:val="0"/>
          <w:color w:val="auto"/>
          <w:spacing w:val="-14"/>
          <w:kern w:val="0"/>
          <w:sz w:val="24"/>
          <w:szCs w:val="24"/>
          <w:lang w:val="en-US" w:eastAsia="zh-CN" w:bidi="ar-SA"/>
        </w:rPr>
        <w:t>4.第二标段、第三标段投标人应符合《河南省机动车驾驶人考场管理规定》（豫公交办〔2022〕283号）第八条“新建社会化考场应同时具备科目二和科目三考试能力”的要求，提供消防合格证明或消防检查意见书或者规划建设许可证明。第三标段投标人还须提供具有管辖权的行政管理部门出具的小型汽车、小型自动挡汽车考试路段不少于4公里的审批文件,若拟同时承担大中型客货车考试服务的还须提供大中型客货车考试路段不少于8公里的审批文件。</w:t>
      </w:r>
    </w:p>
    <w:p>
      <w:pPr>
        <w:keepNext w:val="0"/>
        <w:keepLines w:val="0"/>
        <w:pageBreakBefore w:val="0"/>
        <w:widowControl/>
        <w:kinsoku/>
        <w:wordWrap w:val="0"/>
        <w:overflowPunct/>
        <w:topLinePunct w:val="0"/>
        <w:autoSpaceDE/>
        <w:autoSpaceDN/>
        <w:bidi w:val="0"/>
        <w:adjustRightInd/>
        <w:snapToGrid/>
        <w:spacing w:line="360" w:lineRule="auto"/>
        <w:ind w:leftChars="0" w:firstLine="424" w:firstLineChars="200"/>
        <w:jc w:val="both"/>
        <w:textAlignment w:val="auto"/>
        <w:rPr>
          <w:rFonts w:hint="eastAsia" w:asciiTheme="minorEastAsia" w:hAnsiTheme="minorEastAsia" w:eastAsiaTheme="minorEastAsia" w:cstheme="minorEastAsia"/>
          <w:snapToGrid w:val="0"/>
          <w:color w:val="auto"/>
          <w:spacing w:val="-14"/>
          <w:kern w:val="0"/>
          <w:sz w:val="24"/>
          <w:szCs w:val="24"/>
          <w:lang w:val="en-US" w:eastAsia="zh-CN" w:bidi="ar-SA"/>
        </w:rPr>
      </w:pPr>
      <w:r>
        <w:rPr>
          <w:rFonts w:hint="eastAsia" w:asciiTheme="minorEastAsia" w:hAnsiTheme="minorEastAsia" w:eastAsiaTheme="minorEastAsia" w:cstheme="minorEastAsia"/>
          <w:snapToGrid w:val="0"/>
          <w:color w:val="auto"/>
          <w:spacing w:val="-14"/>
          <w:kern w:val="0"/>
          <w:sz w:val="24"/>
          <w:szCs w:val="24"/>
          <w:lang w:val="en-US" w:eastAsia="zh-CN" w:bidi="ar-SA"/>
        </w:rPr>
        <w:t>5.具有良好的商业信誉和健全的财务会计制度；</w:t>
      </w:r>
    </w:p>
    <w:p>
      <w:pPr>
        <w:keepNext w:val="0"/>
        <w:keepLines w:val="0"/>
        <w:pageBreakBefore w:val="0"/>
        <w:widowControl/>
        <w:kinsoku/>
        <w:wordWrap w:val="0"/>
        <w:overflowPunct/>
        <w:topLinePunct w:val="0"/>
        <w:autoSpaceDE/>
        <w:autoSpaceDN/>
        <w:bidi w:val="0"/>
        <w:adjustRightInd/>
        <w:snapToGrid/>
        <w:spacing w:line="360" w:lineRule="auto"/>
        <w:ind w:leftChars="0" w:firstLine="424" w:firstLineChars="200"/>
        <w:jc w:val="both"/>
        <w:textAlignment w:val="auto"/>
        <w:rPr>
          <w:rFonts w:hint="eastAsia" w:asciiTheme="minorEastAsia" w:hAnsiTheme="minorEastAsia" w:eastAsiaTheme="minorEastAsia" w:cstheme="minorEastAsia"/>
          <w:snapToGrid w:val="0"/>
          <w:color w:val="auto"/>
          <w:spacing w:val="-14"/>
          <w:kern w:val="0"/>
          <w:sz w:val="24"/>
          <w:szCs w:val="24"/>
          <w:lang w:val="en-US" w:eastAsia="zh-CN" w:bidi="ar-SA"/>
        </w:rPr>
      </w:pPr>
      <w:r>
        <w:rPr>
          <w:rFonts w:hint="eastAsia" w:asciiTheme="minorEastAsia" w:hAnsiTheme="minorEastAsia" w:eastAsiaTheme="minorEastAsia" w:cstheme="minorEastAsia"/>
          <w:snapToGrid w:val="0"/>
          <w:color w:val="auto"/>
          <w:spacing w:val="-14"/>
          <w:kern w:val="0"/>
          <w:sz w:val="24"/>
          <w:szCs w:val="24"/>
          <w:lang w:val="en-US" w:eastAsia="zh-CN" w:bidi="ar-SA"/>
        </w:rPr>
        <w:t>6.具有履行合同所必需的设备和专业技术能力；</w:t>
      </w:r>
    </w:p>
    <w:p>
      <w:pPr>
        <w:keepNext w:val="0"/>
        <w:keepLines w:val="0"/>
        <w:pageBreakBefore w:val="0"/>
        <w:widowControl/>
        <w:kinsoku/>
        <w:wordWrap w:val="0"/>
        <w:overflowPunct/>
        <w:topLinePunct w:val="0"/>
        <w:autoSpaceDE/>
        <w:autoSpaceDN/>
        <w:bidi w:val="0"/>
        <w:adjustRightInd/>
        <w:snapToGrid/>
        <w:spacing w:line="360" w:lineRule="auto"/>
        <w:ind w:leftChars="0" w:firstLine="424" w:firstLineChars="200"/>
        <w:jc w:val="both"/>
        <w:textAlignment w:val="auto"/>
        <w:rPr>
          <w:rFonts w:hint="eastAsia" w:asciiTheme="minorEastAsia" w:hAnsiTheme="minorEastAsia" w:eastAsiaTheme="minorEastAsia" w:cstheme="minorEastAsia"/>
          <w:snapToGrid w:val="0"/>
          <w:color w:val="auto"/>
          <w:spacing w:val="-14"/>
          <w:kern w:val="0"/>
          <w:sz w:val="24"/>
          <w:szCs w:val="24"/>
          <w:lang w:val="en-US" w:eastAsia="zh-CN" w:bidi="ar-SA"/>
        </w:rPr>
      </w:pPr>
      <w:r>
        <w:rPr>
          <w:rFonts w:hint="eastAsia" w:asciiTheme="minorEastAsia" w:hAnsiTheme="minorEastAsia" w:eastAsiaTheme="minorEastAsia" w:cstheme="minorEastAsia"/>
          <w:snapToGrid w:val="0"/>
          <w:color w:val="auto"/>
          <w:spacing w:val="-14"/>
          <w:kern w:val="0"/>
          <w:sz w:val="24"/>
          <w:szCs w:val="24"/>
          <w:lang w:val="en-US" w:eastAsia="zh-CN" w:bidi="ar-SA"/>
        </w:rPr>
        <w:t>7.有依法缴纳税收和社会保障资金的良好记录；</w:t>
      </w:r>
    </w:p>
    <w:p>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auto"/>
          <w:spacing w:val="-14"/>
          <w:kern w:val="0"/>
          <w:sz w:val="24"/>
          <w:szCs w:val="24"/>
          <w:lang w:val="en-US" w:eastAsia="zh-CN" w:bidi="ar-SA"/>
        </w:rPr>
      </w:pPr>
      <w:r>
        <w:rPr>
          <w:rFonts w:hint="eastAsia" w:asciiTheme="minorEastAsia" w:hAnsiTheme="minorEastAsia" w:eastAsiaTheme="minorEastAsia" w:cstheme="minorEastAsia"/>
          <w:snapToGrid w:val="0"/>
          <w:color w:val="auto"/>
          <w:spacing w:val="-14"/>
          <w:kern w:val="0"/>
          <w:sz w:val="24"/>
          <w:szCs w:val="24"/>
          <w:lang w:val="en-US" w:eastAsia="zh-CN" w:bidi="ar-SA"/>
        </w:rPr>
        <w:t>8.参加政府采购活动前三年内，在经营活动中没有重大违法记录；</w:t>
      </w:r>
    </w:p>
    <w:p>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auto"/>
          <w:spacing w:val="-14"/>
          <w:kern w:val="0"/>
          <w:sz w:val="24"/>
          <w:szCs w:val="24"/>
          <w:lang w:val="en-US" w:eastAsia="zh-CN" w:bidi="ar-SA"/>
        </w:rPr>
      </w:pPr>
      <w:r>
        <w:rPr>
          <w:rFonts w:hint="eastAsia" w:asciiTheme="minorEastAsia" w:hAnsiTheme="minorEastAsia" w:eastAsiaTheme="minorEastAsia" w:cstheme="minorEastAsia"/>
          <w:snapToGrid w:val="0"/>
          <w:color w:val="auto"/>
          <w:spacing w:val="-14"/>
          <w:kern w:val="0"/>
          <w:sz w:val="24"/>
          <w:szCs w:val="24"/>
          <w:lang w:val="en-US" w:eastAsia="zh-CN" w:bidi="ar-SA"/>
        </w:rPr>
        <w:t>9.根据《关于在政府采购活动中查询及使用信用记录有关问题的通知》(财库</w:t>
      </w:r>
      <w:r>
        <w:rPr>
          <w:rFonts w:hint="eastAsia" w:asciiTheme="minorEastAsia" w:hAnsiTheme="minorEastAsia" w:eastAsiaTheme="minorEastAsia" w:cstheme="minorEastAsia"/>
          <w:color w:val="auto"/>
          <w:spacing w:val="-2"/>
          <w:sz w:val="24"/>
          <w:szCs w:val="24"/>
          <w:lang w:val="en-US" w:eastAsia="zh-CN"/>
        </w:rPr>
        <w:t>〔2016〕</w:t>
      </w:r>
      <w:r>
        <w:rPr>
          <w:rFonts w:hint="eastAsia" w:asciiTheme="minorEastAsia" w:hAnsiTheme="minorEastAsia" w:eastAsiaTheme="minorEastAsia" w:cstheme="minorEastAsia"/>
          <w:snapToGrid w:val="0"/>
          <w:color w:val="auto"/>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default"/>
          <w:color w:val="auto"/>
          <w:lang w:val="en-US" w:eastAsia="zh-CN"/>
        </w:rPr>
      </w:pPr>
      <w:r>
        <w:rPr>
          <w:rFonts w:hint="eastAsia" w:asciiTheme="minorEastAsia" w:hAnsiTheme="minorEastAsia" w:eastAsiaTheme="minorEastAsia" w:cstheme="minorEastAsia"/>
          <w:snapToGrid w:val="0"/>
          <w:color w:val="auto"/>
          <w:spacing w:val="-14"/>
          <w:kern w:val="0"/>
          <w:sz w:val="24"/>
          <w:szCs w:val="24"/>
          <w:lang w:val="en-US" w:eastAsia="zh-CN" w:bidi="ar-SA"/>
        </w:rPr>
        <w:t>10.</w:t>
      </w:r>
      <w:r>
        <w:rPr>
          <w:rFonts w:hint="eastAsia" w:asciiTheme="minorEastAsia" w:hAnsiTheme="minorEastAsia" w:eastAsiaTheme="minorEastAsia" w:cstheme="minorEastAsia"/>
          <w:b w:val="0"/>
          <w:bCs w:val="0"/>
          <w:snapToGrid w:val="0"/>
          <w:color w:val="auto"/>
          <w:spacing w:val="-14"/>
          <w:kern w:val="0"/>
          <w:sz w:val="24"/>
          <w:szCs w:val="24"/>
          <w:lang w:val="en-US" w:eastAsia="zh-CN" w:bidi="ar-SA"/>
        </w:rPr>
        <w:t>本项目专门面向中小企业采购，供应商须提交服务企业中小企业声明函。</w:t>
      </w:r>
    </w:p>
    <w:p>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auto"/>
          <w:spacing w:val="-14"/>
          <w:kern w:val="0"/>
          <w:sz w:val="24"/>
          <w:szCs w:val="24"/>
          <w:lang w:val="en-US" w:eastAsia="zh-CN" w:bidi="ar-SA"/>
        </w:rPr>
      </w:pPr>
      <w:r>
        <w:rPr>
          <w:rFonts w:hint="eastAsia" w:asciiTheme="minorEastAsia" w:hAnsiTheme="minorEastAsia" w:eastAsiaTheme="minorEastAsia" w:cstheme="minorEastAsia"/>
          <w:snapToGrid w:val="0"/>
          <w:color w:val="auto"/>
          <w:spacing w:val="-14"/>
          <w:kern w:val="0"/>
          <w:sz w:val="24"/>
          <w:szCs w:val="24"/>
          <w:lang w:val="en-US" w:eastAsia="zh-CN" w:bidi="ar-SA"/>
        </w:rPr>
        <w:t>11.遵守国家有关法律、法规、规章。</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color w:val="auto"/>
          <w:spacing w:val="-1"/>
          <w:sz w:val="24"/>
          <w:szCs w:val="24"/>
          <w:lang w:val="en-US" w:eastAsia="zh-CN"/>
          <w14:textOutline w14:w="1537"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color w:val="auto"/>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color w:val="auto"/>
          <w:spacing w:val="-1"/>
          <w:sz w:val="24"/>
          <w:szCs w:val="24"/>
          <w14:textOutline w14:w="1537" w14:cap="flat" w14:cmpd="sng">
            <w14:solidFill>
              <w14:srgbClr w14:val="000000"/>
            </w14:solidFill>
            <w14:prstDash w14:val="solid"/>
            <w14:miter w14:val="0"/>
          </w14:textOutline>
        </w:rPr>
        <w:t>落实政府采购政策需满足的资格要求：</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val="en-US" w:eastAsia="zh-CN"/>
        </w:rPr>
        <w:t>1.</w:t>
      </w:r>
      <w:r>
        <w:rPr>
          <w:rFonts w:hint="eastAsia" w:asciiTheme="minorEastAsia" w:hAnsiTheme="minorEastAsia" w:eastAsiaTheme="minorEastAsia" w:cstheme="minorEastAsia"/>
          <w:color w:val="auto"/>
          <w:spacing w:val="1"/>
          <w:sz w:val="24"/>
          <w:szCs w:val="24"/>
        </w:rPr>
        <w:t>中小企业政策</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本项目不专门面向中小企业预留采购份额。</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2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12"/>
          <w:position w:val="17"/>
          <w:sz w:val="24"/>
          <w:szCs w:val="24"/>
          <w:lang w:eastAsia="zh-CN"/>
        </w:rPr>
        <w:t>☑</w:t>
      </w:r>
      <w:r>
        <w:rPr>
          <w:rFonts w:hint="eastAsia" w:asciiTheme="minorEastAsia" w:hAnsiTheme="minorEastAsia" w:eastAsiaTheme="minorEastAsia" w:cstheme="minorEastAsia"/>
          <w:spacing w:val="12"/>
          <w:position w:val="17"/>
          <w:sz w:val="24"/>
          <w:szCs w:val="24"/>
        </w:rPr>
        <w:t>本项目专门面向中小企业采购。</w:t>
      </w:r>
      <w:r>
        <w:rPr>
          <w:rFonts w:hint="eastAsia" w:asciiTheme="minorEastAsia" w:hAnsiTheme="minorEastAsia" w:eastAsiaTheme="minorEastAsia" w:cstheme="minorEastAsia"/>
          <w:spacing w:val="-2"/>
          <w:position w:val="17"/>
          <w:sz w:val="24"/>
          <w:szCs w:val="24"/>
        </w:rPr>
        <w:t>即：</w:t>
      </w:r>
      <w:r>
        <w:rPr>
          <w:rFonts w:hint="eastAsia" w:asciiTheme="minorEastAsia" w:hAnsiTheme="minorEastAsia" w:eastAsiaTheme="minorEastAsia" w:cstheme="minorEastAsia"/>
          <w:spacing w:val="-2"/>
          <w:position w:val="17"/>
          <w:sz w:val="24"/>
          <w:szCs w:val="24"/>
          <w:lang w:val="en-US" w:eastAsia="zh-CN"/>
        </w:rPr>
        <w:t>提</w:t>
      </w:r>
      <w:r>
        <w:rPr>
          <w:rFonts w:hint="eastAsia" w:asciiTheme="minorEastAsia" w:hAnsiTheme="minorEastAsia" w:eastAsiaTheme="minorEastAsia" w:cstheme="minorEastAsia"/>
          <w:spacing w:val="-2"/>
          <w:position w:val="17"/>
          <w:sz w:val="24"/>
          <w:szCs w:val="24"/>
        </w:rPr>
        <w:t>供的货物全部由符合政策要求的中小</w:t>
      </w:r>
      <w:r>
        <w:rPr>
          <w:rFonts w:hint="eastAsia" w:asciiTheme="minorEastAsia" w:hAnsiTheme="minorEastAsia" w:eastAsiaTheme="minorEastAsia" w:cstheme="minorEastAsia"/>
          <w:spacing w:val="1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企业制造、服务全部由符合政策要求的中小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企业承接。</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rPr>
        <w:t>本项目预留部分采购项目预算专门面向中小企业采购。对于预留份额，</w:t>
      </w:r>
      <w:r>
        <w:rPr>
          <w:rFonts w:hint="eastAsia" w:asciiTheme="minorEastAsia" w:hAnsiTheme="minorEastAsia" w:eastAsiaTheme="minorEastAsia" w:cstheme="minorEastAsia"/>
          <w:spacing w:val="-2"/>
          <w:position w:val="17"/>
          <w:sz w:val="24"/>
          <w:szCs w:val="24"/>
          <w:lang w:val="en-US" w:eastAsia="zh-CN"/>
        </w:rPr>
        <w:t>提</w:t>
      </w:r>
      <w:r>
        <w:rPr>
          <w:rFonts w:hint="eastAsia" w:asciiTheme="minorEastAsia" w:hAnsiTheme="minorEastAsia" w:eastAsiaTheme="minorEastAsia" w:cstheme="minorEastAsia"/>
          <w:spacing w:val="-2"/>
          <w:position w:val="17"/>
          <w:sz w:val="24"/>
          <w:szCs w:val="24"/>
        </w:rPr>
        <w:t>供的货物由符合政策要求的中小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企业制造、服务由符合政策要求的中小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企业承接。预留份额通过以下措施进行：</w:t>
      </w:r>
      <w:r>
        <w:rPr>
          <w:rFonts w:hint="eastAsia" w:asciiTheme="minorEastAsia" w:hAnsiTheme="minorEastAsia" w:eastAsiaTheme="minorEastAsia" w:cstheme="minorEastAsia"/>
          <w:spacing w:val="-2"/>
          <w:position w:val="17"/>
          <w:sz w:val="24"/>
          <w:szCs w:val="24"/>
          <w:lang w:val="en-US" w:eastAsia="zh-CN"/>
        </w:rPr>
        <w:t>预留金额</w:t>
      </w:r>
      <w:r>
        <w:rPr>
          <w:rFonts w:hint="eastAsia" w:asciiTheme="minorEastAsia" w:hAnsiTheme="minorEastAsia" w:eastAsiaTheme="minorEastAsia" w:cstheme="minorEastAsia"/>
          <w:spacing w:val="-2"/>
          <w:position w:val="17"/>
          <w:sz w:val="24"/>
          <w:szCs w:val="24"/>
          <w:u w:val="single"/>
          <w:lang w:val="en-US" w:eastAsia="zh-CN"/>
        </w:rPr>
        <w:t xml:space="preserve">   </w:t>
      </w:r>
      <w:r>
        <w:rPr>
          <w:rFonts w:hint="eastAsia" w:asciiTheme="minorEastAsia" w:hAnsiTheme="minorEastAsia" w:eastAsiaTheme="minorEastAsia" w:cstheme="minorEastAsia"/>
          <w:spacing w:val="-2"/>
          <w:position w:val="17"/>
          <w:sz w:val="24"/>
          <w:szCs w:val="24"/>
          <w:lang w:val="en-US" w:eastAsia="zh-CN"/>
        </w:rPr>
        <w:t>万元或预留</w:t>
      </w:r>
      <w:r>
        <w:rPr>
          <w:rFonts w:hint="eastAsia" w:asciiTheme="minorEastAsia" w:hAnsiTheme="minorEastAsia" w:eastAsiaTheme="minorEastAsia" w:cstheme="minorEastAsia"/>
          <w:spacing w:val="-2"/>
          <w:position w:val="17"/>
          <w:sz w:val="24"/>
          <w:szCs w:val="24"/>
          <w:u w:val="single"/>
          <w:lang w:val="en-US" w:eastAsia="zh-CN"/>
        </w:rPr>
        <w:t xml:space="preserve">   </w:t>
      </w:r>
      <w:r>
        <w:rPr>
          <w:rFonts w:hint="eastAsia" w:asciiTheme="minorEastAsia" w:hAnsiTheme="minorEastAsia" w:eastAsiaTheme="minorEastAsia" w:cstheme="minorEastAsia"/>
          <w:spacing w:val="-2"/>
          <w:position w:val="17"/>
          <w:sz w:val="24"/>
          <w:szCs w:val="24"/>
          <w:lang w:val="en-US" w:eastAsia="zh-CN"/>
        </w:rPr>
        <w:t>%份额</w:t>
      </w:r>
      <w:r>
        <w:rPr>
          <w:rFonts w:hint="eastAsia" w:asciiTheme="minorEastAsia" w:hAnsiTheme="minorEastAsia" w:eastAsiaTheme="minorEastAsia" w:cstheme="minorEastAsia"/>
          <w:spacing w:val="-2"/>
          <w:position w:val="17"/>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val="en-US" w:eastAsia="zh-CN"/>
        </w:rPr>
        <w:t>4</w:t>
      </w:r>
      <w:r>
        <w:rPr>
          <w:rFonts w:hint="eastAsia" w:asciiTheme="minorEastAsia" w:hAnsiTheme="minorEastAsia" w:eastAsiaTheme="minorEastAsia" w:cstheme="minorEastAsia"/>
          <w:spacing w:val="-5"/>
          <w:sz w:val="24"/>
          <w:szCs w:val="24"/>
        </w:rPr>
        <w:t>.本项目是否属于政府购买服务：</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□否□接受进口产品□</w:t>
      </w:r>
      <w:r>
        <w:rPr>
          <w:rFonts w:hint="eastAsia" w:asciiTheme="minorEastAsia" w:hAnsiTheme="minorEastAsia" w:eastAsiaTheme="minorEastAsia" w:cstheme="minorEastAsia"/>
          <w:spacing w:val="-2"/>
          <w:position w:val="17"/>
          <w:sz w:val="24"/>
          <w:szCs w:val="24"/>
          <w:lang w:val="en-US" w:eastAsia="zh-CN"/>
        </w:rPr>
        <w:t>不</w:t>
      </w:r>
      <w:r>
        <w:rPr>
          <w:rFonts w:hint="eastAsia" w:asciiTheme="minorEastAsia" w:hAnsiTheme="minorEastAsia" w:eastAsiaTheme="minorEastAsia" w:cstheme="minorEastAsia"/>
          <w:spacing w:val="-2"/>
          <w:position w:val="17"/>
          <w:sz w:val="24"/>
          <w:szCs w:val="24"/>
          <w:lang w:eastAsia="zh-CN"/>
        </w:rPr>
        <w:t>接受进口产品</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四</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、获取招标文件</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2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1.时间：</w:t>
      </w:r>
      <w:r>
        <w:rPr>
          <w:rFonts w:hint="eastAsia" w:asciiTheme="minorEastAsia" w:hAnsiTheme="minorEastAsia" w:eastAsiaTheme="minorEastAsia" w:cstheme="minorEastAsia"/>
          <w:spacing w:val="-13"/>
          <w:sz w:val="24"/>
          <w:szCs w:val="24"/>
          <w:u w:val="single"/>
          <w:lang w:val="en-US" w:eastAsia="zh-CN"/>
        </w:rPr>
        <w:t>2024</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7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12  </w:t>
      </w:r>
      <w:r>
        <w:rPr>
          <w:rFonts w:hint="eastAsia" w:asciiTheme="minorEastAsia" w:hAnsiTheme="minorEastAsia" w:eastAsiaTheme="minorEastAsia" w:cstheme="minorEastAsia"/>
          <w:spacing w:val="-13"/>
          <w:sz w:val="24"/>
          <w:szCs w:val="24"/>
        </w:rPr>
        <w:t>日至</w:t>
      </w:r>
      <w:r>
        <w:rPr>
          <w:rFonts w:hint="eastAsia" w:asciiTheme="minorEastAsia" w:hAnsiTheme="minorEastAsia" w:eastAsiaTheme="minorEastAsia" w:cstheme="minorEastAsia"/>
          <w:spacing w:val="-13"/>
          <w:sz w:val="24"/>
          <w:szCs w:val="24"/>
          <w:u w:val="single"/>
          <w:lang w:val="en-US" w:eastAsia="zh-CN"/>
        </w:rPr>
        <w:t xml:space="preserve"> 2024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7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19 </w:t>
      </w:r>
      <w:r>
        <w:rPr>
          <w:rFonts w:hint="eastAsia" w:asciiTheme="minorEastAsia" w:hAnsiTheme="minorEastAsia" w:eastAsiaTheme="minorEastAsia" w:cstheme="minorEastAsia"/>
          <w:spacing w:val="-13"/>
          <w:sz w:val="24"/>
          <w:szCs w:val="24"/>
        </w:rPr>
        <w:t>日，</w:t>
      </w:r>
      <w:r>
        <w:rPr>
          <w:rFonts w:hint="eastAsia" w:asciiTheme="minorEastAsia" w:hAnsiTheme="minorEastAsia" w:eastAsiaTheme="minorEastAsia" w:cstheme="minorEastAsia"/>
          <w:spacing w:val="-14"/>
          <w:sz w:val="24"/>
          <w:szCs w:val="24"/>
        </w:rPr>
        <w:t>每天上午</w:t>
      </w:r>
      <w:r>
        <w:rPr>
          <w:rFonts w:hint="eastAsia" w:asciiTheme="minorEastAsia" w:hAnsiTheme="minorEastAsia" w:eastAsiaTheme="minorEastAsia" w:cstheme="minorEastAsia"/>
          <w:spacing w:val="-13"/>
          <w:sz w:val="24"/>
          <w:szCs w:val="24"/>
          <w:u w:val="single"/>
          <w:lang w:val="en-US" w:eastAsia="zh-CN"/>
        </w:rPr>
        <w:t xml:space="preserve"> 8：00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，下午</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18：00  </w:t>
      </w:r>
      <w:r>
        <w:rPr>
          <w:rFonts w:hint="eastAsia" w:asciiTheme="minorEastAsia" w:hAnsiTheme="minorEastAsia" w:eastAsiaTheme="minorEastAsia" w:cstheme="minorEastAsia"/>
          <w:spacing w:val="-14"/>
          <w:sz w:val="24"/>
          <w:szCs w:val="24"/>
        </w:rPr>
        <w:t>（北京时</w:t>
      </w:r>
      <w:r>
        <w:rPr>
          <w:rFonts w:hint="eastAsia" w:asciiTheme="minorEastAsia" w:hAnsiTheme="minorEastAsia" w:eastAsiaTheme="minorEastAsia" w:cstheme="minorEastAsia"/>
          <w:spacing w:val="-15"/>
          <w:sz w:val="24"/>
          <w:szCs w:val="24"/>
        </w:rPr>
        <w:t>间，法定节假日除外）。</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2.地点：南阳市公共资源交易中心网站</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https://ggzyjy.nanyang.gov.cn</w:t>
      </w:r>
      <w:r>
        <w:rPr>
          <w:rFonts w:hint="eastAsia" w:asciiTheme="minorEastAsia" w:hAnsiTheme="minorEastAsia" w:eastAsiaTheme="minorEastAsia" w:cstheme="minorEastAsia"/>
          <w:sz w:val="24"/>
          <w:szCs w:val="24"/>
          <w:lang w:eastAsia="zh-CN"/>
        </w:rPr>
        <w:t>）</w:t>
      </w:r>
    </w:p>
    <w:p>
      <w:pPr>
        <w:kinsoku/>
        <w:wordWrap w:val="0"/>
        <w:spacing w:line="360" w:lineRule="auto"/>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登录南阳市公共资源交易中心网（https://ggzyjy.nanyang.gov.cn），注册后凭办理的企业身份认证锁（CA数字证书）登录会员系统按网上提示下载招标文件(*.nyzf格式)及资料（操作程序详见南阳市公共资源交易中心网站下载专区）</w:t>
      </w:r>
      <w:r>
        <w:rPr>
          <w:rFonts w:hint="eastAsia" w:asciiTheme="minorEastAsia" w:hAnsiTheme="minorEastAsia" w:eastAsiaTheme="minorEastAsia" w:cstheme="minorEastAsia"/>
          <w:snapToGrid w:val="0"/>
          <w:color w:val="000000"/>
          <w:kern w:val="0"/>
          <w:sz w:val="24"/>
          <w:szCs w:val="24"/>
          <w:lang w:val="en-US" w:eastAsia="zh-CN" w:bidi="ar-SA"/>
        </w:rPr>
        <w:t>，电子交易系统技术支持电话：400-998-0000，</w:t>
      </w:r>
      <w:r>
        <w:rPr>
          <w:rFonts w:hint="eastAsia" w:asciiTheme="minorEastAsia" w:hAnsiTheme="minorEastAsia" w:eastAsiaTheme="minorEastAsia" w:cstheme="minorEastAsia"/>
          <w:spacing w:val="-4"/>
          <w:sz w:val="24"/>
          <w:szCs w:val="24"/>
          <w:lang w:eastAsia="zh-CN"/>
        </w:rPr>
        <w:t>CA数字证书技术支持电话</w:t>
      </w:r>
      <w:r>
        <w:rPr>
          <w:rFonts w:hint="eastAsia" w:asciiTheme="minorEastAsia" w:hAnsiTheme="minorEastAsia" w:eastAsiaTheme="minorEastAsia" w:cstheme="minorEastAsia"/>
          <w:spacing w:val="-4"/>
          <w:sz w:val="24"/>
          <w:szCs w:val="24"/>
          <w:lang w:val="en-US" w:eastAsia="zh-CN"/>
        </w:rPr>
        <w:t>详见（https://ggzyjy.nanyang.gov.cn/ptdl/011009/single.html）</w:t>
      </w:r>
      <w:r>
        <w:rPr>
          <w:rFonts w:hint="eastAsia" w:asciiTheme="minorEastAsia" w:hAnsiTheme="minorEastAsia" w:eastAsiaTheme="minorEastAsia" w:cstheme="minorEastAsia"/>
          <w:spacing w:val="-4"/>
          <w:sz w:val="24"/>
          <w:szCs w:val="24"/>
          <w:lang w:eastAsia="zh-CN"/>
        </w:rPr>
        <w:t>。</w:t>
      </w:r>
      <w:bookmarkStart w:id="384" w:name="_GoBack"/>
      <w:bookmarkEnd w:id="384"/>
    </w:p>
    <w:p>
      <w:pPr>
        <w:keepNext w:val="0"/>
        <w:keepLines w:val="0"/>
        <w:pageBreakBefore w:val="0"/>
        <w:kinsoku/>
        <w:wordWrap w:val="0"/>
        <w:overflowPunct/>
        <w:topLinePunct w:val="0"/>
        <w:bidi w:val="0"/>
        <w:spacing w:line="360" w:lineRule="auto"/>
        <w:ind w:firstLine="464" w:firstLineChars="200"/>
        <w:jc w:val="both"/>
        <w:rPr>
          <w:rFonts w:hint="eastAsia" w:asciiTheme="minorEastAsia" w:hAnsiTheme="minorEastAsia" w:eastAsiaTheme="minorEastAsia" w:cstheme="minorEastAsia"/>
          <w:spacing w:val="-4"/>
          <w:sz w:val="24"/>
          <w:szCs w:val="24"/>
          <w:lang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24" w:firstLineChars="200"/>
        <w:jc w:val="both"/>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14"/>
          <w:sz w:val="24"/>
          <w:szCs w:val="24"/>
        </w:rPr>
        <w:t>4.售价：0元。</w:t>
      </w:r>
    </w:p>
    <w:p>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jc w:val="both"/>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五、投标文件的制作及上传</w:t>
      </w:r>
    </w:p>
    <w:p>
      <w:pPr>
        <w:keepNext w:val="0"/>
        <w:keepLines w:val="0"/>
        <w:pageBreakBefore w:val="0"/>
        <w:shd w:val="clear" w:color="auto" w:fill="FFFFFF"/>
        <w:kinsoku/>
        <w:wordWrap w:val="0"/>
        <w:overflowPunct/>
        <w:topLinePunct w:val="0"/>
        <w:bidi w:val="0"/>
        <w:spacing w:line="360" w:lineRule="auto"/>
        <w:ind w:firstLine="600" w:firstLineChars="200"/>
        <w:jc w:val="both"/>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。投标人须</w:t>
      </w:r>
      <w:r>
        <w:rPr>
          <w:rFonts w:hint="eastAsia" w:asciiTheme="minorEastAsia" w:hAnsiTheme="minorEastAsia" w:eastAsiaTheme="minorEastAsia" w:cstheme="minorEastAsia"/>
          <w:spacing w:val="-4"/>
          <w:sz w:val="24"/>
          <w:szCs w:val="24"/>
          <w:lang w:val="en-US" w:eastAsia="zh-CN"/>
        </w:rPr>
        <w:t>上传加密</w:t>
      </w:r>
      <w:r>
        <w:rPr>
          <w:rFonts w:hint="eastAsia" w:asciiTheme="minorEastAsia" w:hAnsiTheme="minorEastAsia" w:eastAsiaTheme="minorEastAsia" w:cstheme="minorEastAsia"/>
          <w:spacing w:val="-4"/>
          <w:sz w:val="24"/>
          <w:szCs w:val="24"/>
          <w:lang w:eastAsia="zh-CN"/>
        </w:rPr>
        <w:t>电子投标文件，电子投标文件需要使用投标文件制作工具制作，制作工具及操作手册可在南阳市公共资源交易中心网站“下载专区”中下载。</w:t>
      </w:r>
      <w:r>
        <w:rPr>
          <w:rFonts w:hint="eastAsia" w:asciiTheme="minorEastAsia" w:hAnsiTheme="minorEastAsia" w:eastAsiaTheme="minorEastAsia" w:cstheme="minorEastAsia"/>
          <w:spacing w:val="-4"/>
          <w:sz w:val="24"/>
          <w:szCs w:val="24"/>
          <w:lang w:val="en-US" w:eastAsia="zh-CN"/>
        </w:rPr>
        <w:t>加密</w:t>
      </w:r>
      <w:r>
        <w:rPr>
          <w:rFonts w:hint="eastAsia" w:asciiTheme="minorEastAsia" w:hAnsiTheme="minorEastAsia" w:eastAsiaTheme="minorEastAsia" w:cstheme="minorEastAsia"/>
          <w:spacing w:val="-4"/>
          <w:sz w:val="24"/>
          <w:szCs w:val="24"/>
          <w:lang w:eastAsia="zh-CN"/>
        </w:rPr>
        <w:t>电子投标文件应在招标文件规定的投标截止时间前到达交易系统。逾期到达交易系统的电子投标文件视为放弃本次投标。</w:t>
      </w:r>
    </w:p>
    <w:p>
      <w:pPr>
        <w:keepNext w:val="0"/>
        <w:keepLines w:val="0"/>
        <w:pageBreakBefore w:val="0"/>
        <w:shd w:val="clear" w:color="auto" w:fill="FFFFFF"/>
        <w:kinsoku/>
        <w:wordWrap w:val="0"/>
        <w:overflowPunct/>
        <w:topLinePunct w:val="0"/>
        <w:bidi w:val="0"/>
        <w:spacing w:line="360" w:lineRule="auto"/>
        <w:ind w:firstLine="464" w:firstLineChars="200"/>
        <w:jc w:val="both"/>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lang w:eastAsia="zh-CN"/>
        </w:rPr>
        <w:t>因投标人无需现场参与开标，所有准备工作需要自行到位。开标过程中如遇到紧急事项，可在不见面开标大厅中进行提出异议或文字交流，严重问题可拨打技术支持电话0377-61176137。不见面开标过程中，如</w:t>
      </w:r>
      <w:r>
        <w:rPr>
          <w:rFonts w:hint="eastAsia" w:asciiTheme="minorEastAsia" w:hAnsiTheme="minorEastAsia" w:eastAsiaTheme="minorEastAsia" w:cstheme="minorEastAsia"/>
          <w:spacing w:val="-4"/>
          <w:sz w:val="24"/>
          <w:szCs w:val="24"/>
          <w:lang w:val="en-US" w:eastAsia="zh-CN"/>
        </w:rPr>
        <w:t>因</w:t>
      </w:r>
      <w:r>
        <w:rPr>
          <w:rFonts w:hint="eastAsia" w:asciiTheme="minorEastAsia" w:hAnsiTheme="minorEastAsia" w:eastAsiaTheme="minorEastAsia" w:cstheme="minorEastAsia"/>
          <w:spacing w:val="-4"/>
          <w:sz w:val="24"/>
          <w:szCs w:val="24"/>
          <w:lang w:eastAsia="zh-CN"/>
        </w:rPr>
        <w:t>投标人准备不到位、网络问题等情况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（30分钟内）无法及时解密，</w:t>
      </w:r>
      <w:r>
        <w:rPr>
          <w:rFonts w:hint="eastAsia" w:asciiTheme="minorEastAsia" w:hAnsiTheme="minorEastAsia" w:eastAsiaTheme="minorEastAsia" w:cstheme="minorEastAsia"/>
          <w:spacing w:val="-4"/>
          <w:sz w:val="24"/>
          <w:szCs w:val="24"/>
          <w:lang w:eastAsia="zh-CN"/>
        </w:rPr>
        <w:t>造成开标无法继续的，视为该投标人自动放弃投标，将被退回投标文件”。电子交易系统技术支持电话：400-998-0000。</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六</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交投标文件截止时间、开标时间和地点</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投标截止时间、开标时间：</w:t>
      </w:r>
      <w:r>
        <w:rPr>
          <w:rFonts w:hint="eastAsia" w:asciiTheme="minorEastAsia" w:hAnsiTheme="minorEastAsia" w:eastAsiaTheme="minorEastAsia" w:cstheme="minorEastAsia"/>
          <w:spacing w:val="-14"/>
          <w:sz w:val="24"/>
          <w:szCs w:val="24"/>
          <w:u w:val="single"/>
          <w:lang w:val="en-US" w:eastAsia="zh-CN"/>
        </w:rPr>
        <w:t xml:space="preserve">  2024  </w:t>
      </w:r>
      <w:r>
        <w:rPr>
          <w:rFonts w:hint="eastAsia" w:asciiTheme="minorEastAsia" w:hAnsiTheme="minorEastAsia" w:eastAsiaTheme="minorEastAsia" w:cstheme="minorEastAsia"/>
          <w:snapToGrid w:val="0"/>
          <w:color w:val="000000"/>
          <w:spacing w:val="-4"/>
          <w:kern w:val="0"/>
          <w:sz w:val="24"/>
          <w:szCs w:val="24"/>
          <w:lang w:val="en-US" w:eastAsia="zh-CN" w:bidi="ar-SA"/>
        </w:rPr>
        <w:t>年</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8</w:t>
      </w:r>
      <w:r>
        <w:rPr>
          <w:rFonts w:hint="eastAsia" w:asciiTheme="minorEastAsia" w:hAnsiTheme="minorEastAsia" w:eastAsiaTheme="minorEastAsia" w:cstheme="minorEastAsia"/>
          <w:snapToGrid w:val="0"/>
          <w:color w:val="000000"/>
          <w:spacing w:val="-4"/>
          <w:kern w:val="0"/>
          <w:sz w:val="24"/>
          <w:szCs w:val="24"/>
          <w:lang w:val="en-US" w:eastAsia="zh-CN" w:bidi="ar-SA"/>
        </w:rPr>
        <w:t>月</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2 </w:t>
      </w:r>
      <w:r>
        <w:rPr>
          <w:rFonts w:hint="eastAsia" w:asciiTheme="minorEastAsia" w:hAnsiTheme="minorEastAsia" w:eastAsiaTheme="minorEastAsia" w:cstheme="minorEastAsia"/>
          <w:snapToGrid w:val="0"/>
          <w:color w:val="000000"/>
          <w:spacing w:val="-4"/>
          <w:kern w:val="0"/>
          <w:sz w:val="24"/>
          <w:szCs w:val="24"/>
          <w:lang w:val="en-US" w:eastAsia="zh-CN" w:bidi="ar-SA"/>
        </w:rPr>
        <w:t>日</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9 </w:t>
      </w:r>
      <w:r>
        <w:rPr>
          <w:rFonts w:hint="eastAsia" w:asciiTheme="minorEastAsia" w:hAnsiTheme="minorEastAsia" w:eastAsiaTheme="minorEastAsia" w:cstheme="minorEastAsia"/>
          <w:snapToGrid w:val="0"/>
          <w:color w:val="000000"/>
          <w:spacing w:val="-4"/>
          <w:kern w:val="0"/>
          <w:sz w:val="24"/>
          <w:szCs w:val="24"/>
          <w:lang w:val="en-US" w:eastAsia="zh-CN" w:bidi="ar-SA"/>
        </w:rPr>
        <w:t>点</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00 </w:t>
      </w:r>
      <w:r>
        <w:rPr>
          <w:rFonts w:hint="eastAsia" w:asciiTheme="minorEastAsia" w:hAnsiTheme="minorEastAsia" w:eastAsiaTheme="minorEastAsia" w:cstheme="minorEastAsia"/>
          <w:snapToGrid w:val="0"/>
          <w:color w:val="000000"/>
          <w:spacing w:val="-4"/>
          <w:kern w:val="0"/>
          <w:sz w:val="24"/>
          <w:szCs w:val="24"/>
          <w:lang w:val="en-US" w:eastAsia="zh-CN" w:bidi="ar-SA"/>
        </w:rPr>
        <w:t>分（北</w:t>
      </w:r>
      <w:r>
        <w:rPr>
          <w:rFonts w:hint="eastAsia" w:asciiTheme="minorEastAsia" w:hAnsiTheme="minorEastAsia" w:eastAsiaTheme="minorEastAsia" w:cstheme="minorEastAsia"/>
          <w:spacing w:val="-15"/>
          <w:sz w:val="24"/>
          <w:szCs w:val="24"/>
        </w:rPr>
        <w:t>京时间）。</w:t>
      </w:r>
    </w:p>
    <w:p>
      <w:pPr>
        <w:pStyle w:val="2"/>
        <w:kinsoku/>
        <w:wordWrap w:val="0"/>
        <w:spacing w:line="360" w:lineRule="auto"/>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17"/>
          <w:sz w:val="24"/>
          <w:szCs w:val="24"/>
          <w:lang w:val="en-US" w:eastAsia="zh-CN"/>
        </w:rPr>
        <w:t>开标方式：</w:t>
      </w:r>
      <w:r>
        <w:rPr>
          <w:rFonts w:hint="eastAsia" w:ascii="宋体" w:hAnsi="宋体" w:eastAsia="宋体" w:cs="宋体"/>
          <w:snapToGrid w:val="0"/>
          <w:color w:val="000000" w:themeColor="text1"/>
          <w:spacing w:val="-17"/>
          <w:kern w:val="0"/>
          <w:sz w:val="24"/>
          <w:szCs w:val="24"/>
          <w:lang w:val="en-US" w:eastAsia="zh-CN" w:bidi="ar-SA"/>
          <w14:textFill>
            <w14:solidFill>
              <w14:schemeClr w14:val="tx1"/>
            </w14:solidFill>
          </w14:textFill>
        </w:rPr>
        <w:t>不见面开标大厅（</w:t>
      </w:r>
      <w:r>
        <w:rPr>
          <w:rFonts w:hint="eastAsia" w:ascii="微软雅黑" w:hAnsi="微软雅黑" w:eastAsia="微软雅黑" w:cs="微软雅黑"/>
          <w:b w:val="0"/>
          <w:i w:val="0"/>
          <w:snapToGrid w:val="0"/>
          <w:color w:val="000000" w:themeColor="text1"/>
          <w:kern w:val="0"/>
          <w:sz w:val="21"/>
          <w:szCs w:val="21"/>
          <w:lang w:val="en-US" w:eastAsia="zh-CN" w:bidi="ar"/>
          <w14:textFill>
            <w14:solidFill>
              <w14:schemeClr w14:val="tx1"/>
            </w14:solidFill>
          </w14:textFill>
        </w:rPr>
        <w:t>https://ggzyjy.nanyang.gov.cn/BidOpening/bidopeninghallaction/hall/login</w:t>
      </w:r>
      <w:r>
        <w:rPr>
          <w:rFonts w:hint="eastAsia" w:ascii="宋体" w:hAnsi="宋体" w:eastAsia="宋体" w:cs="宋体"/>
          <w:snapToGrid w:val="0"/>
          <w:color w:val="000000" w:themeColor="text1"/>
          <w:kern w:val="0"/>
          <w:sz w:val="24"/>
          <w:szCs w:val="24"/>
          <w:lang w:val="en-US" w:eastAsia="zh-CN" w:bidi="ar-SA"/>
          <w14:textFill>
            <w14:solidFill>
              <w14:schemeClr w14:val="tx1"/>
            </w14:solidFill>
          </w14:textFill>
        </w:rPr>
        <w:t>）</w:t>
      </w:r>
      <w:r>
        <w:rPr>
          <w:rFonts w:hint="eastAsia" w:asciiTheme="minorEastAsia" w:hAnsiTheme="minorEastAsia" w:eastAsiaTheme="minorEastAsia" w:cstheme="minorEastAsia"/>
          <w:spacing w:val="-17"/>
          <w:sz w:val="24"/>
          <w:szCs w:val="24"/>
          <w:lang w:eastAsia="zh-CN"/>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七</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、公告期限</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u w:val="single"/>
          <w:lang w:val="en-US" w:eastAsia="zh-CN"/>
        </w:rPr>
        <w:t xml:space="preserve"> 2024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7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12  </w:t>
      </w:r>
      <w:r>
        <w:rPr>
          <w:rFonts w:hint="eastAsia" w:asciiTheme="minorEastAsia" w:hAnsiTheme="minorEastAsia" w:eastAsiaTheme="minorEastAsia" w:cstheme="minorEastAsia"/>
          <w:spacing w:val="-13"/>
          <w:sz w:val="24"/>
          <w:szCs w:val="24"/>
        </w:rPr>
        <w:t>日至</w:t>
      </w:r>
      <w:r>
        <w:rPr>
          <w:rFonts w:hint="eastAsia" w:asciiTheme="minorEastAsia" w:hAnsiTheme="minorEastAsia" w:eastAsiaTheme="minorEastAsia" w:cstheme="minorEastAsia"/>
          <w:spacing w:val="-13"/>
          <w:sz w:val="24"/>
          <w:szCs w:val="24"/>
          <w:u w:val="single"/>
          <w:lang w:val="en-US" w:eastAsia="zh-CN"/>
        </w:rPr>
        <w:t xml:space="preserve"> 2024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7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19  </w:t>
      </w:r>
      <w:r>
        <w:rPr>
          <w:rFonts w:hint="eastAsia" w:asciiTheme="minorEastAsia" w:hAnsiTheme="minorEastAsia" w:eastAsiaTheme="minorEastAsia" w:cstheme="minorEastAsia"/>
          <w:spacing w:val="-13"/>
          <w:sz w:val="24"/>
          <w:szCs w:val="24"/>
        </w:rPr>
        <w:t>日</w:t>
      </w:r>
      <w:r>
        <w:rPr>
          <w:rFonts w:hint="eastAsia" w:asciiTheme="minorEastAsia" w:hAnsiTheme="minorEastAsia" w:eastAsiaTheme="minorEastAsia" w:cstheme="minorEastAsia"/>
          <w:spacing w:val="-13"/>
          <w:sz w:val="24"/>
          <w:szCs w:val="24"/>
          <w:lang w:eastAsia="zh-CN"/>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八</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、其他补充事宜</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9"/>
          <w:sz w:val="24"/>
          <w:szCs w:val="24"/>
          <w:lang w:val="en-US" w:eastAsia="zh-CN"/>
        </w:rPr>
        <w:t>本次招标公告在河南省政府采购网、南阳市公共资源交易中心网发布。</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、对本次招标</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z w:val="24"/>
          <w:szCs w:val="24"/>
          <w:u w:val="none" w:color="auto"/>
          <w:lang w:val="en-US" w:eastAsia="zh-CN"/>
        </w:rPr>
        <w:t xml:space="preserve">南阳市公安局交通管理支队 </w:t>
      </w:r>
      <w:r>
        <w:rPr>
          <w:rFonts w:hint="eastAsia" w:asciiTheme="minorEastAsia" w:hAnsiTheme="minorEastAsia" w:eastAsiaTheme="minorEastAsia" w:cstheme="minorEastAsia"/>
          <w:color w:val="000000" w:themeColor="text1"/>
          <w:sz w:val="24"/>
          <w:szCs w:val="24"/>
          <w:u w:val="none" w:color="auto"/>
          <w14:textFill>
            <w14:solidFill>
              <w14:schemeClr w14:val="tx1"/>
            </w14:solidFill>
          </w14:textFill>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4"/>
          <w:szCs w:val="24"/>
        </w:rPr>
      </w:pPr>
      <w:r>
        <w:rPr>
          <w:rFonts w:hint="eastAsia" w:ascii="宋体" w:hAnsi="宋体" w:eastAsia="宋体" w:cs="宋体"/>
          <w:sz w:val="24"/>
          <w:szCs w:val="24"/>
        </w:rPr>
        <w:t xml:space="preserve">地址： </w:t>
      </w:r>
      <w:r>
        <w:rPr>
          <w:rFonts w:hint="eastAsia" w:ascii="宋体" w:hAnsi="宋体" w:eastAsia="宋体" w:cs="宋体"/>
          <w:sz w:val="24"/>
          <w:szCs w:val="24"/>
          <w:lang w:eastAsia="zh-CN"/>
        </w:rPr>
        <w:t>南阳市新华路166号</w:t>
      </w:r>
      <w:r>
        <w:rPr>
          <w:rFonts w:hint="eastAsia" w:ascii="宋体" w:hAnsi="宋体" w:eastAsia="宋体" w:cs="宋体"/>
          <w:sz w:val="24"/>
          <w:szCs w:val="24"/>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w:t>
      </w:r>
      <w:r>
        <w:rPr>
          <w:rFonts w:hint="eastAsia" w:ascii="宋体" w:hAnsi="宋体" w:eastAsia="宋体" w:cs="宋体"/>
          <w:sz w:val="24"/>
          <w:szCs w:val="24"/>
          <w:lang w:eastAsia="zh-CN"/>
        </w:rPr>
        <w:t>王先生</w:t>
      </w:r>
      <w:r>
        <w:rPr>
          <w:rFonts w:hint="eastAsia" w:ascii="宋体" w:hAnsi="宋体" w:eastAsia="宋体" w:cs="宋体"/>
          <w:sz w:val="24"/>
          <w:szCs w:val="24"/>
        </w:rPr>
        <w:t xml:space="preserve">               </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宋体" w:hAnsi="宋体" w:eastAsia="宋体" w:cs="宋体"/>
          <w:sz w:val="24"/>
          <w:szCs w:val="24"/>
        </w:rPr>
      </w:pPr>
      <w:r>
        <w:rPr>
          <w:rFonts w:hint="eastAsia" w:ascii="宋体" w:hAnsi="宋体" w:eastAsia="宋体" w:cs="宋体"/>
          <w:sz w:val="24"/>
          <w:szCs w:val="24"/>
        </w:rPr>
        <w:t>联系方式：</w:t>
      </w:r>
      <w:r>
        <w:rPr>
          <w:rFonts w:hint="eastAsia" w:ascii="宋体" w:hAnsi="宋体" w:eastAsia="宋体" w:cs="宋体"/>
          <w:sz w:val="24"/>
          <w:szCs w:val="24"/>
          <w:lang w:val="en-US" w:eastAsia="zh-CN"/>
        </w:rPr>
        <w:t>0377-61231106</w:t>
      </w:r>
      <w:r>
        <w:rPr>
          <w:rFonts w:hint="eastAsia" w:ascii="宋体" w:hAnsi="宋体" w:eastAsia="宋体" w:cs="宋体"/>
          <w:sz w:val="24"/>
          <w:szCs w:val="24"/>
        </w:rPr>
        <w:t xml:space="preserve">   </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pacing w:val="-15"/>
          <w:sz w:val="24"/>
          <w:szCs w:val="24"/>
          <w:lang w:val="en-US" w:eastAsia="zh-CN"/>
        </w:rPr>
        <w:t>南阳市公共资源交易中心</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w:t>
      </w:r>
      <w:r>
        <w:rPr>
          <w:rFonts w:hint="eastAsia" w:asciiTheme="minorEastAsia" w:hAnsiTheme="minorEastAsia" w:eastAsiaTheme="minorEastAsia" w:cstheme="minorEastAsia"/>
          <w:sz w:val="24"/>
          <w:szCs w:val="24"/>
          <w:u w:val="none" w:color="auto"/>
          <w:lang w:val="en-US" w:eastAsia="zh-CN"/>
        </w:rPr>
        <w:t>南阳市范蠡东路与南都路交叉口市民服务中心中区3号楼5楼</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联系人：潘高</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pacing w:val="-15"/>
          <w:sz w:val="24"/>
          <w:szCs w:val="24"/>
          <w:lang w:val="en-US" w:eastAsia="zh-CN"/>
        </w:rPr>
        <w:t>0377-61176178</w:t>
      </w:r>
    </w:p>
    <w:p>
      <w:pPr>
        <w:pStyle w:val="2"/>
        <w:kinsoku/>
        <w:wordWrap w:val="0"/>
        <w:spacing w:line="360" w:lineRule="auto"/>
        <w:jc w:val="both"/>
        <w:outlineLvl w:val="1"/>
        <w:rPr>
          <w:rFonts w:asciiTheme="minorEastAsia" w:hAnsiTheme="minorEastAsia" w:eastAsiaTheme="minorEastAsia" w:cstheme="minorEastAsia"/>
          <w:b/>
          <w:bCs/>
          <w:spacing w:val="5"/>
          <w:sz w:val="24"/>
          <w:szCs w:val="24"/>
          <w:lang w:eastAsia="zh-CN"/>
        </w:rPr>
      </w:pPr>
    </w:p>
    <w:p>
      <w:pPr>
        <w:pStyle w:val="2"/>
        <w:kinsoku/>
        <w:wordWrap w:val="0"/>
        <w:spacing w:line="360" w:lineRule="auto"/>
        <w:jc w:val="both"/>
        <w:outlineLvl w:val="1"/>
        <w:rPr>
          <w:rFonts w:ascii="仿宋_GB2312" w:eastAsia="仿宋_GB2312"/>
          <w:color w:val="0000FF"/>
          <w:sz w:val="28"/>
          <w:szCs w:val="28"/>
          <w:lang w:eastAsia="zh-CN"/>
        </w:rPr>
      </w:pPr>
      <w:r>
        <w:rPr>
          <w:rFonts w:hint="eastAsia" w:asciiTheme="minorEastAsia" w:hAnsiTheme="minorEastAsia" w:eastAsiaTheme="minorEastAsia" w:cstheme="minorEastAsia"/>
          <w:spacing w:val="4"/>
          <w:sz w:val="24"/>
          <w:szCs w:val="24"/>
          <w:lang w:eastAsia="zh-CN"/>
          <w14:textOutline w14:w="1536" w14:cap="flat" w14:cmpd="sng" w14:algn="ctr">
            <w14:solidFill>
              <w14:srgbClr w14:val="000000"/>
            </w14:solidFill>
            <w14:prstDash w14:val="solid"/>
            <w14:miter w14:val="0"/>
          </w14:textOutline>
        </w:rPr>
        <w:t>3.网址：</w:t>
      </w:r>
      <w:r>
        <w:fldChar w:fldCharType="begin"/>
      </w:r>
      <w:r>
        <w:instrText xml:space="preserve"> HYPERLINK "https://ggzyjy.nanyang.gov.cn" </w:instrText>
      </w:r>
      <w:r>
        <w:fldChar w:fldCharType="separate"/>
      </w:r>
      <w:r>
        <w:rPr>
          <w:rStyle w:val="20"/>
          <w:rFonts w:hint="eastAsia" w:asciiTheme="minorEastAsia" w:hAnsiTheme="minorEastAsia" w:eastAsiaTheme="minorEastAsia" w:cstheme="minorEastAsia"/>
          <w:spacing w:val="-15"/>
          <w:sz w:val="24"/>
          <w:szCs w:val="24"/>
          <w:lang w:eastAsia="zh-CN"/>
        </w:rPr>
        <w:t>https://ggzyjy.nanyang.gov.cn</w:t>
      </w:r>
      <w:r>
        <w:rPr>
          <w:rStyle w:val="20"/>
          <w:rFonts w:hint="eastAsia" w:asciiTheme="minorEastAsia" w:hAnsiTheme="minorEastAsia" w:eastAsiaTheme="minorEastAsia" w:cstheme="minorEastAsia"/>
          <w:spacing w:val="-15"/>
          <w:sz w:val="24"/>
          <w:szCs w:val="24"/>
          <w:lang w:eastAsia="zh-CN"/>
        </w:rPr>
        <w:fldChar w:fldCharType="end"/>
      </w:r>
      <w:r>
        <w:rPr>
          <w:rFonts w:hint="eastAsia" w:asciiTheme="minorEastAsia" w:hAnsiTheme="minorEastAsia" w:eastAsiaTheme="minorEastAsia" w:cstheme="minorEastAsia"/>
          <w:spacing w:val="-15"/>
          <w:sz w:val="24"/>
          <w:szCs w:val="24"/>
          <w:lang w:eastAsia="zh-CN"/>
        </w:rPr>
        <w:t xml:space="preserve">   E-mail:</w:t>
      </w:r>
      <w:r>
        <w:rPr>
          <w:rFonts w:hint="eastAsia" w:asciiTheme="minorEastAsia" w:hAnsiTheme="minorEastAsia" w:eastAsiaTheme="minorEastAsia" w:cstheme="minorEastAsia"/>
          <w:spacing w:val="-15"/>
          <w:sz w:val="24"/>
          <w:szCs w:val="24"/>
          <w:lang w:val="en-US" w:eastAsia="zh-CN"/>
        </w:rPr>
        <w:t xml:space="preserve">nyszfcgzx@126.com </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250" w:firstLineChars="2500"/>
        <w:jc w:val="both"/>
        <w:textAlignment w:val="baseline"/>
        <w:outlineLvl w:val="1"/>
        <w:rPr>
          <w:rFonts w:hint="eastAsia" w:asciiTheme="minorEastAsia" w:hAnsiTheme="minorEastAsia" w:eastAsiaTheme="minorEastAsia" w:cstheme="minorEastAsia"/>
          <w:spacing w:val="-15"/>
          <w:sz w:val="24"/>
          <w:szCs w:val="24"/>
          <w:u w:val="none"/>
          <w:lang w:val="en-US"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250" w:firstLineChars="2500"/>
        <w:jc w:val="both"/>
        <w:textAlignment w:val="baseline"/>
        <w:outlineLvl w:val="1"/>
        <w:rPr>
          <w:rFonts w:hint="eastAsia" w:asciiTheme="minorEastAsia" w:hAnsiTheme="minorEastAsia" w:eastAsiaTheme="minorEastAsia" w:cstheme="minorEastAsia"/>
          <w:spacing w:val="-15"/>
          <w:sz w:val="24"/>
          <w:szCs w:val="24"/>
          <w:u w:val="none"/>
          <w:lang w:val="en-US"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250" w:firstLineChars="2500"/>
        <w:jc w:val="both"/>
        <w:textAlignment w:val="baseline"/>
        <w:outlineLvl w:val="1"/>
        <w:rPr>
          <w:rFonts w:hint="eastAsia" w:asciiTheme="minorEastAsia" w:hAnsiTheme="minorEastAsia" w:eastAsiaTheme="minorEastAsia" w:cstheme="minorEastAsia"/>
          <w:spacing w:val="-15"/>
          <w:sz w:val="24"/>
          <w:szCs w:val="24"/>
          <w:u w:val="none"/>
          <w:lang w:val="en-US"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250" w:firstLineChars="2500"/>
        <w:jc w:val="both"/>
        <w:textAlignment w:val="baseline"/>
        <w:outlineLvl w:val="1"/>
        <w:rPr>
          <w:rFonts w:hint="default" w:asciiTheme="minorEastAsia" w:hAnsiTheme="minorEastAsia" w:eastAsiaTheme="minorEastAsia" w:cstheme="minorEastAsia"/>
          <w:spacing w:val="-13"/>
          <w:sz w:val="24"/>
          <w:szCs w:val="24"/>
          <w:u w:val="none"/>
          <w:lang w:val="en-US" w:eastAsia="zh-CN"/>
        </w:rPr>
      </w:pPr>
      <w:r>
        <w:rPr>
          <w:rFonts w:hint="eastAsia" w:asciiTheme="minorEastAsia" w:hAnsiTheme="minorEastAsia" w:eastAsiaTheme="minorEastAsia" w:cstheme="minorEastAsia"/>
          <w:spacing w:val="-15"/>
          <w:sz w:val="24"/>
          <w:szCs w:val="24"/>
          <w:u w:val="none"/>
          <w:lang w:val="en-US" w:eastAsia="zh-CN"/>
        </w:rPr>
        <w:t>南阳市公共资源交易中心</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778" w:firstLineChars="2700"/>
        <w:jc w:val="both"/>
        <w:textAlignment w:val="baseline"/>
        <w:outlineLvl w:val="1"/>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3"/>
          <w:sz w:val="24"/>
          <w:szCs w:val="24"/>
          <w:u w:val="none"/>
          <w:lang w:val="en-US" w:eastAsia="zh-CN"/>
        </w:rPr>
        <w:t>2024</w:t>
      </w:r>
      <w:r>
        <w:rPr>
          <w:rFonts w:hint="eastAsia" w:asciiTheme="minorEastAsia" w:hAnsiTheme="minorEastAsia" w:eastAsiaTheme="minorEastAsia" w:cstheme="minorEastAsia"/>
          <w:spacing w:val="-13"/>
          <w:sz w:val="24"/>
          <w:szCs w:val="24"/>
          <w:u w:val="none"/>
        </w:rPr>
        <w:t>年</w:t>
      </w:r>
      <w:r>
        <w:rPr>
          <w:rFonts w:hint="eastAsia" w:asciiTheme="minorEastAsia" w:hAnsiTheme="minorEastAsia" w:eastAsiaTheme="minorEastAsia" w:cstheme="minorEastAsia"/>
          <w:spacing w:val="-13"/>
          <w:sz w:val="24"/>
          <w:szCs w:val="24"/>
          <w:u w:val="none"/>
          <w:lang w:val="en-US" w:eastAsia="zh-CN"/>
        </w:rPr>
        <w:t xml:space="preserve"> 7 </w:t>
      </w:r>
      <w:r>
        <w:rPr>
          <w:rFonts w:hint="eastAsia" w:asciiTheme="minorEastAsia" w:hAnsiTheme="minorEastAsia" w:eastAsiaTheme="minorEastAsia" w:cstheme="minorEastAsia"/>
          <w:spacing w:val="-13"/>
          <w:sz w:val="24"/>
          <w:szCs w:val="24"/>
          <w:u w:val="none"/>
        </w:rPr>
        <w:t>月</w:t>
      </w:r>
      <w:r>
        <w:rPr>
          <w:rFonts w:hint="eastAsia" w:asciiTheme="minorEastAsia" w:hAnsiTheme="minorEastAsia" w:eastAsiaTheme="minorEastAsia" w:cstheme="minorEastAsia"/>
          <w:spacing w:val="-13"/>
          <w:sz w:val="24"/>
          <w:szCs w:val="24"/>
          <w:u w:val="none"/>
          <w:lang w:val="en-US" w:eastAsia="zh-CN"/>
        </w:rPr>
        <w:t>12</w:t>
      </w:r>
      <w:r>
        <w:rPr>
          <w:rFonts w:hint="eastAsia" w:asciiTheme="minorEastAsia" w:hAnsiTheme="minorEastAsia" w:eastAsiaTheme="minorEastAsia" w:cstheme="minorEastAsia"/>
          <w:spacing w:val="-13"/>
          <w:sz w:val="24"/>
          <w:szCs w:val="24"/>
          <w:u w:val="none"/>
        </w:rPr>
        <w:t>日</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pPr>
        <w:pStyle w:val="2"/>
        <w:keepNext w:val="0"/>
        <w:keepLines w:val="0"/>
        <w:pageBreakBefore w:val="0"/>
        <w:widowControl/>
        <w:numPr>
          <w:ilvl w:val="0"/>
          <w:numId w:val="1"/>
        </w:numPr>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p>
      <w:pPr>
        <w:pStyle w:val="32"/>
        <w:numPr>
          <w:ilvl w:val="2"/>
          <w:numId w:val="0"/>
        </w:numPr>
        <w:spacing w:beforeLines="0" w:afterLines="0" w:line="440" w:lineRule="exact"/>
        <w:ind w:firstLine="476" w:firstLineChars="200"/>
        <w:jc w:val="both"/>
        <w:outlineLvl w:val="0"/>
        <w:rPr>
          <w:rFonts w:hint="default"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一、考场基本要求</w:t>
      </w:r>
    </w:p>
    <w:p>
      <w:pPr>
        <w:pStyle w:val="32"/>
        <w:numPr>
          <w:ilvl w:val="2"/>
          <w:numId w:val="0"/>
        </w:numPr>
        <w:spacing w:beforeLines="0" w:afterLines="0" w:line="440" w:lineRule="exact"/>
        <w:ind w:firstLine="476" w:firstLineChars="200"/>
        <w:jc w:val="both"/>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考试场地、路段、车辆配备、设施设备、考试系统以及考试项目、评判要求须符合《机动车驾驶人考试内容和方法》（GA1026-2022）、《机动车驾驶人考试系统通用技术条件》（GA/T1028-2022）、《机动车驾驶人考试场地及其设施设置规范》（GA1029-2022）和河南省公安厅交通管理局、南阳市公安局交通管理支队等要求。</w:t>
      </w:r>
    </w:p>
    <w:p>
      <w:pPr>
        <w:pStyle w:val="34"/>
        <w:numPr>
          <w:ilvl w:val="1"/>
          <w:numId w:val="0"/>
        </w:numPr>
        <w:spacing w:beforeLines="0" w:afterLines="0"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 xml:space="preserve">2、应建立场地、车辆、设施日常检查，考试系统日常维护，考试工作台帐记录管理，考试异常情况处置等完备的考场运行管理制度。 </w:t>
      </w:r>
    </w:p>
    <w:p>
      <w:pPr>
        <w:pStyle w:val="34"/>
        <w:numPr>
          <w:ilvl w:val="1"/>
          <w:numId w:val="0"/>
        </w:numPr>
        <w:spacing w:beforeLines="0" w:afterLines="0"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3、配备保障考场规范运行的工作人员。</w:t>
      </w:r>
    </w:p>
    <w:p>
      <w:pPr>
        <w:pStyle w:val="34"/>
        <w:numPr>
          <w:ilvl w:val="1"/>
          <w:numId w:val="0"/>
        </w:numPr>
        <w:spacing w:beforeLines="0" w:afterLines="0" w:line="440" w:lineRule="exact"/>
        <w:ind w:firstLine="238" w:firstLineChars="100"/>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（1）设置咨询岗、信息采集岗、安全管理岗、技术保障岗、中心监控岗等岗位及工作人员，负责考生身份验证、考试引导、考场巡查、远程监控等工作。</w:t>
      </w:r>
    </w:p>
    <w:p>
      <w:pPr>
        <w:pStyle w:val="34"/>
        <w:numPr>
          <w:ilvl w:val="1"/>
          <w:numId w:val="0"/>
        </w:numPr>
        <w:spacing w:beforeLines="0" w:afterLines="0" w:line="440" w:lineRule="exact"/>
        <w:ind w:firstLine="238" w:firstLineChars="100"/>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（2）工作人员需配备使用工作记录仪，考场须配备工作记录仪采集站和满足三个月存储时长的存储设备。</w:t>
      </w:r>
    </w:p>
    <w:p>
      <w:pPr>
        <w:spacing w:line="440" w:lineRule="exact"/>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 xml:space="preserve">    4、配备齐全的便民服务设备设施。</w:t>
      </w:r>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5、考试车要求。</w:t>
      </w:r>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0" w:name="_Toc317578064"/>
      <w:bookmarkStart w:id="1" w:name="_Toc315424782"/>
      <w:bookmarkStart w:id="2" w:name="_Toc322206933"/>
      <w:r>
        <w:rPr>
          <w:rFonts w:hint="eastAsia" w:asciiTheme="minorEastAsia" w:hAnsiTheme="minorEastAsia" w:eastAsiaTheme="minorEastAsia" w:cstheme="minorEastAsia"/>
          <w:snapToGrid w:val="0"/>
          <w:color w:val="000000"/>
          <w:spacing w:val="-1"/>
          <w:kern w:val="0"/>
          <w:sz w:val="24"/>
          <w:szCs w:val="24"/>
          <w:lang w:val="en-US" w:eastAsia="zh-CN" w:bidi="ar-SA"/>
        </w:rPr>
        <w:t>（1）车型要求：</w:t>
      </w:r>
    </w:p>
    <w:tbl>
      <w:tblPr>
        <w:tblStyle w:val="1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1473"/>
        <w:gridCol w:w="1731"/>
        <w:gridCol w:w="51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93" w:hRule="atLeast"/>
        </w:trPr>
        <w:tc>
          <w:tcPr>
            <w:tcW w:w="1473" w:type="dxa"/>
            <w:tcBorders>
              <w:top w:val="single" w:color="auto" w:sz="8" w:space="0"/>
              <w:left w:val="single" w:color="auto" w:sz="8" w:space="0"/>
              <w:bottom w:val="single" w:color="auto" w:sz="8" w:space="0"/>
              <w:right w:val="single" w:color="auto" w:sz="4"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准驾车型</w:t>
            </w:r>
          </w:p>
        </w:tc>
        <w:tc>
          <w:tcPr>
            <w:tcW w:w="1731" w:type="dxa"/>
            <w:tcBorders>
              <w:top w:val="single" w:color="auto" w:sz="8" w:space="0"/>
              <w:left w:val="single" w:color="auto" w:sz="4" w:space="0"/>
              <w:bottom w:val="single" w:color="auto" w:sz="8" w:space="0"/>
              <w:right w:val="single" w:color="auto" w:sz="4"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考试车辆类型</w:t>
            </w:r>
          </w:p>
        </w:tc>
        <w:tc>
          <w:tcPr>
            <w:tcW w:w="5136" w:type="dxa"/>
            <w:tcBorders>
              <w:top w:val="single" w:color="auto" w:sz="8" w:space="0"/>
              <w:left w:val="single" w:color="auto" w:sz="4" w:space="0"/>
              <w:bottom w:val="single" w:color="auto" w:sz="8" w:space="0"/>
              <w:right w:val="single" w:color="auto" w:sz="8" w:space="0"/>
            </w:tcBorders>
            <w:noWrap w:val="0"/>
            <w:vAlign w:val="center"/>
          </w:tcPr>
          <w:p>
            <w:pPr>
              <w:pStyle w:val="32"/>
              <w:spacing w:beforeLines="0" w:afterLines="0" w:line="440" w:lineRule="exact"/>
              <w:ind w:left="0"/>
              <w:jc w:val="center"/>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93" w:hRule="atLeast"/>
        </w:trPr>
        <w:tc>
          <w:tcPr>
            <w:tcW w:w="1473" w:type="dxa"/>
            <w:tcBorders>
              <w:top w:val="single" w:color="auto" w:sz="8" w:space="0"/>
              <w:left w:val="single" w:color="auto" w:sz="8" w:space="0"/>
              <w:bottom w:val="single" w:color="auto" w:sz="4" w:space="0"/>
              <w:right w:val="single" w:color="auto" w:sz="4"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大型客车</w:t>
            </w:r>
          </w:p>
        </w:tc>
        <w:tc>
          <w:tcPr>
            <w:tcW w:w="1731" w:type="dxa"/>
            <w:vMerge w:val="restart"/>
            <w:tcBorders>
              <w:top w:val="single" w:color="auto" w:sz="8" w:space="0"/>
              <w:left w:val="single" w:color="auto" w:sz="4" w:space="0"/>
              <w:bottom w:val="single" w:color="auto" w:sz="4" w:space="0"/>
              <w:right w:val="single" w:color="auto" w:sz="4" w:space="0"/>
            </w:tcBorders>
            <w:noWrap w:val="0"/>
            <w:vAlign w:val="center"/>
          </w:tcPr>
          <w:p>
            <w:pPr>
              <w:pStyle w:val="32"/>
              <w:spacing w:beforeLines="0" w:afterLines="0" w:line="440" w:lineRule="exact"/>
              <w:ind w:left="0"/>
              <w:jc w:val="both"/>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大型载客汽车</w:t>
            </w:r>
          </w:p>
        </w:tc>
        <w:tc>
          <w:tcPr>
            <w:tcW w:w="5136" w:type="dxa"/>
            <w:vMerge w:val="restart"/>
            <w:tcBorders>
              <w:top w:val="single" w:color="auto" w:sz="8" w:space="0"/>
              <w:left w:val="single" w:color="auto" w:sz="4" w:space="0"/>
              <w:bottom w:val="single" w:color="auto" w:sz="4" w:space="0"/>
              <w:right w:val="single" w:color="auto" w:sz="8"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车长大于或等于9.0 m，科目二考试车辆的车宽大于或等于2.4m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86" w:hRule="atLeast"/>
        </w:trPr>
        <w:tc>
          <w:tcPr>
            <w:tcW w:w="1473" w:type="dxa"/>
            <w:tcBorders>
              <w:top w:val="single" w:color="auto" w:sz="4" w:space="0"/>
              <w:left w:val="single" w:color="auto" w:sz="8" w:space="0"/>
              <w:bottom w:val="single" w:color="auto" w:sz="4" w:space="0"/>
              <w:right w:val="single" w:color="auto" w:sz="4"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城市公交车</w:t>
            </w:r>
          </w:p>
        </w:tc>
        <w:tc>
          <w:tcPr>
            <w:tcW w:w="1731" w:type="dxa"/>
            <w:vMerge w:val="continue"/>
            <w:tcBorders>
              <w:top w:val="single" w:color="auto" w:sz="4" w:space="0"/>
              <w:left w:val="single" w:color="auto" w:sz="4" w:space="0"/>
              <w:bottom w:val="single" w:color="auto" w:sz="4" w:space="0"/>
              <w:right w:val="single" w:color="auto" w:sz="4" w:space="0"/>
            </w:tcBorders>
            <w:noWrap w:val="0"/>
            <w:vAlign w:val="center"/>
          </w:tcPr>
          <w:p>
            <w:pPr>
              <w:pStyle w:val="32"/>
              <w:spacing w:beforeLines="0" w:afterLines="0" w:line="440" w:lineRule="exact"/>
              <w:ind w:left="0"/>
              <w:jc w:val="both"/>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p>
        </w:tc>
        <w:tc>
          <w:tcPr>
            <w:tcW w:w="5136" w:type="dxa"/>
            <w:vMerge w:val="continue"/>
            <w:tcBorders>
              <w:top w:val="single" w:color="auto" w:sz="4" w:space="0"/>
              <w:left w:val="single" w:color="auto" w:sz="4" w:space="0"/>
              <w:bottom w:val="single" w:color="auto" w:sz="4" w:space="0"/>
              <w:right w:val="single" w:color="auto" w:sz="8"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86" w:hRule="atLeast"/>
        </w:trPr>
        <w:tc>
          <w:tcPr>
            <w:tcW w:w="1473" w:type="dxa"/>
            <w:tcBorders>
              <w:top w:val="single" w:color="auto" w:sz="4" w:space="0"/>
              <w:left w:val="single" w:color="auto" w:sz="8" w:space="0"/>
              <w:bottom w:val="single" w:color="auto" w:sz="4" w:space="0"/>
              <w:right w:val="single" w:color="auto" w:sz="4"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重型牵引挂车</w:t>
            </w:r>
          </w:p>
        </w:tc>
        <w:tc>
          <w:tcPr>
            <w:tcW w:w="1731" w:type="dxa"/>
            <w:tcBorders>
              <w:top w:val="single" w:color="auto" w:sz="4" w:space="0"/>
              <w:left w:val="single" w:color="auto" w:sz="4" w:space="0"/>
              <w:bottom w:val="single" w:color="auto" w:sz="4" w:space="0"/>
              <w:right w:val="single" w:color="auto" w:sz="4" w:space="0"/>
            </w:tcBorders>
            <w:noWrap w:val="0"/>
            <w:vAlign w:val="center"/>
          </w:tcPr>
          <w:p>
            <w:pPr>
              <w:pStyle w:val="32"/>
              <w:spacing w:beforeLines="0" w:afterLines="0" w:line="440" w:lineRule="exact"/>
              <w:ind w:left="0"/>
              <w:jc w:val="both"/>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半挂汽车列车</w:t>
            </w:r>
          </w:p>
        </w:tc>
        <w:tc>
          <w:tcPr>
            <w:tcW w:w="5136" w:type="dxa"/>
            <w:tcBorders>
              <w:top w:val="single" w:color="auto" w:sz="4" w:space="0"/>
              <w:left w:val="single" w:color="auto" w:sz="4" w:space="0"/>
              <w:bottom w:val="single" w:color="auto" w:sz="4" w:space="0"/>
              <w:right w:val="single" w:color="auto" w:sz="8"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半挂牵引车和半挂车的组合，车长大于或等于12 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86" w:hRule="atLeast"/>
        </w:trPr>
        <w:tc>
          <w:tcPr>
            <w:tcW w:w="1473" w:type="dxa"/>
            <w:tcBorders>
              <w:top w:val="single" w:color="auto" w:sz="4" w:space="0"/>
              <w:left w:val="single" w:color="auto" w:sz="8" w:space="0"/>
              <w:bottom w:val="single" w:color="auto" w:sz="4" w:space="0"/>
              <w:right w:val="single" w:color="auto" w:sz="4"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中型客车</w:t>
            </w:r>
          </w:p>
        </w:tc>
        <w:tc>
          <w:tcPr>
            <w:tcW w:w="1731" w:type="dxa"/>
            <w:tcBorders>
              <w:top w:val="single" w:color="auto" w:sz="4" w:space="0"/>
              <w:left w:val="single" w:color="auto" w:sz="4" w:space="0"/>
              <w:bottom w:val="single" w:color="auto" w:sz="4" w:space="0"/>
              <w:right w:val="single" w:color="auto" w:sz="4" w:space="0"/>
            </w:tcBorders>
            <w:noWrap w:val="0"/>
            <w:vAlign w:val="center"/>
          </w:tcPr>
          <w:p>
            <w:pPr>
              <w:pStyle w:val="32"/>
              <w:spacing w:beforeLines="0" w:afterLines="0" w:line="440" w:lineRule="exact"/>
              <w:ind w:left="0"/>
              <w:jc w:val="both"/>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中型载客汽车</w:t>
            </w:r>
          </w:p>
        </w:tc>
        <w:tc>
          <w:tcPr>
            <w:tcW w:w="5136" w:type="dxa"/>
            <w:tcBorders>
              <w:top w:val="single" w:color="auto" w:sz="4" w:space="0"/>
              <w:left w:val="single" w:color="auto" w:sz="4" w:space="0"/>
              <w:bottom w:val="single" w:color="auto" w:sz="4" w:space="0"/>
              <w:right w:val="single" w:color="auto" w:sz="8" w:space="0"/>
            </w:tcBorders>
            <w:noWrap w:val="0"/>
            <w:vAlign w:val="top"/>
          </w:tcPr>
          <w:p>
            <w:pPr>
              <w:pStyle w:val="32"/>
              <w:spacing w:beforeLines="0" w:afterLines="0" w:line="440" w:lineRule="exact"/>
              <w:ind w:left="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车长大于或等于5.8 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24" w:hRule="atLeast"/>
        </w:trPr>
        <w:tc>
          <w:tcPr>
            <w:tcW w:w="1473" w:type="dxa"/>
            <w:tcBorders>
              <w:top w:val="single" w:color="auto" w:sz="4" w:space="0"/>
              <w:left w:val="single" w:color="auto" w:sz="8" w:space="0"/>
              <w:bottom w:val="single" w:color="auto" w:sz="4" w:space="0"/>
              <w:right w:val="single" w:color="auto" w:sz="4"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大型货车</w:t>
            </w:r>
          </w:p>
        </w:tc>
        <w:tc>
          <w:tcPr>
            <w:tcW w:w="1731" w:type="dxa"/>
            <w:tcBorders>
              <w:top w:val="single" w:color="auto" w:sz="4" w:space="0"/>
              <w:left w:val="single" w:color="auto" w:sz="4" w:space="0"/>
              <w:bottom w:val="single" w:color="auto" w:sz="4" w:space="0"/>
              <w:right w:val="single" w:color="auto" w:sz="4" w:space="0"/>
            </w:tcBorders>
            <w:noWrap w:val="0"/>
            <w:vAlign w:val="center"/>
          </w:tcPr>
          <w:p>
            <w:pPr>
              <w:pStyle w:val="32"/>
              <w:spacing w:beforeLines="0" w:afterLines="0" w:line="440" w:lineRule="exact"/>
              <w:ind w:left="0"/>
              <w:jc w:val="both"/>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重型载货汽车</w:t>
            </w:r>
          </w:p>
        </w:tc>
        <w:tc>
          <w:tcPr>
            <w:tcW w:w="5136" w:type="dxa"/>
            <w:tcBorders>
              <w:top w:val="single" w:color="auto" w:sz="4" w:space="0"/>
              <w:left w:val="single" w:color="auto" w:sz="4" w:space="0"/>
              <w:bottom w:val="single" w:color="auto" w:sz="4" w:space="0"/>
              <w:right w:val="single" w:color="auto" w:sz="8"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车长大于或等于9.0 m、车宽大于或等于2.4m、轴距大于或等于5.0 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24" w:hRule="atLeast"/>
        </w:trPr>
        <w:tc>
          <w:tcPr>
            <w:tcW w:w="1473" w:type="dxa"/>
            <w:vMerge w:val="restart"/>
            <w:tcBorders>
              <w:top w:val="single" w:color="auto" w:sz="4" w:space="0"/>
              <w:left w:val="single" w:color="auto" w:sz="8" w:space="0"/>
              <w:bottom w:val="single" w:color="auto" w:sz="4" w:space="0"/>
              <w:right w:val="single" w:color="auto" w:sz="4"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小型汽车</w:t>
            </w:r>
          </w:p>
        </w:tc>
        <w:tc>
          <w:tcPr>
            <w:tcW w:w="1731" w:type="dxa"/>
            <w:tcBorders>
              <w:top w:val="single" w:color="auto" w:sz="4" w:space="0"/>
              <w:left w:val="single" w:color="auto" w:sz="4" w:space="0"/>
              <w:bottom w:val="single" w:color="auto" w:sz="4" w:space="0"/>
              <w:right w:val="single" w:color="auto" w:sz="4" w:space="0"/>
            </w:tcBorders>
            <w:noWrap w:val="0"/>
            <w:vAlign w:val="center"/>
          </w:tcPr>
          <w:p>
            <w:pPr>
              <w:pStyle w:val="32"/>
              <w:spacing w:beforeLines="0" w:afterLines="0" w:line="440" w:lineRule="exact"/>
              <w:ind w:left="0"/>
              <w:jc w:val="both"/>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手动挡轻型载货汽车</w:t>
            </w:r>
          </w:p>
        </w:tc>
        <w:tc>
          <w:tcPr>
            <w:tcW w:w="5136" w:type="dxa"/>
            <w:tcBorders>
              <w:top w:val="single" w:color="auto" w:sz="4" w:space="0"/>
              <w:left w:val="single" w:color="auto" w:sz="4" w:space="0"/>
              <w:bottom w:val="single" w:color="auto" w:sz="4" w:space="0"/>
              <w:right w:val="single" w:color="auto" w:sz="8"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车长大于或等于5.0m、车宽大于或等于1.7m、轴距大于或等于2.8m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24" w:hRule="atLeast"/>
        </w:trPr>
        <w:tc>
          <w:tcPr>
            <w:tcW w:w="1473" w:type="dxa"/>
            <w:vMerge w:val="continue"/>
            <w:tcBorders>
              <w:top w:val="single" w:color="auto" w:sz="4" w:space="0"/>
              <w:left w:val="single" w:color="auto" w:sz="8" w:space="0"/>
              <w:bottom w:val="single" w:color="auto" w:sz="4" w:space="0"/>
              <w:right w:val="single" w:color="auto" w:sz="4"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p>
        </w:tc>
        <w:tc>
          <w:tcPr>
            <w:tcW w:w="1731" w:type="dxa"/>
            <w:tcBorders>
              <w:top w:val="single" w:color="auto" w:sz="4" w:space="0"/>
              <w:left w:val="single" w:color="auto" w:sz="4" w:space="0"/>
              <w:bottom w:val="single" w:color="auto" w:sz="4" w:space="0"/>
              <w:right w:val="single" w:color="auto" w:sz="4" w:space="0"/>
            </w:tcBorders>
            <w:noWrap w:val="0"/>
            <w:vAlign w:val="center"/>
          </w:tcPr>
          <w:p>
            <w:pPr>
              <w:pStyle w:val="32"/>
              <w:spacing w:beforeLines="0" w:afterLines="0" w:line="440" w:lineRule="exact"/>
              <w:ind w:left="0"/>
              <w:jc w:val="both"/>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手动挡小型载客汽车</w:t>
            </w:r>
          </w:p>
        </w:tc>
        <w:tc>
          <w:tcPr>
            <w:tcW w:w="5136" w:type="dxa"/>
            <w:tcBorders>
              <w:top w:val="single" w:color="auto" w:sz="4" w:space="0"/>
              <w:left w:val="single" w:color="auto" w:sz="4" w:space="0"/>
              <w:bottom w:val="single" w:color="auto" w:sz="4" w:space="0"/>
              <w:right w:val="single" w:color="auto" w:sz="8"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车长大于或等于4.0m、车宽大于或等于1.65m、轴距大于或等于2.4m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24" w:hRule="atLeast"/>
        </w:trPr>
        <w:tc>
          <w:tcPr>
            <w:tcW w:w="1473" w:type="dxa"/>
            <w:vMerge w:val="restart"/>
            <w:tcBorders>
              <w:top w:val="single" w:color="auto" w:sz="4" w:space="0"/>
              <w:left w:val="single" w:color="auto" w:sz="8" w:space="0"/>
              <w:bottom w:val="single" w:color="auto" w:sz="8" w:space="0"/>
              <w:right w:val="single" w:color="auto" w:sz="4"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小型自动挡汽车</w:t>
            </w:r>
          </w:p>
        </w:tc>
        <w:tc>
          <w:tcPr>
            <w:tcW w:w="1731" w:type="dxa"/>
            <w:tcBorders>
              <w:top w:val="single" w:color="auto" w:sz="4" w:space="0"/>
              <w:left w:val="single" w:color="auto" w:sz="4" w:space="0"/>
              <w:bottom w:val="single" w:color="auto" w:sz="4" w:space="0"/>
              <w:right w:val="single" w:color="auto" w:sz="4" w:space="0"/>
            </w:tcBorders>
            <w:noWrap w:val="0"/>
            <w:vAlign w:val="center"/>
          </w:tcPr>
          <w:p>
            <w:pPr>
              <w:pStyle w:val="32"/>
              <w:spacing w:beforeLines="0" w:afterLines="0" w:line="440" w:lineRule="exact"/>
              <w:ind w:left="0"/>
              <w:jc w:val="both"/>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自动挡轻型载货汽车</w:t>
            </w:r>
          </w:p>
        </w:tc>
        <w:tc>
          <w:tcPr>
            <w:tcW w:w="5136" w:type="dxa"/>
            <w:tcBorders>
              <w:top w:val="single" w:color="auto" w:sz="4" w:space="0"/>
              <w:left w:val="single" w:color="auto" w:sz="4" w:space="0"/>
              <w:bottom w:val="single" w:color="auto" w:sz="4" w:space="0"/>
              <w:right w:val="single" w:color="auto" w:sz="8"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车长大于或等于5.0m、车宽大于或等于1.7m、轴距大于或等于2.8m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2" w:hRule="atLeast"/>
        </w:trPr>
        <w:tc>
          <w:tcPr>
            <w:tcW w:w="1473" w:type="dxa"/>
            <w:vMerge w:val="continue"/>
            <w:tcBorders>
              <w:top w:val="single" w:color="auto" w:sz="4" w:space="0"/>
              <w:left w:val="single" w:color="auto" w:sz="8" w:space="0"/>
              <w:bottom w:val="single" w:color="auto" w:sz="4" w:space="0"/>
              <w:right w:val="single" w:color="auto" w:sz="4"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p>
        </w:tc>
        <w:tc>
          <w:tcPr>
            <w:tcW w:w="1731" w:type="dxa"/>
            <w:tcBorders>
              <w:top w:val="single" w:color="auto" w:sz="4" w:space="0"/>
              <w:left w:val="single" w:color="auto" w:sz="4" w:space="0"/>
              <w:bottom w:val="single" w:color="auto" w:sz="4" w:space="0"/>
              <w:right w:val="single" w:color="auto" w:sz="4" w:space="0"/>
            </w:tcBorders>
            <w:noWrap w:val="0"/>
            <w:vAlign w:val="center"/>
          </w:tcPr>
          <w:p>
            <w:pPr>
              <w:pStyle w:val="32"/>
              <w:spacing w:beforeLines="0" w:afterLines="0" w:line="440" w:lineRule="exact"/>
              <w:ind w:left="0"/>
              <w:jc w:val="both"/>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自动挡小型载客汽车</w:t>
            </w:r>
          </w:p>
        </w:tc>
        <w:tc>
          <w:tcPr>
            <w:tcW w:w="5136" w:type="dxa"/>
            <w:tcBorders>
              <w:top w:val="single" w:color="auto" w:sz="4" w:space="0"/>
              <w:left w:val="single" w:color="auto" w:sz="4" w:space="0"/>
              <w:bottom w:val="single" w:color="auto" w:sz="4" w:space="0"/>
              <w:right w:val="single" w:color="auto" w:sz="8"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车长大于或等于4.0m、车宽大于或等于1.65m、轴距大于或等于2.4m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24" w:hRule="atLeast"/>
        </w:trPr>
        <w:tc>
          <w:tcPr>
            <w:tcW w:w="1473" w:type="dxa"/>
            <w:vMerge w:val="restart"/>
            <w:tcBorders>
              <w:top w:val="single" w:color="auto" w:sz="4" w:space="0"/>
              <w:left w:val="single" w:color="auto" w:sz="8" w:space="0"/>
              <w:bottom w:val="single" w:color="auto" w:sz="4" w:space="0"/>
              <w:right w:val="single" w:color="auto" w:sz="4"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轻型牵引挂车</w:t>
            </w:r>
          </w:p>
        </w:tc>
        <w:tc>
          <w:tcPr>
            <w:tcW w:w="1731" w:type="dxa"/>
            <w:tcBorders>
              <w:top w:val="single" w:color="auto" w:sz="4" w:space="0"/>
              <w:left w:val="single" w:color="auto" w:sz="4" w:space="0"/>
              <w:bottom w:val="single" w:color="auto" w:sz="4" w:space="0"/>
              <w:right w:val="single" w:color="auto" w:sz="4" w:space="0"/>
            </w:tcBorders>
            <w:noWrap w:val="0"/>
            <w:vAlign w:val="center"/>
          </w:tcPr>
          <w:p>
            <w:pPr>
              <w:pStyle w:val="32"/>
              <w:spacing w:beforeLines="0" w:afterLines="0" w:line="440" w:lineRule="exact"/>
              <w:ind w:left="0"/>
              <w:jc w:val="both"/>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乘用车列车</w:t>
            </w:r>
          </w:p>
        </w:tc>
        <w:tc>
          <w:tcPr>
            <w:tcW w:w="5136" w:type="dxa"/>
            <w:tcBorders>
              <w:top w:val="single" w:color="auto" w:sz="4" w:space="0"/>
              <w:left w:val="single" w:color="auto" w:sz="4" w:space="0"/>
              <w:bottom w:val="single" w:color="auto" w:sz="4" w:space="0"/>
              <w:right w:val="single" w:color="auto" w:sz="8"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自动挡小型载客汽车与中置轴挂车的组合，组合车辆的车宽大于或等于2.0m、车长大于或等于10m、总质量小于4500kg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24" w:hRule="atLeast"/>
        </w:trPr>
        <w:tc>
          <w:tcPr>
            <w:tcW w:w="1473" w:type="dxa"/>
            <w:vMerge w:val="continue"/>
            <w:tcBorders>
              <w:top w:val="single" w:color="auto" w:sz="4" w:space="0"/>
              <w:left w:val="single" w:color="auto" w:sz="8" w:space="0"/>
              <w:bottom w:val="single" w:color="auto" w:sz="4" w:space="0"/>
              <w:right w:val="single" w:color="auto" w:sz="4"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p>
        </w:tc>
        <w:tc>
          <w:tcPr>
            <w:tcW w:w="1731" w:type="dxa"/>
            <w:tcBorders>
              <w:top w:val="single" w:color="auto" w:sz="4" w:space="0"/>
              <w:left w:val="single" w:color="auto" w:sz="4" w:space="0"/>
              <w:bottom w:val="single" w:color="auto" w:sz="4" w:space="0"/>
              <w:right w:val="single" w:color="auto" w:sz="4" w:space="0"/>
            </w:tcBorders>
            <w:noWrap w:val="0"/>
            <w:vAlign w:val="center"/>
          </w:tcPr>
          <w:p>
            <w:pPr>
              <w:pStyle w:val="32"/>
              <w:spacing w:beforeLines="0" w:afterLines="0" w:line="440" w:lineRule="exact"/>
              <w:ind w:left="0"/>
              <w:jc w:val="both"/>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中置轴挂车列车</w:t>
            </w:r>
          </w:p>
        </w:tc>
        <w:tc>
          <w:tcPr>
            <w:tcW w:w="5136" w:type="dxa"/>
            <w:tcBorders>
              <w:top w:val="single" w:color="auto" w:sz="4" w:space="0"/>
              <w:left w:val="single" w:color="auto" w:sz="4" w:space="0"/>
              <w:bottom w:val="single" w:color="auto" w:sz="4" w:space="0"/>
              <w:right w:val="single" w:color="auto" w:sz="8"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自动挡轻型载货汽车与中置轴挂车的组合；组合车辆的车宽大于或等于2.0m、车长大于或等于10m、总质量小于4500kg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509" w:hRule="atLeast"/>
        </w:trPr>
        <w:tc>
          <w:tcPr>
            <w:tcW w:w="8340" w:type="dxa"/>
            <w:gridSpan w:val="3"/>
            <w:tcBorders>
              <w:top w:val="single" w:color="auto" w:sz="8" w:space="0"/>
              <w:left w:val="single" w:color="auto" w:sz="8" w:space="0"/>
              <w:bottom w:val="single" w:color="auto" w:sz="8" w:space="0"/>
              <w:right w:val="single" w:color="auto" w:sz="8" w:space="0"/>
            </w:tcBorders>
            <w:noWrap w:val="0"/>
            <w:vAlign w:val="top"/>
          </w:tcPr>
          <w:p>
            <w:pPr>
              <w:pStyle w:val="32"/>
              <w:spacing w:beforeLines="0" w:afterLines="0" w:line="440" w:lineRule="exact"/>
              <w:ind w:left="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注：除半挂汽车列车外，其他车辆尺寸以车辆公告参数或注册登记参数为准</w:t>
            </w:r>
          </w:p>
        </w:tc>
      </w:tr>
    </w:tbl>
    <w:p>
      <w:pPr>
        <w:pStyle w:val="33"/>
        <w:spacing w:before="0" w:beforeLines="0" w:after="0" w:afterLines="0" w:line="440" w:lineRule="exact"/>
        <w:ind w:left="0" w:firstLine="476" w:firstLineChars="2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（2）车辆要求：</w:t>
      </w:r>
    </w:p>
    <w:p>
      <w:pPr>
        <w:pStyle w:val="33"/>
        <w:spacing w:before="0" w:beforeLines="0" w:after="0" w:afterLines="0" w:line="440" w:lineRule="exact"/>
        <w:ind w:left="0" w:firstLine="476" w:firstLineChars="2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1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①</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考试车辆应设置明显的考试用车标志和考试车辆编号。</w:t>
      </w:r>
    </w:p>
    <w:p>
      <w:pPr>
        <w:pStyle w:val="33"/>
        <w:spacing w:before="0" w:beforeLines="0" w:after="0" w:afterLines="0" w:line="440" w:lineRule="exact"/>
        <w:ind w:left="0" w:firstLine="476" w:firstLineChars="2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2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②</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考试车辆应需要驾驶人操作离合器、换挡杆才能完成换挡操作，驱动动力装置应为内燃机。</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3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③</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轻型牵引挂车的考试车辆应满足以下要求：</w:t>
      </w:r>
    </w:p>
    <w:p>
      <w:pPr>
        <w:numPr>
          <w:ilvl w:val="0"/>
          <w:numId w:val="2"/>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自动挡轻型载货汽车或自动挡小型载客汽车的车长大于或等于4.4m，车宽大于或等于1.65m，轴距大于或等于2.4m，准牵引总质量大于或等于1500kg，连接球头位于车辆纵向中心线上（偏差小于或等于10mm）；</w:t>
      </w:r>
    </w:p>
    <w:p>
      <w:pPr>
        <w:numPr>
          <w:ilvl w:val="0"/>
          <w:numId w:val="2"/>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中置轴挂车的箱体为尺寸不小于4.0m（长）×2.0m（宽）×1.5m（高）的近似长方体，总质量大于或等于1000kg；</w:t>
      </w:r>
    </w:p>
    <w:p>
      <w:pPr>
        <w:numPr>
          <w:ilvl w:val="0"/>
          <w:numId w:val="2"/>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 xml:space="preserve">自动挡轻型载货汽车或自动挡小型载客汽车与中置轴挂车采用A50连接球头连接； </w:t>
      </w:r>
    </w:p>
    <w:p>
      <w:pPr>
        <w:numPr>
          <w:ilvl w:val="0"/>
          <w:numId w:val="2"/>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中置轴挂车与自动挡小型载客汽车整备质量之比，当自动挡小型载客汽车为前轮驱动时小于或等于1.0，其他类型时小于或等于1.5；</w:t>
      </w:r>
    </w:p>
    <w:p>
      <w:pPr>
        <w:numPr>
          <w:ilvl w:val="0"/>
          <w:numId w:val="2"/>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后视镜满足观察中置轴挂车的需求，且其单侧外伸量不超出组合车辆最大宽度处250mm。</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4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④</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考试车辆不应安装副离合等可辅助考试操作的装置，不应固定油门、拆除原车座椅或头枕等。</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5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⑤</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考试车辆驻车制动不应使用电子控制装置，不应具备坡道辅助、一键启动等装置或功能。</w:t>
      </w:r>
    </w:p>
    <w:p>
      <w:pPr>
        <w:pStyle w:val="33"/>
        <w:numPr>
          <w:ilvl w:val="2"/>
          <w:numId w:val="0"/>
        </w:numPr>
        <w:spacing w:before="0" w:beforeLines="0" w:after="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6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⑥</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考试车辆的使用年限不应超过8年。（注：使用年限从注册登记之日起算。）</w:t>
      </w:r>
    </w:p>
    <w:bookmarkEnd w:id="0"/>
    <w:bookmarkEnd w:id="1"/>
    <w:bookmarkEnd w:id="2"/>
    <w:p>
      <w:pPr>
        <w:pStyle w:val="32"/>
        <w:numPr>
          <w:ilvl w:val="2"/>
          <w:numId w:val="0"/>
        </w:numPr>
        <w:spacing w:beforeLines="0" w:afterLines="0" w:line="440" w:lineRule="exact"/>
        <w:outlineLvl w:val="0"/>
        <w:rPr>
          <w:rFonts w:hint="eastAsia" w:asciiTheme="minorEastAsia" w:hAnsiTheme="minorEastAsia" w:eastAsiaTheme="minorEastAsia" w:cstheme="minorEastAsia"/>
          <w:b/>
          <w:bCs/>
          <w:snapToGrid w:val="0"/>
          <w:color w:val="000000"/>
          <w:spacing w:val="-1"/>
          <w:kern w:val="0"/>
          <w:sz w:val="24"/>
          <w:szCs w:val="24"/>
          <w:lang w:val="en-US" w:eastAsia="en-US" w:bidi="ar-SA"/>
        </w:rPr>
      </w:pPr>
      <w:r>
        <w:rPr>
          <w:rFonts w:hint="eastAsia" w:asciiTheme="minorEastAsia" w:hAnsiTheme="minorEastAsia" w:eastAsiaTheme="minorEastAsia" w:cstheme="minorEastAsia"/>
          <w:b/>
          <w:bCs/>
          <w:snapToGrid w:val="0"/>
          <w:color w:val="000000"/>
          <w:spacing w:val="-1"/>
          <w:kern w:val="0"/>
          <w:sz w:val="24"/>
          <w:szCs w:val="24"/>
          <w:lang w:val="en-US" w:eastAsia="zh-CN" w:bidi="ar-SA"/>
        </w:rPr>
        <w:t>二</w:t>
      </w:r>
      <w:r>
        <w:rPr>
          <w:rFonts w:hint="eastAsia" w:asciiTheme="minorEastAsia" w:hAnsiTheme="minorEastAsia" w:eastAsiaTheme="minorEastAsia" w:cstheme="minorEastAsia"/>
          <w:b/>
          <w:bCs/>
          <w:snapToGrid w:val="0"/>
          <w:color w:val="000000"/>
          <w:spacing w:val="-1"/>
          <w:kern w:val="0"/>
          <w:sz w:val="24"/>
          <w:szCs w:val="24"/>
          <w:lang w:val="en-US" w:eastAsia="en-US" w:bidi="ar-SA"/>
        </w:rPr>
        <w:t>、各标段建设其他标准：</w:t>
      </w:r>
    </w:p>
    <w:p>
      <w:pPr>
        <w:pStyle w:val="32"/>
        <w:numPr>
          <w:ilvl w:val="2"/>
          <w:numId w:val="0"/>
        </w:numPr>
        <w:spacing w:beforeLines="0" w:afterLines="0" w:line="440" w:lineRule="exact"/>
        <w:outlineLvl w:val="0"/>
        <w:rPr>
          <w:rFonts w:hint="eastAsia" w:asciiTheme="minorEastAsia" w:hAnsiTheme="minorEastAsia" w:eastAsiaTheme="minorEastAsia" w:cstheme="minorEastAsia"/>
          <w:b/>
          <w:bCs/>
          <w:snapToGrid w:val="0"/>
          <w:color w:val="000000"/>
          <w:spacing w:val="-1"/>
          <w:kern w:val="0"/>
          <w:sz w:val="24"/>
          <w:szCs w:val="24"/>
          <w:lang w:val="en-US" w:eastAsia="en-US" w:bidi="ar-SA"/>
        </w:rPr>
      </w:pPr>
      <w:r>
        <w:rPr>
          <w:rFonts w:hint="eastAsia" w:asciiTheme="minorEastAsia" w:hAnsiTheme="minorEastAsia" w:eastAsiaTheme="minorEastAsia" w:cstheme="minorEastAsia"/>
          <w:b/>
          <w:bCs/>
          <w:snapToGrid w:val="0"/>
          <w:color w:val="000000"/>
          <w:spacing w:val="-1"/>
          <w:kern w:val="0"/>
          <w:sz w:val="24"/>
          <w:szCs w:val="24"/>
          <w:lang w:val="en-US" w:eastAsia="en-US" w:bidi="ar-SA"/>
        </w:rPr>
        <w:t>第一标段：</w:t>
      </w:r>
    </w:p>
    <w:p>
      <w:pPr>
        <w:pStyle w:val="32"/>
        <w:numPr>
          <w:ilvl w:val="2"/>
          <w:numId w:val="0"/>
        </w:numPr>
        <w:spacing w:beforeLines="0" w:afterLines="0" w:line="440" w:lineRule="exact"/>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科目一</w:t>
      </w:r>
      <w:r>
        <w:rPr>
          <w:rFonts w:hint="eastAsia" w:asciiTheme="minorEastAsia" w:hAnsiTheme="minorEastAsia" w:eastAsiaTheme="minorEastAsia" w:cstheme="minorEastAsia"/>
          <w:snapToGrid w:val="0"/>
          <w:color w:val="000000"/>
          <w:spacing w:val="-1"/>
          <w:kern w:val="0"/>
          <w:sz w:val="24"/>
          <w:szCs w:val="24"/>
          <w:lang w:val="en-US" w:eastAsia="en-US" w:bidi="ar-SA"/>
        </w:rPr>
        <w:t>考场要求：</w:t>
      </w:r>
    </w:p>
    <w:p>
      <w:pPr>
        <w:pStyle w:val="32"/>
        <w:numPr>
          <w:ilvl w:val="0"/>
          <w:numId w:val="0"/>
        </w:numPr>
        <w:spacing w:beforeLines="0" w:afterLines="0" w:line="440" w:lineRule="exact"/>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1.</w:t>
      </w:r>
      <w:r>
        <w:rPr>
          <w:rFonts w:hint="eastAsia" w:asciiTheme="minorEastAsia" w:hAnsiTheme="minorEastAsia" w:eastAsiaTheme="minorEastAsia" w:cstheme="minorEastAsia"/>
          <w:snapToGrid w:val="0"/>
          <w:color w:val="000000"/>
          <w:spacing w:val="-1"/>
          <w:kern w:val="0"/>
          <w:sz w:val="24"/>
          <w:szCs w:val="24"/>
          <w:lang w:val="en-US" w:eastAsia="en-US" w:bidi="ar-SA"/>
        </w:rPr>
        <w:t>场地设置要求</w:t>
      </w:r>
      <w:bookmarkStart w:id="3" w:name="_Toc315424752"/>
      <w:bookmarkStart w:id="4" w:name="OLE_LINK51"/>
      <w:bookmarkStart w:id="5" w:name="_Toc317578034"/>
      <w:bookmarkStart w:id="6" w:name="_Toc322206903"/>
    </w:p>
    <w:p>
      <w:pPr>
        <w:pStyle w:val="32"/>
        <w:spacing w:beforeLines="0" w:afterLines="0" w:line="440" w:lineRule="exact"/>
        <w:ind w:left="0" w:leftChars="0" w:firstLine="0" w:firstLineChars="0"/>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（1）场地组成</w:t>
      </w:r>
    </w:p>
    <w:p>
      <w:pPr>
        <w:pStyle w:val="33"/>
        <w:spacing w:before="0" w:beforeLines="0" w:after="0" w:afterLines="0" w:line="440" w:lineRule="exact"/>
        <w:ind w:left="0" w:firstLine="476" w:firstLineChars="2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场地应设置候考区、考试区、控制区、机房等功能性场所，配套设置公共卫生设施、公共服务区、停车区等服务性场所，并设置资料室、办公室等。</w:t>
      </w:r>
    </w:p>
    <w:p>
      <w:pPr>
        <w:pStyle w:val="33"/>
        <w:spacing w:before="0" w:beforeLines="0" w:after="0" w:afterLines="0"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（2）休息区面积不低于200平方米，候考区面积不低于80平方米，应配备以下设备、设施：</w:t>
      </w:r>
    </w:p>
    <w:p>
      <w:pPr>
        <w:numPr>
          <w:ilvl w:val="0"/>
          <w:numId w:val="3"/>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考生自助签到设备；</w:t>
      </w:r>
    </w:p>
    <w:p>
      <w:pPr>
        <w:numPr>
          <w:ilvl w:val="0"/>
          <w:numId w:val="3"/>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考试组织动态信息公告设备；</w:t>
      </w:r>
    </w:p>
    <w:p>
      <w:pPr>
        <w:numPr>
          <w:ilvl w:val="0"/>
          <w:numId w:val="3"/>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用于安全管理的视频监控设备；</w:t>
      </w:r>
    </w:p>
    <w:p>
      <w:pPr>
        <w:numPr>
          <w:ilvl w:val="0"/>
          <w:numId w:val="3"/>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用于播放交通安全宣传片的设备；</w:t>
      </w:r>
    </w:p>
    <w:p>
      <w:pPr>
        <w:numPr>
          <w:ilvl w:val="0"/>
          <w:numId w:val="3"/>
        </w:numPr>
        <w:autoSpaceDE w:val="0"/>
        <w:autoSpaceDN w:val="0"/>
        <w:adjustRightInd w:val="0"/>
        <w:snapToGrid w:val="0"/>
        <w:spacing w:line="440" w:lineRule="exact"/>
        <w:ind w:left="0" w:hanging="315"/>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数量足够的休息座椅及饮用水、储物等便民服务设施；</w:t>
      </w:r>
    </w:p>
    <w:p>
      <w:pPr>
        <w:numPr>
          <w:ilvl w:val="0"/>
          <w:numId w:val="3"/>
        </w:numPr>
        <w:autoSpaceDE w:val="0"/>
        <w:autoSpaceDN w:val="0"/>
        <w:adjustRightInd w:val="0"/>
        <w:snapToGrid w:val="0"/>
        <w:spacing w:line="440" w:lineRule="exact"/>
        <w:ind w:left="0" w:hanging="315"/>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封闭管理的，设置紧急出口或应急通道。</w:t>
      </w:r>
    </w:p>
    <w:p>
      <w:pPr>
        <w:pStyle w:val="33"/>
        <w:spacing w:before="0" w:beforeLines="0" w:after="0" w:afterLines="0"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（3）考试区应符合以下要求：</w:t>
      </w:r>
    </w:p>
    <w:p>
      <w:pPr>
        <w:numPr>
          <w:ilvl w:val="0"/>
          <w:numId w:val="4"/>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场地面积不低于150平方米，封闭式物理隔离，出入口设置管理设备，能实现出入人员分类控制；</w:t>
      </w:r>
    </w:p>
    <w:p>
      <w:pPr>
        <w:numPr>
          <w:ilvl w:val="0"/>
          <w:numId w:val="4"/>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计算机考台设置清晰的考台编号，无妨碍观察考生答题操作的挡板；</w:t>
      </w:r>
    </w:p>
    <w:p>
      <w:pPr>
        <w:numPr>
          <w:ilvl w:val="0"/>
          <w:numId w:val="4"/>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每个考位面积不少于2平方米，设置方便残疾人考试的考位，每日核定考试能力不得少于600人；</w:t>
      </w:r>
    </w:p>
    <w:p>
      <w:pPr>
        <w:numPr>
          <w:ilvl w:val="0"/>
          <w:numId w:val="4"/>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7" w:name="_Toc187030361"/>
      <w:bookmarkStart w:id="8" w:name="_Toc181072611"/>
      <w:bookmarkStart w:id="9" w:name="_Toc180895463"/>
      <w:bookmarkStart w:id="10" w:name="_Toc322502969"/>
      <w:bookmarkStart w:id="11" w:name="_Toc179545845"/>
      <w:bookmarkStart w:id="12" w:name="_Toc209108847"/>
      <w:bookmarkStart w:id="13" w:name="_Toc180895412"/>
      <w:bookmarkStart w:id="14" w:name="_Toc322206912"/>
      <w:bookmarkStart w:id="15" w:name="_Toc187463734"/>
      <w:bookmarkStart w:id="16" w:name="_Toc187027054"/>
      <w:bookmarkStart w:id="17" w:name="_Toc230430257"/>
      <w:bookmarkStart w:id="18" w:name="_Toc187025631"/>
      <w:bookmarkStart w:id="19" w:name="_Toc179543523"/>
      <w:bookmarkStart w:id="20" w:name="_Toc187030470"/>
      <w:bookmarkStart w:id="21" w:name="_Toc230773334"/>
      <w:bookmarkStart w:id="22" w:name="_Toc187464945"/>
      <w:bookmarkStart w:id="23" w:name="_Toc187465049"/>
      <w:bookmarkStart w:id="24" w:name="_Toc187030246"/>
      <w:bookmarkStart w:id="25" w:name="_Toc311039327"/>
      <w:bookmarkStart w:id="26" w:name="_Toc230773381"/>
      <w:bookmarkStart w:id="27" w:name="_Toc187464737"/>
      <w:bookmarkStart w:id="28" w:name="_Toc187464841"/>
      <w:bookmarkStart w:id="29" w:name="_Toc230773426"/>
      <w:bookmarkStart w:id="30" w:name="_Toc232409712"/>
      <w:bookmarkStart w:id="31" w:name="_Toc187025783"/>
      <w:bookmarkStart w:id="32" w:name="_Toc187464632"/>
      <w:bookmarkStart w:id="33" w:name="_Toc179544623"/>
      <w:bookmarkStart w:id="34" w:name="_Toc179543501"/>
      <w:bookmarkStart w:id="35" w:name="_Toc186874663"/>
      <w:bookmarkStart w:id="36" w:name="_Toc187465154"/>
      <w:bookmarkStart w:id="37" w:name="_Toc180311789"/>
      <w:bookmarkStart w:id="38" w:name="_Toc180895354"/>
      <w:bookmarkStart w:id="39" w:name="_Toc187465387"/>
      <w:bookmarkStart w:id="40" w:name="_Toc231005835"/>
      <w:bookmarkStart w:id="41" w:name="_Toc231543525"/>
      <w:bookmarkStart w:id="42" w:name="_Toc179543473"/>
      <w:r>
        <w:rPr>
          <w:rFonts w:hint="eastAsia" w:asciiTheme="minorEastAsia" w:hAnsiTheme="minorEastAsia" w:eastAsiaTheme="minorEastAsia" w:cstheme="minorEastAsia"/>
          <w:snapToGrid w:val="0"/>
          <w:color w:val="000000"/>
          <w:spacing w:val="-1"/>
          <w:kern w:val="0"/>
          <w:sz w:val="24"/>
          <w:szCs w:val="24"/>
          <w:lang w:val="en-US" w:eastAsia="zh-CN" w:bidi="ar-SA"/>
        </w:rPr>
        <w:t>设置覆盖整个封闭考试区的全景视频监控，能清晰反映每个考生及考位周围情况；</w:t>
      </w:r>
    </w:p>
    <w:p>
      <w:pPr>
        <w:numPr>
          <w:ilvl w:val="0"/>
          <w:numId w:val="4"/>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分区域设置反映考生考试操作情况的视频监控；</w:t>
      </w:r>
    </w:p>
    <w:p>
      <w:pPr>
        <w:numPr>
          <w:ilvl w:val="0"/>
          <w:numId w:val="4"/>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设置紧急出口或应急通道；</w:t>
      </w:r>
    </w:p>
    <w:p>
      <w:pPr>
        <w:numPr>
          <w:ilvl w:val="0"/>
          <w:numId w:val="4"/>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计算机考台表面的光照度大于或等于300 lx。</w:t>
      </w: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Pr>
        <w:pStyle w:val="33"/>
        <w:spacing w:before="0" w:beforeLines="0" w:after="0" w:afterLines="0"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（4）控制区应符合以下要求：</w:t>
      </w:r>
    </w:p>
    <w:p>
      <w:pPr>
        <w:numPr>
          <w:ilvl w:val="0"/>
          <w:numId w:val="5"/>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配备用于查看考台状态、在考及待考考生信息的显示设备；</w:t>
      </w:r>
    </w:p>
    <w:p>
      <w:pPr>
        <w:numPr>
          <w:ilvl w:val="0"/>
          <w:numId w:val="5"/>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配备封闭考试区、候考区视频监控的显示设备；</w:t>
      </w:r>
    </w:p>
    <w:p>
      <w:pPr>
        <w:numPr>
          <w:ilvl w:val="0"/>
          <w:numId w:val="5"/>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配备监控控制区的视频设备。</w:t>
      </w:r>
    </w:p>
    <w:p>
      <w:pPr>
        <w:pStyle w:val="33"/>
        <w:spacing w:before="0" w:beforeLines="0" w:after="0" w:afterLines="0"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（5）机房应符合以下要求：</w:t>
      </w:r>
    </w:p>
    <w:p>
      <w:pPr>
        <w:numPr>
          <w:ilvl w:val="0"/>
          <w:numId w:val="6"/>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设置独立出入口，具备独立管理条件；</w:t>
      </w:r>
    </w:p>
    <w:p>
      <w:pPr>
        <w:numPr>
          <w:ilvl w:val="0"/>
          <w:numId w:val="6"/>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配备监控机房入口或内部的视频设备；</w:t>
      </w:r>
    </w:p>
    <w:p>
      <w:pPr>
        <w:numPr>
          <w:ilvl w:val="0"/>
          <w:numId w:val="6"/>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内部温、湿度受控，地面铺设防静电地板。</w:t>
      </w:r>
    </w:p>
    <w:p>
      <w:pPr>
        <w:pStyle w:val="36"/>
        <w:numPr>
          <w:ilvl w:val="0"/>
          <w:numId w:val="0"/>
        </w:numPr>
        <w:spacing w:beforeLines="0" w:afterLines="0" w:line="440" w:lineRule="exact"/>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用于考试的应用服务器、考试过程音视频监控记录存储设备应设置在机房内。</w:t>
      </w:r>
    </w:p>
    <w:p>
      <w:pPr>
        <w:pStyle w:val="34"/>
        <w:spacing w:beforeLines="0" w:afterLines="0" w:line="440" w:lineRule="exact"/>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2、场地设施要求</w:t>
      </w:r>
    </w:p>
    <w:p>
      <w:pPr>
        <w:pStyle w:val="33"/>
        <w:spacing w:before="0" w:beforeLines="0" w:after="0" w:afterLines="0"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（1）场地设施组成</w:t>
      </w:r>
    </w:p>
    <w:p>
      <w:pPr>
        <w:pStyle w:val="35"/>
        <w:spacing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场地应设置供电设施、网络设施、信息公告设施、考台计算机、应用服务器、管理计算机、防作弊设施、消防安全设施等。</w:t>
      </w:r>
    </w:p>
    <w:p>
      <w:pPr>
        <w:pStyle w:val="33"/>
        <w:spacing w:before="0" w:beforeLines="0" w:after="0" w:afterLines="0"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（2）供电设施</w:t>
      </w:r>
    </w:p>
    <w:p>
      <w:pPr>
        <w:pStyle w:val="35"/>
        <w:spacing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主供电端应安装过载、漏电、短路等保护装置和防雷装置，应配备不间断备用电源保证停电后计算机考台、网络交换机、音视频监控等设备正常工作至正在进行考试的考生完成考试。</w:t>
      </w:r>
    </w:p>
    <w:p>
      <w:pPr>
        <w:pStyle w:val="33"/>
        <w:spacing w:before="0" w:beforeLines="0" w:after="0" w:afterLines="0"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（3）网络设施</w:t>
      </w:r>
    </w:p>
    <w:p>
      <w:pPr>
        <w:pStyle w:val="36"/>
        <w:numPr>
          <w:ilvl w:val="0"/>
          <w:numId w:val="0"/>
        </w:numPr>
        <w:spacing w:beforeLines="0" w:afterLines="0" w:line="440" w:lineRule="exact"/>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default" w:ascii="Calibri" w:hAnsi="Calibri" w:cs="Calibri" w:eastAsiaTheme="minorEastAsia"/>
          <w:snapToGrid w:val="0"/>
          <w:color w:val="000000"/>
          <w:spacing w:val="-1"/>
          <w:kern w:val="0"/>
          <w:sz w:val="24"/>
          <w:szCs w:val="24"/>
          <w:lang w:val="en-US" w:eastAsia="en-US" w:bidi="ar-SA"/>
        </w:rPr>
        <w:t>①</w:t>
      </w:r>
      <w:r>
        <w:rPr>
          <w:rFonts w:hint="eastAsia" w:asciiTheme="minorEastAsia" w:hAnsiTheme="minorEastAsia" w:eastAsiaTheme="minorEastAsia" w:cstheme="minorEastAsia"/>
          <w:snapToGrid w:val="0"/>
          <w:color w:val="000000"/>
          <w:spacing w:val="-1"/>
          <w:kern w:val="0"/>
          <w:sz w:val="24"/>
          <w:szCs w:val="24"/>
          <w:lang w:val="en-US" w:eastAsia="en-US" w:bidi="ar-SA"/>
        </w:rPr>
        <w:t>考试网络设施应符合以下要求：</w:t>
      </w:r>
    </w:p>
    <w:p>
      <w:pPr>
        <w:numPr>
          <w:ilvl w:val="0"/>
          <w:numId w:val="7"/>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应用服务器与计算机考台之间网络带宽大于或等于1000 Mbit/s；</w:t>
      </w:r>
    </w:p>
    <w:p>
      <w:pPr>
        <w:numPr>
          <w:ilvl w:val="0"/>
          <w:numId w:val="7"/>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交换机独立设置，具备独立管理条件；</w:t>
      </w:r>
    </w:p>
    <w:p>
      <w:pPr>
        <w:numPr>
          <w:ilvl w:val="0"/>
          <w:numId w:val="7"/>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接入交换机的网线清晰标识其用途；</w:t>
      </w:r>
    </w:p>
    <w:p>
      <w:pPr>
        <w:numPr>
          <w:ilvl w:val="0"/>
          <w:numId w:val="7"/>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连接交换机与应用服务器或交换机与计算机考台的网线连续无接头，走向清晰；</w:t>
      </w:r>
    </w:p>
    <w:p>
      <w:pPr>
        <w:numPr>
          <w:ilvl w:val="0"/>
          <w:numId w:val="7"/>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能满足考试相关信息的接收、存贮、处理、交换、传输；</w:t>
      </w:r>
    </w:p>
    <w:p>
      <w:pPr>
        <w:numPr>
          <w:ilvl w:val="0"/>
          <w:numId w:val="7"/>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与其他网络物理隔离；</w:t>
      </w:r>
    </w:p>
    <w:p>
      <w:pPr>
        <w:numPr>
          <w:ilvl w:val="0"/>
          <w:numId w:val="7"/>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防雷设计符合GB 50343的要求。</w:t>
      </w:r>
    </w:p>
    <w:p>
      <w:pPr>
        <w:pStyle w:val="36"/>
        <w:numPr>
          <w:ilvl w:val="0"/>
          <w:numId w:val="0"/>
        </w:numPr>
        <w:spacing w:beforeLines="0" w:afterLines="0" w:line="440" w:lineRule="exact"/>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2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②</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监控网络设施应满足图像等监控信息的传输和存储要求，应接入上级监控中心，能实时查看或调取视频监控设备的监控画面，音视频监控资料存储空间不少于3年。防雷设计应符合GB 50343要求。</w:t>
      </w:r>
    </w:p>
    <w:p>
      <w:pPr>
        <w:pStyle w:val="33"/>
        <w:spacing w:before="0" w:beforeLines="0" w:after="0" w:afterLines="0"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（4）场地应设置以下信息公告设施：</w:t>
      </w:r>
    </w:p>
    <w:p>
      <w:pPr>
        <w:numPr>
          <w:ilvl w:val="0"/>
          <w:numId w:val="8"/>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场地公共服务区设置播放考试区全景监控实时视频的设备及公示场地运行管理制度等的设施；</w:t>
      </w:r>
    </w:p>
    <w:p>
      <w:pPr>
        <w:numPr>
          <w:ilvl w:val="0"/>
          <w:numId w:val="8"/>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场地或候考区入口设置考试流程图及对应管理设施的分布图；</w:t>
      </w:r>
    </w:p>
    <w:p>
      <w:pPr>
        <w:numPr>
          <w:ilvl w:val="0"/>
          <w:numId w:val="8"/>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候考区设置考试注意事项、考试员考试工作纪律、收费标准等公告设施；</w:t>
      </w:r>
    </w:p>
    <w:p>
      <w:pPr>
        <w:numPr>
          <w:ilvl w:val="0"/>
          <w:numId w:val="8"/>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设置公告当日考试员及工作人员姓名、照片、举报投诉电话等的设施。</w:t>
      </w:r>
    </w:p>
    <w:p>
      <w:pPr>
        <w:pStyle w:val="33"/>
        <w:spacing w:before="0" w:beforeLines="0" w:after="0" w:afterLines="0"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（5）考台计算机应符合以下要求：</w:t>
      </w:r>
    </w:p>
    <w:p>
      <w:pPr>
        <w:numPr>
          <w:ilvl w:val="0"/>
          <w:numId w:val="9"/>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禁用USB、光驱、软驱等接口，根据考试和管理需求配备鼠标、键盘接口；</w:t>
      </w:r>
    </w:p>
    <w:p>
      <w:pPr>
        <w:numPr>
          <w:ilvl w:val="0"/>
          <w:numId w:val="9"/>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配备能清晰反映考生正面影像的图像采集设备；</w:t>
      </w:r>
    </w:p>
    <w:p>
      <w:pPr>
        <w:numPr>
          <w:ilvl w:val="0"/>
          <w:numId w:val="9"/>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显示屏采取防窥措施；</w:t>
      </w:r>
    </w:p>
    <w:p>
      <w:pPr>
        <w:numPr>
          <w:ilvl w:val="0"/>
          <w:numId w:val="9"/>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考台计算机的软、硬件通过应用服务器进行定制管理和运行维护；</w:t>
      </w:r>
    </w:p>
    <w:p>
      <w:pPr>
        <w:numPr>
          <w:ilvl w:val="0"/>
          <w:numId w:val="9"/>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考台计算机不能独立于应用服务器启动和运行。</w:t>
      </w:r>
    </w:p>
    <w:p>
      <w:pPr>
        <w:pStyle w:val="33"/>
        <w:spacing w:before="0" w:beforeLines="0" w:after="0" w:afterLines="0"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（6）应用服务器应设置在机房内，并符合以下要求：</w:t>
      </w:r>
    </w:p>
    <w:p>
      <w:pPr>
        <w:numPr>
          <w:ilvl w:val="0"/>
          <w:numId w:val="10"/>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仅设定的物理地址和IP地址的计算机能访问应用服务器；</w:t>
      </w:r>
    </w:p>
    <w:p>
      <w:pPr>
        <w:numPr>
          <w:ilvl w:val="0"/>
          <w:numId w:val="10"/>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仅应用服务器或管理用计算机能进行考台计算机的维护、管理、安装或卸载程序等操作；</w:t>
      </w:r>
    </w:p>
    <w:p>
      <w:pPr>
        <w:numPr>
          <w:ilvl w:val="0"/>
          <w:numId w:val="10"/>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在应用服务器或管理用计算上对考台计算的所有操作生成日志，日志保存时间大于或等于3年；</w:t>
      </w:r>
    </w:p>
    <w:p>
      <w:pPr>
        <w:numPr>
          <w:ilvl w:val="0"/>
          <w:numId w:val="10"/>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通过应用服务器或管理计算机能分类查看操作日志。</w:t>
      </w:r>
    </w:p>
    <w:p>
      <w:pPr>
        <w:pStyle w:val="33"/>
        <w:spacing w:before="0" w:beforeLines="0" w:after="0" w:afterLines="0"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（7）防作弊设施</w:t>
      </w:r>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场地应配备考试区入口通讯设备检测、考试区信号屏蔽和干扰、无线传输数据扫描等一种或多种的防作弊设施。</w:t>
      </w:r>
    </w:p>
    <w:p>
      <w:pPr>
        <w:pStyle w:val="33"/>
        <w:spacing w:before="0" w:beforeLines="0" w:after="0" w:afterLines="0"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（8）消防安全设施</w:t>
      </w:r>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消防安全设计应符合GB 50016规定，配备消防设备。</w:t>
      </w:r>
    </w:p>
    <w:p>
      <w:pPr>
        <w:pStyle w:val="32"/>
        <w:numPr>
          <w:ilvl w:val="2"/>
          <w:numId w:val="0"/>
        </w:numPr>
        <w:spacing w:beforeLines="0" w:afterLines="0" w:line="440" w:lineRule="exact"/>
        <w:outlineLvl w:val="0"/>
        <w:rPr>
          <w:rFonts w:hint="eastAsia" w:asciiTheme="minorEastAsia" w:hAnsiTheme="minorEastAsia" w:eastAsiaTheme="minorEastAsia" w:cstheme="minorEastAsia"/>
          <w:b/>
          <w:bCs/>
          <w:snapToGrid w:val="0"/>
          <w:color w:val="000000"/>
          <w:spacing w:val="-1"/>
          <w:kern w:val="0"/>
          <w:sz w:val="24"/>
          <w:szCs w:val="24"/>
          <w:lang w:val="en-US" w:eastAsia="en-US" w:bidi="ar-SA"/>
        </w:rPr>
      </w:pPr>
    </w:p>
    <w:p>
      <w:pPr>
        <w:pStyle w:val="32"/>
        <w:numPr>
          <w:ilvl w:val="2"/>
          <w:numId w:val="0"/>
        </w:numPr>
        <w:spacing w:beforeLines="0" w:afterLines="0" w:line="440" w:lineRule="exact"/>
        <w:outlineLvl w:val="0"/>
        <w:rPr>
          <w:rFonts w:hint="eastAsia" w:asciiTheme="minorEastAsia" w:hAnsiTheme="minorEastAsia" w:eastAsiaTheme="minorEastAsia" w:cstheme="minorEastAsia"/>
          <w:b/>
          <w:bCs/>
          <w:snapToGrid w:val="0"/>
          <w:color w:val="000000"/>
          <w:spacing w:val="-1"/>
          <w:kern w:val="0"/>
          <w:sz w:val="24"/>
          <w:szCs w:val="24"/>
          <w:lang w:val="en-US" w:eastAsia="en-US" w:bidi="ar-SA"/>
        </w:rPr>
      </w:pPr>
      <w:r>
        <w:rPr>
          <w:rFonts w:hint="eastAsia" w:asciiTheme="minorEastAsia" w:hAnsiTheme="minorEastAsia" w:eastAsiaTheme="minorEastAsia" w:cstheme="minorEastAsia"/>
          <w:b/>
          <w:bCs/>
          <w:snapToGrid w:val="0"/>
          <w:color w:val="000000"/>
          <w:spacing w:val="-1"/>
          <w:kern w:val="0"/>
          <w:sz w:val="24"/>
          <w:szCs w:val="24"/>
          <w:lang w:val="en-US" w:eastAsia="en-US" w:bidi="ar-SA"/>
        </w:rPr>
        <w:t>第二标段：</w:t>
      </w:r>
    </w:p>
    <w:p>
      <w:pPr>
        <w:pStyle w:val="32"/>
        <w:numPr>
          <w:ilvl w:val="2"/>
          <w:numId w:val="0"/>
        </w:numPr>
        <w:spacing w:beforeLines="0" w:afterLines="0" w:line="440" w:lineRule="exact"/>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 xml:space="preserve">  科目二考场要求(可为大中小型客货车考场或小型汽车考场）：</w:t>
      </w:r>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1、考试场地独立，封闭管理，只能用于驾驶人考试。考场内不得存在与考试无关的建筑、设施和场地。</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2、场地组成应设置休息区、候考区、考试区、控制中心、机房等功能性场所，配套设置公共卫生设施、公共服务区、停车区等服务性场所。</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（1）休息区面积不低于200平方米，候考区面积不低于80平方米，应配备以下设备、设施：</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a)考生自助签到设备；</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b)考试组织动态信息公告设备;</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c)用于安全管理的视频监控设备；</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d)用于播放交通安全宣传片的设备；</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e)数量足够的休息座椅及饮用水、储物等便民服务设施；</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f)封闭管理的，设置紧急出口或应急通道。</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（2）大中型客货车用于考试的场地面积不低于4.7万平方米，小型汽车用于考试的场地面积不低于1万平方米，考试区</w:t>
      </w:r>
      <w:bookmarkStart w:id="43" w:name="_Toc322207045"/>
      <w:bookmarkStart w:id="44" w:name="_Toc323463108"/>
      <w:bookmarkStart w:id="45" w:name="_Toc323462057"/>
      <w:bookmarkStart w:id="46" w:name="OLE_LINK35"/>
      <w:bookmarkStart w:id="47" w:name="_Toc317578176"/>
      <w:bookmarkStart w:id="48" w:name="_Toc315424894"/>
      <w:r>
        <w:rPr>
          <w:rFonts w:hint="eastAsia" w:asciiTheme="minorEastAsia" w:hAnsiTheme="minorEastAsia" w:eastAsiaTheme="minorEastAsia" w:cstheme="minorEastAsia"/>
          <w:snapToGrid w:val="0"/>
          <w:color w:val="000000"/>
          <w:spacing w:val="-1"/>
          <w:kern w:val="0"/>
          <w:sz w:val="24"/>
          <w:szCs w:val="24"/>
          <w:lang w:val="en-US" w:eastAsia="en-US" w:bidi="ar-SA"/>
        </w:rPr>
        <w:t>平面布置应符合以下要求：</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a)与外界物理隔离，出入口设置管理设备，能实现出入人员分类控制；</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b)按人车分离的原则布置分隔、导流、无障碍通道等设施，合理组织人流、车流；</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c)自然地形坡度大于8%时采用台式布置，台地之间用挡土墙或护坡连接；</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d)无妨碍考试车辆行车视线或观察考试车辆的障碍物，出入口、场地绿化布置满足行车视距要求；</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e)考试路线合理顺畅，自然形成车流，车辆在项目内的行驶路线符合GA 1026要求；</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f)考试项目按考试车辆尺寸分别设置，平面线形与地形、地质、水文等结合；</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g)考试项目衔接处的缓冲路段长度大于或等于1.5倍考试车长，项目前10 m内设置项目名称标志；</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h)除考试项目设置中有规定外，项目图形内地面平整；</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i)考试项目内无项目图形要求以外的标志、标线及设施等。</w:t>
      </w:r>
    </w:p>
    <w:bookmarkEnd w:id="43"/>
    <w:bookmarkEnd w:id="44"/>
    <w:bookmarkEnd w:id="45"/>
    <w:bookmarkEnd w:id="46"/>
    <w:bookmarkEnd w:id="47"/>
    <w:bookmarkEnd w:id="48"/>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（3）控制中心应配备以下设备：</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a)门禁；</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b)实时显示考试区视频监控、考试车辆驾驶室视频监控和候考区视频监控的显示设备；</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c)用于考试过程管理和信息显示的计算机;</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d)监控控制中心的视频设备；</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e)消防设备、设施。</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（4）机房设置独立出入口，具备独立管理条件；配备监控机房入口或内部的视频设备；内部温、湿度受控，地面铺设防静电地板。</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3、场地设施应设置供电设施、网络设施、信息公告设施、场地照明设施、防雷设施、考试区设施等。</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（1）供电设施应满足以下要求：</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a)设置专门的配电室或配电柜、总等电位装置，供电电源就近引自附近的变配电所，电源选用交流220V或380V；</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b)主供电端安装过载、漏电、短路等保护装置和防雷装置；</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c)配电室或配电柜室外各用电设备的线路采用电缆埋地敷设，集中或重要负荷采用放射式配电；</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d)配备不间断备用电源保证停电后网络设备、音视频监控等设备正常工作至正在进行考试的考生完成考试；</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e)供电系统的接地型式采用GB 50052中的TN-S系统，穿线用的保护金属管及灯具金属部分与TN-S系统中的PE线连接，PE线与相线等截面。</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（2）网络设施应满足以下要求：</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a)采用符合GB 50311要求的综合布线系统，防雷设计符合GB 50343要求；</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b)满足采集评判软件与后台管理软件及参数设置软件间信息接收、存贮、处理、交换、传输要求；</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 xml:space="preserve">c)满足语音、图像等监控信息的传输和存储要求，场地音视频监控及考试车辆音视频监控应接入上级监控中心，支持远程查询或调取视频监控设备的监控画面，音视频监控资料存储空间不少于3年； </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d)网络设备及网线进行清晰、规范的标识;</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e)同时有两套以上网络系统时，不同网络间设置物理隔离。</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w:t>
      </w:r>
      <w:bookmarkStart w:id="49" w:name="_Toc322207354"/>
      <w:bookmarkStart w:id="50" w:name="_Toc315425237"/>
      <w:bookmarkStart w:id="51" w:name="_Toc323462223"/>
      <w:bookmarkStart w:id="52" w:name="_Toc230773351"/>
      <w:bookmarkStart w:id="53" w:name="_Toc317578529"/>
      <w:bookmarkStart w:id="54" w:name="_Toc230773397"/>
      <w:bookmarkStart w:id="55" w:name="_Toc323463274"/>
      <w:r>
        <w:rPr>
          <w:rFonts w:hint="eastAsia" w:asciiTheme="minorEastAsia" w:hAnsiTheme="minorEastAsia" w:eastAsiaTheme="minorEastAsia" w:cstheme="minorEastAsia"/>
          <w:snapToGrid w:val="0"/>
          <w:color w:val="000000"/>
          <w:spacing w:val="-1"/>
          <w:kern w:val="0"/>
          <w:sz w:val="24"/>
          <w:szCs w:val="24"/>
          <w:lang w:val="en-US" w:eastAsia="en-US" w:bidi="ar-SA"/>
        </w:rPr>
        <w:t>场地应设置以下信息公告设施：</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a)场地公共服务区设置播放考试区全景监控实时视频的设备及公示封闭考试区平面布置图、场地运行管理制度等的设施;</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b)候考区入口设置考试流程图及对应管理设施的分布图；</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c)候考区设置考试项目及评判标准、考试注意事项、考试员考试工作纪律、收费标准等公告设施；</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d)设置公告当日考试员及工作人员姓名、照片、举报投诉电话等信息的设施。</w:t>
      </w:r>
    </w:p>
    <w:bookmarkEnd w:id="49"/>
    <w:bookmarkEnd w:id="50"/>
    <w:bookmarkEnd w:id="51"/>
    <w:bookmarkEnd w:id="52"/>
    <w:bookmarkEnd w:id="53"/>
    <w:bookmarkEnd w:id="54"/>
    <w:bookmarkEnd w:id="55"/>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（4）场地照明设施应按场地使用需求设置。设置时，道路照明应按CJJ 45中Ⅲ级执行，其他场所照明应按GB 50034有关条款执行；每盏高杆灯处应设置独立的接地装置，穿线用的金属保护管应与该装置连接。</w:t>
      </w:r>
    </w:p>
    <w:p>
      <w:pPr>
        <w:pStyle w:val="32"/>
        <w:spacing w:beforeLines="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（5）防雷设施应符合以下要求：</w:t>
      </w:r>
    </w:p>
    <w:p>
      <w:pPr>
        <w:pStyle w:val="32"/>
        <w:spacing w:beforeLines="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a)建筑物、构筑物防雷设计符合GB 50057要求；</w:t>
      </w:r>
    </w:p>
    <w:p>
      <w:pPr>
        <w:pStyle w:val="32"/>
        <w:spacing w:beforeLines="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b)弱电防雷系统设计符合GB 50343的要求；</w:t>
      </w:r>
    </w:p>
    <w:p>
      <w:pPr>
        <w:pStyle w:val="32"/>
        <w:spacing w:beforeLines="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c)高杆灯设置避雷针。</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（6）考试区设施</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1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①</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考试项目图形线</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除坡道定点停车和起步项目的桩杆线、模拟项目的标线外，其余考试项目图形线宽度应为150mm±5mm，颜色应为白色或黄色，项目内同一标线颜色应一致。</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2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②</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考试项目桩杆或标杆</w:t>
      </w:r>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桩考、坡道定点停车和起步、通过限宽门项目桩杆或标杆应符合以下要求：</w:t>
      </w:r>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 xml:space="preserve">a)直径在20 mm～40 mm之间; </w:t>
      </w:r>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b)颜色为红白相间或黄黑相间，同一考试区桩杆颜色一致；</w:t>
      </w:r>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c)大型客车、城市公交车的桩考、通过限宽门项目的桩杆或标杆高度大于考试车辆车高300 mm以上，其余车型桩考、通过限宽门项目的桩杆或标杆高度大于考试车辆车高600 mm以上；</w:t>
      </w:r>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d)坡道定点停车和起步项目桩杆高度不小于1500mm，且固定不可移动；</w:t>
      </w:r>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e)桩考桩杆、通过限宽门标杆一端离开原位大于500 mm后能自动回位，回位时间不大于20 s；</w:t>
      </w:r>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f)风力小于6级时桩杆、标杆无摆动。</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3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③</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考试项目标志</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项目名称标志样式、规格尺寸应按照省级公安机关交通管理部门的规定执行，项目名称简称应符合表1规定。</w:t>
      </w:r>
    </w:p>
    <w:p>
      <w:pPr>
        <w:pStyle w:val="38"/>
        <w:spacing w:beforeLines="0" w:afterLines="0" w:line="440" w:lineRule="exact"/>
        <w:ind w:firstLine="2142" w:firstLineChars="9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p>
    <w:p>
      <w:pPr>
        <w:pStyle w:val="38"/>
        <w:spacing w:beforeLines="0" w:afterLines="0" w:line="440" w:lineRule="exact"/>
        <w:ind w:firstLine="2142" w:firstLineChars="9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p>
    <w:p>
      <w:pPr>
        <w:pStyle w:val="35"/>
        <w:rPr>
          <w:rFonts w:hint="eastAsia" w:asciiTheme="minorEastAsia" w:hAnsiTheme="minorEastAsia" w:eastAsiaTheme="minorEastAsia" w:cstheme="minorEastAsia"/>
          <w:snapToGrid w:val="0"/>
          <w:color w:val="000000"/>
          <w:spacing w:val="-1"/>
          <w:kern w:val="0"/>
          <w:sz w:val="24"/>
          <w:szCs w:val="24"/>
          <w:lang w:val="en-US" w:eastAsia="en-US" w:bidi="ar-SA"/>
        </w:rPr>
      </w:pPr>
    </w:p>
    <w:p>
      <w:pPr>
        <w:pStyle w:val="35"/>
        <w:rPr>
          <w:rFonts w:hint="eastAsia" w:asciiTheme="minorEastAsia" w:hAnsiTheme="minorEastAsia" w:eastAsiaTheme="minorEastAsia" w:cstheme="minorEastAsia"/>
          <w:snapToGrid w:val="0"/>
          <w:color w:val="000000"/>
          <w:spacing w:val="-1"/>
          <w:kern w:val="0"/>
          <w:sz w:val="24"/>
          <w:szCs w:val="24"/>
          <w:lang w:val="en-US" w:eastAsia="en-US" w:bidi="ar-SA"/>
        </w:rPr>
      </w:pPr>
    </w:p>
    <w:p>
      <w:pPr>
        <w:pStyle w:val="35"/>
        <w:rPr>
          <w:rFonts w:hint="eastAsia" w:asciiTheme="minorEastAsia" w:hAnsiTheme="minorEastAsia" w:eastAsiaTheme="minorEastAsia" w:cstheme="minorEastAsia"/>
          <w:snapToGrid w:val="0"/>
          <w:color w:val="000000"/>
          <w:spacing w:val="-1"/>
          <w:kern w:val="0"/>
          <w:sz w:val="24"/>
          <w:szCs w:val="24"/>
          <w:lang w:val="en-US" w:eastAsia="en-US" w:bidi="ar-SA"/>
        </w:rPr>
      </w:pPr>
    </w:p>
    <w:p>
      <w:pPr>
        <w:pStyle w:val="38"/>
        <w:spacing w:beforeLines="0" w:afterLines="0" w:line="440" w:lineRule="exact"/>
        <w:ind w:firstLine="2142" w:firstLineChars="9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表1  考试项目简称</w:t>
      </w:r>
    </w:p>
    <w:tbl>
      <w:tblPr>
        <w:tblStyle w:val="17"/>
        <w:tblW w:w="0" w:type="auto"/>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26"/>
        <w:gridCol w:w="1865"/>
        <w:gridCol w:w="1493"/>
        <w:gridCol w:w="627"/>
        <w:gridCol w:w="1995"/>
        <w:gridCol w:w="16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626" w:type="dxa"/>
            <w:tcBorders>
              <w:top w:val="single" w:color="auto" w:sz="8" w:space="0"/>
              <w:bottom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序号</w:t>
            </w:r>
          </w:p>
        </w:tc>
        <w:tc>
          <w:tcPr>
            <w:tcW w:w="1865" w:type="dxa"/>
            <w:tcBorders>
              <w:top w:val="single" w:color="auto" w:sz="8" w:space="0"/>
              <w:bottom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项目名称</w:t>
            </w:r>
          </w:p>
        </w:tc>
        <w:tc>
          <w:tcPr>
            <w:tcW w:w="1493" w:type="dxa"/>
            <w:tcBorders>
              <w:top w:val="single" w:color="auto" w:sz="8" w:space="0"/>
              <w:bottom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项目简称</w:t>
            </w:r>
          </w:p>
        </w:tc>
        <w:tc>
          <w:tcPr>
            <w:tcW w:w="627" w:type="dxa"/>
            <w:tcBorders>
              <w:top w:val="single" w:color="auto" w:sz="8" w:space="0"/>
              <w:bottom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序号</w:t>
            </w:r>
          </w:p>
        </w:tc>
        <w:tc>
          <w:tcPr>
            <w:tcW w:w="1995" w:type="dxa"/>
            <w:tcBorders>
              <w:top w:val="single" w:color="auto" w:sz="8" w:space="0"/>
              <w:bottom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项目名称</w:t>
            </w:r>
          </w:p>
        </w:tc>
        <w:tc>
          <w:tcPr>
            <w:tcW w:w="1614" w:type="dxa"/>
            <w:tcBorders>
              <w:top w:val="single" w:color="auto" w:sz="8" w:space="0"/>
              <w:bottom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项目简称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626" w:type="dxa"/>
            <w:tcBorders>
              <w:top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w:t>
            </w:r>
          </w:p>
        </w:tc>
        <w:tc>
          <w:tcPr>
            <w:tcW w:w="1865" w:type="dxa"/>
            <w:tcBorders>
              <w:top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倒车入库</w:t>
            </w:r>
          </w:p>
        </w:tc>
        <w:tc>
          <w:tcPr>
            <w:tcW w:w="1493" w:type="dxa"/>
            <w:tcBorders>
              <w:top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倒车入库</w:t>
            </w:r>
          </w:p>
        </w:tc>
        <w:tc>
          <w:tcPr>
            <w:tcW w:w="627" w:type="dxa"/>
            <w:tcBorders>
              <w:top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8</w:t>
            </w:r>
          </w:p>
        </w:tc>
        <w:tc>
          <w:tcPr>
            <w:tcW w:w="1995" w:type="dxa"/>
            <w:tcBorders>
              <w:top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通过限宽门</w:t>
            </w:r>
          </w:p>
        </w:tc>
        <w:tc>
          <w:tcPr>
            <w:tcW w:w="1614" w:type="dxa"/>
            <w:tcBorders>
              <w:top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限宽门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626"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w:t>
            </w:r>
          </w:p>
        </w:tc>
        <w:tc>
          <w:tcPr>
            <w:tcW w:w="1865"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侧方停车</w:t>
            </w:r>
          </w:p>
        </w:tc>
        <w:tc>
          <w:tcPr>
            <w:tcW w:w="1493"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侧方停车</w:t>
            </w:r>
          </w:p>
        </w:tc>
        <w:tc>
          <w:tcPr>
            <w:tcW w:w="627"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9</w:t>
            </w:r>
          </w:p>
        </w:tc>
        <w:tc>
          <w:tcPr>
            <w:tcW w:w="1995"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窄路掉头</w:t>
            </w:r>
          </w:p>
        </w:tc>
        <w:tc>
          <w:tcPr>
            <w:tcW w:w="1614"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窄路掉头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626"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w:t>
            </w:r>
          </w:p>
        </w:tc>
        <w:tc>
          <w:tcPr>
            <w:tcW w:w="1865"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坡道定点停车和起步</w:t>
            </w:r>
          </w:p>
        </w:tc>
        <w:tc>
          <w:tcPr>
            <w:tcW w:w="1493"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坡道停车起步</w:t>
            </w:r>
          </w:p>
        </w:tc>
        <w:tc>
          <w:tcPr>
            <w:tcW w:w="627"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10</w:t>
            </w:r>
          </w:p>
        </w:tc>
        <w:tc>
          <w:tcPr>
            <w:tcW w:w="1995"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模拟隧道行驶</w:t>
            </w:r>
          </w:p>
        </w:tc>
        <w:tc>
          <w:tcPr>
            <w:tcW w:w="1614"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模拟隧道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626"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4</w:t>
            </w:r>
          </w:p>
        </w:tc>
        <w:tc>
          <w:tcPr>
            <w:tcW w:w="1865"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直角转弯</w:t>
            </w:r>
          </w:p>
        </w:tc>
        <w:tc>
          <w:tcPr>
            <w:tcW w:w="1493"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直角转弯</w:t>
            </w:r>
          </w:p>
        </w:tc>
        <w:tc>
          <w:tcPr>
            <w:tcW w:w="627"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11</w:t>
            </w:r>
          </w:p>
        </w:tc>
        <w:tc>
          <w:tcPr>
            <w:tcW w:w="1995"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模拟高速公路行驶</w:t>
            </w:r>
          </w:p>
        </w:tc>
        <w:tc>
          <w:tcPr>
            <w:tcW w:w="1614"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模拟高速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626"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5</w:t>
            </w:r>
          </w:p>
        </w:tc>
        <w:tc>
          <w:tcPr>
            <w:tcW w:w="1865"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曲线行驶</w:t>
            </w:r>
          </w:p>
        </w:tc>
        <w:tc>
          <w:tcPr>
            <w:tcW w:w="1493"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曲线行驶</w:t>
            </w:r>
          </w:p>
        </w:tc>
        <w:tc>
          <w:tcPr>
            <w:tcW w:w="627"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12</w:t>
            </w:r>
          </w:p>
        </w:tc>
        <w:tc>
          <w:tcPr>
            <w:tcW w:w="1995"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模拟连续急弯山区路行驶</w:t>
            </w:r>
          </w:p>
        </w:tc>
        <w:tc>
          <w:tcPr>
            <w:tcW w:w="1614"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模拟山区路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626" w:type="dxa"/>
            <w:tcBorders>
              <w:bottom w:val="single" w:color="auto" w:sz="4"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6</w:t>
            </w:r>
          </w:p>
        </w:tc>
        <w:tc>
          <w:tcPr>
            <w:tcW w:w="1865" w:type="dxa"/>
            <w:tcBorders>
              <w:bottom w:val="single" w:color="auto" w:sz="4"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桩考</w:t>
            </w:r>
          </w:p>
        </w:tc>
        <w:tc>
          <w:tcPr>
            <w:tcW w:w="1493" w:type="dxa"/>
            <w:tcBorders>
              <w:bottom w:val="single" w:color="auto" w:sz="4"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桩考</w:t>
            </w:r>
          </w:p>
        </w:tc>
        <w:tc>
          <w:tcPr>
            <w:tcW w:w="627" w:type="dxa"/>
            <w:tcBorders>
              <w:bottom w:val="single" w:color="auto" w:sz="4"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13</w:t>
            </w:r>
          </w:p>
        </w:tc>
        <w:tc>
          <w:tcPr>
            <w:tcW w:w="1995" w:type="dxa"/>
            <w:tcBorders>
              <w:bottom w:val="single" w:color="auto" w:sz="4"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模拟雨（雾）天行驶</w:t>
            </w:r>
          </w:p>
        </w:tc>
        <w:tc>
          <w:tcPr>
            <w:tcW w:w="1614" w:type="dxa"/>
            <w:tcBorders>
              <w:bottom w:val="single" w:color="auto" w:sz="4"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模拟雨（雾）天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626" w:type="dxa"/>
            <w:tcBorders>
              <w:top w:val="single" w:color="auto" w:sz="4" w:space="0"/>
              <w:bottom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7</w:t>
            </w:r>
          </w:p>
        </w:tc>
        <w:tc>
          <w:tcPr>
            <w:tcW w:w="1865" w:type="dxa"/>
            <w:tcBorders>
              <w:top w:val="single" w:color="auto" w:sz="4" w:space="0"/>
              <w:bottom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通过单边桥</w:t>
            </w:r>
          </w:p>
        </w:tc>
        <w:tc>
          <w:tcPr>
            <w:tcW w:w="1493" w:type="dxa"/>
            <w:tcBorders>
              <w:top w:val="single" w:color="auto" w:sz="4" w:space="0"/>
              <w:bottom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单边桥</w:t>
            </w:r>
          </w:p>
        </w:tc>
        <w:tc>
          <w:tcPr>
            <w:tcW w:w="627" w:type="dxa"/>
            <w:tcBorders>
              <w:top w:val="single" w:color="auto" w:sz="4" w:space="0"/>
              <w:bottom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14</w:t>
            </w:r>
          </w:p>
        </w:tc>
        <w:tc>
          <w:tcPr>
            <w:tcW w:w="1995" w:type="dxa"/>
            <w:tcBorders>
              <w:top w:val="single" w:color="auto" w:sz="4" w:space="0"/>
              <w:bottom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模拟湿滑路行驶</w:t>
            </w:r>
          </w:p>
        </w:tc>
        <w:tc>
          <w:tcPr>
            <w:tcW w:w="1614" w:type="dxa"/>
            <w:tcBorders>
              <w:top w:val="single" w:color="auto" w:sz="4" w:space="0"/>
              <w:bottom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模拟湿滑路</w:t>
            </w:r>
          </w:p>
        </w:tc>
      </w:tr>
    </w:tbl>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4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④</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考试项目视频监控应符合以下要求：</w:t>
      </w:r>
    </w:p>
    <w:p>
      <w:pPr>
        <w:pStyle w:val="36"/>
        <w:numPr>
          <w:ilvl w:val="0"/>
          <w:numId w:val="0"/>
        </w:numPr>
        <w:spacing w:beforeLines="0" w:afterLines="0" w:line="440" w:lineRule="exact"/>
        <w:ind w:left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a)每个考试项目设置覆盖本项目区域的视频监控；</w:t>
      </w:r>
    </w:p>
    <w:p>
      <w:pPr>
        <w:pStyle w:val="36"/>
        <w:numPr>
          <w:ilvl w:val="0"/>
          <w:numId w:val="0"/>
        </w:numPr>
        <w:spacing w:beforeLines="0" w:afterLines="0" w:line="440" w:lineRule="exact"/>
        <w:ind w:left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b)监控清晰度能分辨车辆类型、颜色、轮廓和考试车辆编号；</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c)能反映考试车辆在本项目区域的运行情况；</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d)出现视频信号缺失等异常情况时能在监控中心的显示设备上自动报警。</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5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⑤</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bookmarkStart w:id="56" w:name="_Toc322207348"/>
      <w:bookmarkStart w:id="57" w:name="_Toc323463268"/>
      <w:bookmarkStart w:id="58" w:name="_Toc317578519"/>
      <w:bookmarkStart w:id="59" w:name="_Toc323463273"/>
      <w:bookmarkStart w:id="60" w:name="_Toc322207353"/>
      <w:bookmarkStart w:id="61" w:name="_Toc323462217"/>
      <w:bookmarkStart w:id="62" w:name="_Toc315425236"/>
      <w:bookmarkStart w:id="63" w:name="_Toc323462222"/>
      <w:bookmarkStart w:id="64" w:name="OLE_LINK45"/>
      <w:bookmarkStart w:id="65" w:name="_Toc317578528"/>
      <w:bookmarkStart w:id="66" w:name="_Toc315425227"/>
      <w:r>
        <w:rPr>
          <w:rFonts w:hint="eastAsia" w:asciiTheme="minorEastAsia" w:hAnsiTheme="minorEastAsia" w:eastAsiaTheme="minorEastAsia" w:cstheme="minorEastAsia"/>
          <w:snapToGrid w:val="0"/>
          <w:color w:val="000000"/>
          <w:spacing w:val="-1"/>
          <w:kern w:val="0"/>
          <w:sz w:val="24"/>
          <w:szCs w:val="24"/>
          <w:lang w:val="en-US" w:eastAsia="en-US" w:bidi="ar-SA"/>
        </w:rPr>
        <w:t>考试区全景视频监控应符合以下要求：</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a)大型客车、重型牵引挂车、城市公交车、中型客车、大型货车考试区全景视频监控范围同时覆盖除模拟连续急弯山区路、模拟隧道、模拟高速公路、模拟湿滑路面、模拟雨（雾）天外其余所有考试项目衔接区域；</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b)轻型牵引挂车考试区全景监控同时覆盖桩考、直角转弯、曲线行驶项目和考试项目衔接区域;</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c)除a）、b）外的其他车型考试区全景视频监控范围同时覆盖整个考试区</w:t>
      </w:r>
      <w:bookmarkEnd w:id="56"/>
      <w:bookmarkEnd w:id="57"/>
      <w:bookmarkEnd w:id="58"/>
      <w:bookmarkEnd w:id="59"/>
      <w:bookmarkEnd w:id="60"/>
      <w:bookmarkEnd w:id="61"/>
      <w:bookmarkEnd w:id="62"/>
      <w:bookmarkEnd w:id="63"/>
      <w:bookmarkEnd w:id="64"/>
      <w:bookmarkEnd w:id="65"/>
      <w:bookmarkEnd w:id="66"/>
      <w:r>
        <w:rPr>
          <w:rFonts w:hint="eastAsia" w:asciiTheme="minorEastAsia" w:hAnsiTheme="minorEastAsia" w:eastAsiaTheme="minorEastAsia" w:cstheme="minorEastAsia"/>
          <w:snapToGrid w:val="0"/>
          <w:color w:val="000000"/>
          <w:spacing w:val="-1"/>
          <w:kern w:val="0"/>
          <w:sz w:val="24"/>
          <w:szCs w:val="24"/>
          <w:lang w:val="en-US" w:eastAsia="en-US" w:bidi="ar-SA"/>
        </w:rPr>
        <w:t>。</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6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⑥</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考试区道路应符合以下要求:</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a)按照CJJ 37设计，路面设计轴载采用双轮组单轴载100 kN；</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b)除考试项目路段外，积雪或冰冻地区道路的最大纵坡小于或等于3.5%，其他地区道路的最大纵坡应小于或等于6%；</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c)直线与平曲线的衔接时，参照CJJ 37合理设置缓和曲线、超高、加宽等；</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d)路缘石与项目标线距离小于30cm时，小型汽车、小型自动挡汽车、摩托车考试单元内路缘石圆曲线半径应大于或等于1.0 m，大型客车、重型牵引挂车、城市公交车、中型客车、大型货车考试单元内路缘石圆曲线半径应大于或等于1.5 m;</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e)道路宽度大于或等于考试项目图形宽度，项目图形线外侧0.3 m内无影响考试评判的设施；</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f)除考试项目有规定外，道路转弯半径小型汽车、小型自动挡汽车大于或等于8.0 m，大型客车、重型牵引挂车、城市公交车、中型客车、大型货车大于或等于12 m；</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g)道路合理设置排水设施，保证路基、路面及标线不因积水而损坏；</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h)道路建筑限界符合图1及表2规定。</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67" w:name="_Toc315424887"/>
      <w:bookmarkStart w:id="68" w:name="_Toc322207038"/>
      <w:bookmarkStart w:id="69" w:name="_Toc317578169"/>
      <w:r>
        <w:rPr>
          <w:rFonts w:hint="eastAsia" w:asciiTheme="minorEastAsia" w:hAnsiTheme="minorEastAsia" w:eastAsiaTheme="minorEastAsia" w:cstheme="minorEastAsia"/>
          <w:snapToGrid w:val="0"/>
          <w:color w:val="000000"/>
          <w:spacing w:val="-1"/>
          <w:kern w:val="0"/>
          <w:sz w:val="24"/>
          <w:szCs w:val="24"/>
          <w:lang w:val="en-US" w:eastAsia="en-US" w:bidi="ar-SA"/>
        </w:rPr>
        <w:drawing>
          <wp:anchor distT="0" distB="0" distL="114300" distR="114300" simplePos="0" relativeHeight="251659264" behindDoc="0" locked="0" layoutInCell="1" allowOverlap="1">
            <wp:simplePos x="0" y="0"/>
            <wp:positionH relativeFrom="column">
              <wp:posOffset>-50800</wp:posOffset>
            </wp:positionH>
            <wp:positionV relativeFrom="paragraph">
              <wp:posOffset>403860</wp:posOffset>
            </wp:positionV>
            <wp:extent cx="5763895" cy="2810510"/>
            <wp:effectExtent l="0" t="0" r="8255" b="8890"/>
            <wp:wrapTopAndBottom/>
            <wp:docPr id="2" name="道路建筑限界示意图.jpg"/>
            <wp:cNvGraphicFramePr/>
            <a:graphic xmlns:a="http://schemas.openxmlformats.org/drawingml/2006/main">
              <a:graphicData uri="http://schemas.openxmlformats.org/drawingml/2006/picture">
                <pic:pic xmlns:pic="http://schemas.openxmlformats.org/drawingml/2006/picture">
                  <pic:nvPicPr>
                    <pic:cNvPr id="2" name="道路建筑限界示意图.jpg"/>
                    <pic:cNvPicPr/>
                  </pic:nvPicPr>
                  <pic:blipFill>
                    <a:blip r:embed="rId17"/>
                    <a:stretch>
                      <a:fillRect/>
                    </a:stretch>
                  </pic:blipFill>
                  <pic:spPr>
                    <a:xfrm flipV="1">
                      <a:off x="0" y="0"/>
                      <a:ext cx="5763895" cy="2810510"/>
                    </a:xfrm>
                    <a:prstGeom prst="rect">
                      <a:avLst/>
                    </a:prstGeom>
                    <a:noFill/>
                    <a:ln>
                      <a:noFill/>
                    </a:ln>
                  </pic:spPr>
                </pic:pic>
              </a:graphicData>
            </a:graphic>
          </wp:anchor>
        </w:drawing>
      </w:r>
      <w:bookmarkEnd w:id="67"/>
      <w:bookmarkEnd w:id="68"/>
      <w:bookmarkEnd w:id="69"/>
      <w:bookmarkStart w:id="70" w:name="_Toc315424891"/>
      <w:bookmarkStart w:id="71" w:name="_Toc317578173"/>
      <w:bookmarkStart w:id="72" w:name="_Toc322207042"/>
      <w:r>
        <w:rPr>
          <w:rFonts w:hint="eastAsia" w:asciiTheme="minorEastAsia" w:hAnsiTheme="minorEastAsia" w:eastAsiaTheme="minorEastAsia" w:cstheme="minorEastAsia"/>
          <w:snapToGrid w:val="0"/>
          <w:color w:val="000000"/>
          <w:spacing w:val="-1"/>
          <w:kern w:val="0"/>
          <w:sz w:val="24"/>
          <w:szCs w:val="24"/>
          <w:lang w:val="en-US" w:eastAsia="en-US" w:bidi="ar-SA"/>
        </w:rPr>
        <w:t>标引序号说明：</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73" w:name="OLE_LINK33"/>
      <w:bookmarkStart w:id="74" w:name="_Toc315424884"/>
      <w:bookmarkStart w:id="75" w:name="_Toc317578166"/>
      <w:bookmarkStart w:id="76" w:name="_Toc322207035"/>
      <w:r>
        <w:rPr>
          <w:rFonts w:hint="eastAsia" w:asciiTheme="minorEastAsia" w:hAnsiTheme="minorEastAsia" w:eastAsiaTheme="minorEastAsia" w:cstheme="minorEastAsia"/>
          <w:snapToGrid w:val="0"/>
          <w:color w:val="000000"/>
          <w:spacing w:val="-1"/>
          <w:kern w:val="0"/>
          <w:sz w:val="24"/>
          <w:szCs w:val="24"/>
          <w:lang w:val="en-US" w:eastAsia="zh-CN" w:bidi="ar-SA"/>
        </w:rPr>
        <w:t>h1 ——净空高度；</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77" w:name="_Toc322207039"/>
      <w:bookmarkStart w:id="78" w:name="_Toc317578170"/>
      <w:bookmarkStart w:id="79" w:name="_Toc315424888"/>
      <w:r>
        <w:rPr>
          <w:rFonts w:hint="eastAsia" w:asciiTheme="minorEastAsia" w:hAnsiTheme="minorEastAsia" w:eastAsiaTheme="minorEastAsia" w:cstheme="minorEastAsia"/>
          <w:snapToGrid w:val="0"/>
          <w:color w:val="000000"/>
          <w:spacing w:val="-1"/>
          <w:kern w:val="0"/>
          <w:sz w:val="24"/>
          <w:szCs w:val="24"/>
          <w:lang w:val="en-US" w:eastAsia="zh-CN" w:bidi="ar-SA"/>
        </w:rPr>
        <w:t>h2 ——路缘石高度；</w:t>
      </w:r>
      <w:bookmarkEnd w:id="77"/>
      <w:bookmarkEnd w:id="78"/>
      <w:bookmarkEnd w:id="79"/>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80" w:name="_Toc315424889"/>
      <w:bookmarkStart w:id="81" w:name="_Toc317578171"/>
      <w:bookmarkStart w:id="82" w:name="_Toc322207040"/>
      <w:r>
        <w:rPr>
          <w:rFonts w:hint="eastAsia" w:asciiTheme="minorEastAsia" w:hAnsiTheme="minorEastAsia" w:eastAsiaTheme="minorEastAsia" w:cstheme="minorEastAsia"/>
          <w:snapToGrid w:val="0"/>
          <w:color w:val="000000"/>
          <w:spacing w:val="-1"/>
          <w:kern w:val="0"/>
          <w:sz w:val="24"/>
          <w:szCs w:val="24"/>
          <w:lang w:val="en-US" w:eastAsia="zh-CN" w:bidi="ar-SA"/>
        </w:rPr>
        <w:t>h3 ——路侧净空高度</w:t>
      </w:r>
      <w:bookmarkEnd w:id="80"/>
      <w:bookmarkEnd w:id="81"/>
      <w:bookmarkEnd w:id="82"/>
      <w:r>
        <w:rPr>
          <w:rFonts w:hint="eastAsia" w:asciiTheme="minorEastAsia" w:hAnsiTheme="minorEastAsia" w:eastAsiaTheme="minorEastAsia" w:cstheme="minorEastAsia"/>
          <w:snapToGrid w:val="0"/>
          <w:color w:val="000000"/>
          <w:spacing w:val="-1"/>
          <w:kern w:val="0"/>
          <w:sz w:val="24"/>
          <w:szCs w:val="24"/>
          <w:lang w:val="en-US" w:eastAsia="zh-CN" w:bidi="ar-SA"/>
        </w:rPr>
        <w:t>；</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b1 ——建筑限界顶角宽度；</w:t>
      </w:r>
      <w:bookmarkEnd w:id="73"/>
      <w:bookmarkEnd w:id="74"/>
      <w:bookmarkEnd w:id="75"/>
      <w:bookmarkEnd w:id="76"/>
      <w:r>
        <w:rPr>
          <w:rFonts w:hint="eastAsia" w:asciiTheme="minorEastAsia" w:hAnsiTheme="minorEastAsia" w:eastAsiaTheme="minorEastAsia" w:cstheme="minorEastAsia"/>
          <w:snapToGrid w:val="0"/>
          <w:color w:val="000000"/>
          <w:spacing w:val="-1"/>
          <w:kern w:val="0"/>
          <w:sz w:val="24"/>
          <w:szCs w:val="24"/>
          <w:lang w:val="en-US" w:eastAsia="zh-CN" w:bidi="ar-SA"/>
        </w:rPr>
        <w:t xml:space="preserve"> </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83" w:name="_Toc317578167"/>
      <w:bookmarkStart w:id="84" w:name="_Toc315424885"/>
      <w:bookmarkStart w:id="85" w:name="_Toc322207036"/>
      <w:r>
        <w:rPr>
          <w:rFonts w:hint="eastAsia" w:asciiTheme="minorEastAsia" w:hAnsiTheme="minorEastAsia" w:eastAsiaTheme="minorEastAsia" w:cstheme="minorEastAsia"/>
          <w:snapToGrid w:val="0"/>
          <w:color w:val="000000"/>
          <w:spacing w:val="-1"/>
          <w:kern w:val="0"/>
          <w:sz w:val="24"/>
          <w:szCs w:val="24"/>
          <w:lang w:val="en-US" w:eastAsia="zh-CN" w:bidi="ar-SA"/>
        </w:rPr>
        <w:t>b2 ——</w:t>
      </w:r>
      <w:bookmarkEnd w:id="83"/>
      <w:bookmarkEnd w:id="84"/>
      <w:bookmarkEnd w:id="85"/>
      <w:r>
        <w:rPr>
          <w:rFonts w:hint="eastAsia" w:asciiTheme="minorEastAsia" w:hAnsiTheme="minorEastAsia" w:eastAsiaTheme="minorEastAsia" w:cstheme="minorEastAsia"/>
          <w:snapToGrid w:val="0"/>
          <w:color w:val="000000"/>
          <w:spacing w:val="-1"/>
          <w:kern w:val="0"/>
          <w:sz w:val="24"/>
          <w:szCs w:val="24"/>
          <w:lang w:val="en-US" w:eastAsia="zh-CN" w:bidi="ar-SA"/>
        </w:rPr>
        <w:t>行车道宽度；</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86" w:name="_Toc322207037"/>
      <w:bookmarkStart w:id="87" w:name="_Toc315424886"/>
      <w:bookmarkStart w:id="88" w:name="_Toc317578168"/>
      <w:r>
        <w:rPr>
          <w:rFonts w:hint="eastAsia" w:asciiTheme="minorEastAsia" w:hAnsiTheme="minorEastAsia" w:eastAsiaTheme="minorEastAsia" w:cstheme="minorEastAsia"/>
          <w:snapToGrid w:val="0"/>
          <w:color w:val="000000"/>
          <w:spacing w:val="-1"/>
          <w:kern w:val="0"/>
          <w:sz w:val="24"/>
          <w:szCs w:val="24"/>
          <w:lang w:val="en-US" w:eastAsia="zh-CN" w:bidi="ar-SA"/>
        </w:rPr>
        <w:t>b3 ——路缘带宽度；</w:t>
      </w:r>
      <w:bookmarkEnd w:id="86"/>
      <w:bookmarkEnd w:id="87"/>
      <w:bookmarkEnd w:id="88"/>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b4 ——侧向净空宽度</w:t>
      </w:r>
      <w:bookmarkStart w:id="89" w:name="_Toc315424890"/>
      <w:bookmarkStart w:id="90" w:name="_Toc322207041"/>
      <w:bookmarkStart w:id="91" w:name="_Toc317578172"/>
      <w:r>
        <w:rPr>
          <w:rFonts w:hint="eastAsia" w:asciiTheme="minorEastAsia" w:hAnsiTheme="minorEastAsia" w:eastAsiaTheme="minorEastAsia" w:cstheme="minorEastAsia"/>
          <w:snapToGrid w:val="0"/>
          <w:color w:val="000000"/>
          <w:spacing w:val="-1"/>
          <w:kern w:val="0"/>
          <w:sz w:val="24"/>
          <w:szCs w:val="24"/>
          <w:lang w:val="en-US" w:eastAsia="zh-CN" w:bidi="ar-SA"/>
        </w:rPr>
        <w:t>。</w:t>
      </w:r>
      <w:bookmarkEnd w:id="89"/>
      <w:bookmarkEnd w:id="90"/>
      <w:bookmarkEnd w:id="91"/>
    </w:p>
    <w:p>
      <w:pPr>
        <w:pStyle w:val="36"/>
        <w:numPr>
          <w:ilvl w:val="0"/>
          <w:numId w:val="0"/>
        </w:numPr>
        <w:spacing w:beforeLines="0" w:afterLines="0"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图1  道路建筑限界</w:t>
      </w:r>
      <w:bookmarkEnd w:id="70"/>
      <w:bookmarkEnd w:id="71"/>
      <w:bookmarkEnd w:id="72"/>
      <w:r>
        <w:rPr>
          <w:rFonts w:hint="eastAsia" w:asciiTheme="minorEastAsia" w:hAnsiTheme="minorEastAsia" w:eastAsiaTheme="minorEastAsia" w:cstheme="minorEastAsia"/>
          <w:snapToGrid w:val="0"/>
          <w:color w:val="000000"/>
          <w:spacing w:val="-1"/>
          <w:kern w:val="0"/>
          <w:sz w:val="24"/>
          <w:szCs w:val="24"/>
          <w:lang w:val="en-US" w:eastAsia="en-US" w:bidi="ar-SA"/>
        </w:rPr>
        <w:t>示意图</w:t>
      </w:r>
    </w:p>
    <w:p>
      <w:pPr>
        <w:pStyle w:val="38"/>
        <w:spacing w:beforeLines="0" w:afterLines="0" w:line="440" w:lineRule="exact"/>
        <w:ind w:firstLine="2380" w:firstLineChars="10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表2  道路限界尺寸</w:t>
      </w:r>
    </w:p>
    <w:p>
      <w:pPr>
        <w:pStyle w:val="35"/>
        <w:spacing w:line="440" w:lineRule="exact"/>
        <w:ind w:firstLine="560"/>
        <w:jc w:val="right"/>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单位为米</w:t>
      </w:r>
    </w:p>
    <w:tbl>
      <w:tblPr>
        <w:tblStyle w:val="17"/>
        <w:tblW w:w="0" w:type="auto"/>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3970"/>
        <w:gridCol w:w="425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3" w:type="dxa"/>
            <w:tcBorders>
              <w:top w:val="single" w:color="auto" w:sz="8"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标引序号</w:t>
            </w:r>
          </w:p>
        </w:tc>
        <w:tc>
          <w:tcPr>
            <w:tcW w:w="3970" w:type="dxa"/>
            <w:tcBorders>
              <w:top w:val="single" w:color="auto" w:sz="8"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轻型载货汽车、小型载客汽车</w:t>
            </w:r>
          </w:p>
        </w:tc>
        <w:tc>
          <w:tcPr>
            <w:tcW w:w="4255" w:type="dxa"/>
            <w:tcBorders>
              <w:top w:val="single" w:color="auto" w:sz="8"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其它车型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3" w:type="dxa"/>
            <w:tcBorders>
              <w:top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h1</w:t>
            </w:r>
          </w:p>
        </w:tc>
        <w:tc>
          <w:tcPr>
            <w:tcW w:w="3970" w:type="dxa"/>
            <w:tcBorders>
              <w:top w:val="single" w:color="auto" w:sz="8"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3.0</w:t>
            </w:r>
          </w:p>
        </w:tc>
        <w:tc>
          <w:tcPr>
            <w:tcW w:w="4255" w:type="dxa"/>
            <w:tcBorders>
              <w:top w:val="single" w:color="auto" w:sz="8"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4.0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3"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h2</w:t>
            </w:r>
          </w:p>
        </w:tc>
        <w:tc>
          <w:tcPr>
            <w:tcW w:w="3970"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0.1～0.2</w:t>
            </w:r>
          </w:p>
        </w:tc>
        <w:tc>
          <w:tcPr>
            <w:tcW w:w="4255"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3"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h3</w:t>
            </w:r>
          </w:p>
        </w:tc>
        <w:tc>
          <w:tcPr>
            <w:tcW w:w="3970"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2.5</w:t>
            </w:r>
          </w:p>
        </w:tc>
        <w:tc>
          <w:tcPr>
            <w:tcW w:w="4255"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3"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b1</w:t>
            </w:r>
          </w:p>
        </w:tc>
        <w:tc>
          <w:tcPr>
            <w:tcW w:w="3970"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1.0</w:t>
            </w:r>
          </w:p>
        </w:tc>
        <w:tc>
          <w:tcPr>
            <w:tcW w:w="4255"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3"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b2</w:t>
            </w:r>
          </w:p>
        </w:tc>
        <w:tc>
          <w:tcPr>
            <w:tcW w:w="3970"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≥3.2</w:t>
            </w:r>
          </w:p>
        </w:tc>
        <w:tc>
          <w:tcPr>
            <w:tcW w:w="4255"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3"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b3</w:t>
            </w:r>
          </w:p>
        </w:tc>
        <w:tc>
          <w:tcPr>
            <w:tcW w:w="3970"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0～0.3</w:t>
            </w:r>
          </w:p>
        </w:tc>
        <w:tc>
          <w:tcPr>
            <w:tcW w:w="4255"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0～0.3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3"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b4</w:t>
            </w:r>
          </w:p>
        </w:tc>
        <w:tc>
          <w:tcPr>
            <w:tcW w:w="8225" w:type="dxa"/>
            <w:gridSpan w:val="2"/>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弯道外侧取值1.5，其余取值1.0</w:t>
            </w:r>
          </w:p>
        </w:tc>
      </w:tr>
    </w:tbl>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92" w:name="_Toc230773440"/>
      <w:bookmarkStart w:id="93" w:name="_Toc230773348"/>
      <w:bookmarkStart w:id="94" w:name="_Toc315424900"/>
      <w:bookmarkStart w:id="95" w:name="_Toc232409726"/>
      <w:bookmarkStart w:id="96" w:name="_Toc323463267"/>
      <w:bookmarkStart w:id="97" w:name="_Toc323463113"/>
      <w:bookmarkStart w:id="98" w:name="_Toc317578182"/>
      <w:bookmarkStart w:id="99" w:name="OLE_LINK37"/>
      <w:bookmarkStart w:id="100" w:name="_Toc322207049"/>
      <w:bookmarkStart w:id="101" w:name="_Toc231543539"/>
      <w:bookmarkStart w:id="102" w:name="_Toc311039357"/>
      <w:bookmarkStart w:id="103" w:name="_Toc230773395"/>
      <w:bookmarkStart w:id="104" w:name="OLE_LINK59"/>
      <w:bookmarkStart w:id="105" w:name="_Toc231005849"/>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7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⑦</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交通工程设施</w:t>
      </w:r>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考试区场地交通工程设施应符合以下要求：</w:t>
      </w:r>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a)按照“保障安全、提供服务、利于管理”的原则设置，安全设计符合相关标准要求；</w:t>
      </w:r>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b)道路路面两侧与路外场地落差超过0.5 m时，在道路边缘设置防护设施；</w:t>
      </w:r>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c)道路一侧至路肩边缘不足2.0 m存在落差大于或等于1.0 m的水域、铁路等路段时，路侧设置防撞等级大于或等于JTG D81中B级的护栏；</w:t>
      </w:r>
      <w:bookmarkStart w:id="106" w:name="_Toc322207351"/>
      <w:bookmarkStart w:id="107" w:name="_Toc323463271"/>
      <w:bookmarkStart w:id="108" w:name="_Toc230773349"/>
      <w:bookmarkStart w:id="109" w:name="_Toc317578526"/>
      <w:bookmarkStart w:id="110" w:name="_Toc315425234"/>
      <w:bookmarkStart w:id="111" w:name="_Toc323462220"/>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d)道路侧向净空范围内或道路转弯、分流路口等处存在可能与车辆发生刚性碰撞的物体时，在物体前设置有效的消能物体或设施</w:t>
      </w:r>
      <w:bookmarkEnd w:id="106"/>
      <w:bookmarkEnd w:id="107"/>
      <w:bookmarkEnd w:id="108"/>
      <w:bookmarkEnd w:id="109"/>
      <w:bookmarkEnd w:id="110"/>
      <w:bookmarkEnd w:id="111"/>
      <w:r>
        <w:rPr>
          <w:rFonts w:hint="eastAsia" w:asciiTheme="minorEastAsia" w:hAnsiTheme="minorEastAsia" w:eastAsiaTheme="minorEastAsia" w:cstheme="minorEastAsia"/>
          <w:snapToGrid w:val="0"/>
          <w:color w:val="000000"/>
          <w:spacing w:val="-1"/>
          <w:kern w:val="0"/>
          <w:sz w:val="24"/>
          <w:szCs w:val="24"/>
          <w:lang w:val="en-US" w:eastAsia="en-US" w:bidi="ar-SA"/>
        </w:rPr>
        <w:t>；</w:t>
      </w:r>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e)交通设施无刚性棱角等可能造成人员损伤的尖锐凸出部位；</w:t>
      </w:r>
      <w:bookmarkStart w:id="112" w:name="_Toc323462218"/>
      <w:bookmarkStart w:id="113" w:name="_Toc322207349"/>
      <w:bookmarkStart w:id="114" w:name="_Toc317578520"/>
      <w:bookmarkStart w:id="115" w:name="_Toc323463269"/>
      <w:bookmarkStart w:id="116" w:name="_Toc315425228"/>
      <w:bookmarkStart w:id="117" w:name="_Toc323462219"/>
      <w:bookmarkStart w:id="118" w:name="_Toc317578521"/>
      <w:bookmarkStart w:id="119" w:name="_Toc315425229"/>
      <w:bookmarkStart w:id="120" w:name="_Toc323463270"/>
      <w:bookmarkStart w:id="121" w:name="_Toc322207350"/>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f)考试项目区域外及模拟连续急弯山区路、模拟隧道、模拟高速公路、模拟湿滑路面、模拟雨（雾）天考试项目内的交通标志、标线按照GB 5768.2、GB 5768.3要求设置</w:t>
      </w:r>
      <w:bookmarkEnd w:id="112"/>
      <w:bookmarkEnd w:id="113"/>
      <w:bookmarkEnd w:id="114"/>
      <w:bookmarkEnd w:id="115"/>
      <w:bookmarkEnd w:id="116"/>
      <w:r>
        <w:rPr>
          <w:rFonts w:hint="eastAsia" w:asciiTheme="minorEastAsia" w:hAnsiTheme="minorEastAsia" w:eastAsiaTheme="minorEastAsia" w:cstheme="minorEastAsia"/>
          <w:snapToGrid w:val="0"/>
          <w:color w:val="000000"/>
          <w:spacing w:val="-1"/>
          <w:kern w:val="0"/>
          <w:sz w:val="24"/>
          <w:szCs w:val="24"/>
          <w:lang w:val="en-US" w:eastAsia="en-US" w:bidi="ar-SA"/>
        </w:rPr>
        <w:t>。</w:t>
      </w:r>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17"/>
    <w:bookmarkEnd w:id="118"/>
    <w:bookmarkEnd w:id="119"/>
    <w:bookmarkEnd w:id="120"/>
    <w:bookmarkEnd w:id="121"/>
    <w:p>
      <w:pPr>
        <w:pStyle w:val="34"/>
        <w:spacing w:beforeLines="0" w:afterLines="0"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122" w:name="_Toc106081333"/>
      <w:bookmarkStart w:id="123" w:name="_Toc136665896"/>
      <w:bookmarkStart w:id="124" w:name="_Toc131149684"/>
      <w:bookmarkStart w:id="125" w:name="_Toc112833125"/>
      <w:bookmarkStart w:id="126" w:name="_Toc231543535"/>
      <w:bookmarkStart w:id="127" w:name="_Toc136363777"/>
      <w:bookmarkStart w:id="128" w:name="_Toc187464592"/>
      <w:bookmarkStart w:id="129" w:name="_Toc111031823"/>
      <w:bookmarkStart w:id="130" w:name="_Toc209108825"/>
      <w:bookmarkStart w:id="131" w:name="_Toc187463694"/>
      <w:bookmarkStart w:id="132" w:name="_Toc125253162"/>
      <w:bookmarkStart w:id="133" w:name="_Toc187464905"/>
      <w:bookmarkStart w:id="134" w:name="_Toc179371667"/>
      <w:bookmarkStart w:id="135" w:name="_Toc136418894"/>
      <w:bookmarkStart w:id="136" w:name="_Toc230773344"/>
      <w:bookmarkStart w:id="137" w:name="_Toc135036645"/>
      <w:bookmarkStart w:id="138" w:name="_Toc106089514"/>
      <w:bookmarkStart w:id="139" w:name="_Toc131149433"/>
      <w:bookmarkStart w:id="140" w:name="_Toc179370758"/>
      <w:bookmarkStart w:id="141" w:name="_Toc139884679"/>
      <w:bookmarkStart w:id="142" w:name="_Toc180635523"/>
      <w:bookmarkStart w:id="143" w:name="_Toc137030366"/>
      <w:bookmarkStart w:id="144" w:name="_Toc106694517"/>
      <w:bookmarkStart w:id="145" w:name="_Toc106092751"/>
      <w:bookmarkStart w:id="146" w:name="_Toc139884941"/>
      <w:bookmarkStart w:id="147" w:name="_Toc125252678"/>
      <w:bookmarkStart w:id="148" w:name="_Toc231005845"/>
      <w:bookmarkStart w:id="149" w:name="_Toc136662537"/>
      <w:bookmarkStart w:id="150" w:name="_Toc323463107"/>
      <w:bookmarkStart w:id="151" w:name="_Toc137025197"/>
      <w:bookmarkStart w:id="152" w:name="_Toc112832993"/>
      <w:bookmarkStart w:id="153" w:name="_Toc311039337"/>
      <w:bookmarkStart w:id="154" w:name="_Toc187465009"/>
      <w:bookmarkStart w:id="155" w:name="_Toc137030220"/>
      <w:bookmarkStart w:id="156" w:name="_Toc106098130"/>
      <w:bookmarkStart w:id="157" w:name="_Toc230430235"/>
      <w:bookmarkStart w:id="158" w:name="_Toc109446852"/>
      <w:bookmarkStart w:id="159" w:name="_Toc187030206"/>
      <w:bookmarkStart w:id="160" w:name="_Toc230773436"/>
      <w:bookmarkStart w:id="161" w:name="_Toc187464697"/>
      <w:bookmarkStart w:id="162" w:name="_Toc137528436"/>
      <w:bookmarkStart w:id="163" w:name="_Toc187025591"/>
      <w:bookmarkStart w:id="164" w:name="_Toc136660651"/>
      <w:bookmarkStart w:id="165" w:name="_Toc140216200"/>
      <w:bookmarkStart w:id="166" w:name="_Toc132172761"/>
      <w:bookmarkStart w:id="167" w:name="_Toc131149591"/>
      <w:bookmarkStart w:id="168" w:name="_Toc137030126"/>
      <w:bookmarkStart w:id="169" w:name="_Toc232409722"/>
      <w:bookmarkStart w:id="170" w:name="_Toc136363683"/>
      <w:bookmarkStart w:id="171" w:name="_Toc139887083"/>
      <w:bookmarkStart w:id="172" w:name="_Toc136665801"/>
      <w:bookmarkStart w:id="173" w:name="_Toc180635419"/>
      <w:bookmarkStart w:id="174" w:name="_Toc125174996"/>
      <w:bookmarkStart w:id="175" w:name="_Toc137025032"/>
      <w:bookmarkStart w:id="176" w:name="_Toc106089786"/>
      <w:bookmarkStart w:id="177" w:name="_Toc137529629"/>
      <w:bookmarkStart w:id="178" w:name="_Toc112833339"/>
      <w:bookmarkStart w:id="179" w:name="_Toc112832831"/>
      <w:bookmarkStart w:id="180" w:name="_Toc187465347"/>
      <w:bookmarkStart w:id="181" w:name="_Toc187030430"/>
      <w:bookmarkStart w:id="182" w:name="_Toc187027014"/>
      <w:bookmarkStart w:id="183" w:name="_Toc106102301"/>
      <w:bookmarkStart w:id="184" w:name="_Toc187465114"/>
      <w:bookmarkStart w:id="185" w:name="_Toc230773391"/>
      <w:bookmarkStart w:id="186" w:name="_Toc187464801"/>
      <w:bookmarkStart w:id="187" w:name="_Toc106090618"/>
      <w:bookmarkStart w:id="188" w:name="_Toc125252947"/>
      <w:bookmarkStart w:id="189" w:name="_Toc125172674"/>
      <w:bookmarkStart w:id="190" w:name="_Toc136363538"/>
      <w:bookmarkStart w:id="191" w:name="_Toc137021283"/>
      <w:bookmarkStart w:id="192" w:name="_Toc131323445"/>
      <w:bookmarkStart w:id="193" w:name="_Toc181253633"/>
      <w:bookmarkStart w:id="194" w:name="_Toc187030321"/>
      <w:bookmarkStart w:id="195" w:name="_Toc136665705"/>
      <w:bookmarkStart w:id="196" w:name="_Toc136048627"/>
      <w:bookmarkStart w:id="197" w:name="_Toc136665608"/>
      <w:bookmarkStart w:id="198" w:name="_Toc139885270"/>
      <w:bookmarkStart w:id="199" w:name="_Toc133897983"/>
      <w:bookmarkStart w:id="200" w:name="_Toc139885175"/>
      <w:bookmarkStart w:id="201" w:name="_Toc112833211"/>
      <w:bookmarkStart w:id="202" w:name="_Toc186874623"/>
      <w:bookmarkStart w:id="203" w:name="_Toc126918253"/>
      <w:bookmarkStart w:id="204" w:name="_Toc187025743"/>
      <w:bookmarkStart w:id="205" w:name="_Toc106090102"/>
      <w:bookmarkStart w:id="206" w:name="_Toc137026000"/>
      <w:bookmarkStart w:id="207" w:name="_Toc137025550"/>
      <w:bookmarkStart w:id="208" w:name="_Toc140218415"/>
      <w:r>
        <w:rPr>
          <w:rFonts w:hint="eastAsia" w:asciiTheme="minorEastAsia" w:hAnsiTheme="minorEastAsia" w:eastAsiaTheme="minorEastAsia" w:cstheme="minorEastAsia"/>
          <w:snapToGrid w:val="0"/>
          <w:color w:val="000000"/>
          <w:spacing w:val="-1"/>
          <w:kern w:val="0"/>
          <w:sz w:val="24"/>
          <w:szCs w:val="24"/>
          <w:lang w:val="en-US" w:eastAsia="en-US" w:bidi="ar-SA"/>
        </w:rPr>
        <w:t xml:space="preserve">4、考试项目设置 </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w:t>
      </w:r>
      <w:bookmarkStart w:id="209" w:name="_Toc323463120"/>
      <w:bookmarkStart w:id="210" w:name="_Toc322207055"/>
      <w:bookmarkStart w:id="211" w:name="_Toc317578188"/>
      <w:bookmarkStart w:id="212" w:name="_Toc315424906"/>
      <w:bookmarkStart w:id="213" w:name="_Toc323462069"/>
      <w:r>
        <w:rPr>
          <w:rFonts w:hint="eastAsia" w:asciiTheme="minorEastAsia" w:hAnsiTheme="minorEastAsia" w:eastAsiaTheme="minorEastAsia" w:cstheme="minorEastAsia"/>
          <w:snapToGrid w:val="0"/>
          <w:color w:val="000000"/>
          <w:spacing w:val="-1"/>
          <w:kern w:val="0"/>
          <w:sz w:val="24"/>
          <w:szCs w:val="24"/>
          <w:lang w:val="en-US" w:eastAsia="en-US" w:bidi="ar-SA"/>
        </w:rPr>
        <w:drawing>
          <wp:anchor distT="0" distB="0" distL="114300" distR="114300" simplePos="0" relativeHeight="251660288" behindDoc="0" locked="0" layoutInCell="1" allowOverlap="1">
            <wp:simplePos x="0" y="0"/>
            <wp:positionH relativeFrom="column">
              <wp:posOffset>439420</wp:posOffset>
            </wp:positionH>
            <wp:positionV relativeFrom="paragraph">
              <wp:posOffset>474345</wp:posOffset>
            </wp:positionV>
            <wp:extent cx="5016500" cy="2755900"/>
            <wp:effectExtent l="0" t="0" r="12700" b="6350"/>
            <wp:wrapTopAndBottom/>
            <wp:docPr id="3" name="倒车入库.jpg"/>
            <wp:cNvGraphicFramePr/>
            <a:graphic xmlns:a="http://schemas.openxmlformats.org/drawingml/2006/main">
              <a:graphicData uri="http://schemas.openxmlformats.org/drawingml/2006/picture">
                <pic:pic xmlns:pic="http://schemas.openxmlformats.org/drawingml/2006/picture">
                  <pic:nvPicPr>
                    <pic:cNvPr id="3" name="倒车入库.jpg"/>
                    <pic:cNvPicPr/>
                  </pic:nvPicPr>
                  <pic:blipFill>
                    <a:blip r:embed="rId18"/>
                    <a:stretch>
                      <a:fillRect/>
                    </a:stretch>
                  </pic:blipFill>
                  <pic:spPr>
                    <a:xfrm>
                      <a:off x="0" y="0"/>
                      <a:ext cx="5016500" cy="2755900"/>
                    </a:xfrm>
                    <a:prstGeom prst="rect">
                      <a:avLst/>
                    </a:prstGeom>
                    <a:noFill/>
                    <a:ln>
                      <a:noFill/>
                    </a:ln>
                  </pic:spPr>
                </pic:pic>
              </a:graphicData>
            </a:graphic>
          </wp:anchor>
        </w:drawing>
      </w:r>
      <w:r>
        <w:rPr>
          <w:rFonts w:hint="eastAsia" w:asciiTheme="minorEastAsia" w:hAnsiTheme="minorEastAsia" w:eastAsiaTheme="minorEastAsia" w:cstheme="minorEastAsia"/>
          <w:snapToGrid w:val="0"/>
          <w:color w:val="000000"/>
          <w:spacing w:val="-1"/>
          <w:kern w:val="0"/>
          <w:sz w:val="24"/>
          <w:szCs w:val="24"/>
          <w:lang w:val="en-US" w:eastAsia="en-US" w:bidi="ar-SA"/>
        </w:rPr>
        <w:t>倒车入库项目图形应按图2设置</w:t>
      </w:r>
      <w:bookmarkEnd w:id="209"/>
      <w:bookmarkEnd w:id="210"/>
      <w:bookmarkEnd w:id="211"/>
      <w:bookmarkEnd w:id="212"/>
      <w:bookmarkEnd w:id="213"/>
      <w:bookmarkStart w:id="214" w:name="_Toc323463121"/>
      <w:bookmarkStart w:id="215" w:name="_Toc322207056"/>
      <w:bookmarkStart w:id="216" w:name="_Toc317578189"/>
      <w:bookmarkStart w:id="217" w:name="_Toc323462070"/>
      <w:bookmarkStart w:id="218" w:name="_Toc315424907"/>
      <w:r>
        <w:rPr>
          <w:rFonts w:hint="eastAsia" w:asciiTheme="minorEastAsia" w:hAnsiTheme="minorEastAsia" w:eastAsiaTheme="minorEastAsia" w:cstheme="minorEastAsia"/>
          <w:snapToGrid w:val="0"/>
          <w:color w:val="000000"/>
          <w:spacing w:val="-1"/>
          <w:kern w:val="0"/>
          <w:sz w:val="24"/>
          <w:szCs w:val="24"/>
          <w:lang w:val="en-US" w:eastAsia="en-US" w:bidi="ar-SA"/>
        </w:rPr>
        <w:t>，项目尺寸应符合表3规定，车道控制线外侧净空取值应大于或等于1.0 m。</w:t>
      </w:r>
    </w:p>
    <w:bookmarkEnd w:id="214"/>
    <w:bookmarkEnd w:id="215"/>
    <w:bookmarkEnd w:id="216"/>
    <w:bookmarkEnd w:id="217"/>
    <w:bookmarkEnd w:id="218"/>
    <w:p>
      <w:pPr>
        <w:spacing w:line="440" w:lineRule="exact"/>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 xml:space="preserve">    标引序号说明：</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l ——库长；</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b1 ——库宽；</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b2 ——车道宽；</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d ——库位与控制线的距离。</w:t>
      </w:r>
    </w:p>
    <w:p>
      <w:pPr>
        <w:pStyle w:val="36"/>
        <w:numPr>
          <w:ilvl w:val="0"/>
          <w:numId w:val="0"/>
        </w:numPr>
        <w:spacing w:beforeLines="0" w:afterLines="0"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图2 倒车入库项目图形</w:t>
      </w:r>
    </w:p>
    <w:p>
      <w:pPr>
        <w:pStyle w:val="38"/>
        <w:spacing w:beforeLines="0" w:afterLines="0" w:line="440" w:lineRule="exact"/>
        <w:ind w:firstLine="1904" w:firstLineChars="8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p>
    <w:p>
      <w:pPr>
        <w:pStyle w:val="38"/>
        <w:spacing w:beforeLines="0" w:afterLines="0" w:line="440" w:lineRule="exact"/>
        <w:ind w:firstLine="1904" w:firstLineChars="8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表3倒车入库项目尺寸</w:t>
      </w:r>
    </w:p>
    <w:p>
      <w:pPr>
        <w:pStyle w:val="35"/>
        <w:spacing w:line="440" w:lineRule="exact"/>
        <w:ind w:firstLine="560"/>
        <w:jc w:val="right"/>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 xml:space="preserve">        单位为米</w:t>
      </w:r>
    </w:p>
    <w:tbl>
      <w:tblPr>
        <w:tblStyle w:val="17"/>
        <w:tblW w:w="0" w:type="auto"/>
        <w:tblInd w:w="-1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71"/>
        <w:gridCol w:w="1897"/>
        <w:gridCol w:w="1897"/>
        <w:gridCol w:w="1897"/>
        <w:gridCol w:w="189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871" w:type="dxa"/>
            <w:tcBorders>
              <w:top w:val="single" w:color="auto" w:sz="8"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标引序号</w:t>
            </w:r>
          </w:p>
        </w:tc>
        <w:tc>
          <w:tcPr>
            <w:tcW w:w="1897" w:type="dxa"/>
            <w:tcBorders>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l</w:t>
            </w:r>
          </w:p>
        </w:tc>
        <w:tc>
          <w:tcPr>
            <w:tcW w:w="1897" w:type="dxa"/>
            <w:tcBorders>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b1</w:t>
            </w:r>
          </w:p>
        </w:tc>
        <w:tc>
          <w:tcPr>
            <w:tcW w:w="1897" w:type="dxa"/>
            <w:tcBorders>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b2</w:t>
            </w:r>
          </w:p>
        </w:tc>
        <w:tc>
          <w:tcPr>
            <w:tcW w:w="1898" w:type="dxa"/>
            <w:tcBorders>
              <w:lef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871" w:type="dxa"/>
            <w:tcBorders>
              <w:top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小型载客汽车</w:t>
            </w:r>
          </w:p>
        </w:tc>
        <w:tc>
          <w:tcPr>
            <w:tcW w:w="1897" w:type="dxa"/>
            <w:tcBorders>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车长加0.7</w:t>
            </w:r>
          </w:p>
        </w:tc>
        <w:tc>
          <w:tcPr>
            <w:tcW w:w="1897" w:type="dxa"/>
            <w:tcBorders>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2.3</w:t>
            </w:r>
          </w:p>
        </w:tc>
        <w:tc>
          <w:tcPr>
            <w:tcW w:w="1897" w:type="dxa"/>
            <w:tcBorders>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6.7</w:t>
            </w:r>
          </w:p>
        </w:tc>
        <w:tc>
          <w:tcPr>
            <w:tcW w:w="1898" w:type="dxa"/>
            <w:tcBorders>
              <w:left w:val="single" w:color="auto" w:sz="4" w:space="0"/>
              <w:bottom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6.7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871" w:type="dxa"/>
            <w:tcBorders>
              <w:top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轻型载货汽车</w:t>
            </w:r>
          </w:p>
        </w:tc>
        <w:tc>
          <w:tcPr>
            <w:tcW w:w="1897" w:type="dxa"/>
            <w:tcBorders>
              <w:top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车长加0.7</w:t>
            </w:r>
          </w:p>
        </w:tc>
        <w:tc>
          <w:tcPr>
            <w:tcW w:w="189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2.4</w:t>
            </w:r>
          </w:p>
        </w:tc>
        <w:tc>
          <w:tcPr>
            <w:tcW w:w="189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7.5</w:t>
            </w:r>
          </w:p>
        </w:tc>
        <w:tc>
          <w:tcPr>
            <w:tcW w:w="1898" w:type="dxa"/>
            <w:tcBorders>
              <w:top w:val="single" w:color="auto" w:sz="4" w:space="0"/>
              <w:left w:val="single" w:color="auto" w:sz="4" w:space="0"/>
              <w:bottom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871" w:type="dxa"/>
            <w:tcBorders>
              <w:top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低速载货汽车</w:t>
            </w:r>
          </w:p>
        </w:tc>
        <w:tc>
          <w:tcPr>
            <w:tcW w:w="1897" w:type="dxa"/>
            <w:tcBorders>
              <w:top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车长加0.7</w:t>
            </w:r>
          </w:p>
        </w:tc>
        <w:tc>
          <w:tcPr>
            <w:tcW w:w="189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车宽加0.6</w:t>
            </w:r>
          </w:p>
        </w:tc>
        <w:tc>
          <w:tcPr>
            <w:tcW w:w="189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1.5倍车长</w:t>
            </w:r>
          </w:p>
        </w:tc>
        <w:tc>
          <w:tcPr>
            <w:tcW w:w="1898" w:type="dxa"/>
            <w:tcBorders>
              <w:top w:val="single" w:color="auto" w:sz="4" w:space="0"/>
              <w:left w:val="single" w:color="auto" w:sz="4" w:space="0"/>
              <w:bottom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871" w:type="dxa"/>
            <w:tcBorders>
              <w:top w:val="single" w:color="auto" w:sz="4" w:space="0"/>
              <w:bottom w:val="single" w:color="auto" w:sz="8"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允许偏差</w:t>
            </w:r>
          </w:p>
        </w:tc>
        <w:tc>
          <w:tcPr>
            <w:tcW w:w="1897" w:type="dxa"/>
            <w:tcBorders>
              <w:top w:val="single" w:color="auto" w:sz="4"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w:t>
            </w:r>
          </w:p>
        </w:tc>
        <w:tc>
          <w:tcPr>
            <w:tcW w:w="1897" w:type="dxa"/>
            <w:tcBorders>
              <w:top w:val="single" w:color="auto" w:sz="4" w:space="0"/>
              <w:left w:val="single" w:color="auto" w:sz="4"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±0.05</w:t>
            </w:r>
          </w:p>
        </w:tc>
        <w:tc>
          <w:tcPr>
            <w:tcW w:w="1897" w:type="dxa"/>
            <w:tcBorders>
              <w:top w:val="single" w:color="auto" w:sz="4" w:space="0"/>
              <w:left w:val="single" w:color="auto" w:sz="4"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w:t>
            </w:r>
          </w:p>
        </w:tc>
        <w:tc>
          <w:tcPr>
            <w:tcW w:w="1898" w:type="dxa"/>
            <w:tcBorders>
              <w:top w:val="single" w:color="auto" w:sz="4" w:space="0"/>
              <w:lef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w:t>
            </w:r>
          </w:p>
        </w:tc>
      </w:tr>
    </w:tbl>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219" w:name="_Toc311039343"/>
      <w:bookmarkStart w:id="220" w:name="_Toc323463129"/>
      <w:r>
        <w:rPr>
          <w:rFonts w:hint="eastAsia" w:asciiTheme="minorEastAsia" w:hAnsiTheme="minorEastAsia" w:eastAsiaTheme="minorEastAsia" w:cstheme="minorEastAsia"/>
          <w:snapToGrid w:val="0"/>
          <w:color w:val="000000"/>
          <w:spacing w:val="-1"/>
          <w:kern w:val="0"/>
          <w:sz w:val="24"/>
          <w:szCs w:val="24"/>
          <w:lang w:val="en-US" w:eastAsia="en-US" w:bidi="ar-SA"/>
        </w:rPr>
        <w:t>（2）桩考</w:t>
      </w:r>
    </w:p>
    <w:bookmarkEnd w:id="219"/>
    <w:bookmarkEnd w:id="220"/>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221" w:name="_Toc322207065"/>
      <w:bookmarkStart w:id="222" w:name="_Toc315424938"/>
      <w:bookmarkStart w:id="223" w:name="_Toc323462079"/>
      <w:bookmarkStart w:id="224" w:name="_Toc323463130"/>
      <w:bookmarkStart w:id="225" w:name="_Toc317578219"/>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1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①</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大型客车、城市公交车、中型客车、大型货车</w:t>
      </w:r>
    </w:p>
    <w:p>
      <w:pPr>
        <w:pStyle w:val="36"/>
        <w:numPr>
          <w:ilvl w:val="0"/>
          <w:numId w:val="0"/>
        </w:numPr>
        <w:spacing w:beforeLines="0" w:afterLines="0" w:line="440" w:lineRule="exact"/>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drawing>
          <wp:anchor distT="0" distB="0" distL="114300" distR="114300" simplePos="0" relativeHeight="251661312" behindDoc="0" locked="0" layoutInCell="1" allowOverlap="1">
            <wp:simplePos x="0" y="0"/>
            <wp:positionH relativeFrom="column">
              <wp:posOffset>655320</wp:posOffset>
            </wp:positionH>
            <wp:positionV relativeFrom="paragraph">
              <wp:posOffset>440690</wp:posOffset>
            </wp:positionV>
            <wp:extent cx="4279900" cy="3244850"/>
            <wp:effectExtent l="0" t="0" r="6350" b="0"/>
            <wp:wrapTopAndBottom/>
            <wp:docPr id="5" name="A1桩考.jpg"/>
            <wp:cNvGraphicFramePr/>
            <a:graphic xmlns:a="http://schemas.openxmlformats.org/drawingml/2006/main">
              <a:graphicData uri="http://schemas.openxmlformats.org/drawingml/2006/picture">
                <pic:pic xmlns:pic="http://schemas.openxmlformats.org/drawingml/2006/picture">
                  <pic:nvPicPr>
                    <pic:cNvPr id="5" name="A1桩考.jpg"/>
                    <pic:cNvPicPr/>
                  </pic:nvPicPr>
                  <pic:blipFill>
                    <a:blip r:embed="rId19"/>
                    <a:srcRect l="882" t="-3099" b="-2478"/>
                    <a:stretch>
                      <a:fillRect/>
                    </a:stretch>
                  </pic:blipFill>
                  <pic:spPr>
                    <a:xfrm>
                      <a:off x="0" y="0"/>
                      <a:ext cx="4279900" cy="3244850"/>
                    </a:xfrm>
                    <a:prstGeom prst="rect">
                      <a:avLst/>
                    </a:prstGeom>
                    <a:noFill/>
                    <a:ln>
                      <a:noFill/>
                    </a:ln>
                  </pic:spPr>
                </pic:pic>
              </a:graphicData>
            </a:graphic>
          </wp:anchor>
        </w:drawing>
      </w:r>
      <w:r>
        <w:rPr>
          <w:rFonts w:hint="eastAsia" w:asciiTheme="minorEastAsia" w:hAnsiTheme="minorEastAsia" w:eastAsiaTheme="minorEastAsia" w:cstheme="minorEastAsia"/>
          <w:snapToGrid w:val="0"/>
          <w:color w:val="000000"/>
          <w:spacing w:val="-1"/>
          <w:kern w:val="0"/>
          <w:sz w:val="24"/>
          <w:szCs w:val="24"/>
          <w:lang w:val="en-US" w:eastAsia="en-US" w:bidi="ar-SA"/>
        </w:rPr>
        <w:t xml:space="preserve">    大型客车、城市公交车、中型客车、大型货车桩考项目图形及设施应按图3设置，项目尺寸应符合表4规定。</w:t>
      </w:r>
      <w:bookmarkEnd w:id="221"/>
      <w:bookmarkEnd w:id="222"/>
      <w:bookmarkEnd w:id="223"/>
      <w:bookmarkEnd w:id="224"/>
      <w:bookmarkEnd w:id="225"/>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226" w:name="_Toc317578228"/>
      <w:bookmarkStart w:id="227" w:name="_Toc315424947"/>
      <w:bookmarkStart w:id="228" w:name="_Toc322207074"/>
      <w:bookmarkStart w:id="229" w:name="_Toc323462091"/>
      <w:bookmarkStart w:id="230" w:name="_Toc323463142"/>
      <w:r>
        <w:rPr>
          <w:rFonts w:hint="eastAsia" w:asciiTheme="minorEastAsia" w:hAnsiTheme="minorEastAsia" w:eastAsiaTheme="minorEastAsia" w:cstheme="minorEastAsia"/>
          <w:snapToGrid w:val="0"/>
          <w:color w:val="000000"/>
          <w:spacing w:val="-1"/>
          <w:kern w:val="0"/>
          <w:sz w:val="24"/>
          <w:szCs w:val="24"/>
          <w:lang w:val="en-US" w:eastAsia="zh-CN" w:bidi="ar-SA"/>
        </w:rPr>
        <w:t>标引序号说明：</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l ——库长；</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b1 ——库宽；</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b2 ——车道宽；</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d ——库位与起点线或停止线的距离；</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○——桩杆。</w:t>
      </w:r>
    </w:p>
    <w:p>
      <w:pPr>
        <w:adjustRightInd w:val="0"/>
        <w:snapToGrid w:val="0"/>
        <w:spacing w:line="440" w:lineRule="exact"/>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图3 大型客车、城市公交车、中型客车、大型货车桩考</w:t>
      </w:r>
      <w:bookmarkEnd w:id="226"/>
      <w:bookmarkEnd w:id="227"/>
      <w:bookmarkEnd w:id="228"/>
      <w:r>
        <w:rPr>
          <w:rFonts w:hint="eastAsia" w:asciiTheme="minorEastAsia" w:hAnsiTheme="minorEastAsia" w:eastAsiaTheme="minorEastAsia" w:cstheme="minorEastAsia"/>
          <w:snapToGrid w:val="0"/>
          <w:color w:val="000000"/>
          <w:spacing w:val="-1"/>
          <w:kern w:val="0"/>
          <w:sz w:val="24"/>
          <w:szCs w:val="24"/>
          <w:lang w:val="en-US" w:eastAsia="zh-CN" w:bidi="ar-SA"/>
        </w:rPr>
        <w:t>项目图形</w:t>
      </w:r>
      <w:bookmarkEnd w:id="229"/>
      <w:bookmarkEnd w:id="230"/>
      <w:r>
        <w:rPr>
          <w:rFonts w:hint="eastAsia" w:asciiTheme="minorEastAsia" w:hAnsiTheme="minorEastAsia" w:eastAsiaTheme="minorEastAsia" w:cstheme="minorEastAsia"/>
          <w:snapToGrid w:val="0"/>
          <w:color w:val="000000"/>
          <w:spacing w:val="-1"/>
          <w:kern w:val="0"/>
          <w:sz w:val="24"/>
          <w:szCs w:val="24"/>
          <w:lang w:val="en-US" w:eastAsia="zh-CN" w:bidi="ar-SA"/>
        </w:rPr>
        <w:t>及设施</w:t>
      </w:r>
    </w:p>
    <w:p>
      <w:pPr>
        <w:pStyle w:val="38"/>
        <w:adjustRightInd w:val="0"/>
        <w:snapToGrid w:val="0"/>
        <w:spacing w:beforeLines="0" w:afterLines="0" w:line="440" w:lineRule="exact"/>
        <w:jc w:val="both"/>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表4大型客车、城市公交车、中型客车、大型货车桩考项目尺寸</w:t>
      </w:r>
    </w:p>
    <w:p>
      <w:pPr>
        <w:pStyle w:val="35"/>
        <w:adjustRightInd w:val="0"/>
        <w:snapToGrid w:val="0"/>
        <w:spacing w:line="440" w:lineRule="exact"/>
        <w:ind w:firstLine="560"/>
        <w:jc w:val="right"/>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单位为米</w:t>
      </w:r>
    </w:p>
    <w:tbl>
      <w:tblPr>
        <w:tblStyle w:val="17"/>
        <w:tblpPr w:leftFromText="180" w:rightFromText="180" w:vertAnchor="text" w:horzAnchor="page" w:tblpX="1888" w:tblpY="475"/>
        <w:tblOverlap w:val="never"/>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1512"/>
        <w:gridCol w:w="1512"/>
        <w:gridCol w:w="1512"/>
        <w:gridCol w:w="151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5" w:hRule="atLeast"/>
        </w:trPr>
        <w:tc>
          <w:tcPr>
            <w:tcW w:w="2491" w:type="dxa"/>
            <w:tcBorders>
              <w:top w:val="single" w:color="auto" w:sz="8"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标引序号</w:t>
            </w:r>
          </w:p>
        </w:tc>
        <w:tc>
          <w:tcPr>
            <w:tcW w:w="1512" w:type="dxa"/>
            <w:tcBorders>
              <w:lef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l</w:t>
            </w:r>
          </w:p>
        </w:tc>
        <w:tc>
          <w:tcPr>
            <w:tcW w:w="1512"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b1</w:t>
            </w:r>
          </w:p>
        </w:tc>
        <w:tc>
          <w:tcPr>
            <w:tcW w:w="1512"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b2</w:t>
            </w:r>
          </w:p>
        </w:tc>
        <w:tc>
          <w:tcPr>
            <w:tcW w:w="1513"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6" w:hRule="atLeast"/>
        </w:trPr>
        <w:tc>
          <w:tcPr>
            <w:tcW w:w="2491" w:type="dxa"/>
            <w:tcBorders>
              <w:top w:val="single" w:color="auto" w:sz="4" w:space="0"/>
              <w:bottom w:val="single" w:color="auto" w:sz="4" w:space="0"/>
              <w:right w:val="single" w:color="auto" w:sz="8"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大型载客汽车、重型载货汽车</w:t>
            </w:r>
          </w:p>
        </w:tc>
        <w:tc>
          <w:tcPr>
            <w:tcW w:w="1512" w:type="dxa"/>
            <w:tcBorders>
              <w:left w:val="single" w:color="auto" w:sz="8"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18.0</w:t>
            </w:r>
          </w:p>
        </w:tc>
        <w:tc>
          <w:tcPr>
            <w:tcW w:w="1512"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3.2</w:t>
            </w:r>
          </w:p>
        </w:tc>
        <w:tc>
          <w:tcPr>
            <w:tcW w:w="1512"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 xml:space="preserve">13.5 </w:t>
            </w:r>
          </w:p>
        </w:tc>
        <w:tc>
          <w:tcPr>
            <w:tcW w:w="1513"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 xml:space="preserve">13.5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2491" w:type="dxa"/>
            <w:tcBorders>
              <w:top w:val="single" w:color="auto" w:sz="4" w:space="0"/>
              <w:bottom w:val="single" w:color="auto" w:sz="4" w:space="0"/>
              <w:right w:val="single" w:color="auto" w:sz="8" w:space="0"/>
            </w:tcBorders>
            <w:noWrap w:val="0"/>
            <w:vAlign w:val="center"/>
          </w:tcPr>
          <w:p>
            <w:pPr>
              <w:pStyle w:val="32"/>
              <w:spacing w:beforeLines="0" w:afterLines="0" w:line="440" w:lineRule="exact"/>
              <w:ind w:left="0"/>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中型载客汽车</w:t>
            </w:r>
          </w:p>
        </w:tc>
        <w:tc>
          <w:tcPr>
            <w:tcW w:w="1512" w:type="dxa"/>
            <w:tcBorders>
              <w:lef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2倍车长</w:t>
            </w:r>
          </w:p>
        </w:tc>
        <w:tc>
          <w:tcPr>
            <w:tcW w:w="1512"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车宽加0.7</w:t>
            </w:r>
          </w:p>
        </w:tc>
        <w:tc>
          <w:tcPr>
            <w:tcW w:w="1512"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1.5倍车长</w:t>
            </w:r>
          </w:p>
        </w:tc>
        <w:tc>
          <w:tcPr>
            <w:tcW w:w="1513"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2491" w:type="dxa"/>
            <w:tcBorders>
              <w:top w:val="single" w:color="auto" w:sz="4" w:space="0"/>
              <w:bottom w:val="single" w:color="auto" w:sz="8" w:space="0"/>
              <w:right w:val="single" w:color="auto" w:sz="8"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允许偏差</w:t>
            </w:r>
          </w:p>
        </w:tc>
        <w:tc>
          <w:tcPr>
            <w:tcW w:w="1512" w:type="dxa"/>
            <w:tcBorders>
              <w:left w:val="single" w:color="auto" w:sz="8"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w:t>
            </w:r>
          </w:p>
        </w:tc>
        <w:tc>
          <w:tcPr>
            <w:tcW w:w="1512"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±0.05</w:t>
            </w:r>
          </w:p>
        </w:tc>
        <w:tc>
          <w:tcPr>
            <w:tcW w:w="1512"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w:t>
            </w:r>
          </w:p>
        </w:tc>
        <w:tc>
          <w:tcPr>
            <w:tcW w:w="1513"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w:t>
            </w:r>
          </w:p>
        </w:tc>
      </w:tr>
    </w:tbl>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231" w:name="_Toc323463143"/>
      <w:bookmarkStart w:id="232" w:name="_Toc323462092"/>
      <w:bookmarkStart w:id="233" w:name="_Toc322207076"/>
      <w:bookmarkStart w:id="234" w:name="_Toc317578230"/>
      <w:bookmarkStart w:id="235" w:name="_Toc315424949"/>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2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②</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重型牵引挂车</w:t>
      </w:r>
    </w:p>
    <w:bookmarkEnd w:id="231"/>
    <w:bookmarkEnd w:id="232"/>
    <w:p>
      <w:pPr>
        <w:pStyle w:val="32"/>
        <w:spacing w:beforeLines="0" w:afterLines="0" w:line="440" w:lineRule="exact"/>
        <w:ind w:left="0"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236" w:name="_Toc323463144"/>
      <w:bookmarkStart w:id="237" w:name="_Toc323462093"/>
      <w:r>
        <w:rPr>
          <w:rFonts w:hint="eastAsia" w:asciiTheme="minorEastAsia" w:hAnsiTheme="minorEastAsia" w:eastAsiaTheme="minorEastAsia" w:cstheme="minorEastAsia"/>
          <w:snapToGrid w:val="0"/>
          <w:color w:val="000000"/>
          <w:spacing w:val="-1"/>
          <w:kern w:val="0"/>
          <w:sz w:val="24"/>
          <w:szCs w:val="24"/>
          <w:lang w:val="en-US" w:eastAsia="en-US" w:bidi="ar-SA"/>
        </w:rPr>
        <w:t>重型牵引挂车桩考项目图形</w:t>
      </w:r>
      <w:bookmarkEnd w:id="233"/>
      <w:bookmarkEnd w:id="234"/>
      <w:bookmarkEnd w:id="235"/>
      <w:bookmarkEnd w:id="236"/>
      <w:bookmarkEnd w:id="237"/>
      <w:r>
        <w:rPr>
          <w:rFonts w:hint="eastAsia" w:asciiTheme="minorEastAsia" w:hAnsiTheme="minorEastAsia" w:eastAsiaTheme="minorEastAsia" w:cstheme="minorEastAsia"/>
          <w:snapToGrid w:val="0"/>
          <w:color w:val="000000"/>
          <w:spacing w:val="-1"/>
          <w:kern w:val="0"/>
          <w:sz w:val="24"/>
          <w:szCs w:val="24"/>
          <w:lang w:val="en-US" w:eastAsia="en-US" w:bidi="ar-SA"/>
        </w:rPr>
        <w:t>及设施应按图4设置，项目尺寸应符合表5规定。</w:t>
      </w:r>
    </w:p>
    <w:p>
      <w:pPr>
        <w:pStyle w:val="32"/>
        <w:spacing w:beforeLines="0" w:afterLines="0" w:line="440" w:lineRule="exact"/>
        <w:ind w:left="0"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drawing>
          <wp:anchor distT="0" distB="0" distL="114300" distR="114300" simplePos="0" relativeHeight="251662336" behindDoc="0" locked="0" layoutInCell="1" allowOverlap="1">
            <wp:simplePos x="0" y="0"/>
            <wp:positionH relativeFrom="column">
              <wp:posOffset>274320</wp:posOffset>
            </wp:positionH>
            <wp:positionV relativeFrom="paragraph">
              <wp:posOffset>0</wp:posOffset>
            </wp:positionV>
            <wp:extent cx="5454650" cy="2000250"/>
            <wp:effectExtent l="0" t="0" r="12700" b="0"/>
            <wp:wrapTopAndBottom/>
            <wp:docPr id="4" name="A2桩考.jpg"/>
            <wp:cNvGraphicFramePr/>
            <a:graphic xmlns:a="http://schemas.openxmlformats.org/drawingml/2006/main">
              <a:graphicData uri="http://schemas.openxmlformats.org/drawingml/2006/picture">
                <pic:pic xmlns:pic="http://schemas.openxmlformats.org/drawingml/2006/picture">
                  <pic:nvPicPr>
                    <pic:cNvPr id="4" name="A2桩考.jpg"/>
                    <pic:cNvPicPr/>
                  </pic:nvPicPr>
                  <pic:blipFill>
                    <a:blip r:embed="rId20"/>
                    <a:srcRect t="19841" r="578" b="17659"/>
                    <a:stretch>
                      <a:fillRect/>
                    </a:stretch>
                  </pic:blipFill>
                  <pic:spPr>
                    <a:xfrm>
                      <a:off x="0" y="0"/>
                      <a:ext cx="5454650" cy="2000250"/>
                    </a:xfrm>
                    <a:prstGeom prst="rect">
                      <a:avLst/>
                    </a:prstGeom>
                    <a:noFill/>
                    <a:ln>
                      <a:noFill/>
                    </a:ln>
                  </pic:spPr>
                </pic:pic>
              </a:graphicData>
            </a:graphic>
          </wp:anchor>
        </w:drawing>
      </w:r>
      <w:r>
        <w:rPr>
          <w:rFonts w:hint="eastAsia" w:asciiTheme="minorEastAsia" w:hAnsiTheme="minorEastAsia" w:eastAsiaTheme="minorEastAsia" w:cstheme="minorEastAsia"/>
          <w:snapToGrid w:val="0"/>
          <w:color w:val="000000"/>
          <w:spacing w:val="-1"/>
          <w:kern w:val="0"/>
          <w:sz w:val="24"/>
          <w:szCs w:val="24"/>
          <w:lang w:val="en-US" w:eastAsia="zh-CN" w:bidi="ar-SA"/>
        </w:rPr>
        <w:t>标引序号说明：</w:t>
      </w:r>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l ——库长；</w:t>
      </w:r>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b1 ——库宽；</w:t>
      </w:r>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b2 ——车道宽；</w:t>
      </w:r>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d ——库位间距；</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238" w:name="_Toc315424957"/>
      <w:bookmarkStart w:id="239" w:name="_Toc317578238"/>
      <w:bookmarkStart w:id="240" w:name="_Toc322207083"/>
      <w:bookmarkStart w:id="241" w:name="_Toc323463154"/>
      <w:bookmarkStart w:id="242" w:name="_Toc323462103"/>
      <w:r>
        <w:rPr>
          <w:rFonts w:hint="eastAsia" w:asciiTheme="minorEastAsia" w:hAnsiTheme="minorEastAsia" w:eastAsiaTheme="minorEastAsia" w:cstheme="minorEastAsia"/>
          <w:snapToGrid w:val="0"/>
          <w:color w:val="000000"/>
          <w:spacing w:val="-1"/>
          <w:kern w:val="0"/>
          <w:sz w:val="24"/>
          <w:szCs w:val="24"/>
          <w:lang w:val="en-US" w:eastAsia="zh-CN" w:bidi="ar-SA"/>
        </w:rPr>
        <w:t>○——桩杆。</w:t>
      </w:r>
    </w:p>
    <w:p>
      <w:pPr>
        <w:adjustRightInd w:val="0"/>
        <w:snapToGrid w:val="0"/>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图4 重型牵引挂车桩考</w:t>
      </w:r>
      <w:bookmarkEnd w:id="238"/>
      <w:bookmarkEnd w:id="239"/>
      <w:bookmarkEnd w:id="240"/>
      <w:r>
        <w:rPr>
          <w:rFonts w:hint="eastAsia" w:asciiTheme="minorEastAsia" w:hAnsiTheme="minorEastAsia" w:eastAsiaTheme="minorEastAsia" w:cstheme="minorEastAsia"/>
          <w:snapToGrid w:val="0"/>
          <w:color w:val="000000"/>
          <w:spacing w:val="-1"/>
          <w:kern w:val="0"/>
          <w:sz w:val="24"/>
          <w:szCs w:val="24"/>
          <w:lang w:val="en-US" w:eastAsia="zh-CN" w:bidi="ar-SA"/>
        </w:rPr>
        <w:t>项目图形</w:t>
      </w:r>
      <w:bookmarkEnd w:id="241"/>
      <w:bookmarkEnd w:id="242"/>
      <w:r>
        <w:rPr>
          <w:rFonts w:hint="eastAsia" w:asciiTheme="minorEastAsia" w:hAnsiTheme="minorEastAsia" w:eastAsiaTheme="minorEastAsia" w:cstheme="minorEastAsia"/>
          <w:snapToGrid w:val="0"/>
          <w:color w:val="000000"/>
          <w:spacing w:val="-1"/>
          <w:kern w:val="0"/>
          <w:sz w:val="24"/>
          <w:szCs w:val="24"/>
          <w:lang w:val="en-US" w:eastAsia="zh-CN" w:bidi="ar-SA"/>
        </w:rPr>
        <w:t>及设施</w:t>
      </w:r>
    </w:p>
    <w:p>
      <w:pPr>
        <w:pStyle w:val="38"/>
        <w:adjustRightInd w:val="0"/>
        <w:snapToGrid w:val="0"/>
        <w:spacing w:beforeLines="0" w:afterLines="0" w:line="440" w:lineRule="exact"/>
        <w:ind w:firstLine="1190" w:firstLineChars="5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表5  重型牵引挂车桩考项目尺寸</w:t>
      </w:r>
    </w:p>
    <w:p>
      <w:pPr>
        <w:pStyle w:val="38"/>
        <w:spacing w:beforeLines="0" w:afterLines="0" w:line="440" w:lineRule="exact"/>
        <w:jc w:val="right"/>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单位为米</w:t>
      </w:r>
    </w:p>
    <w:tbl>
      <w:tblPr>
        <w:tblStyle w:val="17"/>
        <w:tblW w:w="0" w:type="auto"/>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1848"/>
        <w:gridCol w:w="1847"/>
        <w:gridCol w:w="1848"/>
        <w:gridCol w:w="184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847" w:type="dxa"/>
            <w:tcBorders>
              <w:top w:val="single" w:color="auto" w:sz="8"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标引序号</w:t>
            </w:r>
          </w:p>
        </w:tc>
        <w:tc>
          <w:tcPr>
            <w:tcW w:w="1848" w:type="dxa"/>
            <w:tcBorders>
              <w:top w:val="single" w:color="auto" w:sz="8" w:space="0"/>
              <w:left w:val="single" w:color="auto" w:sz="8" w:space="0"/>
              <w:bottom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l</w:t>
            </w:r>
          </w:p>
        </w:tc>
        <w:tc>
          <w:tcPr>
            <w:tcW w:w="1847" w:type="dxa"/>
            <w:tcBorders>
              <w:top w:val="single" w:color="auto" w:sz="8" w:space="0"/>
              <w:bottom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b1</w:t>
            </w:r>
          </w:p>
        </w:tc>
        <w:tc>
          <w:tcPr>
            <w:tcW w:w="1848" w:type="dxa"/>
            <w:tcBorders>
              <w:top w:val="single" w:color="auto" w:sz="8" w:space="0"/>
              <w:bottom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b2</w:t>
            </w:r>
          </w:p>
        </w:tc>
        <w:tc>
          <w:tcPr>
            <w:tcW w:w="1848" w:type="dxa"/>
            <w:tcBorders>
              <w:top w:val="single" w:color="auto" w:sz="8" w:space="0"/>
              <w:bottom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847" w:type="dxa"/>
            <w:tcBorders>
              <w:top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半挂汽车列车</w:t>
            </w:r>
          </w:p>
        </w:tc>
        <w:tc>
          <w:tcPr>
            <w:tcW w:w="1848" w:type="dxa"/>
            <w:tcBorders>
              <w:top w:val="single" w:color="auto" w:sz="4" w:space="0"/>
              <w:left w:val="single" w:color="auto" w:sz="8" w:space="0"/>
              <w:bottom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 xml:space="preserve">整车长加1.0 </w:t>
            </w:r>
          </w:p>
        </w:tc>
        <w:tc>
          <w:tcPr>
            <w:tcW w:w="1847" w:type="dxa"/>
            <w:tcBorders>
              <w:top w:val="single" w:color="auto" w:sz="4" w:space="0"/>
              <w:bottom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1.5倍车宽</w:t>
            </w:r>
          </w:p>
        </w:tc>
        <w:tc>
          <w:tcPr>
            <w:tcW w:w="1848" w:type="dxa"/>
            <w:tcBorders>
              <w:top w:val="single" w:color="auto" w:sz="4" w:space="0"/>
              <w:bottom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3倍车宽</w:t>
            </w:r>
          </w:p>
        </w:tc>
        <w:tc>
          <w:tcPr>
            <w:tcW w:w="1848" w:type="dxa"/>
            <w:tcBorders>
              <w:top w:val="single" w:color="auto" w:sz="4" w:space="0"/>
              <w:bottom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2倍车长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847" w:type="dxa"/>
            <w:tcBorders>
              <w:top w:val="single" w:color="auto" w:sz="4" w:space="0"/>
              <w:bottom w:val="single" w:color="auto" w:sz="8"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允许偏差</w:t>
            </w:r>
          </w:p>
        </w:tc>
        <w:tc>
          <w:tcPr>
            <w:tcW w:w="1848" w:type="dxa"/>
            <w:tcBorders>
              <w:top w:val="single" w:color="auto" w:sz="4" w:space="0"/>
              <w:left w:val="single" w:color="auto" w:sz="8"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w:t>
            </w:r>
          </w:p>
        </w:tc>
        <w:tc>
          <w:tcPr>
            <w:tcW w:w="1847" w:type="dxa"/>
            <w:tcBorders>
              <w:top w:val="single" w:color="auto" w:sz="4"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±0.05</w:t>
            </w:r>
          </w:p>
        </w:tc>
        <w:tc>
          <w:tcPr>
            <w:tcW w:w="1848" w:type="dxa"/>
            <w:tcBorders>
              <w:top w:val="single" w:color="auto" w:sz="4"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w:t>
            </w:r>
          </w:p>
        </w:tc>
        <w:tc>
          <w:tcPr>
            <w:tcW w:w="1848" w:type="dxa"/>
            <w:tcBorders>
              <w:top w:val="single" w:color="auto" w:sz="4"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w:t>
            </w:r>
          </w:p>
        </w:tc>
      </w:tr>
    </w:tbl>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243" w:name="_Toc323463155"/>
      <w:bookmarkStart w:id="244" w:name="_Toc322207084"/>
      <w:bookmarkStart w:id="245" w:name="_Toc315424958"/>
      <w:bookmarkStart w:id="246" w:name="_Toc323462104"/>
      <w:bookmarkStart w:id="247" w:name="_Toc317578239"/>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3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③</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轻型牵引挂车</w:t>
      </w:r>
    </w:p>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drawing>
          <wp:anchor distT="0" distB="0" distL="114300" distR="114300" simplePos="0" relativeHeight="251663360" behindDoc="0" locked="0" layoutInCell="1" allowOverlap="1">
            <wp:simplePos x="0" y="0"/>
            <wp:positionH relativeFrom="column">
              <wp:posOffset>750570</wp:posOffset>
            </wp:positionH>
            <wp:positionV relativeFrom="paragraph">
              <wp:posOffset>323850</wp:posOffset>
            </wp:positionV>
            <wp:extent cx="4425950" cy="3098800"/>
            <wp:effectExtent l="0" t="0" r="12700" b="6350"/>
            <wp:wrapTopAndBottom/>
            <wp:docPr id="6" name="C6桩考.jpg"/>
            <wp:cNvGraphicFramePr/>
            <a:graphic xmlns:a="http://schemas.openxmlformats.org/drawingml/2006/main">
              <a:graphicData uri="http://schemas.openxmlformats.org/drawingml/2006/picture">
                <pic:pic xmlns:pic="http://schemas.openxmlformats.org/drawingml/2006/picture">
                  <pic:nvPicPr>
                    <pic:cNvPr id="6" name="C6桩考.jpg"/>
                    <pic:cNvPicPr/>
                  </pic:nvPicPr>
                  <pic:blipFill>
                    <a:blip r:embed="rId21"/>
                    <a:srcRect l="7986" r="11343" b="3174"/>
                    <a:stretch>
                      <a:fillRect/>
                    </a:stretch>
                  </pic:blipFill>
                  <pic:spPr>
                    <a:xfrm>
                      <a:off x="0" y="0"/>
                      <a:ext cx="4425950" cy="3098800"/>
                    </a:xfrm>
                    <a:prstGeom prst="rect">
                      <a:avLst/>
                    </a:prstGeom>
                    <a:noFill/>
                    <a:ln>
                      <a:noFill/>
                    </a:ln>
                  </pic:spPr>
                </pic:pic>
              </a:graphicData>
            </a:graphic>
          </wp:anchor>
        </w:drawing>
      </w:r>
      <w:r>
        <w:rPr>
          <w:rFonts w:hint="eastAsia" w:asciiTheme="minorEastAsia" w:hAnsiTheme="minorEastAsia" w:eastAsiaTheme="minorEastAsia" w:cstheme="minorEastAsia"/>
          <w:snapToGrid w:val="0"/>
          <w:color w:val="000000"/>
          <w:spacing w:val="-1"/>
          <w:kern w:val="0"/>
          <w:sz w:val="24"/>
          <w:szCs w:val="24"/>
          <w:lang w:val="en-US" w:eastAsia="en-US" w:bidi="ar-SA"/>
        </w:rPr>
        <w:t>轻型牵引挂车桩考项目图形及设施应按图5设置，项目尺寸应符合表6规定。</w:t>
      </w:r>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标引序号说明：</w:t>
      </w:r>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l ——库长；</w:t>
      </w:r>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b1 ——库宽；</w:t>
      </w:r>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b2 ——车道宽；</w:t>
      </w:r>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d ——库位与起点线或停止线的距离；</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○——桩杆。</w:t>
      </w:r>
    </w:p>
    <w:p>
      <w:pPr>
        <w:adjustRightInd w:val="0"/>
        <w:snapToGrid w:val="0"/>
        <w:spacing w:line="440" w:lineRule="exact"/>
        <w:ind w:firstLine="952" w:firstLineChars="4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图5 轻型牵引挂车项目图形及设施</w:t>
      </w:r>
    </w:p>
    <w:p>
      <w:pPr>
        <w:pStyle w:val="38"/>
        <w:adjustRightInd w:val="0"/>
        <w:snapToGrid w:val="0"/>
        <w:spacing w:beforeLines="0" w:afterLines="0" w:line="440" w:lineRule="exact"/>
        <w:ind w:firstLine="1428" w:firstLineChars="6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表6轻型牵引挂车桩考项目尺寸</w:t>
      </w:r>
    </w:p>
    <w:p>
      <w:pPr>
        <w:pStyle w:val="35"/>
        <w:spacing w:line="440" w:lineRule="exact"/>
        <w:ind w:firstLine="560"/>
        <w:jc w:val="right"/>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单位为米</w:t>
      </w:r>
    </w:p>
    <w:tbl>
      <w:tblPr>
        <w:tblStyle w:val="17"/>
        <w:tblW w:w="0" w:type="auto"/>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71"/>
        <w:gridCol w:w="1871"/>
        <w:gridCol w:w="1871"/>
        <w:gridCol w:w="1871"/>
        <w:gridCol w:w="187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871" w:type="dxa"/>
            <w:tcBorders>
              <w:top w:val="single" w:color="auto" w:sz="8"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标引序号</w:t>
            </w:r>
          </w:p>
        </w:tc>
        <w:tc>
          <w:tcPr>
            <w:tcW w:w="1871" w:type="dxa"/>
            <w:tcBorders>
              <w:lef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l</w:t>
            </w:r>
          </w:p>
        </w:tc>
        <w:tc>
          <w:tcPr>
            <w:tcW w:w="1871"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b1</w:t>
            </w:r>
          </w:p>
        </w:tc>
        <w:tc>
          <w:tcPr>
            <w:tcW w:w="1871"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b2</w:t>
            </w:r>
          </w:p>
        </w:tc>
        <w:tc>
          <w:tcPr>
            <w:tcW w:w="1873"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871" w:type="dxa"/>
            <w:tcBorders>
              <w:top w:val="single" w:color="auto" w:sz="4" w:space="0"/>
              <w:bottom w:val="single" w:color="auto" w:sz="4" w:space="0"/>
              <w:right w:val="single" w:color="auto" w:sz="8"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轻型牵引挂车</w:t>
            </w:r>
          </w:p>
        </w:tc>
        <w:tc>
          <w:tcPr>
            <w:tcW w:w="1871" w:type="dxa"/>
            <w:tcBorders>
              <w:lef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18.0</w:t>
            </w:r>
          </w:p>
        </w:tc>
        <w:tc>
          <w:tcPr>
            <w:tcW w:w="1871"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3.2</w:t>
            </w:r>
          </w:p>
        </w:tc>
        <w:tc>
          <w:tcPr>
            <w:tcW w:w="1871"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13.5</w:t>
            </w:r>
          </w:p>
        </w:tc>
        <w:tc>
          <w:tcPr>
            <w:tcW w:w="1873"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13.5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871" w:type="dxa"/>
            <w:tcBorders>
              <w:top w:val="single" w:color="auto" w:sz="4" w:space="0"/>
              <w:bottom w:val="single" w:color="auto" w:sz="8"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允许偏差</w:t>
            </w:r>
          </w:p>
        </w:tc>
        <w:tc>
          <w:tcPr>
            <w:tcW w:w="1871" w:type="dxa"/>
            <w:tcBorders>
              <w:lef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w:t>
            </w:r>
          </w:p>
        </w:tc>
        <w:tc>
          <w:tcPr>
            <w:tcW w:w="1871"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±0.05</w:t>
            </w:r>
          </w:p>
        </w:tc>
        <w:tc>
          <w:tcPr>
            <w:tcW w:w="1871"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w:t>
            </w:r>
          </w:p>
        </w:tc>
        <w:tc>
          <w:tcPr>
            <w:tcW w:w="1873"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w:t>
            </w:r>
          </w:p>
        </w:tc>
      </w:tr>
      <w:bookmarkEnd w:id="243"/>
      <w:bookmarkEnd w:id="244"/>
      <w:bookmarkEnd w:id="245"/>
      <w:bookmarkEnd w:id="246"/>
      <w:bookmarkEnd w:id="247"/>
    </w:tbl>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248" w:name="_Toc311039345"/>
      <w:bookmarkStart w:id="249" w:name="_Toc323463184"/>
      <w:bookmarkStart w:id="250" w:name="_Toc323463173"/>
      <w:bookmarkStart w:id="251" w:name="_Toc311039344"/>
      <w:r>
        <w:rPr>
          <w:rFonts w:hint="eastAsia" w:asciiTheme="minorEastAsia" w:hAnsiTheme="minorEastAsia" w:eastAsiaTheme="minorEastAsia" w:cstheme="minorEastAsia"/>
          <w:snapToGrid w:val="0"/>
          <w:color w:val="000000"/>
          <w:spacing w:val="-1"/>
          <w:kern w:val="0"/>
          <w:sz w:val="24"/>
          <w:szCs w:val="24"/>
          <w:lang w:val="en-US" w:eastAsia="en-US" w:bidi="ar-SA"/>
        </w:rPr>
        <w:t>（3）侧方停车</w:t>
      </w:r>
    </w:p>
    <w:bookmarkEnd w:id="248"/>
    <w:bookmarkEnd w:id="249"/>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252" w:name="_Toc322207116"/>
      <w:bookmarkStart w:id="253" w:name="_Toc317578273"/>
      <w:bookmarkStart w:id="254" w:name="_Toc315424991"/>
      <w:bookmarkStart w:id="255" w:name="_Toc323463185"/>
      <w:bookmarkStart w:id="256" w:name="_Toc323462134"/>
      <w:r>
        <w:rPr>
          <w:rFonts w:hint="eastAsia" w:asciiTheme="minorEastAsia" w:hAnsiTheme="minorEastAsia" w:eastAsiaTheme="minorEastAsia" w:cstheme="minorEastAsia"/>
          <w:snapToGrid w:val="0"/>
          <w:color w:val="000000"/>
          <w:spacing w:val="-1"/>
          <w:kern w:val="0"/>
          <w:sz w:val="24"/>
          <w:szCs w:val="24"/>
          <w:lang w:val="en-US" w:eastAsia="en-US" w:bidi="ar-SA"/>
        </w:rPr>
        <w:drawing>
          <wp:anchor distT="0" distB="0" distL="114300" distR="114300" simplePos="0" relativeHeight="251664384" behindDoc="0" locked="0" layoutInCell="1" allowOverlap="1">
            <wp:simplePos x="0" y="0"/>
            <wp:positionH relativeFrom="column">
              <wp:posOffset>315595</wp:posOffset>
            </wp:positionH>
            <wp:positionV relativeFrom="paragraph">
              <wp:posOffset>290830</wp:posOffset>
            </wp:positionV>
            <wp:extent cx="5244465" cy="1517650"/>
            <wp:effectExtent l="0" t="0" r="13335" b="6350"/>
            <wp:wrapTopAndBottom/>
            <wp:docPr id="9" name="侧方停车.jpg"/>
            <wp:cNvGraphicFramePr/>
            <a:graphic xmlns:a="http://schemas.openxmlformats.org/drawingml/2006/main">
              <a:graphicData uri="http://schemas.openxmlformats.org/drawingml/2006/picture">
                <pic:pic xmlns:pic="http://schemas.openxmlformats.org/drawingml/2006/picture">
                  <pic:nvPicPr>
                    <pic:cNvPr id="9" name="侧方停车.jpg"/>
                    <pic:cNvPicPr/>
                  </pic:nvPicPr>
                  <pic:blipFill>
                    <a:blip r:embed="rId22"/>
                    <a:srcRect l="-2" t="24008" r="1968" b="24008"/>
                    <a:stretch>
                      <a:fillRect/>
                    </a:stretch>
                  </pic:blipFill>
                  <pic:spPr>
                    <a:xfrm>
                      <a:off x="0" y="0"/>
                      <a:ext cx="5244465" cy="1517650"/>
                    </a:xfrm>
                    <a:prstGeom prst="rect">
                      <a:avLst/>
                    </a:prstGeom>
                    <a:noFill/>
                    <a:ln>
                      <a:noFill/>
                    </a:ln>
                  </pic:spPr>
                </pic:pic>
              </a:graphicData>
            </a:graphic>
          </wp:anchor>
        </w:drawing>
      </w:r>
      <w:r>
        <w:rPr>
          <w:rFonts w:hint="eastAsia" w:asciiTheme="minorEastAsia" w:hAnsiTheme="minorEastAsia" w:eastAsiaTheme="minorEastAsia" w:cstheme="minorEastAsia"/>
          <w:snapToGrid w:val="0"/>
          <w:color w:val="000000"/>
          <w:spacing w:val="-1"/>
          <w:kern w:val="0"/>
          <w:sz w:val="24"/>
          <w:szCs w:val="24"/>
          <w:lang w:val="en-US" w:eastAsia="zh-CN" w:bidi="ar-SA"/>
        </w:rPr>
        <w:t>侧方停车项目图形应按图8设置，项目尺寸应符合表9规定。</w:t>
      </w:r>
      <w:bookmarkEnd w:id="252"/>
      <w:bookmarkEnd w:id="253"/>
      <w:bookmarkEnd w:id="254"/>
      <w:bookmarkEnd w:id="255"/>
      <w:bookmarkEnd w:id="256"/>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257" w:name="_Toc322207124"/>
      <w:bookmarkStart w:id="258" w:name="_Toc317578281"/>
      <w:bookmarkStart w:id="259" w:name="_Toc315424999"/>
      <w:bookmarkStart w:id="260" w:name="_Toc323462141"/>
      <w:bookmarkStart w:id="261" w:name="_Toc323463192"/>
      <w:r>
        <w:rPr>
          <w:rFonts w:hint="eastAsia" w:asciiTheme="minorEastAsia" w:hAnsiTheme="minorEastAsia" w:eastAsiaTheme="minorEastAsia" w:cstheme="minorEastAsia"/>
          <w:snapToGrid w:val="0"/>
          <w:color w:val="000000"/>
          <w:spacing w:val="-1"/>
          <w:kern w:val="0"/>
          <w:sz w:val="24"/>
          <w:szCs w:val="24"/>
          <w:lang w:val="en-US" w:eastAsia="zh-CN" w:bidi="ar-SA"/>
        </w:rPr>
        <w:t>标引序号说明：</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l1 ——库长；</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l2 ——库前道路边缘线长；</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l3 ——库后道路边缘线长；</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b1 ——库宽；</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b2 ——车道宽。</w:t>
      </w:r>
    </w:p>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图8 侧方停车</w:t>
      </w:r>
      <w:bookmarkEnd w:id="257"/>
      <w:bookmarkEnd w:id="258"/>
      <w:bookmarkEnd w:id="259"/>
      <w:r>
        <w:rPr>
          <w:rFonts w:hint="eastAsia" w:asciiTheme="minorEastAsia" w:hAnsiTheme="minorEastAsia" w:eastAsiaTheme="minorEastAsia" w:cstheme="minorEastAsia"/>
          <w:snapToGrid w:val="0"/>
          <w:color w:val="000000"/>
          <w:spacing w:val="-1"/>
          <w:kern w:val="0"/>
          <w:sz w:val="24"/>
          <w:szCs w:val="24"/>
          <w:lang w:val="en-US" w:eastAsia="zh-CN" w:bidi="ar-SA"/>
        </w:rPr>
        <w:t>项目图形</w:t>
      </w:r>
      <w:bookmarkEnd w:id="260"/>
      <w:bookmarkEnd w:id="261"/>
    </w:p>
    <w:p>
      <w:pPr>
        <w:pStyle w:val="38"/>
        <w:spacing w:beforeLines="0" w:afterLines="0" w:line="440" w:lineRule="exact"/>
        <w:ind w:firstLine="2142" w:firstLineChars="9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表7侧方停车项目尺寸</w:t>
      </w:r>
    </w:p>
    <w:p>
      <w:pPr>
        <w:pStyle w:val="35"/>
        <w:spacing w:line="440" w:lineRule="exact"/>
        <w:ind w:firstLine="560"/>
        <w:jc w:val="right"/>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单位为米</w:t>
      </w:r>
    </w:p>
    <w:tbl>
      <w:tblPr>
        <w:tblStyle w:val="17"/>
        <w:tblW w:w="0" w:type="auto"/>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1545"/>
        <w:gridCol w:w="1287"/>
        <w:gridCol w:w="1545"/>
        <w:gridCol w:w="1288"/>
        <w:gridCol w:w="100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5" w:hRule="atLeast"/>
        </w:trPr>
        <w:tc>
          <w:tcPr>
            <w:tcW w:w="1826" w:type="dxa"/>
            <w:tcBorders>
              <w:top w:val="single" w:color="auto" w:sz="8"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标引序号</w:t>
            </w:r>
          </w:p>
        </w:tc>
        <w:tc>
          <w:tcPr>
            <w:tcW w:w="1545" w:type="dxa"/>
            <w:tcBorders>
              <w:lef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l1</w:t>
            </w:r>
          </w:p>
        </w:tc>
        <w:tc>
          <w:tcPr>
            <w:tcW w:w="1287"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b1</w:t>
            </w:r>
          </w:p>
        </w:tc>
        <w:tc>
          <w:tcPr>
            <w:tcW w:w="1545"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b2</w:t>
            </w:r>
          </w:p>
        </w:tc>
        <w:tc>
          <w:tcPr>
            <w:tcW w:w="1288"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l2</w:t>
            </w:r>
          </w:p>
        </w:tc>
        <w:tc>
          <w:tcPr>
            <w:tcW w:w="1009"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l3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1826" w:type="dxa"/>
            <w:tcBorders>
              <w:top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大型载客汽车</w:t>
            </w:r>
          </w:p>
        </w:tc>
        <w:tc>
          <w:tcPr>
            <w:tcW w:w="1545" w:type="dxa"/>
            <w:tcBorders>
              <w:lef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14.0</w:t>
            </w:r>
          </w:p>
        </w:tc>
        <w:tc>
          <w:tcPr>
            <w:tcW w:w="1287"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3.3</w:t>
            </w:r>
          </w:p>
        </w:tc>
        <w:tc>
          <w:tcPr>
            <w:tcW w:w="1545"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4.5</w:t>
            </w:r>
          </w:p>
        </w:tc>
        <w:tc>
          <w:tcPr>
            <w:tcW w:w="1288"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≥9.0</w:t>
            </w:r>
          </w:p>
        </w:tc>
        <w:tc>
          <w:tcPr>
            <w:tcW w:w="1009"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44" w:hRule="atLeast"/>
        </w:trPr>
        <w:tc>
          <w:tcPr>
            <w:tcW w:w="1826" w:type="dxa"/>
            <w:tcBorders>
              <w:top w:val="single" w:color="auto" w:sz="4" w:space="0"/>
              <w:bottom w:val="single" w:color="auto" w:sz="4" w:space="0"/>
              <w:right w:val="single" w:color="auto" w:sz="8" w:space="0"/>
            </w:tcBorders>
            <w:noWrap w:val="0"/>
            <w:vAlign w:val="center"/>
          </w:tcPr>
          <w:p>
            <w:pPr>
              <w:pStyle w:val="32"/>
              <w:spacing w:beforeLines="0" w:afterLines="0" w:line="440" w:lineRule="exact"/>
              <w:ind w:left="0"/>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半挂汽车列车</w:t>
            </w:r>
          </w:p>
        </w:tc>
        <w:tc>
          <w:tcPr>
            <w:tcW w:w="1545" w:type="dxa"/>
            <w:tcBorders>
              <w:left w:val="single" w:color="auto" w:sz="8"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1.5倍车长</w:t>
            </w:r>
          </w:p>
        </w:tc>
        <w:tc>
          <w:tcPr>
            <w:tcW w:w="1287"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车宽加0.8</w:t>
            </w:r>
          </w:p>
        </w:tc>
        <w:tc>
          <w:tcPr>
            <w:tcW w:w="1545"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1.5倍车宽加0.8</w:t>
            </w:r>
          </w:p>
        </w:tc>
        <w:tc>
          <w:tcPr>
            <w:tcW w:w="1288"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≥1倍车长</w:t>
            </w:r>
          </w:p>
        </w:tc>
        <w:tc>
          <w:tcPr>
            <w:tcW w:w="1009"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28" w:hRule="atLeast"/>
        </w:trPr>
        <w:tc>
          <w:tcPr>
            <w:tcW w:w="1826" w:type="dxa"/>
            <w:tcBorders>
              <w:top w:val="single" w:color="auto" w:sz="4" w:space="0"/>
              <w:bottom w:val="single" w:color="auto" w:sz="4" w:space="0"/>
              <w:right w:val="single" w:color="auto" w:sz="8" w:space="0"/>
            </w:tcBorders>
            <w:noWrap w:val="0"/>
            <w:vAlign w:val="center"/>
          </w:tcPr>
          <w:p>
            <w:pPr>
              <w:pStyle w:val="32"/>
              <w:spacing w:beforeLines="0" w:afterLines="0" w:line="440" w:lineRule="exact"/>
              <w:ind w:left="0"/>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重型载货汽车</w:t>
            </w:r>
          </w:p>
        </w:tc>
        <w:tc>
          <w:tcPr>
            <w:tcW w:w="1545" w:type="dxa"/>
            <w:tcBorders>
              <w:left w:val="single" w:color="auto" w:sz="8"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15.0</w:t>
            </w:r>
          </w:p>
        </w:tc>
        <w:tc>
          <w:tcPr>
            <w:tcW w:w="1287"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3.3</w:t>
            </w:r>
          </w:p>
        </w:tc>
        <w:tc>
          <w:tcPr>
            <w:tcW w:w="1545"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4.5</w:t>
            </w:r>
          </w:p>
        </w:tc>
        <w:tc>
          <w:tcPr>
            <w:tcW w:w="1288"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≥9.0</w:t>
            </w:r>
          </w:p>
        </w:tc>
        <w:tc>
          <w:tcPr>
            <w:tcW w:w="1009"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1826" w:type="dxa"/>
            <w:tcBorders>
              <w:top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中型载客汽车</w:t>
            </w:r>
          </w:p>
        </w:tc>
        <w:tc>
          <w:tcPr>
            <w:tcW w:w="1545" w:type="dxa"/>
            <w:tcBorders>
              <w:left w:val="single" w:color="auto" w:sz="8"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1.5倍车长</w:t>
            </w:r>
          </w:p>
        </w:tc>
        <w:tc>
          <w:tcPr>
            <w:tcW w:w="1287"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车宽加0.8</w:t>
            </w:r>
          </w:p>
        </w:tc>
        <w:tc>
          <w:tcPr>
            <w:tcW w:w="1545"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1.5倍车宽加0.8</w:t>
            </w:r>
          </w:p>
        </w:tc>
        <w:tc>
          <w:tcPr>
            <w:tcW w:w="1288"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≥1倍车长</w:t>
            </w:r>
          </w:p>
        </w:tc>
        <w:tc>
          <w:tcPr>
            <w:tcW w:w="1009"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1826" w:type="dxa"/>
            <w:tcBorders>
              <w:top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小型载客汽车</w:t>
            </w:r>
          </w:p>
        </w:tc>
        <w:tc>
          <w:tcPr>
            <w:tcW w:w="1545" w:type="dxa"/>
            <w:tcBorders>
              <w:lef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1.5倍车长加1.0</w:t>
            </w:r>
          </w:p>
        </w:tc>
        <w:tc>
          <w:tcPr>
            <w:tcW w:w="1287"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2.5</w:t>
            </w:r>
          </w:p>
        </w:tc>
        <w:tc>
          <w:tcPr>
            <w:tcW w:w="1545"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3.4</w:t>
            </w:r>
          </w:p>
        </w:tc>
        <w:tc>
          <w:tcPr>
            <w:tcW w:w="1288"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≥4.5</w:t>
            </w:r>
          </w:p>
        </w:tc>
        <w:tc>
          <w:tcPr>
            <w:tcW w:w="1009"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1826" w:type="dxa"/>
            <w:tcBorders>
              <w:top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轻型载货汽车</w:t>
            </w:r>
          </w:p>
        </w:tc>
        <w:tc>
          <w:tcPr>
            <w:tcW w:w="1545" w:type="dxa"/>
            <w:tcBorders>
              <w:lef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1.5倍车长加1.0</w:t>
            </w:r>
          </w:p>
        </w:tc>
        <w:tc>
          <w:tcPr>
            <w:tcW w:w="1287"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2.6</w:t>
            </w:r>
          </w:p>
        </w:tc>
        <w:tc>
          <w:tcPr>
            <w:tcW w:w="1545"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3.5</w:t>
            </w:r>
          </w:p>
        </w:tc>
        <w:tc>
          <w:tcPr>
            <w:tcW w:w="1288"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≥5.0</w:t>
            </w:r>
          </w:p>
        </w:tc>
        <w:tc>
          <w:tcPr>
            <w:tcW w:w="1009"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1826" w:type="dxa"/>
            <w:tcBorders>
              <w:top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低速载货汽车</w:t>
            </w:r>
          </w:p>
        </w:tc>
        <w:tc>
          <w:tcPr>
            <w:tcW w:w="1545" w:type="dxa"/>
            <w:tcBorders>
              <w:lef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1.5倍车长</w:t>
            </w:r>
          </w:p>
        </w:tc>
        <w:tc>
          <w:tcPr>
            <w:tcW w:w="1287"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车宽加0.8</w:t>
            </w:r>
          </w:p>
        </w:tc>
        <w:tc>
          <w:tcPr>
            <w:tcW w:w="1545"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1.5倍车宽加0.8</w:t>
            </w:r>
          </w:p>
        </w:tc>
        <w:tc>
          <w:tcPr>
            <w:tcW w:w="1288"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≥1倍车长</w:t>
            </w:r>
          </w:p>
        </w:tc>
        <w:tc>
          <w:tcPr>
            <w:tcW w:w="1009"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1826" w:type="dxa"/>
            <w:tcBorders>
              <w:top w:val="single" w:color="auto" w:sz="4" w:space="0"/>
              <w:bottom w:val="single" w:color="auto" w:sz="8"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允许偏差</w:t>
            </w:r>
          </w:p>
        </w:tc>
        <w:tc>
          <w:tcPr>
            <w:tcW w:w="1545" w:type="dxa"/>
            <w:tcBorders>
              <w:lef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w:t>
            </w:r>
          </w:p>
        </w:tc>
        <w:tc>
          <w:tcPr>
            <w:tcW w:w="1287"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±0.05</w:t>
            </w:r>
          </w:p>
        </w:tc>
        <w:tc>
          <w:tcPr>
            <w:tcW w:w="1545"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±0.05</w:t>
            </w:r>
          </w:p>
        </w:tc>
        <w:tc>
          <w:tcPr>
            <w:tcW w:w="1288"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p>
        </w:tc>
        <w:tc>
          <w:tcPr>
            <w:tcW w:w="1009"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p>
        </w:tc>
      </w:tr>
    </w:tbl>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（4）坡道定点停车和起步</w:t>
      </w:r>
    </w:p>
    <w:bookmarkEnd w:id="250"/>
    <w:bookmarkEnd w:id="251"/>
    <w:p>
      <w:pPr>
        <w:pStyle w:val="35"/>
        <w:spacing w:line="440" w:lineRule="exact"/>
        <w:ind w:firstLine="416" w:firstLineChars="175"/>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262" w:name="_Toc317578259"/>
      <w:bookmarkStart w:id="263" w:name="_Toc315424978"/>
      <w:bookmarkStart w:id="264" w:name="_Toc323463174"/>
      <w:bookmarkStart w:id="265" w:name="_Toc323462123"/>
      <w:bookmarkStart w:id="266" w:name="_Toc322207103"/>
      <w:r>
        <w:rPr>
          <w:rFonts w:hint="eastAsia" w:asciiTheme="minorEastAsia" w:hAnsiTheme="minorEastAsia" w:eastAsiaTheme="minorEastAsia" w:cstheme="minorEastAsia"/>
          <w:snapToGrid w:val="0"/>
          <w:color w:val="000000"/>
          <w:spacing w:val="-1"/>
          <w:kern w:val="0"/>
          <w:sz w:val="24"/>
          <w:szCs w:val="24"/>
          <w:lang w:val="en-US" w:eastAsia="en-US" w:bidi="ar-SA"/>
        </w:rPr>
        <w:drawing>
          <wp:anchor distT="0" distB="0" distL="114300" distR="114300" simplePos="0" relativeHeight="251672576" behindDoc="0" locked="0" layoutInCell="1" allowOverlap="1">
            <wp:simplePos x="0" y="0"/>
            <wp:positionH relativeFrom="column">
              <wp:posOffset>142240</wp:posOffset>
            </wp:positionH>
            <wp:positionV relativeFrom="paragraph">
              <wp:posOffset>542925</wp:posOffset>
            </wp:positionV>
            <wp:extent cx="5607050" cy="2751455"/>
            <wp:effectExtent l="0" t="0" r="12700" b="10795"/>
            <wp:wrapSquare wrapText="bothSides"/>
            <wp:docPr id="8" name="坡起.jpg"/>
            <wp:cNvGraphicFramePr/>
            <a:graphic xmlns:a="http://schemas.openxmlformats.org/drawingml/2006/main">
              <a:graphicData uri="http://schemas.openxmlformats.org/drawingml/2006/picture">
                <pic:pic xmlns:pic="http://schemas.openxmlformats.org/drawingml/2006/picture">
                  <pic:nvPicPr>
                    <pic:cNvPr id="8" name="坡起.jpg"/>
                    <pic:cNvPicPr/>
                  </pic:nvPicPr>
                  <pic:blipFill>
                    <a:blip r:embed="rId23"/>
                    <a:srcRect t="9703" b="11052"/>
                    <a:stretch>
                      <a:fillRect/>
                    </a:stretch>
                  </pic:blipFill>
                  <pic:spPr>
                    <a:xfrm>
                      <a:off x="0" y="0"/>
                      <a:ext cx="5607050" cy="2751455"/>
                    </a:xfrm>
                    <a:prstGeom prst="rect">
                      <a:avLst/>
                    </a:prstGeom>
                    <a:noFill/>
                    <a:ln>
                      <a:noFill/>
                    </a:ln>
                  </pic:spPr>
                </pic:pic>
              </a:graphicData>
            </a:graphic>
          </wp:anchor>
        </w:drawing>
      </w:r>
      <w:r>
        <w:rPr>
          <w:rFonts w:hint="eastAsia" w:asciiTheme="minorEastAsia" w:hAnsiTheme="minorEastAsia" w:eastAsiaTheme="minorEastAsia" w:cstheme="minorEastAsia"/>
          <w:snapToGrid w:val="0"/>
          <w:color w:val="000000"/>
          <w:spacing w:val="-1"/>
          <w:kern w:val="0"/>
          <w:sz w:val="24"/>
          <w:szCs w:val="24"/>
          <w:lang w:val="en-US" w:eastAsia="en-US" w:bidi="ar-SA"/>
        </w:rPr>
        <w:t>坡道定点停车和起步项目图形及设施应按图9设置，项目尺寸应符合表8规定。</w:t>
      </w:r>
      <w:bookmarkEnd w:id="262"/>
      <w:bookmarkEnd w:id="263"/>
      <w:bookmarkEnd w:id="264"/>
      <w:bookmarkEnd w:id="265"/>
      <w:bookmarkEnd w:id="266"/>
      <w:bookmarkStart w:id="267" w:name="_Toc315424979"/>
      <w:bookmarkStart w:id="268" w:name="_Toc317578260"/>
      <w:r>
        <w:rPr>
          <w:rFonts w:hint="eastAsia" w:asciiTheme="minorEastAsia" w:hAnsiTheme="minorEastAsia" w:eastAsiaTheme="minorEastAsia" w:cstheme="minorEastAsia"/>
          <w:snapToGrid w:val="0"/>
          <w:color w:val="000000"/>
          <w:spacing w:val="-1"/>
          <w:kern w:val="0"/>
          <w:sz w:val="24"/>
          <w:szCs w:val="24"/>
          <w:lang w:val="en-US" w:eastAsia="en-US" w:bidi="ar-SA"/>
        </w:rPr>
        <w:t>停车桩杆线应设置在坡顶缓坡以下。</w:t>
      </w:r>
      <w:bookmarkEnd w:id="267"/>
      <w:bookmarkEnd w:id="268"/>
    </w:p>
    <w:p>
      <w:pPr>
        <w:spacing w:line="440" w:lineRule="exact"/>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a）截面图                             b）俯视图</w:t>
      </w:r>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标引序号说明：</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l 1 ——坡道长；</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l 2 ——停车桩杆线与坡底距离；</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 xml:space="preserve">b1 ——车道宽； </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b2 ——停车桩杆线线宽；</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d  ——停车控制线到停车桩杆线边缘距离；</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i ——坡度；</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269" w:name="_Toc322207111"/>
      <w:bookmarkStart w:id="270" w:name="_Toc317578268"/>
      <w:bookmarkStart w:id="271" w:name="_Toc315424986"/>
      <w:r>
        <w:rPr>
          <w:rFonts w:hint="eastAsia" w:asciiTheme="minorEastAsia" w:hAnsiTheme="minorEastAsia" w:eastAsiaTheme="minorEastAsia" w:cstheme="minorEastAsia"/>
          <w:snapToGrid w:val="0"/>
          <w:color w:val="000000"/>
          <w:spacing w:val="-1"/>
          <w:kern w:val="0"/>
          <w:sz w:val="24"/>
          <w:szCs w:val="24"/>
          <w:lang w:val="en-US" w:eastAsia="zh-CN" w:bidi="ar-SA"/>
        </w:rPr>
        <w:t>r ——竖曲线半径</w:t>
      </w:r>
      <w:bookmarkEnd w:id="269"/>
      <w:bookmarkEnd w:id="270"/>
      <w:bookmarkEnd w:id="271"/>
      <w:r>
        <w:rPr>
          <w:rFonts w:hint="eastAsia" w:asciiTheme="minorEastAsia" w:hAnsiTheme="minorEastAsia" w:eastAsiaTheme="minorEastAsia" w:cstheme="minorEastAsia"/>
          <w:snapToGrid w:val="0"/>
          <w:color w:val="000000"/>
          <w:spacing w:val="-1"/>
          <w:kern w:val="0"/>
          <w:sz w:val="24"/>
          <w:szCs w:val="24"/>
          <w:lang w:val="en-US" w:eastAsia="zh-CN" w:bidi="ar-SA"/>
        </w:rPr>
        <w:t>；</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○——桩杆。</w:t>
      </w:r>
    </w:p>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272" w:name="_Toc323462130"/>
      <w:bookmarkStart w:id="273" w:name="_Toc323463181"/>
      <w:bookmarkStart w:id="274" w:name="_Toc322207112"/>
      <w:bookmarkStart w:id="275" w:name="_Toc317578269"/>
      <w:bookmarkStart w:id="276" w:name="_Toc315424987"/>
      <w:r>
        <w:rPr>
          <w:rFonts w:hint="eastAsia" w:asciiTheme="minorEastAsia" w:hAnsiTheme="minorEastAsia" w:eastAsiaTheme="minorEastAsia" w:cstheme="minorEastAsia"/>
          <w:snapToGrid w:val="0"/>
          <w:color w:val="000000"/>
          <w:spacing w:val="-1"/>
          <w:kern w:val="0"/>
          <w:sz w:val="24"/>
          <w:szCs w:val="24"/>
          <w:lang w:val="en-US" w:eastAsia="zh-CN" w:bidi="ar-SA"/>
        </w:rPr>
        <w:t>图9  坡道定点停车和起步项目图形</w:t>
      </w:r>
      <w:bookmarkEnd w:id="272"/>
      <w:bookmarkEnd w:id="273"/>
      <w:bookmarkEnd w:id="274"/>
      <w:bookmarkEnd w:id="275"/>
      <w:bookmarkEnd w:id="276"/>
      <w:r>
        <w:rPr>
          <w:rFonts w:hint="eastAsia" w:asciiTheme="minorEastAsia" w:hAnsiTheme="minorEastAsia" w:eastAsiaTheme="minorEastAsia" w:cstheme="minorEastAsia"/>
          <w:snapToGrid w:val="0"/>
          <w:color w:val="000000"/>
          <w:spacing w:val="-1"/>
          <w:kern w:val="0"/>
          <w:sz w:val="24"/>
          <w:szCs w:val="24"/>
          <w:lang w:val="en-US" w:eastAsia="zh-CN" w:bidi="ar-SA"/>
        </w:rPr>
        <w:t>及设施</w:t>
      </w:r>
    </w:p>
    <w:p>
      <w:pPr>
        <w:pStyle w:val="38"/>
        <w:spacing w:beforeLines="0" w:afterLines="0" w:line="440" w:lineRule="exact"/>
        <w:ind w:firstLine="1190" w:firstLineChars="5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表8  坡道定点停车和起步项目尺寸</w:t>
      </w:r>
    </w:p>
    <w:tbl>
      <w:tblPr>
        <w:tblStyle w:val="17"/>
        <w:tblpPr w:leftFromText="180" w:rightFromText="180" w:vertAnchor="text" w:horzAnchor="page" w:tblpX="1888" w:tblpY="619"/>
        <w:tblOverlap w:val="never"/>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774"/>
        <w:gridCol w:w="773"/>
        <w:gridCol w:w="774"/>
        <w:gridCol w:w="773"/>
        <w:gridCol w:w="774"/>
        <w:gridCol w:w="773"/>
        <w:gridCol w:w="77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2" w:hRule="atLeast"/>
        </w:trPr>
        <w:tc>
          <w:tcPr>
            <w:tcW w:w="2802" w:type="dxa"/>
            <w:tcBorders>
              <w:top w:val="single" w:color="auto" w:sz="8"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标引序号</w:t>
            </w:r>
          </w:p>
        </w:tc>
        <w:tc>
          <w:tcPr>
            <w:tcW w:w="774" w:type="dxa"/>
            <w:tcBorders>
              <w:top w:val="single" w:color="auto" w:sz="8"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r</w:t>
            </w:r>
          </w:p>
        </w:tc>
        <w:tc>
          <w:tcPr>
            <w:tcW w:w="773" w:type="dxa"/>
            <w:tcBorders>
              <w:top w:val="single" w:color="auto" w:sz="8"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l1</w:t>
            </w:r>
          </w:p>
        </w:tc>
        <w:tc>
          <w:tcPr>
            <w:tcW w:w="774" w:type="dxa"/>
            <w:tcBorders>
              <w:top w:val="single" w:color="auto" w:sz="8"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b1</w:t>
            </w:r>
          </w:p>
        </w:tc>
        <w:tc>
          <w:tcPr>
            <w:tcW w:w="773" w:type="dxa"/>
            <w:tcBorders>
              <w:top w:val="single" w:color="auto" w:sz="8"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l 2</w:t>
            </w:r>
          </w:p>
        </w:tc>
        <w:tc>
          <w:tcPr>
            <w:tcW w:w="774" w:type="dxa"/>
            <w:tcBorders>
              <w:top w:val="single" w:color="auto" w:sz="8"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b2</w:t>
            </w:r>
          </w:p>
        </w:tc>
        <w:tc>
          <w:tcPr>
            <w:tcW w:w="773" w:type="dxa"/>
            <w:tcBorders>
              <w:top w:val="single" w:color="auto" w:sz="8"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d</w:t>
            </w:r>
          </w:p>
        </w:tc>
        <w:tc>
          <w:tcPr>
            <w:tcW w:w="777" w:type="dxa"/>
            <w:tcBorders>
              <w:top w:val="single" w:color="auto" w:sz="8" w:space="0"/>
              <w:left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i</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2802" w:type="dxa"/>
            <w:tcBorders>
              <w:top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大型载客汽车、半挂汽车列车、中型载客汽车、重型载货汽车</w:t>
            </w:r>
          </w:p>
        </w:tc>
        <w:tc>
          <w:tcPr>
            <w:tcW w:w="77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≥30</w:t>
            </w:r>
          </w:p>
        </w:tc>
        <w:tc>
          <w:tcPr>
            <w:tcW w:w="7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≥30</w:t>
            </w:r>
          </w:p>
        </w:tc>
        <w:tc>
          <w:tcPr>
            <w:tcW w:w="77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≥3.5</w:t>
            </w:r>
          </w:p>
        </w:tc>
        <w:tc>
          <w:tcPr>
            <w:tcW w:w="773" w:type="dxa"/>
            <w:vMerge w:val="restart"/>
            <w:tcBorders>
              <w:top w:val="single" w:color="auto" w:sz="4" w:space="0"/>
              <w:left w:val="single" w:color="auto" w:sz="4"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≥1.5倍车长</w:t>
            </w:r>
          </w:p>
        </w:tc>
        <w:tc>
          <w:tcPr>
            <w:tcW w:w="774" w:type="dxa"/>
            <w:vMerge w:val="restart"/>
            <w:tcBorders>
              <w:top w:val="single" w:color="auto" w:sz="4" w:space="0"/>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0.3</w:t>
            </w:r>
          </w:p>
        </w:tc>
        <w:tc>
          <w:tcPr>
            <w:tcW w:w="773" w:type="dxa"/>
            <w:vMerge w:val="restart"/>
            <w:tcBorders>
              <w:top w:val="single" w:color="auto" w:sz="4" w:space="0"/>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0.5</w:t>
            </w:r>
          </w:p>
        </w:tc>
        <w:tc>
          <w:tcPr>
            <w:tcW w:w="777" w:type="dxa"/>
            <w:vMerge w:val="restart"/>
            <w:tcBorders>
              <w:top w:val="single" w:color="auto" w:sz="4" w:space="0"/>
              <w:left w:val="single" w:color="auto" w:sz="4" w:space="0"/>
              <w:right w:val="single" w:color="auto" w:sz="8"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2802" w:type="dxa"/>
            <w:tcBorders>
              <w:top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小型载客汽车、轻型载货汽车、低速载货汽车、三轮汽车</w:t>
            </w:r>
          </w:p>
        </w:tc>
        <w:tc>
          <w:tcPr>
            <w:tcW w:w="77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≥20</w:t>
            </w:r>
          </w:p>
        </w:tc>
        <w:tc>
          <w:tcPr>
            <w:tcW w:w="7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≥20</w:t>
            </w:r>
          </w:p>
        </w:tc>
        <w:tc>
          <w:tcPr>
            <w:tcW w:w="77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≥3.2</w:t>
            </w:r>
          </w:p>
        </w:tc>
        <w:tc>
          <w:tcPr>
            <w:tcW w:w="773" w:type="dxa"/>
            <w:vMerge w:val="continue"/>
            <w:tcBorders>
              <w:left w:val="single" w:color="auto" w:sz="4"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774" w:type="dxa"/>
            <w:vMerge w:val="continue"/>
            <w:tcBorders>
              <w:left w:val="single" w:color="auto" w:sz="4"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773" w:type="dxa"/>
            <w:vMerge w:val="continue"/>
            <w:tcBorders>
              <w:left w:val="single" w:color="auto" w:sz="4"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777" w:type="dxa"/>
            <w:vMerge w:val="continue"/>
            <w:tcBorders>
              <w:left w:val="single" w:color="auto" w:sz="4" w:space="0"/>
              <w:right w:val="single" w:color="auto" w:sz="8"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2802" w:type="dxa"/>
            <w:tcBorders>
              <w:top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正三轮摩托车、侧三轮摩托车、普通二轮摩托车、轻便摩托车</w:t>
            </w:r>
          </w:p>
        </w:tc>
        <w:tc>
          <w:tcPr>
            <w:tcW w:w="77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≥8.0</w:t>
            </w:r>
          </w:p>
        </w:tc>
        <w:tc>
          <w:tcPr>
            <w:tcW w:w="7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≥8.0</w:t>
            </w:r>
          </w:p>
        </w:tc>
        <w:tc>
          <w:tcPr>
            <w:tcW w:w="77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w:t>
            </w:r>
          </w:p>
        </w:tc>
        <w:tc>
          <w:tcPr>
            <w:tcW w:w="773" w:type="dxa"/>
            <w:vMerge w:val="continue"/>
            <w:tcBorders>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774" w:type="dxa"/>
            <w:vMerge w:val="continue"/>
            <w:tcBorders>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773" w:type="dxa"/>
            <w:vMerge w:val="continue"/>
            <w:tcBorders>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777" w:type="dxa"/>
            <w:vMerge w:val="continue"/>
            <w:tcBorders>
              <w:left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2" w:hRule="atLeast"/>
        </w:trPr>
        <w:tc>
          <w:tcPr>
            <w:tcW w:w="2802" w:type="dxa"/>
            <w:tcBorders>
              <w:top w:val="single" w:color="auto" w:sz="4" w:space="0"/>
              <w:bottom w:val="single" w:color="auto" w:sz="8"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允许偏差</w:t>
            </w:r>
          </w:p>
        </w:tc>
        <w:tc>
          <w:tcPr>
            <w:tcW w:w="774" w:type="dxa"/>
            <w:tcBorders>
              <w:top w:val="single" w:color="auto" w:sz="4" w:space="0"/>
              <w:left w:val="single" w:color="auto" w:sz="4" w:space="0"/>
              <w:bottom w:val="single" w:color="auto" w:sz="8"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p>
        </w:tc>
        <w:tc>
          <w:tcPr>
            <w:tcW w:w="773" w:type="dxa"/>
            <w:tcBorders>
              <w:top w:val="single" w:color="auto" w:sz="4" w:space="0"/>
              <w:left w:val="single" w:color="auto" w:sz="4" w:space="0"/>
              <w:bottom w:val="single" w:color="auto" w:sz="8"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p>
        </w:tc>
        <w:tc>
          <w:tcPr>
            <w:tcW w:w="774" w:type="dxa"/>
            <w:tcBorders>
              <w:top w:val="single" w:color="auto" w:sz="4" w:space="0"/>
              <w:left w:val="single" w:color="auto" w:sz="4" w:space="0"/>
              <w:bottom w:val="single" w:color="auto" w:sz="8"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p>
        </w:tc>
        <w:tc>
          <w:tcPr>
            <w:tcW w:w="773" w:type="dxa"/>
            <w:tcBorders>
              <w:left w:val="single" w:color="auto" w:sz="4" w:space="0"/>
              <w:bottom w:val="single" w:color="auto" w:sz="8"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p>
        </w:tc>
        <w:tc>
          <w:tcPr>
            <w:tcW w:w="774" w:type="dxa"/>
            <w:tcBorders>
              <w:left w:val="single" w:color="auto" w:sz="4" w:space="0"/>
              <w:bottom w:val="single" w:color="auto" w:sz="8"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0.01</w:t>
            </w:r>
          </w:p>
        </w:tc>
        <w:tc>
          <w:tcPr>
            <w:tcW w:w="773" w:type="dxa"/>
            <w:tcBorders>
              <w:left w:val="single" w:color="auto" w:sz="4" w:space="0"/>
              <w:bottom w:val="single" w:color="auto" w:sz="8"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0.02</w:t>
            </w:r>
          </w:p>
        </w:tc>
        <w:tc>
          <w:tcPr>
            <w:tcW w:w="777" w:type="dxa"/>
            <w:tcBorders>
              <w:top w:val="single" w:color="auto" w:sz="4" w:space="0"/>
              <w:left w:val="single" w:color="auto" w:sz="4" w:space="0"/>
              <w:bottom w:val="single" w:color="auto" w:sz="8"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w:t>
            </w:r>
          </w:p>
        </w:tc>
      </w:tr>
    </w:tbl>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277" w:name="_Toc323463205"/>
      <w:bookmarkStart w:id="278" w:name="_Toc311039347"/>
      <w:r>
        <w:rPr>
          <w:rFonts w:hint="eastAsia" w:asciiTheme="minorEastAsia" w:hAnsiTheme="minorEastAsia" w:eastAsiaTheme="minorEastAsia" w:cstheme="minorEastAsia"/>
          <w:snapToGrid w:val="0"/>
          <w:color w:val="000000"/>
          <w:spacing w:val="-1"/>
          <w:kern w:val="0"/>
          <w:sz w:val="24"/>
          <w:szCs w:val="24"/>
          <w:lang w:val="en-US" w:eastAsia="en-US" w:bidi="ar-SA"/>
        </w:rPr>
        <w:t>（5）曲线行驶</w:t>
      </w:r>
    </w:p>
    <w:bookmarkEnd w:id="277"/>
    <w:bookmarkEnd w:id="278"/>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279" w:name="_Toc323462155"/>
      <w:bookmarkStart w:id="280" w:name="_Toc317578359"/>
      <w:bookmarkStart w:id="281" w:name="_Toc315425077"/>
      <w:bookmarkStart w:id="282" w:name="_Toc322207202"/>
      <w:bookmarkStart w:id="283" w:name="_Toc323463206"/>
      <w:r>
        <w:rPr>
          <w:rFonts w:hint="eastAsia" w:asciiTheme="minorEastAsia" w:hAnsiTheme="minorEastAsia" w:eastAsiaTheme="minorEastAsia" w:cstheme="minorEastAsia"/>
          <w:snapToGrid w:val="0"/>
          <w:color w:val="000000"/>
          <w:spacing w:val="-1"/>
          <w:kern w:val="0"/>
          <w:sz w:val="24"/>
          <w:szCs w:val="24"/>
          <w:lang w:val="en-US" w:eastAsia="en-US" w:bidi="ar-SA"/>
        </w:rPr>
        <w:drawing>
          <wp:anchor distT="0" distB="0" distL="114300" distR="114300" simplePos="0" relativeHeight="251671552" behindDoc="0" locked="0" layoutInCell="1" allowOverlap="1">
            <wp:simplePos x="0" y="0"/>
            <wp:positionH relativeFrom="column">
              <wp:posOffset>401320</wp:posOffset>
            </wp:positionH>
            <wp:positionV relativeFrom="paragraph">
              <wp:posOffset>239395</wp:posOffset>
            </wp:positionV>
            <wp:extent cx="4873625" cy="2346325"/>
            <wp:effectExtent l="0" t="0" r="3175" b="15875"/>
            <wp:wrapTopAndBottom/>
            <wp:docPr id="13" name="微信图片_20220316152550.jpg"/>
            <wp:cNvGraphicFramePr/>
            <a:graphic xmlns:a="http://schemas.openxmlformats.org/drawingml/2006/main">
              <a:graphicData uri="http://schemas.openxmlformats.org/drawingml/2006/picture">
                <pic:pic xmlns:pic="http://schemas.openxmlformats.org/drawingml/2006/picture">
                  <pic:nvPicPr>
                    <pic:cNvPr id="13" name="微信图片_20220316152550.jpg"/>
                    <pic:cNvPicPr/>
                  </pic:nvPicPr>
                  <pic:blipFill>
                    <a:blip r:embed="rId24"/>
                    <a:stretch>
                      <a:fillRect/>
                    </a:stretch>
                  </pic:blipFill>
                  <pic:spPr>
                    <a:xfrm>
                      <a:off x="0" y="0"/>
                      <a:ext cx="4873625" cy="2346325"/>
                    </a:xfrm>
                    <a:prstGeom prst="rect">
                      <a:avLst/>
                    </a:prstGeom>
                    <a:noFill/>
                    <a:ln>
                      <a:noFill/>
                    </a:ln>
                  </pic:spPr>
                </pic:pic>
              </a:graphicData>
            </a:graphic>
          </wp:anchor>
        </w:drawing>
      </w:r>
      <w:r>
        <w:rPr>
          <w:rFonts w:hint="eastAsia" w:asciiTheme="minorEastAsia" w:hAnsiTheme="minorEastAsia" w:eastAsiaTheme="minorEastAsia" w:cstheme="minorEastAsia"/>
          <w:snapToGrid w:val="0"/>
          <w:color w:val="000000"/>
          <w:spacing w:val="-1"/>
          <w:kern w:val="0"/>
          <w:sz w:val="24"/>
          <w:szCs w:val="24"/>
          <w:lang w:val="en-US" w:eastAsia="zh-CN" w:bidi="ar-SA"/>
        </w:rPr>
        <w:t>曲线行驶项目图形应按图10设置，项目尺寸应符合表9规定。</w:t>
      </w:r>
      <w:bookmarkEnd w:id="279"/>
      <w:bookmarkEnd w:id="280"/>
      <w:bookmarkEnd w:id="281"/>
      <w:bookmarkEnd w:id="282"/>
      <w:bookmarkEnd w:id="283"/>
      <w:bookmarkStart w:id="284" w:name="_Toc317578367"/>
      <w:bookmarkStart w:id="285" w:name="_Toc315425085"/>
      <w:bookmarkStart w:id="286" w:name="_Toc322207210"/>
      <w:bookmarkStart w:id="287" w:name="_Toc323463212"/>
      <w:bookmarkStart w:id="288" w:name="_Toc323462161"/>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标引序号说明：</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r ——半径；</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 ——路宽。</w:t>
      </w:r>
    </w:p>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图10 曲线行驶项目</w:t>
      </w:r>
      <w:bookmarkEnd w:id="284"/>
      <w:bookmarkEnd w:id="285"/>
      <w:bookmarkEnd w:id="286"/>
      <w:r>
        <w:rPr>
          <w:rFonts w:hint="eastAsia" w:asciiTheme="minorEastAsia" w:hAnsiTheme="minorEastAsia" w:eastAsiaTheme="minorEastAsia" w:cstheme="minorEastAsia"/>
          <w:snapToGrid w:val="0"/>
          <w:color w:val="000000"/>
          <w:spacing w:val="-1"/>
          <w:kern w:val="0"/>
          <w:sz w:val="24"/>
          <w:szCs w:val="24"/>
          <w:lang w:val="en-US" w:eastAsia="zh-CN" w:bidi="ar-SA"/>
        </w:rPr>
        <w:t>图形</w:t>
      </w:r>
      <w:bookmarkEnd w:id="287"/>
      <w:bookmarkEnd w:id="288"/>
    </w:p>
    <w:p>
      <w:pPr>
        <w:pStyle w:val="38"/>
        <w:spacing w:beforeLines="0" w:afterLines="0" w:line="440" w:lineRule="exact"/>
        <w:ind w:firstLine="1904" w:firstLineChars="8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表9  曲线行驶项目尺寸</w:t>
      </w:r>
    </w:p>
    <w:p>
      <w:pPr>
        <w:pStyle w:val="35"/>
        <w:spacing w:line="440" w:lineRule="exact"/>
        <w:ind w:firstLine="560"/>
        <w:jc w:val="right"/>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单位为米</w:t>
      </w:r>
    </w:p>
    <w:tbl>
      <w:tblPr>
        <w:tblStyle w:val="17"/>
        <w:tblW w:w="0" w:type="auto"/>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129"/>
        <w:gridCol w:w="3129"/>
        <w:gridCol w:w="312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129" w:type="dxa"/>
            <w:tcBorders>
              <w:top w:val="single" w:color="auto" w:sz="8" w:space="0"/>
              <w:bottom w:val="single" w:color="auto" w:sz="4" w:space="0"/>
              <w:righ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标引序号</w:t>
            </w:r>
          </w:p>
        </w:tc>
        <w:tc>
          <w:tcPr>
            <w:tcW w:w="3129" w:type="dxa"/>
            <w:tcBorders>
              <w:lef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r</w:t>
            </w:r>
          </w:p>
        </w:tc>
        <w:tc>
          <w:tcPr>
            <w:tcW w:w="3129"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129" w:type="dxa"/>
            <w:tcBorders>
              <w:top w:val="single" w:color="auto" w:sz="4" w:space="0"/>
              <w:bottom w:val="single" w:color="auto" w:sz="4" w:space="0"/>
              <w:righ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 xml:space="preserve">大型载客汽车、重型载货汽车  </w:t>
            </w:r>
          </w:p>
        </w:tc>
        <w:tc>
          <w:tcPr>
            <w:tcW w:w="3129" w:type="dxa"/>
            <w:tcBorders>
              <w:left w:val="single" w:color="auto" w:sz="8" w:space="0"/>
            </w:tcBorders>
            <w:noWrap w:val="0"/>
            <w:vAlign w:val="center"/>
          </w:tcPr>
          <w:p>
            <w:pPr>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12.0</w:t>
            </w:r>
          </w:p>
        </w:tc>
        <w:tc>
          <w:tcPr>
            <w:tcW w:w="3129"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4.0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129" w:type="dxa"/>
            <w:tcBorders>
              <w:top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半挂汽车列车</w:t>
            </w:r>
          </w:p>
        </w:tc>
        <w:tc>
          <w:tcPr>
            <w:tcW w:w="3129" w:type="dxa"/>
            <w:tcBorders>
              <w:lef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12.0</w:t>
            </w:r>
          </w:p>
        </w:tc>
        <w:tc>
          <w:tcPr>
            <w:tcW w:w="3129"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7.0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129" w:type="dxa"/>
            <w:tcBorders>
              <w:top w:val="single" w:color="auto" w:sz="4" w:space="0"/>
              <w:bottom w:val="single" w:color="auto" w:sz="4" w:space="0"/>
              <w:righ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中型载客汽车、低速载货汽车</w:t>
            </w:r>
          </w:p>
        </w:tc>
        <w:tc>
          <w:tcPr>
            <w:tcW w:w="3129" w:type="dxa"/>
            <w:tcBorders>
              <w:lef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9.5</w:t>
            </w:r>
          </w:p>
        </w:tc>
        <w:tc>
          <w:tcPr>
            <w:tcW w:w="3129"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129" w:type="dxa"/>
            <w:tcBorders>
              <w:top w:val="single" w:color="auto" w:sz="4" w:space="0"/>
              <w:bottom w:val="single" w:color="auto" w:sz="4" w:space="0"/>
              <w:righ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轻型牵引挂车</w:t>
            </w:r>
          </w:p>
        </w:tc>
        <w:tc>
          <w:tcPr>
            <w:tcW w:w="3129" w:type="dxa"/>
            <w:tcBorders>
              <w:lef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12.15</w:t>
            </w:r>
          </w:p>
        </w:tc>
        <w:tc>
          <w:tcPr>
            <w:tcW w:w="3129"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4.3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129" w:type="dxa"/>
            <w:tcBorders>
              <w:top w:val="single" w:color="auto" w:sz="4" w:space="0"/>
              <w:bottom w:val="single" w:color="auto" w:sz="4" w:space="0"/>
              <w:righ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小型载客汽车、轻型载货汽车</w:t>
            </w:r>
          </w:p>
        </w:tc>
        <w:tc>
          <w:tcPr>
            <w:tcW w:w="3129" w:type="dxa"/>
            <w:tcBorders>
              <w:lef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7.5</w:t>
            </w:r>
          </w:p>
        </w:tc>
        <w:tc>
          <w:tcPr>
            <w:tcW w:w="3129"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129" w:type="dxa"/>
            <w:tcBorders>
              <w:top w:val="single" w:color="auto" w:sz="4" w:space="0"/>
              <w:bottom w:val="single" w:color="auto" w:sz="8" w:space="0"/>
              <w:righ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允许偏差</w:t>
            </w:r>
          </w:p>
        </w:tc>
        <w:tc>
          <w:tcPr>
            <w:tcW w:w="3129" w:type="dxa"/>
            <w:tcBorders>
              <w:lef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w:t>
            </w:r>
          </w:p>
        </w:tc>
        <w:tc>
          <w:tcPr>
            <w:tcW w:w="3129"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±0.05</w:t>
            </w:r>
          </w:p>
        </w:tc>
      </w:tr>
    </w:tbl>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289" w:name="_Toc311039348"/>
      <w:bookmarkStart w:id="290" w:name="_Toc323463213"/>
      <w:r>
        <w:rPr>
          <w:rFonts w:hint="eastAsia" w:asciiTheme="minorEastAsia" w:hAnsiTheme="minorEastAsia" w:eastAsiaTheme="minorEastAsia" w:cstheme="minorEastAsia"/>
          <w:snapToGrid w:val="0"/>
          <w:color w:val="000000"/>
          <w:spacing w:val="-1"/>
          <w:kern w:val="0"/>
          <w:sz w:val="24"/>
          <w:szCs w:val="24"/>
          <w:lang w:val="en-US" w:eastAsia="en-US" w:bidi="ar-SA"/>
        </w:rPr>
        <w:t>（6）直角转弯</w:t>
      </w:r>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直角转弯项目图形应按图11设置，项目尺寸应符合表10规定。</w:t>
      </w:r>
    </w:p>
    <w:bookmarkEnd w:id="289"/>
    <w:bookmarkEnd w:id="290"/>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291" w:name="_Toc322207244"/>
      <w:bookmarkStart w:id="292" w:name="_Toc323462163"/>
      <w:bookmarkStart w:id="293" w:name="_Toc323463214"/>
      <w:bookmarkStart w:id="294" w:name="_Toc315425120"/>
      <w:bookmarkStart w:id="295" w:name="_Toc317578401"/>
      <w:bookmarkStart w:id="296" w:name="_Toc315425125"/>
      <w:bookmarkStart w:id="297" w:name="_Toc317578408"/>
      <w:bookmarkStart w:id="298" w:name="_Toc322207249"/>
      <w:bookmarkStart w:id="299" w:name="_Toc323462167"/>
      <w:bookmarkStart w:id="300" w:name="_Toc323463218"/>
      <w:r>
        <w:rPr>
          <w:rFonts w:hint="eastAsia" w:asciiTheme="minorEastAsia" w:hAnsiTheme="minorEastAsia" w:eastAsiaTheme="minorEastAsia" w:cstheme="minorEastAsia"/>
          <w:snapToGrid w:val="0"/>
          <w:color w:val="000000"/>
          <w:spacing w:val="-1"/>
          <w:kern w:val="0"/>
          <w:sz w:val="24"/>
          <w:szCs w:val="24"/>
          <w:lang w:val="en-US" w:eastAsia="en-US" w:bidi="ar-SA"/>
        </w:rPr>
        <w:drawing>
          <wp:anchor distT="0" distB="0" distL="114300" distR="114300" simplePos="0" relativeHeight="251665408" behindDoc="0" locked="0" layoutInCell="1" allowOverlap="1">
            <wp:simplePos x="0" y="0"/>
            <wp:positionH relativeFrom="column">
              <wp:posOffset>941070</wp:posOffset>
            </wp:positionH>
            <wp:positionV relativeFrom="paragraph">
              <wp:posOffset>120650</wp:posOffset>
            </wp:positionV>
            <wp:extent cx="3638550" cy="2755900"/>
            <wp:effectExtent l="0" t="0" r="0" b="6350"/>
            <wp:wrapTopAndBottom/>
            <wp:docPr id="10" name="直角转弯.jpg"/>
            <wp:cNvGraphicFramePr/>
            <a:graphic xmlns:a="http://schemas.openxmlformats.org/drawingml/2006/main">
              <a:graphicData uri="http://schemas.openxmlformats.org/drawingml/2006/picture">
                <pic:pic xmlns:pic="http://schemas.openxmlformats.org/drawingml/2006/picture">
                  <pic:nvPicPr>
                    <pic:cNvPr id="10" name="直角转弯.jpg"/>
                    <pic:cNvPicPr/>
                  </pic:nvPicPr>
                  <pic:blipFill>
                    <a:blip r:embed="rId25"/>
                    <a:srcRect t="1666" b="2"/>
                    <a:stretch>
                      <a:fillRect/>
                    </a:stretch>
                  </pic:blipFill>
                  <pic:spPr>
                    <a:xfrm>
                      <a:off x="0" y="0"/>
                      <a:ext cx="3638550" cy="2755900"/>
                    </a:xfrm>
                    <a:prstGeom prst="rect">
                      <a:avLst/>
                    </a:prstGeom>
                    <a:noFill/>
                    <a:ln>
                      <a:noFill/>
                    </a:ln>
                  </pic:spPr>
                </pic:pic>
              </a:graphicData>
            </a:graphic>
          </wp:anchor>
        </w:drawing>
      </w:r>
      <w:bookmarkEnd w:id="291"/>
      <w:bookmarkEnd w:id="292"/>
      <w:bookmarkEnd w:id="293"/>
      <w:bookmarkEnd w:id="294"/>
      <w:bookmarkEnd w:id="295"/>
      <w:r>
        <w:rPr>
          <w:rFonts w:hint="eastAsia" w:asciiTheme="minorEastAsia" w:hAnsiTheme="minorEastAsia" w:eastAsiaTheme="minorEastAsia" w:cstheme="minorEastAsia"/>
          <w:snapToGrid w:val="0"/>
          <w:color w:val="000000"/>
          <w:spacing w:val="-1"/>
          <w:kern w:val="0"/>
          <w:sz w:val="24"/>
          <w:szCs w:val="24"/>
          <w:lang w:val="en-US" w:eastAsia="zh-CN" w:bidi="ar-SA"/>
        </w:rPr>
        <w:t>标引序号说明：</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l ——路长；</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 ——路宽。</w:t>
      </w:r>
    </w:p>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图11 直角转弯</w:t>
      </w:r>
      <w:bookmarkEnd w:id="296"/>
      <w:bookmarkEnd w:id="297"/>
      <w:bookmarkEnd w:id="298"/>
      <w:r>
        <w:rPr>
          <w:rFonts w:hint="eastAsia" w:asciiTheme="minorEastAsia" w:hAnsiTheme="minorEastAsia" w:eastAsiaTheme="minorEastAsia" w:cstheme="minorEastAsia"/>
          <w:snapToGrid w:val="0"/>
          <w:color w:val="000000"/>
          <w:spacing w:val="-1"/>
          <w:kern w:val="0"/>
          <w:sz w:val="24"/>
          <w:szCs w:val="24"/>
          <w:lang w:val="en-US" w:eastAsia="zh-CN" w:bidi="ar-SA"/>
        </w:rPr>
        <w:t>项目图形</w:t>
      </w:r>
      <w:bookmarkEnd w:id="299"/>
      <w:bookmarkEnd w:id="300"/>
    </w:p>
    <w:p>
      <w:pPr>
        <w:pStyle w:val="38"/>
        <w:spacing w:beforeLines="0" w:afterLines="0" w:line="440" w:lineRule="exact"/>
        <w:ind w:firstLine="1904" w:firstLineChars="8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表10  直角转弯项目尺寸</w:t>
      </w:r>
    </w:p>
    <w:p>
      <w:pPr>
        <w:pStyle w:val="35"/>
        <w:spacing w:line="440" w:lineRule="exact"/>
        <w:ind w:firstLine="560"/>
        <w:jc w:val="right"/>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单位为米</w:t>
      </w:r>
    </w:p>
    <w:tbl>
      <w:tblPr>
        <w:tblStyle w:val="17"/>
        <w:tblW w:w="0" w:type="auto"/>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693"/>
        <w:gridCol w:w="2694"/>
        <w:gridCol w:w="269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2693" w:type="dxa"/>
            <w:tcBorders>
              <w:top w:val="single" w:color="auto" w:sz="8" w:space="0"/>
              <w:bottom w:val="single" w:color="auto" w:sz="4" w:space="0"/>
              <w:righ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301" w:name="_Toc323463193"/>
            <w:bookmarkStart w:id="302" w:name="_Toc311039346"/>
            <w:bookmarkStart w:id="303" w:name="_Toc323463219"/>
            <w:bookmarkStart w:id="304" w:name="_Toc311039349"/>
            <w:r>
              <w:rPr>
                <w:rFonts w:hint="eastAsia" w:asciiTheme="minorEastAsia" w:hAnsiTheme="minorEastAsia" w:eastAsiaTheme="minorEastAsia" w:cstheme="minorEastAsia"/>
                <w:snapToGrid w:val="0"/>
                <w:color w:val="000000"/>
                <w:spacing w:val="-1"/>
                <w:kern w:val="0"/>
                <w:sz w:val="24"/>
                <w:szCs w:val="24"/>
                <w:lang w:val="en-US" w:eastAsia="en-US" w:bidi="ar-SA"/>
              </w:rPr>
              <w:t>标引序号</w:t>
            </w:r>
          </w:p>
        </w:tc>
        <w:tc>
          <w:tcPr>
            <w:tcW w:w="2694" w:type="dxa"/>
            <w:tcBorders>
              <w:lef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l</w:t>
            </w:r>
          </w:p>
        </w:tc>
        <w:tc>
          <w:tcPr>
            <w:tcW w:w="2693"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2693" w:type="dxa"/>
            <w:tcBorders>
              <w:top w:val="single" w:color="auto" w:sz="4" w:space="0"/>
              <w:bottom w:val="single" w:color="auto" w:sz="4" w:space="0"/>
              <w:righ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 xml:space="preserve">大型载客汽车  </w:t>
            </w:r>
          </w:p>
        </w:tc>
        <w:tc>
          <w:tcPr>
            <w:tcW w:w="2694" w:type="dxa"/>
            <w:tcBorders>
              <w:left w:val="single" w:color="auto" w:sz="8" w:space="0"/>
            </w:tcBorders>
            <w:noWrap w:val="0"/>
            <w:vAlign w:val="center"/>
          </w:tcPr>
          <w:p>
            <w:pPr>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≥1.5倍车长</w:t>
            </w:r>
          </w:p>
        </w:tc>
        <w:tc>
          <w:tcPr>
            <w:tcW w:w="2693"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轴距加0.5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2693" w:type="dxa"/>
            <w:tcBorders>
              <w:top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半挂汽车列车</w:t>
            </w:r>
          </w:p>
        </w:tc>
        <w:tc>
          <w:tcPr>
            <w:tcW w:w="2694" w:type="dxa"/>
            <w:tcBorders>
              <w:lef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≥1.5倍车长</w:t>
            </w:r>
          </w:p>
        </w:tc>
        <w:tc>
          <w:tcPr>
            <w:tcW w:w="2693"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前轴距加4.0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2693" w:type="dxa"/>
            <w:tcBorders>
              <w:top w:val="single" w:color="auto" w:sz="4" w:space="0"/>
              <w:bottom w:val="single" w:color="auto" w:sz="4" w:space="0"/>
              <w:righ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中型载客汽车</w:t>
            </w:r>
          </w:p>
        </w:tc>
        <w:tc>
          <w:tcPr>
            <w:tcW w:w="2694" w:type="dxa"/>
            <w:tcBorders>
              <w:lef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≥1.5倍车长</w:t>
            </w:r>
          </w:p>
        </w:tc>
        <w:tc>
          <w:tcPr>
            <w:tcW w:w="2693"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轴距加0.8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2693" w:type="dxa"/>
            <w:tcBorders>
              <w:top w:val="single" w:color="auto" w:sz="4" w:space="0"/>
              <w:bottom w:val="single" w:color="auto" w:sz="4" w:space="0"/>
              <w:righ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重型载货汽车、轻型牵引挂车</w:t>
            </w:r>
          </w:p>
        </w:tc>
        <w:tc>
          <w:tcPr>
            <w:tcW w:w="2694" w:type="dxa"/>
            <w:tcBorders>
              <w:lef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≥13.5</w:t>
            </w:r>
          </w:p>
        </w:tc>
        <w:tc>
          <w:tcPr>
            <w:tcW w:w="2693"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5.7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2693" w:type="dxa"/>
            <w:tcBorders>
              <w:top w:val="single" w:color="auto" w:sz="4" w:space="0"/>
              <w:bottom w:val="single" w:color="auto" w:sz="4" w:space="0"/>
              <w:righ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 xml:space="preserve">小型载客汽车 </w:t>
            </w:r>
          </w:p>
        </w:tc>
        <w:tc>
          <w:tcPr>
            <w:tcW w:w="2694" w:type="dxa"/>
            <w:tcBorders>
              <w:lef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≥6.8</w:t>
            </w:r>
          </w:p>
        </w:tc>
        <w:tc>
          <w:tcPr>
            <w:tcW w:w="2693"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2693" w:type="dxa"/>
            <w:tcBorders>
              <w:top w:val="single" w:color="auto" w:sz="4" w:space="0"/>
              <w:bottom w:val="single" w:color="auto" w:sz="4" w:space="0"/>
              <w:righ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轻型载货汽车</w:t>
            </w:r>
          </w:p>
        </w:tc>
        <w:tc>
          <w:tcPr>
            <w:tcW w:w="2694" w:type="dxa"/>
            <w:tcBorders>
              <w:lef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≥7.5</w:t>
            </w:r>
          </w:p>
        </w:tc>
        <w:tc>
          <w:tcPr>
            <w:tcW w:w="2693"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4.0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2693" w:type="dxa"/>
            <w:tcBorders>
              <w:top w:val="single" w:color="auto" w:sz="4" w:space="0"/>
              <w:bottom w:val="single" w:color="auto" w:sz="4" w:space="0"/>
              <w:righ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低速载货汽车</w:t>
            </w:r>
          </w:p>
        </w:tc>
        <w:tc>
          <w:tcPr>
            <w:tcW w:w="2694" w:type="dxa"/>
            <w:tcBorders>
              <w:lef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≥1.5倍车长</w:t>
            </w:r>
          </w:p>
        </w:tc>
        <w:tc>
          <w:tcPr>
            <w:tcW w:w="2693" w:type="dxa"/>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轴距加1.0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2693" w:type="dxa"/>
            <w:tcBorders>
              <w:top w:val="single" w:color="auto" w:sz="4" w:space="0"/>
              <w:bottom w:val="single" w:color="auto" w:sz="8" w:space="0"/>
              <w:righ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允许偏差</w:t>
            </w:r>
          </w:p>
        </w:tc>
        <w:tc>
          <w:tcPr>
            <w:tcW w:w="2694" w:type="dxa"/>
            <w:tcBorders>
              <w:left w:val="single" w:color="auto" w:sz="8" w:space="0"/>
            </w:tcBorders>
            <w:noWrap w:val="0"/>
            <w:vAlign w:val="center"/>
          </w:tcPr>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p>
        </w:tc>
        <w:tc>
          <w:tcPr>
            <w:tcW w:w="2693"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±0.05</w:t>
            </w:r>
          </w:p>
        </w:tc>
      </w:tr>
    </w:tbl>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（7）通过单边桥</w:t>
      </w:r>
      <w:bookmarkEnd w:id="301"/>
      <w:bookmarkEnd w:id="302"/>
      <w:bookmarkStart w:id="305" w:name="_Toc323463194"/>
      <w:bookmarkStart w:id="306" w:name="_Toc323462143"/>
      <w:bookmarkStart w:id="307" w:name="_Toc315425028"/>
      <w:bookmarkStart w:id="308" w:name="_Toc322207153"/>
      <w:bookmarkStart w:id="309" w:name="_Toc317578310"/>
      <w:r>
        <w:rPr>
          <w:rFonts w:hint="eastAsia" w:asciiTheme="minorEastAsia" w:hAnsiTheme="minorEastAsia" w:eastAsiaTheme="minorEastAsia" w:cstheme="minorEastAsia"/>
          <w:snapToGrid w:val="0"/>
          <w:color w:val="000000"/>
          <w:spacing w:val="-1"/>
          <w:kern w:val="0"/>
          <w:sz w:val="24"/>
          <w:szCs w:val="24"/>
          <w:lang w:val="en-US" w:eastAsia="en-US" w:bidi="ar-SA"/>
        </w:rPr>
        <w:drawing>
          <wp:anchor distT="0" distB="0" distL="114300" distR="114300" simplePos="0" relativeHeight="251666432" behindDoc="0" locked="0" layoutInCell="1" allowOverlap="1">
            <wp:simplePos x="0" y="0"/>
            <wp:positionH relativeFrom="column">
              <wp:posOffset>189230</wp:posOffset>
            </wp:positionH>
            <wp:positionV relativeFrom="paragraph">
              <wp:posOffset>388620</wp:posOffset>
            </wp:positionV>
            <wp:extent cx="5448300" cy="996950"/>
            <wp:effectExtent l="0" t="0" r="0" b="12700"/>
            <wp:wrapTopAndBottom/>
            <wp:docPr id="17" name="大车单边桥.jpg"/>
            <wp:cNvGraphicFramePr/>
            <a:graphic xmlns:a="http://schemas.openxmlformats.org/drawingml/2006/main">
              <a:graphicData uri="http://schemas.openxmlformats.org/drawingml/2006/picture">
                <pic:pic xmlns:pic="http://schemas.openxmlformats.org/drawingml/2006/picture">
                  <pic:nvPicPr>
                    <pic:cNvPr id="17" name="大车单边桥.jpg"/>
                    <pic:cNvPicPr/>
                  </pic:nvPicPr>
                  <pic:blipFill>
                    <a:blip r:embed="rId26"/>
                    <a:srcRect l="694" t="11508" b="57341"/>
                    <a:stretch>
                      <a:fillRect/>
                    </a:stretch>
                  </pic:blipFill>
                  <pic:spPr>
                    <a:xfrm>
                      <a:off x="0" y="0"/>
                      <a:ext cx="5448300" cy="996950"/>
                    </a:xfrm>
                    <a:prstGeom prst="rect">
                      <a:avLst/>
                    </a:prstGeom>
                    <a:noFill/>
                    <a:ln>
                      <a:noFill/>
                    </a:ln>
                  </pic:spPr>
                </pic:pic>
              </a:graphicData>
            </a:graphic>
          </wp:anchor>
        </w:drawing>
      </w:r>
      <w:bookmarkEnd w:id="305"/>
      <w:bookmarkEnd w:id="306"/>
      <w:bookmarkEnd w:id="307"/>
      <w:bookmarkEnd w:id="308"/>
      <w:bookmarkEnd w:id="309"/>
      <w:bookmarkStart w:id="310" w:name="_Toc322207154"/>
      <w:bookmarkStart w:id="311" w:name="_Toc323462144"/>
      <w:bookmarkStart w:id="312" w:name="_Toc323463195"/>
      <w:bookmarkStart w:id="313" w:name="_Toc317578311"/>
      <w:bookmarkStart w:id="314" w:name="_Toc315425029"/>
      <w:r>
        <w:rPr>
          <w:rFonts w:hint="eastAsia" w:asciiTheme="minorEastAsia" w:hAnsiTheme="minorEastAsia" w:eastAsiaTheme="minorEastAsia" w:cstheme="minorEastAsia"/>
          <w:snapToGrid w:val="0"/>
          <w:color w:val="000000"/>
          <w:spacing w:val="-1"/>
          <w:kern w:val="0"/>
          <w:sz w:val="24"/>
          <w:szCs w:val="24"/>
          <w:lang w:val="en-US" w:eastAsia="en-US" w:bidi="ar-SA"/>
        </w:rPr>
        <w:t>项目图形及设施应按图12设置, 项目尺寸应符合表11规定。桥面直角应进行倒角处理。</w:t>
      </w:r>
    </w:p>
    <w:p>
      <w:pPr>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a）俯视图</w:t>
      </w:r>
    </w:p>
    <w:p>
      <w:pPr>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drawing>
          <wp:anchor distT="0" distB="0" distL="114300" distR="114300" simplePos="0" relativeHeight="251667456" behindDoc="0" locked="0" layoutInCell="1" allowOverlap="1">
            <wp:simplePos x="0" y="0"/>
            <wp:positionH relativeFrom="column">
              <wp:posOffset>731520</wp:posOffset>
            </wp:positionH>
            <wp:positionV relativeFrom="paragraph">
              <wp:posOffset>0</wp:posOffset>
            </wp:positionV>
            <wp:extent cx="4578350" cy="850900"/>
            <wp:effectExtent l="0" t="0" r="12700" b="0"/>
            <wp:wrapTopAndBottom/>
            <wp:docPr id="11" name="图片 12"/>
            <wp:cNvGraphicFramePr/>
            <a:graphic xmlns:a="http://schemas.openxmlformats.org/drawingml/2006/main">
              <a:graphicData uri="http://schemas.openxmlformats.org/drawingml/2006/picture">
                <pic:pic xmlns:pic="http://schemas.openxmlformats.org/drawingml/2006/picture">
                  <pic:nvPicPr>
                    <pic:cNvPr id="11" name="图片 12"/>
                    <pic:cNvPicPr/>
                  </pic:nvPicPr>
                  <pic:blipFill>
                    <a:blip r:embed="rId27"/>
                    <a:srcRect b="-7199"/>
                    <a:stretch>
                      <a:fillRect/>
                    </a:stretch>
                  </pic:blipFill>
                  <pic:spPr>
                    <a:xfrm>
                      <a:off x="0" y="0"/>
                      <a:ext cx="4578350" cy="850900"/>
                    </a:xfrm>
                    <a:prstGeom prst="rect">
                      <a:avLst/>
                    </a:prstGeom>
                    <a:noFill/>
                    <a:ln>
                      <a:noFill/>
                    </a:ln>
                  </pic:spPr>
                </pic:pic>
              </a:graphicData>
            </a:graphic>
          </wp:anchor>
        </w:drawing>
      </w:r>
      <w:r>
        <w:rPr>
          <w:rFonts w:hint="eastAsia" w:asciiTheme="minorEastAsia" w:hAnsiTheme="minorEastAsia" w:eastAsiaTheme="minorEastAsia" w:cstheme="minorEastAsia"/>
          <w:snapToGrid w:val="0"/>
          <w:color w:val="000000"/>
          <w:spacing w:val="-1"/>
          <w:kern w:val="0"/>
          <w:sz w:val="24"/>
          <w:szCs w:val="24"/>
          <w:lang w:val="en-US" w:eastAsia="zh-CN" w:bidi="ar-SA"/>
        </w:rPr>
        <w:t xml:space="preserve">        b）桥体纵向截面图                           c）桥体横向截面图</w:t>
      </w:r>
    </w:p>
    <w:bookmarkEnd w:id="310"/>
    <w:bookmarkEnd w:id="311"/>
    <w:bookmarkEnd w:id="312"/>
    <w:bookmarkEnd w:id="313"/>
    <w:bookmarkEnd w:id="314"/>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315" w:name="_Toc315425039"/>
      <w:bookmarkStart w:id="316" w:name="_Toc317578321"/>
      <w:bookmarkStart w:id="317" w:name="_Toc322207164"/>
      <w:bookmarkStart w:id="318" w:name="_Toc323462153"/>
      <w:bookmarkStart w:id="319" w:name="_Toc323463204"/>
      <w:r>
        <w:rPr>
          <w:rFonts w:hint="eastAsia" w:asciiTheme="minorEastAsia" w:hAnsiTheme="minorEastAsia" w:eastAsiaTheme="minorEastAsia" w:cstheme="minorEastAsia"/>
          <w:snapToGrid w:val="0"/>
          <w:color w:val="000000"/>
          <w:spacing w:val="-1"/>
          <w:kern w:val="0"/>
          <w:sz w:val="24"/>
          <w:szCs w:val="24"/>
          <w:lang w:val="en-US" w:eastAsia="zh-CN" w:bidi="ar-SA"/>
        </w:rPr>
        <w:t>标引序号说明：</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d1 ——纵向间距；</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d2 ——错位间距；</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l1 ——桥面长；</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l2 ——斜坡长；</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 xml:space="preserve">b1 ——路宽； </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b2 ——桥面宽；</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h ——桥高。</w:t>
      </w:r>
    </w:p>
    <w:p>
      <w:pPr>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图12 通过单边桥</w:t>
      </w:r>
      <w:bookmarkEnd w:id="315"/>
      <w:bookmarkEnd w:id="316"/>
      <w:bookmarkEnd w:id="317"/>
      <w:r>
        <w:rPr>
          <w:rFonts w:hint="eastAsia" w:asciiTheme="minorEastAsia" w:hAnsiTheme="minorEastAsia" w:eastAsiaTheme="minorEastAsia" w:cstheme="minorEastAsia"/>
          <w:snapToGrid w:val="0"/>
          <w:color w:val="000000"/>
          <w:spacing w:val="-1"/>
          <w:kern w:val="0"/>
          <w:sz w:val="24"/>
          <w:szCs w:val="24"/>
          <w:lang w:val="en-US" w:eastAsia="zh-CN" w:bidi="ar-SA"/>
        </w:rPr>
        <w:t>项目图形</w:t>
      </w:r>
      <w:bookmarkEnd w:id="318"/>
      <w:bookmarkEnd w:id="319"/>
      <w:r>
        <w:rPr>
          <w:rFonts w:hint="eastAsia" w:asciiTheme="minorEastAsia" w:hAnsiTheme="minorEastAsia" w:eastAsiaTheme="minorEastAsia" w:cstheme="minorEastAsia"/>
          <w:snapToGrid w:val="0"/>
          <w:color w:val="000000"/>
          <w:spacing w:val="-1"/>
          <w:kern w:val="0"/>
          <w:sz w:val="24"/>
          <w:szCs w:val="24"/>
          <w:lang w:val="en-US" w:eastAsia="zh-CN" w:bidi="ar-SA"/>
        </w:rPr>
        <w:t>及设施</w:t>
      </w:r>
    </w:p>
    <w:p>
      <w:pPr>
        <w:pStyle w:val="38"/>
        <w:spacing w:beforeLines="0" w:afterLines="0" w:line="440" w:lineRule="exact"/>
        <w:ind w:firstLine="1666" w:firstLineChars="7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表11通过单边桥项目尺寸</w:t>
      </w:r>
    </w:p>
    <w:p>
      <w:pPr>
        <w:pStyle w:val="35"/>
        <w:spacing w:line="440" w:lineRule="exact"/>
        <w:ind w:firstLine="560"/>
        <w:jc w:val="right"/>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单位为米</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4"/>
        <w:gridCol w:w="1196"/>
        <w:gridCol w:w="1197"/>
        <w:gridCol w:w="698"/>
        <w:gridCol w:w="698"/>
        <w:gridCol w:w="700"/>
        <w:gridCol w:w="698"/>
        <w:gridCol w:w="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2414" w:type="dxa"/>
            <w:tcBorders>
              <w:top w:val="single" w:color="auto" w:sz="8" w:space="0"/>
              <w:left w:val="single" w:color="auto" w:sz="8"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标引序号</w:t>
            </w:r>
          </w:p>
        </w:tc>
        <w:tc>
          <w:tcPr>
            <w:tcW w:w="1196" w:type="dxa"/>
            <w:tcBorders>
              <w:top w:val="single" w:color="auto" w:sz="8" w:space="0"/>
              <w:left w:val="single" w:color="auto" w:sz="8"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d1</w:t>
            </w:r>
          </w:p>
        </w:tc>
        <w:tc>
          <w:tcPr>
            <w:tcW w:w="1197" w:type="dxa"/>
            <w:tcBorders>
              <w:top w:val="single" w:color="auto" w:sz="8"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d2</w:t>
            </w:r>
          </w:p>
        </w:tc>
        <w:tc>
          <w:tcPr>
            <w:tcW w:w="698" w:type="dxa"/>
            <w:tcBorders>
              <w:top w:val="single" w:color="auto" w:sz="8"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b1</w:t>
            </w:r>
          </w:p>
        </w:tc>
        <w:tc>
          <w:tcPr>
            <w:tcW w:w="698" w:type="dxa"/>
            <w:tcBorders>
              <w:top w:val="single" w:color="auto" w:sz="8"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h</w:t>
            </w:r>
          </w:p>
        </w:tc>
        <w:tc>
          <w:tcPr>
            <w:tcW w:w="700" w:type="dxa"/>
            <w:tcBorders>
              <w:top w:val="single" w:color="auto" w:sz="8"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b2</w:t>
            </w:r>
          </w:p>
        </w:tc>
        <w:tc>
          <w:tcPr>
            <w:tcW w:w="698" w:type="dxa"/>
            <w:tcBorders>
              <w:top w:val="single" w:color="auto" w:sz="8"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l1</w:t>
            </w:r>
          </w:p>
        </w:tc>
        <w:tc>
          <w:tcPr>
            <w:tcW w:w="699" w:type="dxa"/>
            <w:tcBorders>
              <w:top w:val="single" w:color="auto" w:sz="8" w:space="0"/>
              <w:left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l2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2414" w:type="dxa"/>
            <w:tcBorders>
              <w:top w:val="single" w:color="auto" w:sz="4" w:space="0"/>
              <w:left w:val="single" w:color="auto" w:sz="8"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大型载客汽车</w:t>
            </w:r>
          </w:p>
        </w:tc>
        <w:tc>
          <w:tcPr>
            <w:tcW w:w="1196" w:type="dxa"/>
            <w:tcBorders>
              <w:top w:val="single" w:color="auto" w:sz="4" w:space="0"/>
              <w:left w:val="single" w:color="auto" w:sz="8"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2.5倍轴距</w:t>
            </w:r>
          </w:p>
        </w:tc>
        <w:tc>
          <w:tcPr>
            <w:tcW w:w="119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前轮距加1.0</w:t>
            </w:r>
          </w:p>
        </w:tc>
        <w:tc>
          <w:tcPr>
            <w:tcW w:w="698" w:type="dxa"/>
            <w:vMerge w:val="restart"/>
            <w:tcBorders>
              <w:top w:val="single" w:color="auto" w:sz="4" w:space="0"/>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≥4.5</w:t>
            </w:r>
          </w:p>
        </w:tc>
        <w:tc>
          <w:tcPr>
            <w:tcW w:w="698" w:type="dxa"/>
            <w:vMerge w:val="restart"/>
            <w:tcBorders>
              <w:top w:val="single" w:color="auto" w:sz="4" w:space="0"/>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0.07～0.12</w:t>
            </w:r>
          </w:p>
        </w:tc>
        <w:tc>
          <w:tcPr>
            <w:tcW w:w="700" w:type="dxa"/>
            <w:vMerge w:val="restart"/>
            <w:tcBorders>
              <w:top w:val="single" w:color="auto" w:sz="4" w:space="0"/>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0.2</w:t>
            </w:r>
          </w:p>
        </w:tc>
        <w:tc>
          <w:tcPr>
            <w:tcW w:w="698" w:type="dxa"/>
            <w:vMerge w:val="restart"/>
            <w:tcBorders>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1.5倍轴距</w:t>
            </w:r>
          </w:p>
        </w:tc>
        <w:tc>
          <w:tcPr>
            <w:tcW w:w="699" w:type="dxa"/>
            <w:vMerge w:val="restart"/>
            <w:tcBorders>
              <w:left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0.5～1.7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2414" w:type="dxa"/>
            <w:tcBorders>
              <w:top w:val="single" w:color="auto" w:sz="4" w:space="0"/>
              <w:left w:val="single" w:color="auto" w:sz="8"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半挂汽车列车</w:t>
            </w:r>
          </w:p>
        </w:tc>
        <w:tc>
          <w:tcPr>
            <w:tcW w:w="1196" w:type="dxa"/>
            <w:tcBorders>
              <w:top w:val="single" w:color="auto" w:sz="4" w:space="0"/>
              <w:left w:val="single" w:color="auto" w:sz="8"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2倍轴距</w:t>
            </w:r>
          </w:p>
        </w:tc>
        <w:tc>
          <w:tcPr>
            <w:tcW w:w="119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前轮距加1.0</w:t>
            </w:r>
          </w:p>
        </w:tc>
        <w:tc>
          <w:tcPr>
            <w:tcW w:w="698" w:type="dxa"/>
            <w:vMerge w:val="continue"/>
            <w:tcBorders>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698" w:type="dxa"/>
            <w:vMerge w:val="continue"/>
            <w:tcBorders>
              <w:top w:val="single" w:color="auto" w:sz="4" w:space="0"/>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700" w:type="dxa"/>
            <w:vMerge w:val="continue"/>
            <w:tcBorders>
              <w:top w:val="single" w:color="auto" w:sz="4" w:space="0"/>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698" w:type="dxa"/>
            <w:vMerge w:val="continue"/>
            <w:tcBorders>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699" w:type="dxa"/>
            <w:vMerge w:val="continue"/>
            <w:tcBorders>
              <w:left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2414" w:type="dxa"/>
            <w:tcBorders>
              <w:top w:val="single" w:color="auto" w:sz="4" w:space="0"/>
              <w:left w:val="single" w:color="auto" w:sz="8"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中型载客汽车</w:t>
            </w:r>
          </w:p>
        </w:tc>
        <w:tc>
          <w:tcPr>
            <w:tcW w:w="1196" w:type="dxa"/>
            <w:tcBorders>
              <w:top w:val="single" w:color="auto" w:sz="4" w:space="0"/>
              <w:left w:val="single" w:color="auto" w:sz="8"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2.5倍轴距</w:t>
            </w:r>
          </w:p>
        </w:tc>
        <w:tc>
          <w:tcPr>
            <w:tcW w:w="119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前轮距加1.0</w:t>
            </w:r>
          </w:p>
        </w:tc>
        <w:tc>
          <w:tcPr>
            <w:tcW w:w="698" w:type="dxa"/>
            <w:vMerge w:val="continue"/>
            <w:tcBorders>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698"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700"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698"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699" w:type="dxa"/>
            <w:vMerge w:val="continue"/>
            <w:tcBorders>
              <w:left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2414" w:type="dxa"/>
            <w:tcBorders>
              <w:top w:val="single" w:color="auto" w:sz="4" w:space="0"/>
              <w:left w:val="single" w:color="auto" w:sz="8"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重型载货汽车</w:t>
            </w:r>
          </w:p>
        </w:tc>
        <w:tc>
          <w:tcPr>
            <w:tcW w:w="1196" w:type="dxa"/>
            <w:tcBorders>
              <w:top w:val="single" w:color="auto" w:sz="4" w:space="0"/>
              <w:left w:val="single" w:color="auto" w:sz="8"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2.5倍轴距</w:t>
            </w:r>
          </w:p>
        </w:tc>
        <w:tc>
          <w:tcPr>
            <w:tcW w:w="1197" w:type="dxa"/>
            <w:tcBorders>
              <w:top w:val="single" w:color="auto" w:sz="4" w:space="0"/>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前轮距加1.0</w:t>
            </w:r>
          </w:p>
        </w:tc>
        <w:tc>
          <w:tcPr>
            <w:tcW w:w="698" w:type="dxa"/>
            <w:vMerge w:val="continue"/>
            <w:tcBorders>
              <w:left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698"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700"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698"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699" w:type="dxa"/>
            <w:vMerge w:val="continue"/>
            <w:tcBorders>
              <w:left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2414" w:type="dxa"/>
            <w:tcBorders>
              <w:top w:val="single" w:color="auto" w:sz="4" w:space="0"/>
              <w:left w:val="single" w:color="auto" w:sz="8" w:space="0"/>
              <w:bottom w:val="single" w:color="auto" w:sz="8"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允许偏差</w:t>
            </w:r>
          </w:p>
        </w:tc>
        <w:tc>
          <w:tcPr>
            <w:tcW w:w="1196" w:type="dxa"/>
            <w:tcBorders>
              <w:top w:val="single" w:color="auto" w:sz="4" w:space="0"/>
              <w:left w:val="single" w:color="auto" w:sz="8" w:space="0"/>
              <w:bottom w:val="single" w:color="auto" w:sz="8"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w:t>
            </w:r>
          </w:p>
        </w:tc>
        <w:tc>
          <w:tcPr>
            <w:tcW w:w="1197" w:type="dxa"/>
            <w:tcBorders>
              <w:top w:val="single" w:color="auto" w:sz="4" w:space="0"/>
              <w:left w:val="single" w:color="auto" w:sz="4" w:space="0"/>
              <w:bottom w:val="single" w:color="auto" w:sz="8"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±0.05</w:t>
            </w:r>
          </w:p>
        </w:tc>
        <w:tc>
          <w:tcPr>
            <w:tcW w:w="698" w:type="dxa"/>
            <w:tcBorders>
              <w:top w:val="single" w:color="auto" w:sz="4" w:space="0"/>
              <w:left w:val="single" w:color="auto" w:sz="4" w:space="0"/>
              <w:bottom w:val="single" w:color="auto" w:sz="8"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p>
        </w:tc>
        <w:tc>
          <w:tcPr>
            <w:tcW w:w="698" w:type="dxa"/>
            <w:tcBorders>
              <w:top w:val="single" w:color="auto" w:sz="4" w:space="0"/>
              <w:left w:val="single" w:color="auto" w:sz="4" w:space="0"/>
              <w:bottom w:val="single" w:color="auto" w:sz="8" w:space="0"/>
              <w:right w:val="single" w:color="auto" w:sz="4" w:space="0"/>
            </w:tcBorders>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p>
        </w:tc>
        <w:tc>
          <w:tcPr>
            <w:tcW w:w="700" w:type="dxa"/>
            <w:tcBorders>
              <w:top w:val="single" w:color="auto" w:sz="4" w:space="0"/>
              <w:left w:val="single" w:color="auto" w:sz="4" w:space="0"/>
              <w:bottom w:val="single" w:color="auto" w:sz="8"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±0.01</w:t>
            </w:r>
          </w:p>
        </w:tc>
        <w:tc>
          <w:tcPr>
            <w:tcW w:w="698" w:type="dxa"/>
            <w:tcBorders>
              <w:top w:val="single" w:color="auto" w:sz="4" w:space="0"/>
              <w:left w:val="single" w:color="auto" w:sz="4" w:space="0"/>
              <w:bottom w:val="single" w:color="auto" w:sz="8"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w:t>
            </w:r>
          </w:p>
        </w:tc>
        <w:tc>
          <w:tcPr>
            <w:tcW w:w="699" w:type="dxa"/>
            <w:tcBorders>
              <w:top w:val="single" w:color="auto" w:sz="4" w:space="0"/>
              <w:left w:val="single" w:color="auto" w:sz="4" w:space="0"/>
              <w:bottom w:val="single" w:color="auto" w:sz="8"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p>
        </w:tc>
      </w:tr>
    </w:tbl>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（8）通过限宽门</w:t>
      </w:r>
      <w:bookmarkEnd w:id="303"/>
      <w:bookmarkEnd w:id="304"/>
      <w:bookmarkStart w:id="320" w:name="_Toc323462169"/>
      <w:bookmarkStart w:id="321" w:name="_Toc315425155"/>
      <w:bookmarkStart w:id="322" w:name="_Toc323463220"/>
      <w:bookmarkStart w:id="323" w:name="_Toc322207279"/>
      <w:bookmarkStart w:id="324" w:name="_Toc317578438"/>
      <w:r>
        <w:rPr>
          <w:rFonts w:hint="eastAsia" w:asciiTheme="minorEastAsia" w:hAnsiTheme="minorEastAsia" w:eastAsiaTheme="minorEastAsia" w:cstheme="minorEastAsia"/>
          <w:snapToGrid w:val="0"/>
          <w:color w:val="000000"/>
          <w:spacing w:val="-1"/>
          <w:kern w:val="0"/>
          <w:sz w:val="24"/>
          <w:szCs w:val="24"/>
          <w:lang w:val="en-US" w:eastAsia="en-US" w:bidi="ar-SA"/>
        </w:rPr>
        <w:drawing>
          <wp:anchor distT="0" distB="0" distL="114300" distR="114300" simplePos="0" relativeHeight="251668480" behindDoc="0" locked="0" layoutInCell="1" allowOverlap="1">
            <wp:simplePos x="0" y="0"/>
            <wp:positionH relativeFrom="column">
              <wp:posOffset>306070</wp:posOffset>
            </wp:positionH>
            <wp:positionV relativeFrom="paragraph">
              <wp:posOffset>250190</wp:posOffset>
            </wp:positionV>
            <wp:extent cx="5378450" cy="1308100"/>
            <wp:effectExtent l="0" t="0" r="12700" b="6350"/>
            <wp:wrapTopAndBottom/>
            <wp:docPr id="12" name="限宽门.jpg"/>
            <wp:cNvGraphicFramePr/>
            <a:graphic xmlns:a="http://schemas.openxmlformats.org/drawingml/2006/main">
              <a:graphicData uri="http://schemas.openxmlformats.org/drawingml/2006/picture">
                <pic:pic xmlns:pic="http://schemas.openxmlformats.org/drawingml/2006/picture">
                  <pic:nvPicPr>
                    <pic:cNvPr id="12" name="限宽门.jpg"/>
                    <pic:cNvPicPr/>
                  </pic:nvPicPr>
                  <pic:blipFill>
                    <a:blip r:embed="rId28"/>
                    <a:srcRect l="-2" t="30157" r="1968" b="28969"/>
                    <a:stretch>
                      <a:fillRect/>
                    </a:stretch>
                  </pic:blipFill>
                  <pic:spPr>
                    <a:xfrm>
                      <a:off x="0" y="0"/>
                      <a:ext cx="5378450" cy="1308100"/>
                    </a:xfrm>
                    <a:prstGeom prst="rect">
                      <a:avLst/>
                    </a:prstGeom>
                    <a:noFill/>
                    <a:ln>
                      <a:noFill/>
                    </a:ln>
                  </pic:spPr>
                </pic:pic>
              </a:graphicData>
            </a:graphic>
          </wp:anchor>
        </w:drawing>
      </w:r>
      <w:r>
        <w:rPr>
          <w:rFonts w:hint="eastAsia" w:asciiTheme="minorEastAsia" w:hAnsiTheme="minorEastAsia" w:eastAsiaTheme="minorEastAsia" w:cstheme="minorEastAsia"/>
          <w:snapToGrid w:val="0"/>
          <w:color w:val="000000"/>
          <w:spacing w:val="-1"/>
          <w:kern w:val="0"/>
          <w:sz w:val="24"/>
          <w:szCs w:val="24"/>
          <w:lang w:val="en-US" w:eastAsia="en-US" w:bidi="ar-SA"/>
        </w:rPr>
        <w:t>通过限宽门项目图形及设施</w:t>
      </w:r>
      <w:bookmarkEnd w:id="320"/>
      <w:bookmarkEnd w:id="321"/>
      <w:bookmarkEnd w:id="322"/>
      <w:bookmarkEnd w:id="323"/>
      <w:bookmarkEnd w:id="324"/>
      <w:r>
        <w:rPr>
          <w:rFonts w:hint="eastAsia" w:asciiTheme="minorEastAsia" w:hAnsiTheme="minorEastAsia" w:eastAsiaTheme="minorEastAsia" w:cstheme="minorEastAsia"/>
          <w:snapToGrid w:val="0"/>
          <w:color w:val="000000"/>
          <w:spacing w:val="-1"/>
          <w:kern w:val="0"/>
          <w:sz w:val="24"/>
          <w:szCs w:val="24"/>
          <w:lang w:val="en-US" w:eastAsia="en-US" w:bidi="ar-SA"/>
        </w:rPr>
        <w:t>应按图14设置,项目尺寸应符合表13规定。</w:t>
      </w:r>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标引序号说明：</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b1 ——路宽；</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b2 ——门宽；</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d ——门间距；</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○——桩杆。</w:t>
      </w:r>
    </w:p>
    <w:p>
      <w:pPr>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325" w:name="_Toc315425164"/>
      <w:bookmarkStart w:id="326" w:name="_Toc317578447"/>
      <w:bookmarkStart w:id="327" w:name="_Toc322207288"/>
      <w:bookmarkStart w:id="328" w:name="_Toc323462177"/>
      <w:bookmarkStart w:id="329" w:name="_Toc323463228"/>
      <w:r>
        <w:rPr>
          <w:rFonts w:hint="eastAsia" w:asciiTheme="minorEastAsia" w:hAnsiTheme="minorEastAsia" w:eastAsiaTheme="minorEastAsia" w:cstheme="minorEastAsia"/>
          <w:snapToGrid w:val="0"/>
          <w:color w:val="000000"/>
          <w:spacing w:val="-1"/>
          <w:kern w:val="0"/>
          <w:sz w:val="24"/>
          <w:szCs w:val="24"/>
          <w:lang w:val="en-US" w:eastAsia="zh-CN" w:bidi="ar-SA"/>
        </w:rPr>
        <w:t>图14 通过限宽门项目</w:t>
      </w:r>
      <w:bookmarkEnd w:id="325"/>
      <w:bookmarkEnd w:id="326"/>
      <w:bookmarkEnd w:id="327"/>
      <w:r>
        <w:rPr>
          <w:rFonts w:hint="eastAsia" w:asciiTheme="minorEastAsia" w:hAnsiTheme="minorEastAsia" w:eastAsiaTheme="minorEastAsia" w:cstheme="minorEastAsia"/>
          <w:snapToGrid w:val="0"/>
          <w:color w:val="000000"/>
          <w:spacing w:val="-1"/>
          <w:kern w:val="0"/>
          <w:sz w:val="24"/>
          <w:szCs w:val="24"/>
          <w:lang w:val="en-US" w:eastAsia="zh-CN" w:bidi="ar-SA"/>
        </w:rPr>
        <w:t>图形</w:t>
      </w:r>
      <w:bookmarkEnd w:id="328"/>
      <w:bookmarkEnd w:id="329"/>
      <w:r>
        <w:rPr>
          <w:rFonts w:hint="eastAsia" w:asciiTheme="minorEastAsia" w:hAnsiTheme="minorEastAsia" w:eastAsiaTheme="minorEastAsia" w:cstheme="minorEastAsia"/>
          <w:snapToGrid w:val="0"/>
          <w:color w:val="000000"/>
          <w:spacing w:val="-1"/>
          <w:kern w:val="0"/>
          <w:sz w:val="24"/>
          <w:szCs w:val="24"/>
          <w:lang w:val="en-US" w:eastAsia="zh-CN" w:bidi="ar-SA"/>
        </w:rPr>
        <w:t>及设施</w:t>
      </w:r>
    </w:p>
    <w:p>
      <w:pPr>
        <w:pStyle w:val="38"/>
        <w:spacing w:beforeLines="0" w:afterLines="0" w:line="440" w:lineRule="exact"/>
        <w:ind w:firstLine="1666" w:firstLineChars="7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表13  通过限宽门项目尺寸</w:t>
      </w:r>
    </w:p>
    <w:p>
      <w:pPr>
        <w:pStyle w:val="35"/>
        <w:spacing w:line="440" w:lineRule="exact"/>
        <w:ind w:firstLine="560"/>
        <w:jc w:val="right"/>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单位为米</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0"/>
        <w:gridCol w:w="1793"/>
        <w:gridCol w:w="1793"/>
        <w:gridCol w:w="1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trPr>
        <w:tc>
          <w:tcPr>
            <w:tcW w:w="2780" w:type="dxa"/>
            <w:tcBorders>
              <w:top w:val="single" w:color="auto" w:sz="8" w:space="0"/>
              <w:left w:val="single" w:color="auto" w:sz="8"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标引序号</w:t>
            </w:r>
          </w:p>
        </w:tc>
        <w:tc>
          <w:tcPr>
            <w:tcW w:w="1793" w:type="dxa"/>
            <w:tcBorders>
              <w:top w:val="single" w:color="auto" w:sz="8" w:space="0"/>
              <w:left w:val="single" w:color="auto" w:sz="8"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l</w:t>
            </w:r>
          </w:p>
        </w:tc>
        <w:tc>
          <w:tcPr>
            <w:tcW w:w="1793" w:type="dxa"/>
            <w:tcBorders>
              <w:top w:val="single" w:color="auto" w:sz="8"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b1</w:t>
            </w:r>
          </w:p>
        </w:tc>
        <w:tc>
          <w:tcPr>
            <w:tcW w:w="1794" w:type="dxa"/>
            <w:tcBorders>
              <w:top w:val="single" w:color="auto" w:sz="8" w:space="0"/>
              <w:left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2780" w:type="dxa"/>
            <w:tcBorders>
              <w:top w:val="single" w:color="auto" w:sz="4" w:space="0"/>
              <w:left w:val="single" w:color="auto" w:sz="8"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大型载客汽车、重型载货汽车</w:t>
            </w:r>
          </w:p>
        </w:tc>
        <w:tc>
          <w:tcPr>
            <w:tcW w:w="1793" w:type="dxa"/>
            <w:tcBorders>
              <w:top w:val="single" w:color="auto" w:sz="4" w:space="0"/>
              <w:left w:val="single" w:color="auto" w:sz="8"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27.0</w:t>
            </w:r>
          </w:p>
        </w:tc>
        <w:tc>
          <w:tcPr>
            <w:tcW w:w="179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3.2</w:t>
            </w:r>
          </w:p>
        </w:tc>
        <w:tc>
          <w:tcPr>
            <w:tcW w:w="1794" w:type="dxa"/>
            <w:vMerge w:val="restart"/>
            <w:tcBorders>
              <w:top w:val="single" w:color="auto" w:sz="4" w:space="0"/>
              <w:left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2780" w:type="dxa"/>
            <w:tcBorders>
              <w:top w:val="single" w:color="auto" w:sz="4" w:space="0"/>
              <w:left w:val="single" w:color="auto" w:sz="8"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半挂汽车列车、中型载客汽车</w:t>
            </w:r>
          </w:p>
        </w:tc>
        <w:tc>
          <w:tcPr>
            <w:tcW w:w="1793" w:type="dxa"/>
            <w:tcBorders>
              <w:top w:val="single" w:color="auto" w:sz="4" w:space="0"/>
              <w:left w:val="single" w:color="auto" w:sz="8"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3倍车长</w:t>
            </w:r>
          </w:p>
        </w:tc>
        <w:tc>
          <w:tcPr>
            <w:tcW w:w="179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车宽加0.7</w:t>
            </w:r>
          </w:p>
        </w:tc>
        <w:tc>
          <w:tcPr>
            <w:tcW w:w="1794" w:type="dxa"/>
            <w:vMerge w:val="continue"/>
            <w:tcBorders>
              <w:top w:val="single" w:color="auto" w:sz="4" w:space="0"/>
              <w:left w:val="single" w:color="auto" w:sz="4" w:space="0"/>
              <w:bottom w:val="single" w:color="auto" w:sz="4"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 w:hRule="atLeast"/>
        </w:trPr>
        <w:tc>
          <w:tcPr>
            <w:tcW w:w="2780" w:type="dxa"/>
            <w:tcBorders>
              <w:top w:val="single" w:color="auto" w:sz="4" w:space="0"/>
              <w:left w:val="single" w:color="auto" w:sz="8" w:space="0"/>
              <w:bottom w:val="single" w:color="auto" w:sz="8"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允许偏差</w:t>
            </w:r>
          </w:p>
        </w:tc>
        <w:tc>
          <w:tcPr>
            <w:tcW w:w="1793" w:type="dxa"/>
            <w:tcBorders>
              <w:top w:val="single" w:color="auto" w:sz="4" w:space="0"/>
              <w:left w:val="single" w:color="auto" w:sz="8" w:space="0"/>
              <w:bottom w:val="single" w:color="auto" w:sz="8"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1.0</w:t>
            </w:r>
          </w:p>
        </w:tc>
        <w:tc>
          <w:tcPr>
            <w:tcW w:w="1793" w:type="dxa"/>
            <w:tcBorders>
              <w:top w:val="single" w:color="auto" w:sz="4" w:space="0"/>
              <w:left w:val="single" w:color="auto" w:sz="4" w:space="0"/>
              <w:bottom w:val="single" w:color="auto" w:sz="8" w:space="0"/>
              <w:right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±0.05</w:t>
            </w:r>
          </w:p>
        </w:tc>
        <w:tc>
          <w:tcPr>
            <w:tcW w:w="1794" w:type="dxa"/>
            <w:tcBorders>
              <w:top w:val="single" w:color="auto" w:sz="4" w:space="0"/>
              <w:left w:val="single" w:color="auto" w:sz="4" w:space="0"/>
              <w:bottom w:val="single" w:color="auto" w:sz="8" w:space="0"/>
              <w:right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±0.05</w:t>
            </w:r>
          </w:p>
        </w:tc>
      </w:tr>
    </w:tbl>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330" w:name="_Toc311039353"/>
      <w:bookmarkStart w:id="331" w:name="_Toc323463244"/>
      <w:r>
        <w:rPr>
          <w:rFonts w:hint="eastAsia" w:asciiTheme="minorEastAsia" w:hAnsiTheme="minorEastAsia" w:eastAsiaTheme="minorEastAsia" w:cstheme="minorEastAsia"/>
          <w:snapToGrid w:val="0"/>
          <w:color w:val="000000"/>
          <w:spacing w:val="-1"/>
          <w:kern w:val="0"/>
          <w:sz w:val="24"/>
          <w:szCs w:val="24"/>
          <w:lang w:val="en-US" w:eastAsia="en-US" w:bidi="ar-SA"/>
        </w:rPr>
        <w:t>（9）窄路掉头</w:t>
      </w:r>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窄路掉头图形应按图15设置，项目尺寸应符合表14规定。其中，车头驶抵方向侧向净空取值大于或等于2 m，车尾倒车方向侧向净空取值大于或等于4 m。</w:t>
      </w:r>
    </w:p>
    <w:bookmarkEnd w:id="330"/>
    <w:bookmarkEnd w:id="331"/>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332" w:name="_Toc322207325"/>
      <w:bookmarkStart w:id="333" w:name="_Toc315425203"/>
      <w:bookmarkStart w:id="334" w:name="_Toc317578486"/>
      <w:bookmarkStart w:id="335" w:name="_Toc323462194"/>
      <w:bookmarkStart w:id="336" w:name="_Toc323463245"/>
      <w:r>
        <w:rPr>
          <w:rFonts w:hint="eastAsia" w:asciiTheme="minorEastAsia" w:hAnsiTheme="minorEastAsia" w:eastAsiaTheme="minorEastAsia" w:cstheme="minorEastAsia"/>
          <w:snapToGrid w:val="0"/>
          <w:color w:val="000000"/>
          <w:spacing w:val="-1"/>
          <w:kern w:val="0"/>
          <w:sz w:val="24"/>
          <w:szCs w:val="24"/>
          <w:lang w:val="en-US" w:eastAsia="en-US" w:bidi="ar-SA"/>
        </w:rPr>
        <w:drawing>
          <wp:anchor distT="0" distB="0" distL="114300" distR="114300" simplePos="0" relativeHeight="251669504" behindDoc="0" locked="0" layoutInCell="1" allowOverlap="1">
            <wp:simplePos x="0" y="0"/>
            <wp:positionH relativeFrom="column">
              <wp:posOffset>807720</wp:posOffset>
            </wp:positionH>
            <wp:positionV relativeFrom="paragraph">
              <wp:posOffset>0</wp:posOffset>
            </wp:positionV>
            <wp:extent cx="4425950" cy="2101850"/>
            <wp:effectExtent l="0" t="0" r="12700" b="12700"/>
            <wp:wrapTopAndBottom/>
            <wp:docPr id="7" name="窄路掉头.jpg"/>
            <wp:cNvGraphicFramePr/>
            <a:graphic xmlns:a="http://schemas.openxmlformats.org/drawingml/2006/main">
              <a:graphicData uri="http://schemas.openxmlformats.org/drawingml/2006/picture">
                <pic:pic xmlns:pic="http://schemas.openxmlformats.org/drawingml/2006/picture">
                  <pic:nvPicPr>
                    <pic:cNvPr id="7" name="窄路掉头.jpg"/>
                    <pic:cNvPicPr/>
                  </pic:nvPicPr>
                  <pic:blipFill>
                    <a:blip r:embed="rId29"/>
                    <a:srcRect l="2084" t="8333" r="2779" b="8929"/>
                    <a:stretch>
                      <a:fillRect/>
                    </a:stretch>
                  </pic:blipFill>
                  <pic:spPr>
                    <a:xfrm>
                      <a:off x="0" y="0"/>
                      <a:ext cx="4425950" cy="2101850"/>
                    </a:xfrm>
                    <a:prstGeom prst="rect">
                      <a:avLst/>
                    </a:prstGeom>
                    <a:noFill/>
                    <a:ln>
                      <a:noFill/>
                    </a:ln>
                  </pic:spPr>
                </pic:pic>
              </a:graphicData>
            </a:graphic>
          </wp:anchor>
        </w:drawing>
      </w:r>
      <w:bookmarkEnd w:id="332"/>
      <w:bookmarkEnd w:id="333"/>
      <w:bookmarkEnd w:id="334"/>
      <w:bookmarkEnd w:id="335"/>
      <w:bookmarkEnd w:id="336"/>
      <w:r>
        <w:rPr>
          <w:rFonts w:hint="eastAsia" w:asciiTheme="minorEastAsia" w:hAnsiTheme="minorEastAsia" w:eastAsiaTheme="minorEastAsia" w:cstheme="minorEastAsia"/>
          <w:snapToGrid w:val="0"/>
          <w:color w:val="000000"/>
          <w:spacing w:val="-1"/>
          <w:kern w:val="0"/>
          <w:sz w:val="24"/>
          <w:szCs w:val="24"/>
          <w:lang w:val="en-US" w:eastAsia="zh-CN" w:bidi="ar-SA"/>
        </w:rPr>
        <w:t>标引序号说明：</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l ——路长；</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 ——路宽。</w:t>
      </w:r>
    </w:p>
    <w:p>
      <w:pPr>
        <w:spacing w:line="440" w:lineRule="exact"/>
        <w:ind w:firstLine="1190" w:firstLineChars="5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图15  窄路掉头项目图形</w:t>
      </w:r>
    </w:p>
    <w:p>
      <w:pPr>
        <w:pStyle w:val="38"/>
        <w:spacing w:beforeLines="0" w:afterLines="0" w:line="440" w:lineRule="exact"/>
        <w:ind w:firstLine="1428" w:firstLineChars="600"/>
        <w:jc w:val="both"/>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表14  窄路掉头项目尺寸</w:t>
      </w:r>
    </w:p>
    <w:p>
      <w:pPr>
        <w:pStyle w:val="35"/>
        <w:spacing w:line="440" w:lineRule="exact"/>
        <w:ind w:firstLine="560"/>
        <w:jc w:val="right"/>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单位为米</w:t>
      </w:r>
    </w:p>
    <w:tbl>
      <w:tblPr>
        <w:tblStyle w:val="17"/>
        <w:tblW w:w="0" w:type="auto"/>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1205"/>
        <w:gridCol w:w="1205"/>
        <w:gridCol w:w="1160"/>
        <w:gridCol w:w="1162"/>
        <w:gridCol w:w="1164"/>
        <w:gridCol w:w="116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1158" w:type="dxa"/>
            <w:vMerge w:val="restart"/>
            <w:tcBorders>
              <w:top w:val="single" w:color="auto" w:sz="8"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标引序号</w:t>
            </w:r>
          </w:p>
        </w:tc>
        <w:tc>
          <w:tcPr>
            <w:tcW w:w="2410" w:type="dxa"/>
            <w:gridSpan w:val="2"/>
            <w:tcBorders>
              <w:bottom w:val="single" w:color="auto" w:sz="4"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大型载客汽车</w:t>
            </w:r>
          </w:p>
        </w:tc>
        <w:tc>
          <w:tcPr>
            <w:tcW w:w="1160" w:type="dxa"/>
            <w:vMerge w:val="restart"/>
            <w:tcBorders>
              <w:top w:val="single" w:color="auto" w:sz="8"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半挂汽车列车</w:t>
            </w:r>
          </w:p>
        </w:tc>
        <w:tc>
          <w:tcPr>
            <w:tcW w:w="1162" w:type="dxa"/>
            <w:vMerge w:val="restart"/>
            <w:tcBorders>
              <w:top w:val="single" w:color="auto" w:sz="8"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中型载客客车</w:t>
            </w:r>
          </w:p>
        </w:tc>
        <w:tc>
          <w:tcPr>
            <w:tcW w:w="1164" w:type="dxa"/>
            <w:vMerge w:val="restart"/>
            <w:tcBorders>
              <w:top w:val="single" w:color="auto" w:sz="8"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重型载货汽车</w:t>
            </w:r>
          </w:p>
        </w:tc>
        <w:tc>
          <w:tcPr>
            <w:tcW w:w="1166" w:type="dxa"/>
            <w:vMerge w:val="restart"/>
            <w:tcBorders>
              <w:top w:val="single" w:color="auto" w:sz="8"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允许偏差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1158" w:type="dxa"/>
            <w:vMerge w:val="continue"/>
            <w:tcBorders>
              <w:top w:val="single" w:color="auto" w:sz="4"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1205" w:type="dxa"/>
            <w:tcBorders>
              <w:top w:val="single" w:color="auto" w:sz="4"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轴距＜4.5</w:t>
            </w:r>
          </w:p>
        </w:tc>
        <w:tc>
          <w:tcPr>
            <w:tcW w:w="1205" w:type="dxa"/>
            <w:tcBorders>
              <w:top w:val="single" w:color="auto" w:sz="4"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轴距≥4.5</w:t>
            </w:r>
          </w:p>
        </w:tc>
        <w:tc>
          <w:tcPr>
            <w:tcW w:w="1160" w:type="dxa"/>
            <w:vMerge w:val="continue"/>
            <w:tcBorders>
              <w:top w:val="single" w:color="auto" w:sz="4"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1162" w:type="dxa"/>
            <w:vMerge w:val="continue"/>
            <w:tcBorders>
              <w:top w:val="single" w:color="auto" w:sz="4"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1164" w:type="dxa"/>
            <w:vMerge w:val="continue"/>
            <w:tcBorders>
              <w:top w:val="single" w:color="auto" w:sz="4"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c>
          <w:tcPr>
            <w:tcW w:w="1166" w:type="dxa"/>
            <w:vMerge w:val="continue"/>
            <w:tcBorders>
              <w:top w:val="single" w:color="auto" w:sz="4" w:space="0"/>
              <w:bottom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1158" w:type="dxa"/>
            <w:tcBorders>
              <w:top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l</w:t>
            </w:r>
          </w:p>
        </w:tc>
        <w:tc>
          <w:tcPr>
            <w:tcW w:w="1205" w:type="dxa"/>
            <w:tcBorders>
              <w:top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≥20</w:t>
            </w:r>
          </w:p>
        </w:tc>
        <w:tc>
          <w:tcPr>
            <w:tcW w:w="1205" w:type="dxa"/>
            <w:tcBorders>
              <w:top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≥20</w:t>
            </w:r>
          </w:p>
        </w:tc>
        <w:tc>
          <w:tcPr>
            <w:tcW w:w="1160" w:type="dxa"/>
            <w:tcBorders>
              <w:top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≥30</w:t>
            </w:r>
          </w:p>
        </w:tc>
        <w:tc>
          <w:tcPr>
            <w:tcW w:w="1162" w:type="dxa"/>
            <w:tcBorders>
              <w:top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≥20</w:t>
            </w:r>
          </w:p>
        </w:tc>
        <w:tc>
          <w:tcPr>
            <w:tcW w:w="1164" w:type="dxa"/>
            <w:tcBorders>
              <w:top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≥20</w:t>
            </w:r>
          </w:p>
        </w:tc>
        <w:tc>
          <w:tcPr>
            <w:tcW w:w="1166" w:type="dxa"/>
            <w:tcBorders>
              <w:top w:val="single" w:color="auto" w:sz="8" w:space="0"/>
            </w:tcBorders>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5" w:hRule="atLeast"/>
        </w:trPr>
        <w:tc>
          <w:tcPr>
            <w:tcW w:w="1158"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b</w:t>
            </w:r>
          </w:p>
        </w:tc>
        <w:tc>
          <w:tcPr>
            <w:tcW w:w="1205"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9.0</w:t>
            </w:r>
          </w:p>
        </w:tc>
        <w:tc>
          <w:tcPr>
            <w:tcW w:w="1205" w:type="dxa"/>
            <w:noWrap w:val="0"/>
            <w:vAlign w:val="center"/>
          </w:tcPr>
          <w:p>
            <w:pPr>
              <w:adjustRightInd w:val="0"/>
              <w:snapToGrid w:val="0"/>
              <w:spacing w:line="440" w:lineRule="exact"/>
              <w:jc w:val="center"/>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10.0</w:t>
            </w:r>
          </w:p>
        </w:tc>
        <w:tc>
          <w:tcPr>
            <w:tcW w:w="1160"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14.0</w:t>
            </w:r>
          </w:p>
        </w:tc>
        <w:tc>
          <w:tcPr>
            <w:tcW w:w="1162"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9.0</w:t>
            </w:r>
          </w:p>
        </w:tc>
        <w:tc>
          <w:tcPr>
            <w:tcW w:w="1164"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10.0</w:t>
            </w:r>
          </w:p>
        </w:tc>
        <w:tc>
          <w:tcPr>
            <w:tcW w:w="1166" w:type="dxa"/>
            <w:noWrap w:val="0"/>
            <w:vAlign w:val="center"/>
          </w:tcPr>
          <w:p>
            <w:pPr>
              <w:adjustRightInd w:val="0"/>
              <w:snapToGrid w:val="0"/>
              <w:spacing w:line="440" w:lineRule="exact"/>
              <w:jc w:val="center"/>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±0.10</w:t>
            </w:r>
          </w:p>
        </w:tc>
      </w:tr>
    </w:tbl>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337" w:name="_Toc323463252"/>
      <w:bookmarkStart w:id="338" w:name="_Toc311039354"/>
      <w:bookmarkStart w:id="339" w:name="_Toc323463248"/>
      <w:r>
        <w:rPr>
          <w:rFonts w:hint="eastAsia" w:asciiTheme="minorEastAsia" w:hAnsiTheme="minorEastAsia" w:eastAsiaTheme="minorEastAsia" w:cstheme="minorEastAsia"/>
          <w:snapToGrid w:val="0"/>
          <w:color w:val="000000"/>
          <w:spacing w:val="-1"/>
          <w:kern w:val="0"/>
          <w:sz w:val="24"/>
          <w:szCs w:val="24"/>
          <w:lang w:val="en-US" w:eastAsia="en-US" w:bidi="ar-SA"/>
        </w:rPr>
        <w:t>（10）</w:t>
      </w:r>
      <w:bookmarkEnd w:id="337"/>
      <w:bookmarkStart w:id="340" w:name="_Toc322207339"/>
      <w:bookmarkStart w:id="341" w:name="_Toc323463258"/>
      <w:bookmarkStart w:id="342" w:name="_Toc323462207"/>
      <w:bookmarkStart w:id="343" w:name="_Toc315425118"/>
      <w:bookmarkStart w:id="344" w:name="_Toc317578500"/>
      <w:r>
        <w:rPr>
          <w:rFonts w:hint="eastAsia" w:asciiTheme="minorEastAsia" w:hAnsiTheme="minorEastAsia" w:eastAsiaTheme="minorEastAsia" w:cstheme="minorEastAsia"/>
          <w:snapToGrid w:val="0"/>
          <w:color w:val="000000"/>
          <w:spacing w:val="-1"/>
          <w:kern w:val="0"/>
          <w:sz w:val="24"/>
          <w:szCs w:val="24"/>
          <w:lang w:val="en-US" w:eastAsia="en-US" w:bidi="ar-SA"/>
        </w:rPr>
        <w:t>模拟连续急弯山区路项目设置要求如下：</w:t>
      </w:r>
    </w:p>
    <w:p>
      <w:pPr>
        <w:numPr>
          <w:ilvl w:val="0"/>
          <w:numId w:val="11"/>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图形应按图16设置；</w:t>
      </w:r>
    </w:p>
    <w:p>
      <w:pPr>
        <w:numPr>
          <w:ilvl w:val="0"/>
          <w:numId w:val="11"/>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路段应至少包括一个左弯和一个右弯；</w:t>
      </w:r>
    </w:p>
    <w:p>
      <w:pPr>
        <w:numPr>
          <w:ilvl w:val="0"/>
          <w:numId w:val="11"/>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两个弯道间设置直线路段时，路段长应小于30m；</w:t>
      </w:r>
    </w:p>
    <w:p>
      <w:pPr>
        <w:numPr>
          <w:ilvl w:val="0"/>
          <w:numId w:val="11"/>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弯道外缘弧长取值应大于或等于1/3圆周，半径取值应在40 m～60 m之间；</w:t>
      </w:r>
    </w:p>
    <w:p>
      <w:pPr>
        <w:numPr>
          <w:ilvl w:val="0"/>
          <w:numId w:val="11"/>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同一弯道内上坡、下坡应连续，纵坡坡度应在3%～5%之间；</w:t>
      </w:r>
    </w:p>
    <w:p>
      <w:pPr>
        <w:numPr>
          <w:ilvl w:val="0"/>
          <w:numId w:val="11"/>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直线路宽应不小于7m，弯道路宽应不小于9m，弯道应进行加宽和超高；</w:t>
      </w:r>
    </w:p>
    <w:p>
      <w:pPr>
        <w:numPr>
          <w:ilvl w:val="0"/>
          <w:numId w:val="11"/>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路段应设置限速标志和警告标志；</w:t>
      </w:r>
    </w:p>
    <w:p>
      <w:pPr>
        <w:numPr>
          <w:ilvl w:val="0"/>
          <w:numId w:val="11"/>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直线段中心线应为黄色单虚线，弯道段中心线应为黄色单实线；</w:t>
      </w:r>
    </w:p>
    <w:p>
      <w:pPr>
        <w:numPr>
          <w:ilvl w:val="0"/>
          <w:numId w:val="11"/>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drawing>
          <wp:anchor distT="0" distB="0" distL="114300" distR="114300" simplePos="0" relativeHeight="251670528" behindDoc="0" locked="0" layoutInCell="1" allowOverlap="1">
            <wp:simplePos x="0" y="0"/>
            <wp:positionH relativeFrom="column">
              <wp:posOffset>312420</wp:posOffset>
            </wp:positionH>
            <wp:positionV relativeFrom="paragraph">
              <wp:posOffset>274955</wp:posOffset>
            </wp:positionV>
            <wp:extent cx="5086350" cy="1968500"/>
            <wp:effectExtent l="0" t="0" r="0" b="12700"/>
            <wp:wrapTopAndBottom/>
            <wp:docPr id="15" name="连续山区急弯.jpg"/>
            <wp:cNvGraphicFramePr/>
            <a:graphic xmlns:a="http://schemas.openxmlformats.org/drawingml/2006/main">
              <a:graphicData uri="http://schemas.openxmlformats.org/drawingml/2006/picture">
                <pic:pic xmlns:pic="http://schemas.openxmlformats.org/drawingml/2006/picture">
                  <pic:nvPicPr>
                    <pic:cNvPr id="15" name="连续山区急弯.jpg"/>
                    <pic:cNvPicPr/>
                  </pic:nvPicPr>
                  <pic:blipFill>
                    <a:blip r:embed="rId30"/>
                    <a:srcRect l="4630" t="22421" r="2663" b="16071"/>
                    <a:stretch>
                      <a:fillRect/>
                    </a:stretch>
                  </pic:blipFill>
                  <pic:spPr>
                    <a:xfrm>
                      <a:off x="0" y="0"/>
                      <a:ext cx="5086350" cy="1968500"/>
                    </a:xfrm>
                    <a:prstGeom prst="rect">
                      <a:avLst/>
                    </a:prstGeom>
                    <a:noFill/>
                    <a:ln>
                      <a:noFill/>
                    </a:ln>
                  </pic:spPr>
                </pic:pic>
              </a:graphicData>
            </a:graphic>
          </wp:anchor>
        </w:drawing>
      </w:r>
      <w:r>
        <w:rPr>
          <w:rFonts w:hint="eastAsia" w:asciiTheme="minorEastAsia" w:hAnsiTheme="minorEastAsia" w:eastAsiaTheme="minorEastAsia" w:cstheme="minorEastAsia"/>
          <w:snapToGrid w:val="0"/>
          <w:color w:val="000000"/>
          <w:spacing w:val="-1"/>
          <w:kern w:val="0"/>
          <w:sz w:val="24"/>
          <w:szCs w:val="24"/>
          <w:lang w:val="en-US" w:eastAsia="zh-CN" w:bidi="ar-SA"/>
        </w:rPr>
        <w:t>第一个弯道入口前应设置引路。</w:t>
      </w:r>
    </w:p>
    <w:bookmarkEnd w:id="340"/>
    <w:bookmarkEnd w:id="341"/>
    <w:bookmarkEnd w:id="342"/>
    <w:bookmarkEnd w:id="343"/>
    <w:bookmarkEnd w:id="344"/>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标引序号说明：</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b1 ——直线路宽；</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b2 ——弯道路宽；</w:t>
      </w:r>
    </w:p>
    <w:p>
      <w:pPr>
        <w:spacing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l ——弯道间距。</w:t>
      </w:r>
    </w:p>
    <w:p>
      <w:pPr>
        <w:pStyle w:val="39"/>
        <w:spacing w:beforeLines="0" w:afterLines="0" w:line="440" w:lineRule="exact"/>
        <w:ind w:left="0" w:firstLine="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图16 模拟连续急弯山区路项目图形</w:t>
      </w:r>
    </w:p>
    <w:bookmarkEnd w:id="338"/>
    <w:bookmarkEnd w:id="339"/>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345" w:name="_Toc323463249"/>
      <w:bookmarkStart w:id="346" w:name="_Toc323462198"/>
      <w:bookmarkStart w:id="347" w:name="_Toc315425207"/>
      <w:bookmarkStart w:id="348" w:name="_Toc322207329"/>
      <w:r>
        <w:rPr>
          <w:rFonts w:hint="eastAsia" w:asciiTheme="minorEastAsia" w:hAnsiTheme="minorEastAsia" w:eastAsiaTheme="minorEastAsia" w:cstheme="minorEastAsia"/>
          <w:snapToGrid w:val="0"/>
          <w:color w:val="000000"/>
          <w:spacing w:val="-1"/>
          <w:kern w:val="0"/>
          <w:sz w:val="24"/>
          <w:szCs w:val="24"/>
          <w:lang w:val="en-US" w:eastAsia="en-US" w:bidi="ar-SA"/>
        </w:rPr>
        <w:t>（11）模拟隧道应符合以下要求：</w:t>
      </w:r>
    </w:p>
    <w:p>
      <w:pPr>
        <w:numPr>
          <w:ilvl w:val="0"/>
          <w:numId w:val="12"/>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由行车道、侧向及上方遮光设施组成；</w:t>
      </w:r>
    </w:p>
    <w:p>
      <w:pPr>
        <w:numPr>
          <w:ilvl w:val="0"/>
          <w:numId w:val="12"/>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隧道内净空取值符合6.2.7.6h）的要求；</w:t>
      </w:r>
    </w:p>
    <w:p>
      <w:pPr>
        <w:numPr>
          <w:ilvl w:val="0"/>
          <w:numId w:val="12"/>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入口设置前照灯使用和鸣笛标志；</w:t>
      </w:r>
    </w:p>
    <w:p>
      <w:pPr>
        <w:numPr>
          <w:ilvl w:val="0"/>
          <w:numId w:val="12"/>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内部无照明，晴朗日间最暗处的光照度小于50 lx</w:t>
      </w:r>
      <w:bookmarkEnd w:id="345"/>
      <w:bookmarkEnd w:id="346"/>
      <w:bookmarkEnd w:id="347"/>
      <w:bookmarkEnd w:id="348"/>
      <w:r>
        <w:rPr>
          <w:rFonts w:hint="eastAsia" w:asciiTheme="minorEastAsia" w:hAnsiTheme="minorEastAsia" w:eastAsiaTheme="minorEastAsia" w:cstheme="minorEastAsia"/>
          <w:snapToGrid w:val="0"/>
          <w:color w:val="000000"/>
          <w:spacing w:val="-1"/>
          <w:kern w:val="0"/>
          <w:sz w:val="24"/>
          <w:szCs w:val="24"/>
          <w:lang w:val="en-US" w:eastAsia="zh-CN" w:bidi="ar-SA"/>
        </w:rPr>
        <w:t>；</w:t>
      </w:r>
      <w:bookmarkStart w:id="349" w:name="_Toc317578491"/>
      <w:bookmarkStart w:id="350" w:name="_Toc322207330"/>
      <w:bookmarkStart w:id="351" w:name="_Toc315425208"/>
      <w:bookmarkStart w:id="352" w:name="_Toc323463250"/>
      <w:bookmarkStart w:id="353" w:name="_Toc323462199"/>
    </w:p>
    <w:p>
      <w:pPr>
        <w:numPr>
          <w:ilvl w:val="0"/>
          <w:numId w:val="12"/>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隧道为直道时，行车道长度大于或等于100 m</w:t>
      </w:r>
      <w:bookmarkStart w:id="354" w:name="_Toc317578492"/>
      <w:bookmarkStart w:id="355" w:name="_Toc322207331"/>
      <w:bookmarkStart w:id="356" w:name="_Toc315425209"/>
      <w:r>
        <w:rPr>
          <w:rFonts w:hint="eastAsia" w:asciiTheme="minorEastAsia" w:hAnsiTheme="minorEastAsia" w:eastAsiaTheme="minorEastAsia" w:cstheme="minorEastAsia"/>
          <w:snapToGrid w:val="0"/>
          <w:color w:val="000000"/>
          <w:spacing w:val="-1"/>
          <w:kern w:val="0"/>
          <w:sz w:val="24"/>
          <w:szCs w:val="24"/>
          <w:lang w:val="en-US" w:eastAsia="zh-CN" w:bidi="ar-SA"/>
        </w:rPr>
        <w:t>；隧道为弯道时，半径大于或等于30 m，行车道长度大于或等于60 m</w:t>
      </w:r>
      <w:bookmarkEnd w:id="349"/>
      <w:bookmarkEnd w:id="350"/>
      <w:bookmarkEnd w:id="351"/>
      <w:bookmarkEnd w:id="352"/>
      <w:bookmarkEnd w:id="353"/>
      <w:bookmarkEnd w:id="354"/>
      <w:bookmarkEnd w:id="355"/>
      <w:bookmarkEnd w:id="356"/>
      <w:bookmarkStart w:id="357" w:name="_Toc323463251"/>
      <w:bookmarkStart w:id="358" w:name="_Toc323462200"/>
      <w:bookmarkStart w:id="359" w:name="_Toc322207332"/>
      <w:bookmarkStart w:id="360" w:name="_Toc317578493"/>
      <w:bookmarkStart w:id="361" w:name="_Toc315425210"/>
      <w:r>
        <w:rPr>
          <w:rFonts w:hint="eastAsia" w:asciiTheme="minorEastAsia" w:hAnsiTheme="minorEastAsia" w:eastAsiaTheme="minorEastAsia" w:cstheme="minorEastAsia"/>
          <w:snapToGrid w:val="0"/>
          <w:color w:val="000000"/>
          <w:spacing w:val="-1"/>
          <w:kern w:val="0"/>
          <w:sz w:val="24"/>
          <w:szCs w:val="24"/>
          <w:lang w:val="en-US" w:eastAsia="zh-CN" w:bidi="ar-SA"/>
        </w:rPr>
        <w:t>。</w:t>
      </w:r>
      <w:bookmarkEnd w:id="357"/>
      <w:bookmarkEnd w:id="358"/>
      <w:bookmarkEnd w:id="359"/>
      <w:bookmarkEnd w:id="360"/>
      <w:bookmarkEnd w:id="361"/>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362" w:name="_Toc323463261"/>
      <w:bookmarkStart w:id="363" w:name="_Toc317578503"/>
      <w:bookmarkStart w:id="364" w:name="_Toc322207342"/>
      <w:bookmarkStart w:id="365" w:name="_Toc315425212"/>
      <w:r>
        <w:rPr>
          <w:rFonts w:hint="eastAsia" w:asciiTheme="minorEastAsia" w:hAnsiTheme="minorEastAsia" w:eastAsiaTheme="minorEastAsia" w:cstheme="minorEastAsia"/>
          <w:snapToGrid w:val="0"/>
          <w:color w:val="000000"/>
          <w:spacing w:val="-1"/>
          <w:kern w:val="0"/>
          <w:sz w:val="24"/>
          <w:szCs w:val="24"/>
          <w:lang w:val="en-US" w:eastAsia="en-US" w:bidi="ar-SA"/>
        </w:rPr>
        <w:t xml:space="preserve">（12）模拟高速公路应符合以下要求： </w:t>
      </w:r>
    </w:p>
    <w:p>
      <w:pPr>
        <w:numPr>
          <w:ilvl w:val="0"/>
          <w:numId w:val="13"/>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路段长大于或等于400 m，至少设置两条同向车道，有条件的设置应急车道；</w:t>
      </w:r>
    </w:p>
    <w:p>
      <w:pPr>
        <w:numPr>
          <w:ilvl w:val="0"/>
          <w:numId w:val="13"/>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包括入口路段、主线路段和出口路段三部分，路面工程及设施符合JTG D80要求；</w:t>
      </w:r>
    </w:p>
    <w:p>
      <w:pPr>
        <w:numPr>
          <w:ilvl w:val="0"/>
          <w:numId w:val="13"/>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入口路段长大于100m，按照GB 5768.3施划入口标线；</w:t>
      </w:r>
    </w:p>
    <w:p>
      <w:pPr>
        <w:numPr>
          <w:ilvl w:val="0"/>
          <w:numId w:val="13"/>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主线路段长大于100m，按照GB 5768.2、GB 5768.3设置分道限速标志、地面限速标记等；</w:t>
      </w:r>
    </w:p>
    <w:p>
      <w:pPr>
        <w:numPr>
          <w:ilvl w:val="0"/>
          <w:numId w:val="13"/>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出口路段长大于100m，按照GB 5768.2、GB 5768.3设置出口预告标志、出口指示标志、出口限速或出口匝道限速标志等；</w:t>
      </w:r>
    </w:p>
    <w:p>
      <w:pPr>
        <w:numPr>
          <w:ilvl w:val="0"/>
          <w:numId w:val="13"/>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主路设置有弯道时，弯道内缘半径不小于200 m。</w:t>
      </w:r>
      <w:bookmarkEnd w:id="362"/>
      <w:bookmarkEnd w:id="363"/>
      <w:bookmarkEnd w:id="364"/>
      <w:bookmarkEnd w:id="365"/>
    </w:p>
    <w:p>
      <w:pPr>
        <w:pStyle w:val="35"/>
        <w:spacing w:line="440" w:lineRule="exact"/>
        <w:ind w:firstLine="560"/>
        <w:rPr>
          <w:rFonts w:hint="eastAsia" w:asciiTheme="minorEastAsia" w:hAnsiTheme="minorEastAsia" w:eastAsiaTheme="minorEastAsia" w:cstheme="minorEastAsia"/>
          <w:snapToGrid w:val="0"/>
          <w:color w:val="000000"/>
          <w:spacing w:val="-1"/>
          <w:kern w:val="0"/>
          <w:sz w:val="24"/>
          <w:szCs w:val="24"/>
          <w:lang w:val="en-US" w:eastAsia="en-US" w:bidi="ar-SA"/>
        </w:rPr>
      </w:pPr>
      <w:bookmarkStart w:id="366" w:name="_Toc317578506"/>
      <w:bookmarkStart w:id="367" w:name="_Toc315425214"/>
      <w:bookmarkStart w:id="368" w:name="_Toc323463264"/>
      <w:bookmarkStart w:id="369" w:name="_Toc322207344"/>
      <w:bookmarkStart w:id="370" w:name="_Toc323462213"/>
      <w:bookmarkStart w:id="371" w:name="_Toc323463263"/>
      <w:bookmarkStart w:id="372" w:name="_Toc311039356"/>
      <w:r>
        <w:rPr>
          <w:rFonts w:hint="eastAsia" w:asciiTheme="minorEastAsia" w:hAnsiTheme="minorEastAsia" w:eastAsiaTheme="minorEastAsia" w:cstheme="minorEastAsia"/>
          <w:snapToGrid w:val="0"/>
          <w:color w:val="000000"/>
          <w:spacing w:val="-1"/>
          <w:kern w:val="0"/>
          <w:sz w:val="24"/>
          <w:szCs w:val="24"/>
          <w:lang w:val="en-US" w:eastAsia="en-US" w:bidi="ar-SA"/>
        </w:rPr>
        <w:t>（13）模拟湿滑路面</w:t>
      </w:r>
      <w:bookmarkEnd w:id="366"/>
      <w:bookmarkEnd w:id="367"/>
      <w:bookmarkStart w:id="373" w:name="_Toc317578516"/>
      <w:bookmarkStart w:id="374" w:name="_Toc315425224"/>
      <w:r>
        <w:rPr>
          <w:rFonts w:hint="eastAsia" w:asciiTheme="minorEastAsia" w:hAnsiTheme="minorEastAsia" w:eastAsiaTheme="minorEastAsia" w:cstheme="minorEastAsia"/>
          <w:snapToGrid w:val="0"/>
          <w:color w:val="000000"/>
          <w:spacing w:val="-1"/>
          <w:kern w:val="0"/>
          <w:sz w:val="24"/>
          <w:szCs w:val="24"/>
          <w:lang w:val="en-US" w:eastAsia="en-US" w:bidi="ar-SA"/>
        </w:rPr>
        <w:t>的路面附着系数应小于或等于0.3，长度应大于或等于30 m，宽度应大于或等于4.0 m；道路外侧应设置对车辆无损的安全防护设施。</w:t>
      </w:r>
      <w:bookmarkEnd w:id="368"/>
      <w:bookmarkEnd w:id="369"/>
      <w:bookmarkEnd w:id="370"/>
      <w:bookmarkEnd w:id="373"/>
      <w:bookmarkEnd w:id="374"/>
    </w:p>
    <w:bookmarkEnd w:id="371"/>
    <w:bookmarkEnd w:id="372"/>
    <w:p>
      <w:pPr>
        <w:autoSpaceDE w:val="0"/>
        <w:autoSpaceDN w:val="0"/>
        <w:adjustRightInd w:val="0"/>
        <w:snapToGrid w:val="0"/>
        <w:spacing w:line="440" w:lineRule="exact"/>
        <w:ind w:firstLine="476" w:firstLineChars="2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375" w:name="_Toc317578517"/>
      <w:bookmarkStart w:id="376" w:name="_Toc323462214"/>
      <w:bookmarkStart w:id="377" w:name="_Toc322207345"/>
      <w:bookmarkStart w:id="378" w:name="_Toc315425225"/>
      <w:bookmarkStart w:id="379" w:name="_Toc323463265"/>
      <w:r>
        <w:rPr>
          <w:rFonts w:hint="eastAsia" w:asciiTheme="minorEastAsia" w:hAnsiTheme="minorEastAsia" w:eastAsiaTheme="minorEastAsia" w:cstheme="minorEastAsia"/>
          <w:snapToGrid w:val="0"/>
          <w:color w:val="000000"/>
          <w:spacing w:val="-1"/>
          <w:kern w:val="0"/>
          <w:sz w:val="24"/>
          <w:szCs w:val="24"/>
          <w:lang w:val="en-US" w:eastAsia="zh-CN" w:bidi="ar-SA"/>
        </w:rPr>
        <w:t>（14）模拟雨天的应能达到中雨效果</w:t>
      </w:r>
      <w:bookmarkEnd w:id="375"/>
      <w:bookmarkEnd w:id="376"/>
      <w:bookmarkEnd w:id="377"/>
      <w:bookmarkEnd w:id="378"/>
      <w:bookmarkEnd w:id="379"/>
      <w:r>
        <w:rPr>
          <w:rFonts w:hint="eastAsia" w:asciiTheme="minorEastAsia" w:hAnsiTheme="minorEastAsia" w:eastAsiaTheme="minorEastAsia" w:cstheme="minorEastAsia"/>
          <w:snapToGrid w:val="0"/>
          <w:color w:val="000000"/>
          <w:spacing w:val="-1"/>
          <w:kern w:val="0"/>
          <w:sz w:val="24"/>
          <w:szCs w:val="24"/>
          <w:lang w:val="en-US" w:eastAsia="zh-CN" w:bidi="ar-SA"/>
        </w:rPr>
        <w:t>，模拟雾天的能达到中雾效果。</w:t>
      </w:r>
    </w:p>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Pr>
        <w:spacing w:line="440" w:lineRule="exact"/>
        <w:ind w:firstLine="238" w:firstLineChars="1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5、考试车辆要求</w:t>
      </w:r>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（1）除中型客车、轻型牵引挂车外的考试车每种同车型配置不少于2辆（应为同一车辆品牌型号）；小型汽车科目二考场同车型的考试线路不少于2条，考试车辆应不少于8辆。</w:t>
      </w:r>
    </w:p>
    <w:p>
      <w:pPr>
        <w:numPr>
          <w:ilvl w:val="0"/>
          <w:numId w:val="0"/>
        </w:num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（2）考试车辆应安装符合GA/T 1028.3的要求的考试系统和音视频监控系统。</w:t>
      </w:r>
    </w:p>
    <w:p>
      <w:pPr>
        <w:spacing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（3）考试车辆不应安装除视镜之外的间接视野装置。</w:t>
      </w:r>
    </w:p>
    <w:p>
      <w:pPr>
        <w:spacing w:line="440" w:lineRule="exact"/>
        <w:rPr>
          <w:rFonts w:hint="eastAsia" w:asciiTheme="minorEastAsia" w:hAnsiTheme="minorEastAsia" w:eastAsiaTheme="minorEastAsia" w:cstheme="minorEastAsia"/>
          <w:b/>
          <w:bCs/>
          <w:snapToGrid w:val="0"/>
          <w:color w:val="000000"/>
          <w:spacing w:val="-1"/>
          <w:kern w:val="0"/>
          <w:sz w:val="24"/>
          <w:szCs w:val="24"/>
          <w:lang w:val="en-US" w:eastAsia="zh-CN" w:bidi="ar-SA"/>
        </w:rPr>
      </w:pPr>
    </w:p>
    <w:p>
      <w:pPr>
        <w:spacing w:line="440" w:lineRule="exact"/>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b/>
          <w:bCs/>
          <w:snapToGrid w:val="0"/>
          <w:color w:val="000000"/>
          <w:spacing w:val="-1"/>
          <w:kern w:val="0"/>
          <w:sz w:val="24"/>
          <w:szCs w:val="24"/>
          <w:lang w:val="en-US" w:eastAsia="zh-CN" w:bidi="ar-SA"/>
        </w:rPr>
        <w:t>第三标段：</w:t>
      </w:r>
    </w:p>
    <w:p>
      <w:pPr>
        <w:spacing w:line="440" w:lineRule="exact"/>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科目三道路驾驶技能考场要求(可为大中小型客货车考场或小型汽车考场）：</w:t>
      </w:r>
    </w:p>
    <w:p>
      <w:pPr>
        <w:pStyle w:val="34"/>
        <w:spacing w:beforeLines="0" w:afterLines="0" w:line="440" w:lineRule="exact"/>
        <w:ind w:firstLine="476" w:firstLineChars="200"/>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1、场地设置要求</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（1）场地组成应设置休息区、候考区、考试路段、控制中心、机房等功能性场所，配套设置公共卫生设施、公共服务区、停车区等服务性场所。</w:t>
      </w:r>
    </w:p>
    <w:p>
      <w:pPr>
        <w:pStyle w:val="32"/>
        <w:spacing w:beforeLines="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（2）休息区面积不低于200平方米，候考区面积不低于80平方米，应配备以下设备、设施：</w:t>
      </w:r>
    </w:p>
    <w:p>
      <w:pPr>
        <w:autoSpaceDE w:val="0"/>
        <w:autoSpaceDN w:val="0"/>
        <w:adjustRightInd w:val="0"/>
        <w:snapToGrid w:val="0"/>
        <w:spacing w:line="440" w:lineRule="exact"/>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a)考生自助签到设备；</w:t>
      </w:r>
    </w:p>
    <w:p>
      <w:pPr>
        <w:autoSpaceDE w:val="0"/>
        <w:autoSpaceDN w:val="0"/>
        <w:adjustRightInd w:val="0"/>
        <w:snapToGrid w:val="0"/>
        <w:spacing w:line="440" w:lineRule="exact"/>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b)考试组织动态信息公告设备；</w:t>
      </w:r>
    </w:p>
    <w:p>
      <w:pPr>
        <w:autoSpaceDE w:val="0"/>
        <w:autoSpaceDN w:val="0"/>
        <w:adjustRightInd w:val="0"/>
        <w:snapToGrid w:val="0"/>
        <w:spacing w:line="440" w:lineRule="exact"/>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c)用于安全管理的视频监控设备；</w:t>
      </w:r>
    </w:p>
    <w:p>
      <w:pPr>
        <w:autoSpaceDE w:val="0"/>
        <w:autoSpaceDN w:val="0"/>
        <w:adjustRightInd w:val="0"/>
        <w:snapToGrid w:val="0"/>
        <w:spacing w:line="440" w:lineRule="exact"/>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d)用于播放交通安全宣传片的设备；</w:t>
      </w:r>
    </w:p>
    <w:p>
      <w:pPr>
        <w:autoSpaceDE w:val="0"/>
        <w:autoSpaceDN w:val="0"/>
        <w:adjustRightInd w:val="0"/>
        <w:snapToGrid w:val="0"/>
        <w:spacing w:line="440" w:lineRule="exact"/>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e)数量足够的休息座椅及饮用水、储物等便民服务设施；</w:t>
      </w:r>
    </w:p>
    <w:p>
      <w:pPr>
        <w:autoSpaceDE w:val="0"/>
        <w:autoSpaceDN w:val="0"/>
        <w:adjustRightInd w:val="0"/>
        <w:snapToGrid w:val="0"/>
        <w:spacing w:line="440" w:lineRule="exact"/>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f)封闭管理的，设置紧急出口或应急通道。</w:t>
      </w:r>
    </w:p>
    <w:p>
      <w:pPr>
        <w:autoSpaceDE w:val="0"/>
        <w:autoSpaceDN w:val="0"/>
        <w:adjustRightInd w:val="0"/>
        <w:snapToGrid w:val="0"/>
        <w:spacing w:line="440" w:lineRule="exact"/>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g)省级公安机关交通管理部门规定的其他要求。</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（3）考试路段</w:t>
      </w:r>
    </w:p>
    <w:p>
      <w:pPr>
        <w:pStyle w:val="37"/>
        <w:numPr>
          <w:ilvl w:val="0"/>
          <w:numId w:val="0"/>
        </w:numPr>
        <w:spacing w:before="0" w:beforeLines="0" w:after="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1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①</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路段要求</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bookmarkStart w:id="380" w:name="_Toc197514940"/>
      <w:bookmarkStart w:id="381" w:name="_Toc197516911"/>
      <w:bookmarkStart w:id="382" w:name="_Toc197575216"/>
      <w:bookmarkStart w:id="383" w:name="_Toc197515198"/>
      <w:r>
        <w:rPr>
          <w:rFonts w:hint="eastAsia" w:asciiTheme="minorEastAsia" w:hAnsiTheme="minorEastAsia" w:eastAsiaTheme="minorEastAsia" w:cstheme="minorEastAsia"/>
          <w:snapToGrid w:val="0"/>
          <w:color w:val="000000"/>
          <w:spacing w:val="-1"/>
          <w:kern w:val="0"/>
          <w:sz w:val="24"/>
          <w:szCs w:val="24"/>
          <w:lang w:val="en-US" w:eastAsia="zh-CN" w:bidi="ar-SA"/>
        </w:rPr>
        <w:t>a)设置在混合交通道路上，社会机动车辆单向流量不少于60辆/小时；</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b)大中型客货车考试路段长度大于或等于8 km，小型汽车考试路段总长度大于或等于4 km；</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c)具有满足设置变更车道、超车、直线行驶等项目的路段；</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d)具有满足设置直行、右转、左转的平面交叉口；</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e)具有满足设置掉头项目的路口或路段；</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f)具有路段人行横道线、学校区域或模拟学校区域、公共汽车站或模拟公共汽车站等；</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g)路段施划必要的交通标线、设置必要的交通标志，具有危险路段时设置符合JTG D81规定的路侧护栏等安全防护设施；</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h)起点和终点设置指示标志，通往考试路段的道路上设置考试路段警告标志；</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i）城市道路的交通标志符合GB 51038要求，其他道路的交通标志符合GB 5768.2要求；</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j）城市道路的交通标线符合GB 51038要求，其他道路的交通标线符合GB 5768.3要求；</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K)路段其他交通设施等符合相关标准规范要求；</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l)除f）、h）款规定的标志外，路段未设置考试项目名称标志或其他仅用于考试的标志或标线。</w:t>
      </w:r>
    </w:p>
    <w:bookmarkEnd w:id="380"/>
    <w:bookmarkEnd w:id="381"/>
    <w:bookmarkEnd w:id="382"/>
    <w:bookmarkEnd w:id="383"/>
    <w:p>
      <w:pPr>
        <w:pStyle w:val="36"/>
        <w:numPr>
          <w:ilvl w:val="0"/>
          <w:numId w:val="0"/>
        </w:numPr>
        <w:spacing w:beforeLines="0" w:afterLines="0" w:line="440" w:lineRule="exact"/>
        <w:ind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begin"/>
      </w:r>
      <w:r>
        <w:rPr>
          <w:rFonts w:hint="eastAsia" w:asciiTheme="minorEastAsia" w:hAnsiTheme="minorEastAsia" w:eastAsiaTheme="minorEastAsia" w:cstheme="minorEastAsia"/>
          <w:snapToGrid w:val="0"/>
          <w:color w:val="000000"/>
          <w:spacing w:val="-1"/>
          <w:kern w:val="0"/>
          <w:sz w:val="24"/>
          <w:szCs w:val="24"/>
          <w:lang w:val="en-US" w:eastAsia="en-US" w:bidi="ar-SA"/>
        </w:rPr>
        <w:instrText xml:space="preserve"> = 2 \* GB3 \* MERGEFORMAT </w:instrTex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separate"/>
      </w:r>
      <w:r>
        <w:rPr>
          <w:rFonts w:hint="eastAsia" w:asciiTheme="minorEastAsia" w:hAnsiTheme="minorEastAsia" w:eastAsiaTheme="minorEastAsia" w:cstheme="minorEastAsia"/>
          <w:snapToGrid w:val="0"/>
          <w:color w:val="000000"/>
          <w:spacing w:val="-1"/>
          <w:kern w:val="0"/>
          <w:sz w:val="24"/>
          <w:szCs w:val="24"/>
          <w:lang w:val="en-US" w:eastAsia="en-US" w:bidi="ar-SA"/>
        </w:rPr>
        <w:t>②</w:t>
      </w:r>
      <w:r>
        <w:rPr>
          <w:rFonts w:hint="eastAsia" w:asciiTheme="minorEastAsia" w:hAnsiTheme="minorEastAsia" w:eastAsiaTheme="minorEastAsia" w:cstheme="minorEastAsia"/>
          <w:snapToGrid w:val="0"/>
          <w:color w:val="000000"/>
          <w:spacing w:val="-1"/>
          <w:kern w:val="0"/>
          <w:sz w:val="24"/>
          <w:szCs w:val="24"/>
          <w:lang w:val="en-US" w:eastAsia="en-US" w:bidi="ar-SA"/>
        </w:rPr>
        <w:fldChar w:fldCharType="end"/>
      </w:r>
      <w:r>
        <w:rPr>
          <w:rFonts w:hint="eastAsia" w:asciiTheme="minorEastAsia" w:hAnsiTheme="minorEastAsia" w:eastAsiaTheme="minorEastAsia" w:cstheme="minorEastAsia"/>
          <w:snapToGrid w:val="0"/>
          <w:color w:val="000000"/>
          <w:spacing w:val="-1"/>
          <w:kern w:val="0"/>
          <w:sz w:val="24"/>
          <w:szCs w:val="24"/>
          <w:lang w:val="en-US" w:eastAsia="en-US" w:bidi="ar-SA"/>
        </w:rPr>
        <w:t>在考试路段上设置的考试路线应符合以下要求：</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a)大中型客货车考试路线不少于2条，每条考试路线长度大于或等于10 km；</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b)小型汽车的考试路线不少于3条，每条考试路线长度大于或等于3 km；</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c)考试项目设置与考试路段标志、标线等交通设施匹配；</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d)直行通过路口、路口左转弯、路口右转弯、掉头、通过学校区域、通过人行横道、通过公共汽车站、会车、变更车道、超车、直线行驶、加减挡操作设置在混合交通道路上；</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e)每条考试路线完整设置所有考试项目；</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f)有实际设施时不重复设置模拟项目，模拟项目间或模拟项目与其他设施间的间隔大于30 m；</w:t>
      </w:r>
    </w:p>
    <w:p>
      <w:pPr>
        <w:numPr>
          <w:ilvl w:val="0"/>
          <w:numId w:val="0"/>
        </w:numPr>
        <w:autoSpaceDE w:val="0"/>
        <w:autoSpaceDN w:val="0"/>
        <w:spacing w:line="440" w:lineRule="exact"/>
        <w:ind w:left="-360" w:leftChars="0" w:firstLine="238" w:firstLineChars="100"/>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g)采用差分定位方式进行评判的，对考试路线模型进行测绘，模型测绘及记录参见附录B。</w:t>
      </w:r>
    </w:p>
    <w:p>
      <w:pPr>
        <w:pStyle w:val="33"/>
        <w:spacing w:before="0" w:beforeLines="0" w:after="0" w:afterLines="0" w:line="440" w:lineRule="exact"/>
        <w:ind w:left="0" w:firstLine="476" w:firstLineChars="20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（4）控制中心应配备以下设备：</w:t>
      </w:r>
    </w:p>
    <w:p>
      <w:pPr>
        <w:numPr>
          <w:ilvl w:val="0"/>
          <w:numId w:val="14"/>
        </w:numPr>
        <w:autoSpaceDE w:val="0"/>
        <w:autoSpaceDN w:val="0"/>
        <w:adjustRightInd w:val="0"/>
        <w:snapToGrid w:val="0"/>
        <w:spacing w:line="440" w:lineRule="exact"/>
        <w:ind w:left="0" w:hanging="322"/>
        <w:jc w:val="both"/>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门禁；</w:t>
      </w:r>
    </w:p>
    <w:p>
      <w:pPr>
        <w:numPr>
          <w:ilvl w:val="0"/>
          <w:numId w:val="14"/>
        </w:numPr>
        <w:autoSpaceDE w:val="0"/>
        <w:autoSpaceDN w:val="0"/>
        <w:adjustRightInd w:val="0"/>
        <w:snapToGrid w:val="0"/>
        <w:spacing w:line="440" w:lineRule="exact"/>
        <w:ind w:left="0" w:hanging="322"/>
        <w:jc w:val="both"/>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考试车辆驾驶室视频监控、运行前方视频监控以及候考区视频监控的显示设备，以上音视频监控应接入上级监控中心，支持远程查询或调取视频监控设备的监控画面，音视频监控资料存储空间不少于3年；；</w:t>
      </w:r>
    </w:p>
    <w:p>
      <w:pPr>
        <w:numPr>
          <w:ilvl w:val="0"/>
          <w:numId w:val="14"/>
        </w:numPr>
        <w:autoSpaceDE w:val="0"/>
        <w:autoSpaceDN w:val="0"/>
        <w:adjustRightInd w:val="0"/>
        <w:snapToGrid w:val="0"/>
        <w:spacing w:line="440" w:lineRule="exact"/>
        <w:ind w:left="0" w:hanging="322"/>
        <w:jc w:val="both"/>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用于考试过程管理和信息显示的计算机；</w:t>
      </w:r>
    </w:p>
    <w:p>
      <w:pPr>
        <w:numPr>
          <w:ilvl w:val="0"/>
          <w:numId w:val="14"/>
        </w:numPr>
        <w:autoSpaceDE w:val="0"/>
        <w:autoSpaceDN w:val="0"/>
        <w:adjustRightInd w:val="0"/>
        <w:snapToGrid w:val="0"/>
        <w:spacing w:line="440" w:lineRule="exact"/>
        <w:ind w:left="0" w:hanging="322"/>
        <w:jc w:val="both"/>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显示所有考试车辆实时位置的电子地图的显示设备；</w:t>
      </w:r>
    </w:p>
    <w:p>
      <w:pPr>
        <w:numPr>
          <w:ilvl w:val="0"/>
          <w:numId w:val="14"/>
        </w:numPr>
        <w:autoSpaceDE w:val="0"/>
        <w:autoSpaceDN w:val="0"/>
        <w:adjustRightInd w:val="0"/>
        <w:snapToGrid w:val="0"/>
        <w:spacing w:line="440" w:lineRule="exact"/>
        <w:ind w:left="0" w:hanging="322"/>
        <w:jc w:val="both"/>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监控控制中心的视频设备；</w:t>
      </w:r>
    </w:p>
    <w:p>
      <w:pPr>
        <w:numPr>
          <w:ilvl w:val="0"/>
          <w:numId w:val="14"/>
        </w:numPr>
        <w:autoSpaceDE w:val="0"/>
        <w:autoSpaceDN w:val="0"/>
        <w:adjustRightInd w:val="0"/>
        <w:snapToGrid w:val="0"/>
        <w:spacing w:line="440" w:lineRule="exact"/>
        <w:ind w:left="0" w:hanging="322"/>
        <w:jc w:val="both"/>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消防设备、设施。</w:t>
      </w:r>
    </w:p>
    <w:p>
      <w:pPr>
        <w:pStyle w:val="33"/>
        <w:spacing w:before="0" w:beforeLines="0" w:after="0" w:afterLines="0"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（5）机房设置独立出入口，具备独立管理条件；配备监控机房入口或内部的视频设备；内部温、湿度受控，地面铺设防静电地板。</w:t>
      </w:r>
    </w:p>
    <w:p>
      <w:pPr>
        <w:pStyle w:val="34"/>
        <w:spacing w:beforeLines="0" w:afterLines="0" w:line="440" w:lineRule="exact"/>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2、场地设施要求</w:t>
      </w:r>
    </w:p>
    <w:p>
      <w:pPr>
        <w:pStyle w:val="35"/>
        <w:spacing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（1）场地应设置供电设施、网络设施、信息公告设施等。</w:t>
      </w:r>
    </w:p>
    <w:p>
      <w:pPr>
        <w:pStyle w:val="33"/>
        <w:spacing w:before="0" w:beforeLines="0" w:after="0" w:afterLines="0"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（2）供电设施</w:t>
      </w:r>
    </w:p>
    <w:p>
      <w:pPr>
        <w:pStyle w:val="35"/>
        <w:spacing w:line="440" w:lineRule="exact"/>
        <w:ind w:firstLine="560"/>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主供电端应安装过载、漏电、短路等保护装置和防雷装置，应</w:t>
      </w:r>
      <w:r>
        <w:rPr>
          <w:rFonts w:hint="eastAsia" w:asciiTheme="minorEastAsia" w:hAnsiTheme="minorEastAsia" w:eastAsiaTheme="minorEastAsia" w:cstheme="minorEastAsia"/>
          <w:snapToGrid w:val="0"/>
          <w:color w:val="000000"/>
          <w:spacing w:val="-1"/>
          <w:kern w:val="0"/>
          <w:sz w:val="24"/>
          <w:szCs w:val="24"/>
          <w:lang w:val="en-US" w:eastAsia="en-US" w:bidi="ar-SA"/>
        </w:rPr>
        <w:tab/>
      </w:r>
      <w:r>
        <w:rPr>
          <w:rFonts w:hint="eastAsia" w:asciiTheme="minorEastAsia" w:hAnsiTheme="minorEastAsia" w:eastAsiaTheme="minorEastAsia" w:cstheme="minorEastAsia"/>
          <w:snapToGrid w:val="0"/>
          <w:color w:val="000000"/>
          <w:spacing w:val="-1"/>
          <w:kern w:val="0"/>
          <w:sz w:val="24"/>
          <w:szCs w:val="24"/>
          <w:lang w:val="en-US" w:eastAsia="en-US" w:bidi="ar-SA"/>
        </w:rPr>
        <w:t>配备不间断备用电源保证停电后网络设备、</w:t>
      </w:r>
    </w:p>
    <w:p>
      <w:pPr>
        <w:pStyle w:val="35"/>
        <w:spacing w:line="440" w:lineRule="exact"/>
        <w:ind w:firstLine="560"/>
        <w:jc w:val="left"/>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音视频监控等设备正常工作至正在进行考试的考生完成考试。</w:t>
      </w:r>
    </w:p>
    <w:p>
      <w:pPr>
        <w:pStyle w:val="33"/>
        <w:spacing w:before="0" w:beforeLines="0" w:after="0" w:afterLines="0"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（3）网络设施应满足以下要求：</w:t>
      </w:r>
    </w:p>
    <w:p>
      <w:pPr>
        <w:numPr>
          <w:ilvl w:val="0"/>
          <w:numId w:val="15"/>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满足采集评判软件与后台管理软件及参数设置软件间信息接收、存贮、处理、交换、传输要求；</w:t>
      </w:r>
    </w:p>
    <w:p>
      <w:pPr>
        <w:numPr>
          <w:ilvl w:val="0"/>
          <w:numId w:val="15"/>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满足语音、图像等监控信息的传输和存储要求，能实时查看或调取视频监控设备的监控画面；</w:t>
      </w:r>
    </w:p>
    <w:p>
      <w:pPr>
        <w:numPr>
          <w:ilvl w:val="0"/>
          <w:numId w:val="15"/>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防雷设计符合GB 50343要求；</w:t>
      </w:r>
    </w:p>
    <w:p>
      <w:pPr>
        <w:numPr>
          <w:ilvl w:val="0"/>
          <w:numId w:val="15"/>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网络设备及网线标识清晰、规范；</w:t>
      </w:r>
    </w:p>
    <w:p>
      <w:pPr>
        <w:numPr>
          <w:ilvl w:val="0"/>
          <w:numId w:val="15"/>
        </w:numPr>
        <w:autoSpaceDE w:val="0"/>
        <w:autoSpaceDN w:val="0"/>
        <w:adjustRightInd w:val="0"/>
        <w:snapToGrid w:val="0"/>
        <w:spacing w:line="440" w:lineRule="exact"/>
        <w:ind w:left="0" w:hanging="322"/>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同时有两套以上网络系统时，不同网络间设置物理隔离。</w:t>
      </w:r>
    </w:p>
    <w:p>
      <w:pPr>
        <w:pStyle w:val="33"/>
        <w:spacing w:before="0" w:beforeLines="0" w:after="0" w:afterLines="0"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（4）场地的信息公告设施应满足以下要求：</w:t>
      </w:r>
    </w:p>
    <w:p>
      <w:pPr>
        <w:numPr>
          <w:ilvl w:val="0"/>
          <w:numId w:val="16"/>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场地公共服务区设置播放覆盖随车考试人员的考试车内监控实时视频的设备等；</w:t>
      </w:r>
    </w:p>
    <w:p>
      <w:pPr>
        <w:numPr>
          <w:ilvl w:val="0"/>
          <w:numId w:val="16"/>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场地或候考区入口设置考试流程图及对应管理设施的分布图；</w:t>
      </w:r>
    </w:p>
    <w:p>
      <w:pPr>
        <w:numPr>
          <w:ilvl w:val="0"/>
          <w:numId w:val="16"/>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候考区设置考试项目操作要求及评判标准、考试路段、考试注意事项、考试员考试工作纪律、收费标准等公告设备设施；</w:t>
      </w:r>
    </w:p>
    <w:p>
      <w:pPr>
        <w:numPr>
          <w:ilvl w:val="0"/>
          <w:numId w:val="16"/>
        </w:numPr>
        <w:autoSpaceDE w:val="0"/>
        <w:autoSpaceDN w:val="0"/>
        <w:adjustRightInd w:val="0"/>
        <w:snapToGrid w:val="0"/>
        <w:spacing w:line="440" w:lineRule="exact"/>
        <w:ind w:left="0" w:hanging="318"/>
        <w:textAlignment w:val="bottom"/>
        <w:outlineLvl w:val="0"/>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设置公告当日考试员及工作人员姓名、照片、举报投诉电话等的设施。</w:t>
      </w:r>
    </w:p>
    <w:p>
      <w:pPr>
        <w:pStyle w:val="34"/>
        <w:numPr>
          <w:ilvl w:val="1"/>
          <w:numId w:val="0"/>
        </w:numPr>
        <w:spacing w:beforeLines="0" w:afterLines="0" w:line="440" w:lineRule="exact"/>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3、考试车辆要求</w:t>
      </w:r>
    </w:p>
    <w:p>
      <w:pPr>
        <w:pStyle w:val="34"/>
        <w:numPr>
          <w:ilvl w:val="1"/>
          <w:numId w:val="0"/>
        </w:numPr>
        <w:spacing w:beforeLines="0" w:afterLines="0" w:line="440" w:lineRule="exact"/>
        <w:outlineLvl w:val="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（1）小型车辆（Ｃ1、Ｃ2）科目三道路驾驶技能考试车不少于10辆,大中型客货车（A1、A2、A3、B1、B2）考场，除中型客车外，每种考试车同车型配置不少于2辆（应为同一车辆品牌型号）。</w:t>
      </w:r>
    </w:p>
    <w:p>
      <w:pPr>
        <w:pStyle w:val="35"/>
        <w:spacing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（2）考试车辆应安装符合GA/T 1028.3的要求的考试系统和音视频监控系统。</w:t>
      </w:r>
    </w:p>
    <w:p>
      <w:pPr>
        <w:pStyle w:val="35"/>
        <w:spacing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（3）考试车辆应安装卫星定位系统。用于大型货车、城市公交车准驾车型科目三道路驾驶技能考试的车辆，安装的反光标识、尾部标志板应符合相关标准要求，并安装灯箱等发光装置。</w:t>
      </w:r>
    </w:p>
    <w:p>
      <w:pPr>
        <w:pStyle w:val="35"/>
        <w:spacing w:line="440" w:lineRule="exact"/>
        <w:ind w:left="0" w:leftChars="0" w:firstLine="0" w:firstLineChars="0"/>
        <w:rPr>
          <w:rFonts w:hint="eastAsia" w:asciiTheme="minorEastAsia" w:hAnsiTheme="minorEastAsia" w:eastAsiaTheme="minorEastAsia" w:cstheme="minorEastAsia"/>
          <w:snapToGrid w:val="0"/>
          <w:color w:val="000000"/>
          <w:spacing w:val="-1"/>
          <w:kern w:val="0"/>
          <w:sz w:val="24"/>
          <w:szCs w:val="24"/>
          <w:lang w:val="en-US" w:eastAsia="en-US"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4）考试车辆应安装供考试员使用的副制动踏板和外后视镜装置，小型汽车、小型自动挡汽车准驾车型考试车辆还应安装供考试员使用的内后视镜；使用计算机考试系统进行评判的，通过副制动踏板触发制动时应先触发计算机考试系统传感器。</w:t>
      </w:r>
    </w:p>
    <w:p>
      <w:pPr>
        <w:pStyle w:val="35"/>
        <w:spacing w:line="440" w:lineRule="exact"/>
        <w:ind w:left="0" w:leftChars="0" w:firstLine="0" w:firstLineChars="0"/>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napToGrid w:val="0"/>
          <w:color w:val="000000"/>
          <w:spacing w:val="-1"/>
          <w:kern w:val="0"/>
          <w:sz w:val="24"/>
          <w:szCs w:val="24"/>
          <w:lang w:val="en-US" w:eastAsia="en-US" w:bidi="ar-SA"/>
        </w:rPr>
        <w:t>（5）考试车辆应安装车载音视频监控设备和卫星定位系统，音视频监控设备应符合GA/T 1028.4的要求。</w:t>
      </w:r>
    </w:p>
    <w:p>
      <w:pPr>
        <w:pStyle w:val="40"/>
        <w:widowControl w:val="0"/>
        <w:spacing w:before="0" w:beforeAutospacing="0" w:after="0" w:afterAutospacing="0" w:line="440" w:lineRule="exact"/>
        <w:ind w:firstLine="476" w:firstLineChars="200"/>
        <w:rPr>
          <w:rFonts w:hint="eastAsia" w:asciiTheme="minorEastAsia" w:hAnsiTheme="minorEastAsia" w:eastAsiaTheme="minorEastAsia" w:cstheme="minorEastAsia"/>
          <w:color w:val="FF0000"/>
          <w:spacing w:val="-1"/>
          <w:sz w:val="24"/>
          <w:szCs w:val="24"/>
          <w:lang w:eastAsia="zh-CN"/>
        </w:rPr>
      </w:pP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rPr>
        <w:t>项目概述</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napToGrid w:val="0"/>
          <w:color w:val="000000"/>
          <w:spacing w:val="-1"/>
          <w:kern w:val="0"/>
          <w:sz w:val="24"/>
          <w:szCs w:val="24"/>
          <w:lang w:val="en-US" w:eastAsia="zh-CN" w:bidi="ar-SA"/>
        </w:rPr>
        <w:t>目前南阳市有自建考场1处，可承担科目一及小型汽车、小型自动挡汽车科目二考试工作，全市无自建的轻型牵引挂车科目二考场、小型汽车及小型自动挡汽车科目三道路驾驶技能考场及大中型客货车科目二、科目三道路驾驶技能考场，考场服务远不能满足群众考试需求。现通过公开招标选择定点社会考场服务，第一标段道路交通安全法律、法规和相关知识考场（以下简称“科目一考场”），第二标段场地驾驶技能考场（以下简称“科目二考场”），第三标段道路驾驶技能考场（以下简称“科目三道路考场”），服务期限为1年</w:t>
      </w:r>
      <w:r>
        <w:rPr>
          <w:rFonts w:hint="eastAsia" w:asciiTheme="minorEastAsia" w:hAnsiTheme="minorEastAsia" w:eastAsiaTheme="minorEastAsia" w:cstheme="minorEastAsia"/>
          <w:snapToGrid w:val="0"/>
          <w:color w:val="000000" w:themeColor="text1"/>
          <w:spacing w:val="-1"/>
          <w:kern w:val="0"/>
          <w:sz w:val="24"/>
          <w:szCs w:val="24"/>
          <w:lang w:val="en-US" w:eastAsia="zh-CN" w:bidi="ar-SA"/>
          <w14:textFill>
            <w14:solidFill>
              <w14:schemeClr w14:val="tx1"/>
            </w14:solidFill>
          </w14:textFill>
        </w:rPr>
        <w:t>(其中科目一考场服务根据《机动车驾驶证业务工作规范》（公交管[2022]73号）、《河南省机动车驾驶人考场管理规定》（豫公交办〔2022〕283号）等要求：公安机关交通管理部门应当自行建设驾驶理论考场。在采购人驾驶理论考场建成使用后，采购人可随时终止第一标段科目一考场购买服务，使用费用据实结算)。</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核心产品</w:t>
      </w:r>
      <w:r>
        <w:rPr>
          <w:rFonts w:hint="eastAsia" w:asciiTheme="minorEastAsia" w:hAnsiTheme="minorEastAsia" w:eastAsiaTheme="minorEastAsia" w:cstheme="minorEastAsia"/>
          <w:spacing w:val="-1"/>
          <w:sz w:val="24"/>
          <w:szCs w:val="24"/>
          <w:lang w:val="en-US" w:eastAsia="zh-CN"/>
        </w:rPr>
        <w:t>:</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关于核心产品本项目/包不适用。</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pPr>
        <w:pStyle w:val="4"/>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pPr>
        <w:pStyle w:val="4"/>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pPr>
        <w:pStyle w:val="4"/>
        <w:rPr>
          <w:rFonts w:hint="eastAsia"/>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pPr>
        <w:rPr>
          <w:rFonts w:hint="eastAsia"/>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1、投标人须明确参与本项目各标段的用地情况、计算机考台、拟投入考试车辆及人员配备情况。</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2、第一标段投标人须在投标文件中提供考场建设情况、所用设备的清单目录（需附相关照片或图片）。</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3、第二标段、第三标段投标人须在投标文件中提供考试场地初步设计文件（包括技术方案、设计图纸、项目功能指标计算、主要设备材料清单和工程概算等四项内容及施工图设计），且科目二考场还需提供测绘单位出具用于考试的场地面积测绘材料。</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4、第二标段、第三标段投标人须承诺按照《机动车驾驶证申领和使用规定》（公安部第162号令）、《机动车驾驶证业务工作规范》（公交管[2022]73号）、《机动车驾驶人考试内容和方法》（GA1026-2022）、《机动车驾驶人考试系统通用技术条件》（GA/T1028-2022）、《机动车驾驶人考试场地及其设施设置规范》（GA1029-2022）、《河南省机动车驾驶人考场管理规定》（豫公交办〔2022〕283号）和河南省公安厅交通管理局、南阳市公安局交通管理支队等要求在合同签订之日起90日内自费完成相应标段考场建设，安装使用经公安部交通管理科学研究所验收合格、公示备案的智能评判考试系统，并承诺提供由检测单位出具的所建房屋安全检测证明或房屋竣工验收备案表、消防安全证明材料等，且需通过南阳市公安局交通管理支队初检，在河南省公安厅交警总队验收备案后服从南阳市公安局交通管理支队的管理使用。</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478" w:firstLineChars="200"/>
        <w:textAlignment w:val="baseline"/>
        <w:rPr>
          <w:rFonts w:hint="eastAsia" w:asciiTheme="minorEastAsia" w:hAnsiTheme="minorEastAsia" w:eastAsiaTheme="minorEastAsia" w:cstheme="minorEastAsia"/>
          <w:b/>
          <w:bCs/>
          <w:snapToGrid w:val="0"/>
          <w:color w:val="000000"/>
          <w:spacing w:val="-1"/>
          <w:kern w:val="0"/>
          <w:sz w:val="24"/>
          <w:szCs w:val="24"/>
          <w:lang w:val="en-US" w:eastAsia="zh-CN" w:bidi="ar-SA"/>
        </w:rPr>
      </w:pPr>
      <w:r>
        <w:rPr>
          <w:rFonts w:hint="eastAsia" w:asciiTheme="minorEastAsia" w:hAnsiTheme="minorEastAsia" w:eastAsiaTheme="minorEastAsia" w:cstheme="minorEastAsia"/>
          <w:b/>
          <w:bCs/>
          <w:snapToGrid w:val="0"/>
          <w:color w:val="000000"/>
          <w:spacing w:val="-1"/>
          <w:kern w:val="0"/>
          <w:sz w:val="24"/>
          <w:szCs w:val="24"/>
          <w:lang w:val="en-US" w:eastAsia="zh-CN" w:bidi="ar-SA"/>
        </w:rPr>
        <w:t>5、投标人须分标段提供本项目考场服务的总体方案、投入人员的岗位分配、服务及质量承诺等。</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6、本项目机动车驾驶人定点社会考场服务质量要严格按照国家标准和采购人要求，须达到采购人满意。</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7、合同的签订：中标人应在收到南阳市政府采购中心签发的《中标通知书》后及时和采购人联系签订合同，合同生效自提供的考试服务场地通过河南省公安厅交警总队验收备案之日起。</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8、付款方式：服务期限完成后按照实际使用时限一次性付清。</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Theme="minorEastAsia" w:hAnsiTheme="minorEastAsia" w:eastAsiaTheme="minorEastAsia" w:cstheme="minorEastAsia"/>
          <w:snapToGrid w:val="0"/>
          <w:color w:val="000000" w:themeColor="text1"/>
          <w:spacing w:val="-1"/>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1"/>
          <w:kern w:val="0"/>
          <w:sz w:val="24"/>
          <w:szCs w:val="24"/>
          <w:lang w:val="en-US" w:eastAsia="zh-CN" w:bidi="ar-SA"/>
          <w14:textFill>
            <w14:solidFill>
              <w14:schemeClr w14:val="tx1"/>
            </w14:solidFill>
          </w14:textFill>
        </w:rPr>
        <w:t>9、考场使用最高限价：第一标段每年使用费最高限价为壹万捌仟捌佰元整，第二标段每年使用费最高限价为贰万捌仟贰佰元整，第三标段每年使用费为肆万柒仟元整。</w:t>
      </w:r>
    </w:p>
    <w:p>
      <w:pPr>
        <w:pStyle w:val="22"/>
        <w:rPr>
          <w:rFonts w:hint="eastAsia"/>
          <w:color w:val="FF0000"/>
          <w:lang w:val="en-US" w:eastAsia="zh-CN"/>
        </w:rPr>
      </w:pPr>
    </w:p>
    <w:p>
      <w:pPr>
        <w:pStyle w:val="22"/>
        <w:rPr>
          <w:rFonts w:hint="eastAsia"/>
          <w:lang w:val="en-US" w:eastAsia="zh-CN"/>
        </w:rPr>
      </w:pPr>
    </w:p>
    <w:p>
      <w:pPr>
        <w:pStyle w:val="2"/>
        <w:keepNext w:val="0"/>
        <w:keepLines w:val="0"/>
        <w:pageBreakBefore w:val="0"/>
        <w:numPr>
          <w:ilvl w:val="0"/>
          <w:numId w:val="0"/>
        </w:numPr>
        <w:kinsoku/>
        <w:wordWrap w:val="0"/>
        <w:overflowPunct/>
        <w:topLinePunct w:val="0"/>
        <w:bidi w:val="0"/>
        <w:spacing w:before="352" w:line="690" w:lineRule="exact"/>
        <w:ind w:firstLine="2506" w:firstLineChars="700"/>
        <w:jc w:val="both"/>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t xml:space="preserve">第三章 </w:t>
      </w:r>
      <w:r>
        <w:rPr>
          <w:rFonts w:hint="eastAsia" w:asciiTheme="minorEastAsia" w:hAnsiTheme="minorEastAsia" w:eastAsiaTheme="minorEastAsia" w:cstheme="minorEastAsia"/>
          <w:spacing w:val="-1"/>
          <w:position w:val="24"/>
          <w:sz w:val="36"/>
          <w:szCs w:val="36"/>
          <w14:textOutline w14:w="2306" w14:cap="flat" w14:cmpd="sng">
            <w14:solidFill>
              <w14:srgbClr w14:val="000000"/>
            </w14:solidFill>
            <w14:prstDash w14:val="solid"/>
            <w14:miter w14:val="0"/>
          </w14:textOutline>
        </w:rPr>
        <w:t>投标人须知</w:t>
      </w:r>
    </w:p>
    <w:p>
      <w:pPr>
        <w:pStyle w:val="2"/>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投标人须知表</w:t>
      </w: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4"/>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pPr>
              <w:pStyle w:val="24"/>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pacing w:val="19"/>
                <w:sz w:val="24"/>
                <w:szCs w:val="24"/>
              </w:rPr>
              <w:t>□货物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24"/>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pPr>
              <w:pStyle w:val="24"/>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4"/>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rPr>
            </w:pP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4"/>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pPr>
              <w:pStyle w:val="24"/>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□组织，考察时间：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rPr>
              <w:t>开标前答疑会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4"/>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pPr>
              <w:pStyle w:val="24"/>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4"/>
              <w:keepNext w:val="0"/>
              <w:keepLines w:val="0"/>
              <w:pageBreakBefore w:val="0"/>
              <w:widowControl/>
              <w:numPr>
                <w:ilvl w:val="0"/>
                <w:numId w:val="17"/>
              </w:numPr>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其他未列明行业   </w:t>
            </w:r>
          </w:p>
          <w:p>
            <w:pPr>
              <w:pStyle w:val="24"/>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☑本项目专门面向中小企业采购。</w:t>
            </w:r>
          </w:p>
          <w:p>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napToGrid w:val="0"/>
                <w:color w:val="000000"/>
                <w:spacing w:val="29"/>
                <w:kern w:val="0"/>
                <w:sz w:val="24"/>
                <w:szCs w:val="24"/>
                <w:lang w:val="en-US" w:eastAsia="zh-CN" w:bidi="ar-SA"/>
              </w:rPr>
              <w:t>本项目小微企业价格折扣比例</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w:t>
            </w:r>
            <w:r>
              <w:rPr>
                <w:rFonts w:hint="eastAsia" w:asciiTheme="minorEastAsia" w:hAnsiTheme="minorEastAsia" w:eastAsiaTheme="minorEastAsia" w:cstheme="minorEastAsia"/>
                <w:snapToGrid w:val="0"/>
                <w:color w:val="000000"/>
                <w:spacing w:val="29"/>
                <w:kern w:val="0"/>
                <w:sz w:val="24"/>
                <w:szCs w:val="24"/>
                <w:lang w:val="en-US" w:eastAsia="zh-CN" w:bidi="ar-SA"/>
              </w:rPr>
              <w:t>%。</w:t>
            </w:r>
          </w:p>
          <w:p>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4"/>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305"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投标报价的特殊规定：</w:t>
            </w:r>
          </w:p>
          <w:p>
            <w:pPr>
              <w:pStyle w:val="24"/>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pPr>
              <w:pStyle w:val="24"/>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pPr>
              <w:pStyle w:val="24"/>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156.98 </w:t>
            </w:r>
            <w:r>
              <w:rPr>
                <w:rFonts w:hint="eastAsia" w:asciiTheme="minorEastAsia" w:hAnsiTheme="minorEastAsia" w:eastAsiaTheme="minorEastAsia" w:cstheme="minorEastAsia"/>
                <w:snapToGrid w:val="0"/>
                <w:color w:val="000000"/>
                <w:spacing w:val="29"/>
                <w:kern w:val="0"/>
                <w:sz w:val="24"/>
                <w:szCs w:val="24"/>
                <w:lang w:val="en-US" w:eastAsia="zh-CN" w:bidi="ar-SA"/>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电子投标文件：1份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2024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8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2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开标时间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12"/>
                <w:sz w:val="24"/>
                <w:szCs w:val="24"/>
                <w:u w:val="single"/>
                <w:lang w:val="en-US" w:eastAsia="zh-CN"/>
              </w:rPr>
              <w:t xml:space="preserve">  2024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8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2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color w:val="auto"/>
                <w:spacing w:val="-15"/>
                <w:sz w:val="24"/>
                <w:szCs w:val="24"/>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核心产品</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本项目不适用核心产品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综合评分法</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val="en-US" w:eastAsia="zh-CN"/>
              </w:rPr>
              <w:t>最低评标价法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是否委托评标委员会直接确定中标人：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代理费</w:t>
            </w:r>
          </w:p>
        </w:tc>
        <w:tc>
          <w:tcPr>
            <w:tcW w:w="7305" w:type="dxa"/>
            <w:tcBorders>
              <w:top w:val="single" w:color="auto" w:sz="6" w:space="0"/>
              <w:left w:val="single" w:color="auto" w:sz="6" w:space="0"/>
              <w:bottom w:val="single" w:color="auto" w:sz="12" w:space="0"/>
              <w:right w:val="single" w:color="auto" w:sz="12" w:space="0"/>
            </w:tcBorders>
            <w:noWrap w:val="0"/>
            <w:vAlign w:val="center"/>
          </w:tcPr>
          <w:p>
            <w:pPr>
              <w:pStyle w:val="24"/>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val="en-US" w:eastAsia="zh-CN"/>
              </w:rPr>
              <w:t>集中采购机构不收费</w:t>
            </w:r>
          </w:p>
          <w:p>
            <w:pPr>
              <w:pStyle w:val="24"/>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z w:val="24"/>
                <w:szCs w:val="24"/>
                <w:lang w:val="en-US" w:eastAsia="zh-CN"/>
              </w:rPr>
              <w:t>收费对象：</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采购人</w:t>
            </w: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13"/>
                <w:sz w:val="24"/>
                <w:szCs w:val="24"/>
                <w:lang w:val="en-US" w:eastAsia="zh-CN"/>
              </w:rPr>
              <w:t>中标人</w:t>
            </w:r>
          </w:p>
          <w:p>
            <w:pPr>
              <w:pStyle w:val="24"/>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13"/>
                <w:sz w:val="24"/>
                <w:szCs w:val="24"/>
                <w:lang w:val="en-US" w:eastAsia="zh-CN"/>
              </w:rPr>
              <w:t>收费标准：</w:t>
            </w:r>
          </w:p>
        </w:tc>
      </w:tr>
    </w:tbl>
    <w:p>
      <w:pPr>
        <w:pStyle w:val="2"/>
        <w:keepNext w:val="0"/>
        <w:keepLines w:val="0"/>
        <w:pageBreakBefore w:val="0"/>
        <w:kinsoku/>
        <w:wordWrap w:val="0"/>
        <w:overflowPunct/>
        <w:topLinePunct w:val="0"/>
        <w:bidi w:val="0"/>
        <w:spacing w:before="91" w:line="221" w:lineRule="auto"/>
        <w:jc w:val="both"/>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91" w:line="221" w:lineRule="auto"/>
        <w:jc w:val="cente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91" w:line="221"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t>投标人须知</w:t>
      </w:r>
    </w:p>
    <w:p>
      <w:pPr>
        <w:pStyle w:val="2"/>
        <w:keepNext w:val="0"/>
        <w:keepLines w:val="0"/>
        <w:pageBreakBefore w:val="0"/>
        <w:kinsoku/>
        <w:wordWrap w:val="0"/>
        <w:overflowPunct/>
        <w:topLinePunct w:val="0"/>
        <w:bidi w:val="0"/>
        <w:spacing w:before="268" w:line="360" w:lineRule="auto"/>
        <w:jc w:val="both"/>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10"/>
          <w:sz w:val="24"/>
          <w:szCs w:val="24"/>
          <w:lang w:eastAsia="zh-CN"/>
          <w14:textOutline w14:w="1800"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说明</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采购人、采购代理机构、投标人、联合体</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投标人（也称供应商、申请人）：指向采购人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资金来源、项目属性、科研仪器设备采购、核心产品</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pacing w:val="7"/>
          <w:sz w:val="24"/>
          <w:szCs w:val="24"/>
          <w:u w:val="none"/>
          <w:lang w:val="en-US" w:eastAsia="zh-CN"/>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资金来源为财政性资金</w:t>
      </w:r>
      <w:r>
        <w:rPr>
          <w:rFonts w:hint="eastAsia" w:asciiTheme="minorEastAsia" w:hAnsiTheme="minorEastAsia" w:eastAsiaTheme="minorEastAsia" w:cstheme="minorEastAsia"/>
          <w:spacing w:val="7"/>
          <w:sz w:val="24"/>
          <w:szCs w:val="24"/>
          <w:u w:val="single"/>
          <w:lang w:val="en-US" w:eastAsia="zh-CN"/>
        </w:rPr>
        <w:t xml:space="preserve">  156.98  </w:t>
      </w:r>
      <w:r>
        <w:rPr>
          <w:rFonts w:hint="eastAsia" w:asciiTheme="minorEastAsia" w:hAnsiTheme="minorEastAsia" w:eastAsiaTheme="minorEastAsia" w:cstheme="minorEastAsia"/>
          <w:spacing w:val="7"/>
          <w:sz w:val="24"/>
          <w:szCs w:val="24"/>
          <w:u w:val="none"/>
          <w:lang w:val="en-US" w:eastAsia="zh-CN"/>
        </w:rPr>
        <w:t>万元</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2.2</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项目属性见《</w:t>
      </w:r>
      <w:r>
        <w:rPr>
          <w:rFonts w:hint="eastAsia" w:asciiTheme="minorEastAsia" w:hAnsiTheme="minorEastAsia" w:eastAsiaTheme="minorEastAsia" w:cstheme="minorEastAsia"/>
          <w:spacing w:val="7"/>
          <w:sz w:val="24"/>
          <w:szCs w:val="24"/>
          <w:lang w:eastAsia="zh-CN"/>
        </w:rPr>
        <w:t>投标人须知表</w:t>
      </w:r>
      <w:r>
        <w:rPr>
          <w:rFonts w:hint="eastAsia" w:asciiTheme="minorEastAsia" w:hAnsiTheme="minorEastAsia" w:eastAsiaTheme="minorEastAsia" w:cstheme="minorEastAsia"/>
          <w:spacing w:val="7"/>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8"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
          <w:sz w:val="24"/>
          <w:szCs w:val="24"/>
        </w:rPr>
        <w:t>2.3</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是否属于科研仪器设备采购见《</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3"/>
          <w:sz w:val="24"/>
          <w:szCs w:val="24"/>
          <w:lang w:val="en-US" w:eastAsia="zh-CN"/>
        </w:rPr>
        <w:t xml:space="preserve"> </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7"/>
          <w:sz w:val="24"/>
          <w:szCs w:val="24"/>
        </w:rPr>
        <w:t>2.4</w:t>
      </w:r>
      <w:r>
        <w:rPr>
          <w:rFonts w:hint="eastAsia" w:asciiTheme="minorEastAsia" w:hAnsiTheme="minorEastAsia" w:eastAsiaTheme="minorEastAsia" w:cstheme="minorEastAsia"/>
          <w:spacing w:val="-4"/>
          <w:position w:val="17"/>
          <w:sz w:val="24"/>
          <w:szCs w:val="24"/>
          <w:lang w:val="en-US" w:eastAsia="zh-CN"/>
        </w:rPr>
        <w:t xml:space="preserve"> </w:t>
      </w:r>
      <w:r>
        <w:rPr>
          <w:rFonts w:hint="eastAsia" w:asciiTheme="minorEastAsia" w:hAnsiTheme="minorEastAsia" w:eastAsiaTheme="minorEastAsia" w:cstheme="minorEastAsia"/>
          <w:spacing w:val="-4"/>
          <w:position w:val="17"/>
          <w:sz w:val="24"/>
          <w:szCs w:val="24"/>
        </w:rPr>
        <w:t>核心产品见《</w:t>
      </w:r>
      <w:r>
        <w:rPr>
          <w:rFonts w:hint="eastAsia" w:asciiTheme="minorEastAsia" w:hAnsiTheme="minorEastAsia" w:eastAsiaTheme="minorEastAsia" w:cstheme="minorEastAsia"/>
          <w:spacing w:val="-4"/>
          <w:position w:val="17"/>
          <w:sz w:val="24"/>
          <w:szCs w:val="24"/>
          <w:lang w:eastAsia="zh-CN"/>
        </w:rPr>
        <w:t>投标人须知表</w:t>
      </w:r>
      <w:r>
        <w:rPr>
          <w:rFonts w:hint="eastAsia" w:asciiTheme="minorEastAsia" w:hAnsiTheme="minorEastAsia" w:eastAsiaTheme="minorEastAsia" w:cstheme="minorEastAsia"/>
          <w:spacing w:val="-4"/>
          <w:position w:val="17"/>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织现场考察、召开开标前答疑会，则投</w:t>
      </w:r>
      <w:r>
        <w:rPr>
          <w:rFonts w:hint="eastAsia" w:asciiTheme="minorEastAsia" w:hAnsiTheme="minorEastAsia" w:eastAsiaTheme="minorEastAsia" w:cstheme="minorEastAsia"/>
          <w:spacing w:val="-3"/>
          <w:sz w:val="24"/>
          <w:szCs w:val="24"/>
        </w:rPr>
        <w:t>标人应按要求在规定的时间和地点参加。</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由于未参加现场考察或开标前答疑会而导致对项目实际情况不了解，影响投标文件编制、投标报价准确性、综合因素响应不全面等问题的，由投标人自行承担不利评审后果。</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物、工程、服务参与投标，则具体要求见第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rPr>
        <w:t>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5"/>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eastAsia="zh-CN"/>
        </w:rPr>
        <w:t>公开招标公告</w:t>
      </w:r>
      <w:r>
        <w:rPr>
          <w:rFonts w:hint="eastAsia" w:asciiTheme="minorEastAsia" w:hAnsiTheme="minorEastAsia" w:eastAsiaTheme="minorEastAsia" w:cstheme="minorEastAsia"/>
          <w:spacing w:val="-8"/>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eastAsia="zh-CN"/>
        </w:rPr>
        <w:t>投标人须知表</w:t>
      </w:r>
      <w:r>
        <w:rPr>
          <w:rFonts w:hint="eastAsia" w:asciiTheme="minorEastAsia" w:hAnsiTheme="minorEastAsia" w:eastAsiaTheme="minorEastAsia" w:cstheme="minorEastAsia"/>
          <w:spacing w:val="-8"/>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val="0"/>
        <w:bidi w:val="0"/>
        <w:adjustRightInd w:val="0"/>
        <w:snapToGrid w:val="0"/>
        <w:spacing w:before="0" w:beforeAutospacing="0" w:after="0" w:afterAutospacing="0" w:line="360" w:lineRule="auto"/>
        <w:ind w:left="0" w:right="0" w:firstLine="448" w:firstLineChars="200"/>
        <w:jc w:val="both"/>
        <w:textAlignment w:val="baseline"/>
        <w:rPr>
          <w:rFonts w:hint="eastAsia" w:asciiTheme="minorEastAsia" w:hAnsiTheme="minorEastAsia" w:eastAsiaTheme="minorEastAsia" w:cstheme="minorEastAsia"/>
          <w:b w:val="0"/>
          <w:snapToGrid w:val="0"/>
          <w:color w:val="000000"/>
          <w:spacing w:val="-8"/>
          <w:kern w:val="0"/>
          <w:sz w:val="24"/>
          <w:szCs w:val="24"/>
          <w:lang w:val="en-US" w:eastAsia="en-US" w:bidi="ar-SA"/>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.3.1</w:t>
      </w:r>
      <w:r>
        <w:rPr>
          <w:rFonts w:hint="eastAsia" w:asciiTheme="minorEastAsia" w:hAnsiTheme="minorEastAsia" w:eastAsiaTheme="minorEastAsia" w:cstheme="minorEastAsia"/>
          <w:b w:val="0"/>
          <w:snapToGrid w:val="0"/>
          <w:color w:val="000000"/>
          <w:spacing w:val="-8"/>
          <w:kern w:val="0"/>
          <w:sz w:val="24"/>
          <w:szCs w:val="24"/>
          <w:lang w:val="en-US" w:eastAsia="zh-CN" w:bidi="ar-SA"/>
        </w:rPr>
        <w:t xml:space="preserve"> </w:t>
      </w:r>
      <w:r>
        <w:rPr>
          <w:rFonts w:hint="eastAsia" w:asciiTheme="minorEastAsia" w:hAnsiTheme="minorEastAsia" w:eastAsiaTheme="minorEastAsia" w:cstheme="minorEastAsia"/>
          <w:b w:val="0"/>
          <w:snapToGrid w:val="0"/>
          <w:color w:val="000000"/>
          <w:spacing w:val="-8"/>
          <w:kern w:val="0"/>
          <w:sz w:val="24"/>
          <w:szCs w:val="24"/>
          <w:lang w:val="en-US" w:eastAsia="en-US" w:bidi="ar-SA"/>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en-US" w:bidi="ar-SA"/>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.3.2</w:t>
      </w:r>
      <w:r>
        <w:rPr>
          <w:rFonts w:hint="eastAsia" w:asciiTheme="minorEastAsia" w:hAnsiTheme="minorEastAsia" w:eastAsiaTheme="minorEastAsia" w:cstheme="minorEastAsia"/>
          <w:b w:val="0"/>
          <w:snapToGrid w:val="0"/>
          <w:color w:val="000000"/>
          <w:spacing w:val="-8"/>
          <w:kern w:val="0"/>
          <w:sz w:val="24"/>
          <w:szCs w:val="24"/>
          <w:lang w:val="en-US" w:eastAsia="zh-CN" w:bidi="ar-SA"/>
        </w:rPr>
        <w:t xml:space="preserve"> </w:t>
      </w:r>
      <w:r>
        <w:rPr>
          <w:rFonts w:hint="eastAsia" w:asciiTheme="minorEastAsia" w:hAnsiTheme="minorEastAsia" w:eastAsiaTheme="minorEastAsia" w:cstheme="minorEastAsia"/>
          <w:b w:val="0"/>
          <w:snapToGrid w:val="0"/>
          <w:color w:val="000000"/>
          <w:spacing w:val="-8"/>
          <w:kern w:val="0"/>
          <w:sz w:val="24"/>
          <w:szCs w:val="24"/>
          <w:lang w:val="en-US" w:eastAsia="en-US" w:bidi="ar-SA"/>
        </w:rPr>
        <w:t>采购人拟采购的产品属于品目清单范围的，采购人及其委托的采购代理机构依据</w:t>
      </w:r>
      <w:r>
        <w:rPr>
          <w:rFonts w:hint="eastAsia" w:asciiTheme="minorEastAsia" w:hAnsiTheme="minorEastAsia" w:eastAsiaTheme="minorEastAsia" w:cstheme="minorEastAsia"/>
          <w:spacing w:val="-8"/>
          <w:sz w:val="24"/>
          <w:szCs w:val="24"/>
        </w:rPr>
        <w:t>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否则投标无效；</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评标程序、评标方法和评标标准》（如涉及）。</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zh-CN" w:bidi="ar-SA"/>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lang w:val="en-US" w:eastAsia="zh-CN"/>
        </w:rPr>
        <w:t>5.投标</w:t>
      </w:r>
      <w:r>
        <w:rPr>
          <w:rFonts w:hint="eastAsia" w:asciiTheme="minorEastAsia" w:hAnsiTheme="minorEastAsia" w:eastAsiaTheme="minorEastAsia" w:cstheme="minorEastAsia"/>
          <w:b/>
          <w:bCs/>
          <w:spacing w:val="-2"/>
          <w:sz w:val="24"/>
          <w:szCs w:val="24"/>
        </w:rPr>
        <w:t>费用</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rPr>
        <w:t>应自行承担所有与准备和</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招标</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keepNext w:val="0"/>
        <w:keepLines w:val="0"/>
        <w:pageBreakBefore w:val="0"/>
        <w:kinsoku/>
        <w:wordWrap w:val="0"/>
        <w:overflowPunct/>
        <w:topLinePunct w:val="0"/>
        <w:bidi w:val="0"/>
        <w:spacing w:line="360" w:lineRule="auto"/>
        <w:ind w:firstLine="466" w:firstLineChars="200"/>
        <w:jc w:val="both"/>
        <w:rPr>
          <w:rFonts w:hint="eastAsia" w:asciiTheme="minorEastAsia" w:hAnsiTheme="minorEastAsia" w:eastAsiaTheme="minorEastAsia" w:cstheme="minorEastAsia"/>
          <w:b/>
          <w:bCs/>
          <w:snapToGrid w:val="0"/>
          <w:color w:val="auto"/>
          <w:spacing w:val="-4"/>
          <w:kern w:val="0"/>
          <w:sz w:val="24"/>
          <w:szCs w:val="24"/>
          <w:lang w:val="en-US" w:eastAsia="zh-CN" w:bidi="ar-SA"/>
        </w:rPr>
      </w:pPr>
      <w:r>
        <w:rPr>
          <w:rFonts w:hint="eastAsia" w:asciiTheme="minorEastAsia" w:hAnsiTheme="minorEastAsia" w:eastAsiaTheme="minorEastAsia" w:cstheme="minorEastAsia"/>
          <w:b/>
          <w:bCs/>
          <w:snapToGrid w:val="0"/>
          <w:color w:val="auto"/>
          <w:spacing w:val="-4"/>
          <w:kern w:val="0"/>
          <w:sz w:val="24"/>
          <w:szCs w:val="24"/>
          <w:lang w:val="en-US" w:eastAsia="zh-CN" w:bidi="ar-SA"/>
        </w:rPr>
        <w:t>6.采购范围及适用法律</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6.1 本次招标适用的法律、法规为《中华人民共和国政府采购法》《中华人民共和国政府采购法实施条例》《政府采购货物和服务招标投标管理办法》《中华人民共和国民法典》以及其他相关政府采购法律法规。</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南阳市财政局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6.3 “服务”指招标文件规定投标人应承担的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驾驶人考场     </w:t>
      </w:r>
      <w:r>
        <w:rPr>
          <w:rFonts w:hint="eastAsia" w:asciiTheme="minorEastAsia" w:hAnsiTheme="minorEastAsia" w:eastAsiaTheme="minorEastAsia" w:cstheme="minorEastAsia"/>
          <w:snapToGrid w:val="0"/>
          <w:color w:val="000000"/>
          <w:spacing w:val="-4"/>
          <w:kern w:val="0"/>
          <w:sz w:val="24"/>
          <w:szCs w:val="24"/>
          <w:lang w:val="en-US" w:eastAsia="zh-CN" w:bidi="ar-SA"/>
        </w:rPr>
        <w:t>服务。</w:t>
      </w:r>
    </w:p>
    <w:p>
      <w:pPr>
        <w:pStyle w:val="22"/>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pPr>
        <w:pStyle w:val="4"/>
        <w:rPr>
          <w:rFonts w:hint="eastAsia"/>
        </w:rPr>
      </w:pPr>
    </w:p>
    <w:p>
      <w:pPr>
        <w:pStyle w:val="2"/>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招标文件</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4" w:firstLineChars="200"/>
        <w:jc w:val="both"/>
        <w:textAlignment w:val="baseline"/>
        <w:rPr>
          <w:rFonts w:hint="eastAsia" w:asciiTheme="minorEastAsia" w:hAnsiTheme="minorEastAsia" w:eastAsiaTheme="minorEastAsia" w:cstheme="minorEastAsia"/>
          <w:b/>
          <w:bCs/>
          <w:snapToGrid w:val="0"/>
          <w:color w:val="000000"/>
          <w:spacing w:val="-2"/>
          <w:kern w:val="0"/>
          <w:sz w:val="24"/>
          <w:szCs w:val="24"/>
          <w:lang w:val="en-US" w:eastAsia="zh-CN" w:bidi="ar-SA"/>
        </w:rPr>
      </w:pPr>
      <w:r>
        <w:rPr>
          <w:rFonts w:hint="eastAsia" w:asciiTheme="minorEastAsia" w:hAnsiTheme="minorEastAsia" w:eastAsiaTheme="minorEastAsia" w:cstheme="minorEastAsia"/>
          <w:b/>
          <w:bCs/>
          <w:snapToGrid w:val="0"/>
          <w:color w:val="000000"/>
          <w:spacing w:val="-2"/>
          <w:kern w:val="0"/>
          <w:sz w:val="24"/>
          <w:szCs w:val="24"/>
          <w:lang w:val="en-US" w:eastAsia="zh-CN" w:bidi="ar-SA"/>
        </w:rPr>
        <w:t>7.招标文件构成</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7.1 招标文件包括以下部分：</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第一章 公开招标公告</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第二章 采购需求</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第三章 投标人须知</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第四章 开、评标程序、评标方法和评标标准</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第五章 政府采购合同（草案）</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第六章 投标文件格式</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7.2 投标人应认真阅读招标文件的全部内容。投标人应按照招标文件要求提交投标文件并保证所提供的全部资料的真实性，并对招标文件做出实质性响应，否则投标无效。</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50"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8.对招标文件的澄清或修改</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8.1 采购人或采购代理机构对已发出的招标文件进行必要澄清或者修改的，将在原公告发布媒体上发布更正公告，不得改变采购标的和资格条件。</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rFonts w:hint="eastAsia"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8.3 政府采购项目实行网上受理，开标前所有信息保密。因此，发布的一切公告信息（包括招标公告、更正公告、澄清公告、延期公告等）均在“河南省政府采购网”“南阳市公共资源交易中心网”发布，请潜在投标供应商随时查询有关公告信息。若因潜在投标供应商没有及时查看到公告信息而造成的投标失误，责任自负。</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8.4 投标人应关注是否有发布最新的澄清更正公告和更正的最新招标文件（电子答疑文件），如有则需下载最新的招标文件，并在此基础上制作最新的投标文件并上传。</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投标文件的编制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投标范围、投标文件中计量单位的使用及投标语言</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本项目如划分采购包，投标人可以对本项目的其中一个采购包进行投标，也可同时对多个采购包进行投标。投标人应当对所投采购包对应第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章《采购需求》所列的全部内容进行投标，不得将一个采购包中的内容拆分投标，否则其对该采购包的投标将被认定为无效投标。</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除招标文件有特殊要求外，本项目投标所使用的计量单位，应采用中华人民共和国法定计量单位。</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除专用术语外，投标文件及来往函电均应使用中文书写。必要时专用术语应附有中文解释。投标人</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交的支持资料和已印制的文献可以用外文，但相应内容应附有中文翻译本，在解释投标文件时以中文翻译本为准。未附中文翻译本或翻译本中文内容明显与外文内容不一致的，其不利后果由投标人自行承担。</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投标文件构成</w:t>
      </w:r>
    </w:p>
    <w:p>
      <w:pPr>
        <w:keepNext w:val="0"/>
        <w:keepLines w:val="0"/>
        <w:pageBreakBefore w:val="0"/>
        <w:widowControl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10.1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投标人应当按照招标文件的要求编制投标文件。投标文件应由《</w:t>
      </w:r>
      <w:r>
        <w:rPr>
          <w:rFonts w:hint="eastAsia" w:asciiTheme="minorEastAsia" w:hAnsiTheme="minorEastAsia" w:eastAsiaTheme="minorEastAsia" w:cstheme="minorEastAsia"/>
          <w:sz w:val="24"/>
          <w:szCs w:val="24"/>
          <w:lang w:eastAsia="zh-CN"/>
        </w:rPr>
        <w:t>开标一览表及资格证明文件</w:t>
      </w:r>
      <w:r>
        <w:rPr>
          <w:rFonts w:hint="eastAsia" w:asciiTheme="minorEastAsia" w:hAnsiTheme="minorEastAsia" w:eastAsiaTheme="minorEastAsia" w:cstheme="minorEastAsia"/>
          <w:sz w:val="24"/>
          <w:szCs w:val="24"/>
        </w:rPr>
        <w:t>》、《商务技术文件》两部分构成。投标文件的部分格式要求，见第</w:t>
      </w:r>
      <w:r>
        <w:rPr>
          <w:rFonts w:hint="eastAsia" w:asciiTheme="minorEastAsia" w:hAnsiTheme="minorEastAsia" w:eastAsiaTheme="minorEastAsia" w:cstheme="minorEastAsia"/>
          <w:sz w:val="24"/>
          <w:szCs w:val="24"/>
          <w:lang w:val="en-US" w:eastAsia="zh-CN"/>
        </w:rPr>
        <w:t>六</w:t>
      </w:r>
      <w:r>
        <w:rPr>
          <w:rFonts w:hint="eastAsia" w:asciiTheme="minorEastAsia" w:hAnsiTheme="minorEastAsia" w:eastAsiaTheme="minorEastAsia" w:cstheme="minorEastAsia"/>
          <w:sz w:val="24"/>
          <w:szCs w:val="24"/>
        </w:rPr>
        <w:t>章《投标文件格式》。</w:t>
      </w:r>
      <w:r>
        <w:rPr>
          <w:rFonts w:hint="eastAsia" w:asciiTheme="minorEastAsia" w:hAnsiTheme="minorEastAsia" w:eastAsiaTheme="minorEastAsia" w:cstheme="minorEastAsia"/>
          <w:sz w:val="24"/>
          <w:szCs w:val="24"/>
          <w:lang w:eastAsia="zh-CN"/>
        </w:rPr>
        <w:t>如有漏项或</w:t>
      </w:r>
      <w:r>
        <w:rPr>
          <w:rFonts w:hint="eastAsia" w:asciiTheme="minorEastAsia" w:hAnsiTheme="minorEastAsia" w:eastAsiaTheme="minorEastAsia" w:cstheme="minorEastAsia"/>
          <w:sz w:val="24"/>
          <w:szCs w:val="24"/>
          <w:lang w:val="en-US" w:eastAsia="zh-CN"/>
        </w:rPr>
        <w:t>评标委员会</w:t>
      </w:r>
      <w:r>
        <w:rPr>
          <w:rFonts w:hint="eastAsia" w:asciiTheme="minorEastAsia" w:hAnsiTheme="minorEastAsia" w:eastAsiaTheme="minorEastAsia" w:cstheme="minorEastAsia"/>
          <w:sz w:val="24"/>
          <w:szCs w:val="24"/>
          <w:lang w:eastAsia="zh-CN"/>
        </w:rPr>
        <w:t>认为其投标文件有明显缺陷的，造成的后果由投标人自己承担。</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供格式的内容，可由投标人自行编写。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文件应使用CA数字证书成并在截止时间前上传其加密版本，</w:t>
      </w:r>
      <w:r>
        <w:rPr>
          <w:rFonts w:hint="eastAsia" w:asciiTheme="minorEastAsia" w:hAnsiTheme="minorEastAsia" w:eastAsiaTheme="minorEastAsia" w:cstheme="minorEastAsia"/>
          <w:sz w:val="24"/>
          <w:szCs w:val="24"/>
          <w:lang w:val="en-US" w:eastAsia="zh-CN"/>
        </w:rPr>
        <w:t>根据招标文件中规定的下载平台要求，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投标</w:t>
      </w:r>
      <w:r>
        <w:rPr>
          <w:rFonts w:hint="eastAsia" w:asciiTheme="minorEastAsia" w:hAnsiTheme="minorEastAsia" w:eastAsiaTheme="minorEastAsia" w:cstheme="minorEastAsia"/>
          <w:b/>
          <w:bCs/>
          <w:sz w:val="24"/>
          <w:szCs w:val="24"/>
          <w:lang w:eastAsia="zh-CN"/>
        </w:rPr>
        <w:t>文件，将被平台系统拒绝。</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10.4 </w:t>
      </w:r>
      <w:r>
        <w:rPr>
          <w:rFonts w:hint="eastAsia" w:asciiTheme="minorEastAsia" w:hAnsiTheme="minorEastAsia" w:eastAsiaTheme="minorEastAsia" w:cstheme="minorEastAsia"/>
          <w:sz w:val="24"/>
          <w:szCs w:val="24"/>
        </w:rPr>
        <w:t>第四章《</w:t>
      </w:r>
      <w:r>
        <w:rPr>
          <w:rFonts w:hint="eastAsia" w:asciiTheme="minorEastAsia" w:hAnsiTheme="minorEastAsia" w:eastAsiaTheme="minorEastAsia" w:cstheme="minorEastAsia"/>
          <w:sz w:val="24"/>
          <w:szCs w:val="24"/>
          <w:lang w:val="en-US" w:eastAsia="zh-CN"/>
        </w:rPr>
        <w:t>开</w:t>
      </w:r>
      <w:r>
        <w:rPr>
          <w:rFonts w:hint="eastAsia" w:asciiTheme="minorEastAsia" w:hAnsiTheme="minorEastAsia" w:eastAsiaTheme="minorEastAsia" w:cstheme="minorEastAsia"/>
          <w:sz w:val="24"/>
          <w:szCs w:val="24"/>
        </w:rPr>
        <w:t>评标程序、评标方法和评标标准》中涉及的证明文件。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供货物和服务已对第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供证明文件的，投标人应当按具体要求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宋体" w:eastAsia="仿宋_GB2312"/>
          <w:b/>
          <w:color w:val="auto"/>
          <w:sz w:val="28"/>
          <w:szCs w:val="28"/>
          <w:lang w:eastAsia="zh-CN"/>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6 </w:t>
      </w:r>
      <w:r>
        <w:rPr>
          <w:rFonts w:hint="eastAsia" w:asciiTheme="minorEastAsia" w:hAnsiTheme="minorEastAsia" w:eastAsiaTheme="minorEastAsia" w:cstheme="minorEastAsia"/>
          <w:sz w:val="24"/>
          <w:szCs w:val="24"/>
          <w:lang w:eastAsia="zh-CN"/>
        </w:rPr>
        <w:t>投标人编制投标文件时，涉及营业执照、资质、业绩、财务、社保、纳税及各类证书、报告等内容，必须是原件的扫描件。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10.7 </w:t>
      </w:r>
      <w:r>
        <w:rPr>
          <w:rFonts w:hint="eastAsia" w:asciiTheme="minorEastAsia" w:hAnsiTheme="minorEastAsia" w:eastAsiaTheme="minorEastAsia" w:cstheme="minorEastAsia"/>
          <w:sz w:val="24"/>
          <w:szCs w:val="24"/>
          <w:lang w:eastAsia="zh-CN"/>
        </w:rPr>
        <w:t>投标人认为应附的其他材料。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所有投标均以人民币报价。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投标人的报价应包括为完成本项目所发生的一切费用和税费，采购人将不再支付报价以外的任何费用。投标人的报价应包括但不限于下列内容，</w:t>
      </w:r>
      <w:r>
        <w:rPr>
          <w:rFonts w:hint="eastAsia" w:asciiTheme="minorEastAsia" w:hAnsiTheme="minorEastAsia" w:eastAsiaTheme="minorEastAsia" w:cstheme="minorEastAsia"/>
          <w:sz w:val="24"/>
          <w:szCs w:val="24"/>
          <w:lang w:val="en-US" w:eastAsia="zh-CN"/>
        </w:rPr>
        <w:t>招标文件</w:t>
      </w:r>
      <w:r>
        <w:rPr>
          <w:rFonts w:hint="eastAsia" w:asciiTheme="minorEastAsia" w:hAnsiTheme="minorEastAsia" w:eastAsiaTheme="minorEastAsia" w:cstheme="minorEastAsia"/>
          <w:sz w:val="24"/>
          <w:szCs w:val="24"/>
        </w:rPr>
        <w:t>中有特殊规定的，从其规定。</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按照招标文件要求完成本项目的全部相关费用。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供任何有选择性或可调整的报价（招标文件另有规定的除外），否则其投标无效。</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11.5 </w:t>
      </w:r>
      <w:r>
        <w:rPr>
          <w:rFonts w:hint="eastAsia" w:asciiTheme="minorEastAsia" w:hAnsiTheme="minorEastAsia" w:eastAsiaTheme="minorEastAsia" w:cstheme="minorEastAsia"/>
          <w:sz w:val="24"/>
          <w:szCs w:val="24"/>
          <w:lang w:eastAsia="zh-CN"/>
        </w:rPr>
        <w:t>本次招标设有预算，投标人报价超过预算的，评标委员会将不予评议。</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 xml:space="preserve">11.6 </w:t>
      </w:r>
      <w:r>
        <w:rPr>
          <w:rFonts w:hint="eastAsia" w:asciiTheme="minorEastAsia" w:hAnsiTheme="minorEastAsia" w:eastAsiaTheme="minorEastAsia" w:cstheme="minorEastAsia"/>
          <w:b/>
          <w:bCs/>
          <w:sz w:val="24"/>
          <w:szCs w:val="24"/>
          <w:lang w:eastAsia="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投标有效期</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投标文件应在本招标文件《</w:t>
      </w:r>
      <w:r>
        <w:rPr>
          <w:rFonts w:hint="eastAsia" w:asciiTheme="minorEastAsia" w:hAnsiTheme="minorEastAsia" w:eastAsiaTheme="minorEastAsia" w:cstheme="minorEastAsia"/>
          <w:sz w:val="24"/>
          <w:szCs w:val="24"/>
          <w:lang w:eastAsia="zh-CN"/>
        </w:rPr>
        <w:t>投标人须知表</w:t>
      </w:r>
      <w:r>
        <w:rPr>
          <w:rFonts w:hint="eastAsia" w:asciiTheme="minorEastAsia" w:hAnsiTheme="minorEastAsia" w:eastAsiaTheme="minorEastAsia" w:cstheme="minorEastAsia"/>
          <w:sz w:val="24"/>
          <w:szCs w:val="24"/>
        </w:rPr>
        <w:t>》中规定的投标有效期内保持有效，投标有效期少于招标文件规定期限的，其投标无效。</w:t>
      </w:r>
      <w:r>
        <w:rPr>
          <w:rFonts w:hint="eastAsia" w:asciiTheme="minorEastAsia" w:hAnsiTheme="minorEastAsia" w:eastAsiaTheme="minorEastAsia" w:cstheme="minorEastAsia"/>
          <w:sz w:val="24"/>
          <w:szCs w:val="24"/>
          <w:lang w:eastAsia="zh-CN"/>
        </w:rPr>
        <w:t>中标人的投标有效期延长至项目验收合格之日。</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特别情况下，</w:t>
      </w:r>
      <w:r>
        <w:rPr>
          <w:rFonts w:hint="eastAsia" w:asciiTheme="minorEastAsia" w:hAnsiTheme="minorEastAsia" w:eastAsiaTheme="minorEastAsia" w:cstheme="minorEastAsia"/>
          <w:sz w:val="24"/>
          <w:szCs w:val="24"/>
          <w:lang w:val="en-US" w:eastAsia="zh-CN"/>
        </w:rPr>
        <w:t>采购代理机构</w:t>
      </w:r>
      <w:r>
        <w:rPr>
          <w:rFonts w:hint="eastAsia" w:asciiTheme="minorEastAsia" w:hAnsiTheme="minorEastAsia" w:eastAsiaTheme="minorEastAsia" w:cstheme="minorEastAsia"/>
          <w:sz w:val="24"/>
          <w:szCs w:val="24"/>
          <w:lang w:eastAsia="zh-CN"/>
        </w:rPr>
        <w:t>、采购人可于投标有效期满之前要求投标人同意延长有效期，要求与答复均为书面形式。投标人可以拒绝上述要求。对于同意该要求的投标人，既不要求也不允许其修改投标文件。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w:t>
      </w:r>
      <w:r>
        <w:rPr>
          <w:rFonts w:hint="eastAsia" w:asciiTheme="minorEastAsia" w:hAnsiTheme="minorEastAsia" w:eastAsiaTheme="minorEastAsia" w:cstheme="minorEastAsia"/>
          <w:b/>
          <w:bCs/>
          <w:sz w:val="24"/>
          <w:szCs w:val="24"/>
        </w:rPr>
        <w:t>投标文件的签署、盖章</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文件必须在规定签章处</w:t>
      </w:r>
      <w:r>
        <w:rPr>
          <w:rFonts w:hint="eastAsia" w:asciiTheme="minorEastAsia" w:hAnsiTheme="minorEastAsia" w:eastAsiaTheme="minorEastAsia" w:cstheme="minorEastAsia"/>
          <w:sz w:val="24"/>
          <w:szCs w:val="24"/>
          <w:lang w:val="en-US" w:eastAsia="zh-CN"/>
        </w:rPr>
        <w:t>电子签章或</w:t>
      </w:r>
      <w:r>
        <w:rPr>
          <w:rFonts w:hint="eastAsia" w:asciiTheme="minorEastAsia" w:hAnsiTheme="minorEastAsia" w:eastAsiaTheme="minorEastAsia" w:cstheme="minorEastAsia"/>
          <w:sz w:val="24"/>
          <w:szCs w:val="24"/>
          <w:lang w:eastAsia="zh-CN"/>
        </w:rPr>
        <w:t>手写签字后扫描上传进投标文件。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招标文件要求盖章的内容，一般通过</w:t>
      </w:r>
      <w:r>
        <w:rPr>
          <w:rFonts w:hint="eastAsia" w:asciiTheme="minorEastAsia" w:hAnsiTheme="minorEastAsia" w:eastAsiaTheme="minorEastAsia" w:cstheme="minorEastAsia"/>
          <w:sz w:val="24"/>
          <w:szCs w:val="24"/>
          <w:lang w:val="en-US" w:eastAsia="zh-CN"/>
        </w:rPr>
        <w:t>CA</w:t>
      </w:r>
      <w:r>
        <w:rPr>
          <w:rFonts w:hint="eastAsia" w:asciiTheme="minorEastAsia" w:hAnsiTheme="minorEastAsia" w:eastAsiaTheme="minorEastAsia" w:cstheme="minorEastAsia"/>
          <w:sz w:val="24"/>
          <w:szCs w:val="24"/>
        </w:rPr>
        <w:t>加盖电子签章。</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投标文件的</w:t>
      </w:r>
      <w:r>
        <w:rPr>
          <w:rFonts w:hint="eastAsia" w:asciiTheme="minorEastAsia" w:hAnsiTheme="minorEastAsia" w:eastAsiaTheme="minorEastAsia" w:cstheme="minorEastAsia"/>
          <w:sz w:val="28"/>
          <w:szCs w:val="28"/>
          <w:lang w:val="en-US" w:eastAsia="zh-CN"/>
          <w14:textOutline w14:w="1800"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交</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86"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4.</w:t>
      </w:r>
      <w:r>
        <w:rPr>
          <w:rFonts w:hint="eastAsia" w:asciiTheme="minorEastAsia" w:hAnsiTheme="minorEastAsia" w:eastAsiaTheme="minorEastAsia" w:cstheme="minorEastAsia"/>
          <w:b/>
          <w:bCs/>
          <w:spacing w:val="1"/>
          <w:sz w:val="24"/>
          <w:szCs w:val="24"/>
        </w:rPr>
        <w:t>投标文件的</w:t>
      </w:r>
      <w:r>
        <w:rPr>
          <w:rFonts w:hint="eastAsia" w:asciiTheme="minorEastAsia" w:hAnsiTheme="minorEastAsia" w:eastAsiaTheme="minorEastAsia" w:cstheme="minorEastAsia"/>
          <w:b/>
          <w:bCs/>
          <w:spacing w:val="1"/>
          <w:sz w:val="24"/>
          <w:szCs w:val="24"/>
          <w:lang w:val="en-US" w:eastAsia="zh-CN"/>
        </w:rPr>
        <w:t>提</w:t>
      </w:r>
      <w:r>
        <w:rPr>
          <w:rFonts w:hint="eastAsia" w:asciiTheme="minorEastAsia" w:hAnsiTheme="minorEastAsia" w:eastAsiaTheme="minorEastAsia" w:cstheme="minorEastAsia"/>
          <w:b/>
          <w:bCs/>
          <w:spacing w:val="1"/>
          <w:sz w:val="24"/>
          <w:szCs w:val="24"/>
        </w:rPr>
        <w:t>交</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投标文件的提交是指使用南阳市公共资源交易中心网上交易系统在投标截止时间前完成制作软件生成的加密电子投标文件的上传。未在投标截止时间前完成上传的，视为逾期提交。逾期提交的投标文件，招标人不予受理。</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采购人及采购代理机构拒绝接受通过电子交易平台以外任何形式提交的投标文件。</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15.投标截止时间</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spacing w:val="3"/>
          <w:kern w:val="0"/>
          <w:sz w:val="24"/>
          <w:szCs w:val="24"/>
          <w:lang w:val="en-US" w:eastAsia="zh-CN" w:bidi="ar-SA"/>
        </w:rPr>
        <w:t>投标人应在招标文件要求的投标文件截止时间前，将电子投标文件提交至电</w:t>
      </w:r>
      <w:r>
        <w:rPr>
          <w:rFonts w:hint="eastAsia" w:asciiTheme="minorEastAsia" w:hAnsiTheme="minorEastAsia" w:eastAsiaTheme="minorEastAsia" w:cstheme="minorEastAsia"/>
          <w:spacing w:val="-9"/>
          <w:sz w:val="24"/>
          <w:szCs w:val="24"/>
        </w:rPr>
        <w:t>子交易平台。</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6.</w:t>
      </w:r>
      <w:r>
        <w:rPr>
          <w:rFonts w:hint="eastAsia" w:asciiTheme="minorEastAsia" w:hAnsiTheme="minorEastAsia" w:eastAsiaTheme="minorEastAsia" w:cstheme="minorEastAsia"/>
          <w:b/>
          <w:bCs/>
          <w:spacing w:val="-1"/>
          <w:sz w:val="24"/>
          <w:szCs w:val="24"/>
        </w:rPr>
        <w:t>投标文件的修改与撤回</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16.1 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pPr>
        <w:pStyle w:val="4"/>
        <w:rPr>
          <w:rFonts w:hint="eastAsia"/>
          <w:lang w:val="en-US"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0"/>
        <w:jc w:val="both"/>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 xml:space="preserve"> 开、</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评标程序、评标方法和评标标准</w:t>
      </w:r>
    </w:p>
    <w:p>
      <w:pPr>
        <w:pStyle w:val="2"/>
        <w:keepNext w:val="0"/>
        <w:keepLines w:val="0"/>
        <w:pageBreakBefore w:val="0"/>
        <w:kinsoku/>
        <w:wordWrap w:val="0"/>
        <w:overflowPunct/>
        <w:topLinePunct w:val="0"/>
        <w:bidi w:val="0"/>
        <w:spacing w:before="255" w:line="221" w:lineRule="auto"/>
        <w:ind w:left="3942"/>
        <w:jc w:val="both"/>
        <w:outlineLvl w:val="2"/>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一、开标</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1.采购人或采购代理机构按招标公告中规定的时间开标，本项目使用不见面开标，投标人无需到开标现场。</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2.开标：</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2.1 投标人解密：投标人制作电子投标文件时，必须使用本单位企业数字证书进行加密，投标人在开标前须自行检查数字证书的有效性。在解密时间到达后，系统做出解密提示，请各投标人自行解密即可。开标解密时未在规定时间（30分钟）内进行解密的视为撤销其投标文件（因电子开标系统原因除外）。</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2.3 宣布开标结束。</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2"/>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二、资格审查</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1.开标结束后，采购人或采购代理机构将根据资格审查要求中的规定，对投标人进行资格审查，并形成资格审查结果。</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2.投标人《资格证明文件》有任何一项不符合《资格审查要求》的，资格审查不合格，其投标无效。</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3.资格审查合格的投标人不足3家的，不进行评标。</w:t>
      </w:r>
    </w:p>
    <w:p>
      <w:pPr>
        <w:pStyle w:val="22"/>
        <w:rPr>
          <w:rFonts w:hint="eastAsia"/>
          <w:lang w:val="en-US" w:eastAsia="zh-CN"/>
        </w:rPr>
      </w:pPr>
    </w:p>
    <w:p>
      <w:pPr>
        <w:pStyle w:val="2"/>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资格审查要求</w:t>
      </w:r>
    </w:p>
    <w:p>
      <w:pPr>
        <w:keepNext w:val="0"/>
        <w:keepLines w:val="0"/>
        <w:pageBreakBefore w:val="0"/>
        <w:kinsoku/>
        <w:wordWrap w:val="0"/>
        <w:overflowPunct/>
        <w:topLinePunct w:val="0"/>
        <w:bidi w:val="0"/>
        <w:spacing w:line="146" w:lineRule="exact"/>
        <w:jc w:val="both"/>
        <w:rPr>
          <w:rFonts w:hint="eastAsia" w:asciiTheme="minorEastAsia" w:hAnsiTheme="minorEastAsia" w:eastAsiaTheme="minorEastAsia" w:cstheme="minorEastAsia"/>
        </w:rPr>
      </w:pPr>
    </w:p>
    <w:tbl>
      <w:tblPr>
        <w:tblStyle w:val="23"/>
        <w:tblW w:w="83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061"/>
        <w:gridCol w:w="3600"/>
        <w:gridCol w:w="29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9" w:type="dxa"/>
            <w:vAlign w:val="top"/>
          </w:tcPr>
          <w:p>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061"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3600"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2967"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29" w:type="dxa"/>
            <w:vAlign w:val="center"/>
          </w:tcPr>
          <w:p>
            <w:pPr>
              <w:pStyle w:val="24"/>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61" w:type="dxa"/>
            <w:vAlign w:val="center"/>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投标人具备的</w:t>
            </w:r>
            <w:r>
              <w:rPr>
                <w:rFonts w:hint="eastAsia" w:asciiTheme="minorEastAsia" w:hAnsiTheme="minorEastAsia" w:eastAsiaTheme="minorEastAsia" w:cstheme="minorEastAsia"/>
                <w:spacing w:val="-2"/>
                <w:sz w:val="24"/>
                <w:szCs w:val="24"/>
              </w:rPr>
              <w:t>资格要求</w:t>
            </w:r>
          </w:p>
        </w:tc>
        <w:tc>
          <w:tcPr>
            <w:tcW w:w="3600" w:type="dxa"/>
            <w:vAlign w:val="top"/>
          </w:tcPr>
          <w:p>
            <w:pPr>
              <w:numPr>
                <w:ilvl w:val="0"/>
                <w:numId w:val="18"/>
              </w:numPr>
              <w:rPr>
                <w:rFonts w:hint="eastAsia"/>
              </w:rPr>
            </w:pPr>
            <w:r>
              <w:rPr>
                <w:rFonts w:hint="eastAsia"/>
              </w:rPr>
              <w:t>注册于中华人民共和国境内，具有独立承担民事责任能力；</w:t>
            </w:r>
          </w:p>
          <w:p>
            <w:pPr>
              <w:rPr>
                <w:rFonts w:hint="eastAsia"/>
              </w:rPr>
            </w:pPr>
            <w:r>
              <w:rPr>
                <w:rFonts w:hint="eastAsia"/>
              </w:rPr>
              <w:t>2.具有良好的商业信誉和健全的财务会计制度；</w:t>
            </w:r>
          </w:p>
          <w:p>
            <w:pPr>
              <w:rPr>
                <w:rFonts w:hint="eastAsia"/>
              </w:rPr>
            </w:pPr>
            <w:r>
              <w:rPr>
                <w:rFonts w:hint="eastAsia"/>
              </w:rPr>
              <w:t>3.具有履行合同所必需的设备和专业技术能力；</w:t>
            </w:r>
          </w:p>
          <w:p>
            <w:pPr>
              <w:rPr>
                <w:rFonts w:hint="eastAsia"/>
              </w:rPr>
            </w:pPr>
            <w:r>
              <w:rPr>
                <w:rFonts w:hint="eastAsia"/>
              </w:rPr>
              <w:t>4.有依法缴纳税收和社会保障资金的良好记录；</w:t>
            </w:r>
          </w:p>
          <w:p>
            <w:pPr>
              <w:rPr>
                <w:rFonts w:hint="eastAsia"/>
              </w:rPr>
            </w:pPr>
            <w:r>
              <w:rPr>
                <w:rFonts w:hint="eastAsia"/>
              </w:rPr>
              <w:t>5.参加政府采购活动前三年内，在经营活动中没有重大违法记录；</w:t>
            </w:r>
          </w:p>
          <w:p>
            <w:pPr>
              <w:rPr>
                <w:rFonts w:hint="eastAsia"/>
              </w:rPr>
            </w:pPr>
            <w:r>
              <w:rPr>
                <w:rFonts w:hint="eastAsia"/>
              </w:rPr>
              <w:t>6.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rPr>
                <w:rFonts w:hint="eastAsia"/>
              </w:rPr>
            </w:pPr>
            <w:r>
              <w:rPr>
                <w:rFonts w:hint="eastAsia"/>
              </w:rPr>
              <w:t>7.遵守国家有关法律、法规、规章。</w:t>
            </w:r>
          </w:p>
          <w:p>
            <w:pPr>
              <w:rPr>
                <w:rFonts w:hint="eastAsia"/>
              </w:rPr>
            </w:pPr>
            <w:r>
              <w:rPr>
                <w:rFonts w:hint="eastAsia"/>
                <w:lang w:val="en-US" w:eastAsia="zh-CN"/>
              </w:rPr>
              <w:t>8.</w:t>
            </w:r>
            <w:r>
              <w:rPr>
                <w:rFonts w:hint="eastAsia"/>
              </w:rPr>
              <w:t>第一标段投标人须提供该标段考试服务经历的证明，且须提供所建房屋安全检测证明(附检测单位资质证明)或房屋竣工验收备案表、消防部门出具的考场经消防检查合格证明或消防检查意见书;第二标段、第三标段投标人须提供消防合格证明或消防检查意见书或者规划建设许可证明;第三标段投标人还须提供具有管辖权的行政管理部门出具的小型汽车、小型自动挡汽车考试路段不少于4公里的审批文件,若拟同时承担大中型客货车考试服务的还须提供大中型客货车考试路段不少于8公里的审批文件</w:t>
            </w:r>
          </w:p>
          <w:p>
            <w:pPr>
              <w:rPr>
                <w:rFonts w:hint="default"/>
                <w:lang w:val="en-US" w:eastAsia="zh-CN"/>
              </w:rPr>
            </w:pPr>
            <w:r>
              <w:rPr>
                <w:rFonts w:hint="eastAsia"/>
                <w:lang w:val="en-US" w:eastAsia="zh-CN"/>
              </w:rPr>
              <w:t>9.本项目专门面向中小企业采购，供应商须提交服务企业中小企业声明函。</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p>
        </w:tc>
        <w:tc>
          <w:tcPr>
            <w:tcW w:w="2967" w:type="dxa"/>
            <w:vAlign w:val="top"/>
          </w:tcPr>
          <w:p>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投标人为企业（包括合伙企业、个体工商户）的，应提供有效的营业执照；</w:t>
            </w:r>
          </w:p>
          <w:p>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投标人为事业单位的，应提供有效的事业单位法人证书；</w:t>
            </w:r>
          </w:p>
          <w:p>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投标人是非企业机构的，应提供有效的执业许可证、登记证书等证明文件；</w:t>
            </w:r>
          </w:p>
          <w:p>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投标人是自然人的，应提供有效的自然人身份证明。</w:t>
            </w:r>
          </w:p>
          <w:p>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9" w:type="dxa"/>
            <w:vAlign w:val="top"/>
          </w:tcPr>
          <w:p>
            <w:pPr>
              <w:pStyle w:val="24"/>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1061" w:type="dxa"/>
            <w:vAlign w:val="top"/>
          </w:tcPr>
          <w:p>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600" w:type="dxa"/>
            <w:vAlign w:val="top"/>
          </w:tcPr>
          <w:p>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2967" w:type="dxa"/>
            <w:vAlign w:val="top"/>
          </w:tcPr>
          <w:p>
            <w:pPr>
              <w:pStyle w:val="24"/>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4" w:hRule="atLeast"/>
        </w:trPr>
        <w:tc>
          <w:tcPr>
            <w:tcW w:w="729" w:type="dxa"/>
            <w:vAlign w:val="top"/>
          </w:tcPr>
          <w:p>
            <w:pPr>
              <w:pStyle w:val="24"/>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before="49" w:line="19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61" w:type="dxa"/>
            <w:vAlign w:val="top"/>
          </w:tcPr>
          <w:p>
            <w:pPr>
              <w:pStyle w:val="24"/>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600" w:type="dxa"/>
            <w:vAlign w:val="top"/>
          </w:tcPr>
          <w:p>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pPr>
              <w:pStyle w:val="24"/>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1、投标人单独投标的，应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pPr>
              <w:pStyle w:val="24"/>
              <w:keepNext w:val="0"/>
              <w:keepLines w:val="0"/>
              <w:pageBreakBefore w:val="0"/>
              <w:kinsoku/>
              <w:wordWrap w:val="0"/>
              <w:overflowPunct/>
              <w:topLinePunct w:val="0"/>
              <w:bidi w:val="0"/>
              <w:spacing w:before="20" w:line="236" w:lineRule="auto"/>
              <w:ind w:right="102"/>
              <w:jc w:val="both"/>
              <w:rPr>
                <w:rFonts w:hint="eastAsia" w:asciiTheme="minorEastAsia" w:hAnsiTheme="minorEastAsia" w:eastAsiaTheme="minorEastAsia" w:cstheme="minorEastAsia"/>
                <w:sz w:val="24"/>
                <w:szCs w:val="24"/>
              </w:rPr>
            </w:pPr>
          </w:p>
        </w:tc>
        <w:tc>
          <w:tcPr>
            <w:tcW w:w="2967" w:type="dxa"/>
            <w:vAlign w:val="top"/>
          </w:tcPr>
          <w:p>
            <w:pPr>
              <w:pStyle w:val="24"/>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格式见《投标</w:t>
            </w:r>
            <w:r>
              <w:rPr>
                <w:rFonts w:hint="eastAsia" w:asciiTheme="minorEastAsia" w:hAnsiTheme="minorEastAsia" w:eastAsiaTheme="minorEastAsia" w:cstheme="minorEastAsia"/>
                <w:spacing w:val="-4"/>
                <w:sz w:val="24"/>
                <w:szCs w:val="24"/>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9" w:type="dxa"/>
            <w:vAlign w:val="top"/>
          </w:tcPr>
          <w:p>
            <w:pPr>
              <w:pStyle w:val="24"/>
              <w:keepNext w:val="0"/>
              <w:keepLines w:val="0"/>
              <w:pageBreakBefore w:val="0"/>
              <w:kinsoku/>
              <w:wordWrap w:val="0"/>
              <w:overflowPunct/>
              <w:topLinePunct w:val="0"/>
              <w:bidi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61" w:type="dxa"/>
            <w:vAlign w:val="top"/>
          </w:tcPr>
          <w:p>
            <w:pPr>
              <w:keepNext w:val="0"/>
              <w:keepLines w:val="0"/>
              <w:pageBreakBefore w:val="0"/>
              <w:kinsoku/>
              <w:wordWrap w:val="0"/>
              <w:overflowPunct/>
              <w:topLinePunct w:val="0"/>
              <w:bidi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求</w:t>
            </w:r>
          </w:p>
        </w:tc>
        <w:tc>
          <w:tcPr>
            <w:tcW w:w="3600" w:type="dxa"/>
            <w:vAlign w:val="top"/>
          </w:tcPr>
          <w:p>
            <w:pPr>
              <w:keepNext w:val="0"/>
              <w:keepLines w:val="0"/>
              <w:pageBreakBefore w:val="0"/>
              <w:kinsoku/>
              <w:wordWrap w:val="0"/>
              <w:overflowPunct/>
              <w:topLinePunct w:val="0"/>
              <w:bidi w:val="0"/>
              <w:spacing w:before="192" w:line="219"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2967" w:type="dxa"/>
            <w:vAlign w:val="top"/>
          </w:tcPr>
          <w:p>
            <w:pPr>
              <w:pStyle w:val="24"/>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序号1中1-5项证明材料”。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三、评标委员会</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采购预算金额在1000万元以上的或者技术复杂或者社会影响较大的采购项目，评标委员会成员人数应当为7人以上单数。</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3.评标委员会应当严格遵守评审纪律，现场签订评审委员会评审承诺书，并按照客观、公正、审慎的原则，根据采购文件规定的评审程序、评审方法和评审标准进行独立评审。</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4.评标委员会应当在评审报告上签字，对自己评审意见承担法律责任。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5.评审专家未完成评审工作擅自离开评审现场，或者在评审活动中有违法违规行为的，不得获取劳务报酬和报销异地评审差旅费。评审专家以外的其他人员不得获取评审劳务报酬。</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7.评标委员会或者其成员存在下列情形导致评标结果无效的，采购人、采购代理机构可以重新组建评标委员会进行评标，并书面报告本级财政部门，但采购合同已经履行的除外：</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（1）评标委员会组成不符合本办法规定的;</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（2）政府采购货物和服务招标投标管理办法（87号令）第六十二条第一至五项情形的;</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（3）评标委员会及其成员独立评标受到非法干预的;</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（4）有政府采购法实施条例第七十五条规定的违法行为的。</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有违法违规行为的原评标委员会成员不得参加重新组建的评标委员会。</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8.评审活动结束，按照《河南省政府采购评审专家劳务报酬支付标准》的通知(豫财购〔2017〕9号)的规定，发放劳务报酬。</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4" w:firstLineChars="200"/>
        <w:jc w:val="both"/>
        <w:textAlignment w:val="baseline"/>
        <w:rPr>
          <w:rFonts w:hint="eastAsia" w:asciiTheme="minorEastAsia" w:hAnsiTheme="minorEastAsia" w:eastAsiaTheme="minorEastAsia" w:cstheme="minorEastAsia"/>
          <w:b/>
          <w:bCs/>
          <w:spacing w:val="3"/>
          <w:sz w:val="24"/>
          <w:szCs w:val="24"/>
          <w:lang w:val="en-US"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四、投标文件的审查</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投标文件的符合性审查</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position w:val="17"/>
          <w:sz w:val="24"/>
          <w:szCs w:val="24"/>
        </w:rPr>
        <w:t>1.1</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评标委员会对资格审查合格的投标人的投标文件进行符合性审查，以确定其</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是否满足招标文件的实质性要求。</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1.2</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pPr>
        <w:pStyle w:val="2"/>
        <w:keepNext w:val="0"/>
        <w:keepLines w:val="0"/>
        <w:pageBreakBefore w:val="0"/>
        <w:kinsoku/>
        <w:wordWrap w:val="0"/>
        <w:overflowPunct/>
        <w:topLinePunct w:val="0"/>
        <w:bidi w:val="0"/>
        <w:spacing w:before="178" w:line="220" w:lineRule="auto"/>
        <w:ind w:left="364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符合性审查要求</w:t>
      </w:r>
    </w:p>
    <w:p>
      <w:pPr>
        <w:keepNext w:val="0"/>
        <w:keepLines w:val="0"/>
        <w:pageBreakBefore w:val="0"/>
        <w:kinsoku/>
        <w:wordWrap w:val="0"/>
        <w:overflowPunct/>
        <w:topLinePunct w:val="0"/>
        <w:bidi w:val="0"/>
        <w:spacing w:line="145" w:lineRule="exact"/>
        <w:jc w:val="both"/>
        <w:rPr>
          <w:rFonts w:hint="eastAsia" w:asciiTheme="minorEastAsia" w:hAnsiTheme="minorEastAsia" w:eastAsiaTheme="minorEastAsia" w:cstheme="minorEastAsia"/>
        </w:rPr>
      </w:pPr>
    </w:p>
    <w:tbl>
      <w:tblPr>
        <w:tblStyle w:val="23"/>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vAlign w:val="top"/>
          </w:tcPr>
          <w:p>
            <w:pPr>
              <w:keepNext w:val="0"/>
              <w:keepLines w:val="0"/>
              <w:pageBreakBefore w:val="0"/>
              <w:kinsoku/>
              <w:wordWrap w:val="0"/>
              <w:overflowPunct/>
              <w:topLinePunct w:val="0"/>
              <w:bidi w:val="0"/>
              <w:spacing w:before="41" w:line="207" w:lineRule="auto"/>
              <w:ind w:left="14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812" w:type="dxa"/>
            <w:vAlign w:val="top"/>
          </w:tcPr>
          <w:p>
            <w:pPr>
              <w:keepNext w:val="0"/>
              <w:keepLines w:val="0"/>
              <w:pageBreakBefore w:val="0"/>
              <w:kinsoku/>
              <w:wordWrap w:val="0"/>
              <w:overflowPunct/>
              <w:topLinePunct w:val="0"/>
              <w:bidi w:val="0"/>
              <w:spacing w:before="41" w:line="207" w:lineRule="auto"/>
              <w:ind w:left="43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5791" w:type="dxa"/>
            <w:vAlign w:val="top"/>
          </w:tcPr>
          <w:p>
            <w:pPr>
              <w:keepNext w:val="0"/>
              <w:keepLines w:val="0"/>
              <w:pageBreakBefore w:val="0"/>
              <w:kinsoku/>
              <w:wordWrap w:val="0"/>
              <w:overflowPunct/>
              <w:topLinePunct w:val="0"/>
              <w:bidi w:val="0"/>
              <w:spacing w:before="41" w:line="207" w:lineRule="auto"/>
              <w:ind w:left="289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4"/>
              <w:keepNext w:val="0"/>
              <w:keepLines w:val="0"/>
              <w:pageBreakBefore w:val="0"/>
              <w:kinsoku/>
              <w:wordWrap w:val="0"/>
              <w:overflowPunct/>
              <w:topLinePunct w:val="0"/>
              <w:bidi w:val="0"/>
              <w:spacing w:before="245" w:line="199" w:lineRule="auto"/>
              <w:ind w:left="32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12" w:type="dxa"/>
            <w:vAlign w:val="top"/>
          </w:tcPr>
          <w:p>
            <w:pPr>
              <w:keepNext w:val="0"/>
              <w:keepLines w:val="0"/>
              <w:pageBreakBefore w:val="0"/>
              <w:kinsoku/>
              <w:wordWrap w:val="0"/>
              <w:overflowPunct/>
              <w:topLinePunct w:val="0"/>
              <w:bidi w:val="0"/>
              <w:spacing w:before="222" w:line="219" w:lineRule="auto"/>
              <w:ind w:left="11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5791" w:type="dxa"/>
            <w:vAlign w:val="top"/>
          </w:tcPr>
          <w:p>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按招标文件要求</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供授权委托书</w:t>
            </w:r>
            <w:r>
              <w:rPr>
                <w:rFonts w:hint="eastAsia" w:asciiTheme="minorEastAsia" w:hAnsiTheme="minorEastAsia" w:eastAsiaTheme="minorEastAsia" w:cstheme="minorEastAsia"/>
                <w:spacing w:val="-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pPr>
              <w:pStyle w:val="24"/>
              <w:keepNext w:val="0"/>
              <w:keepLines w:val="0"/>
              <w:pageBreakBefore w:val="0"/>
              <w:kinsoku/>
              <w:wordWrap w:val="0"/>
              <w:overflowPunct/>
              <w:topLinePunct w:val="0"/>
              <w:bidi w:val="0"/>
              <w:spacing w:before="244" w:line="201" w:lineRule="auto"/>
              <w:ind w:left="3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812" w:type="dxa"/>
            <w:vAlign w:val="center"/>
          </w:tcPr>
          <w:p>
            <w:pPr>
              <w:keepNext w:val="0"/>
              <w:keepLines w:val="0"/>
              <w:pageBreakBefore w:val="0"/>
              <w:kinsoku/>
              <w:wordWrap w:val="0"/>
              <w:overflowPunct/>
              <w:topLinePunct w:val="0"/>
              <w:bidi w:val="0"/>
              <w:spacing w:before="223" w:line="220"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5791" w:type="dxa"/>
            <w:vAlign w:val="center"/>
          </w:tcPr>
          <w:p>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未将一个采购包中的内容拆分投标；</w:t>
            </w:r>
          </w:p>
          <w:p>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投标人对所投招标文件中所列的所有内容进行投标。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pPr>
              <w:pStyle w:val="24"/>
              <w:keepNext w:val="0"/>
              <w:keepLines w:val="0"/>
              <w:pageBreakBefore w:val="0"/>
              <w:kinsoku/>
              <w:wordWrap w:val="0"/>
              <w:overflowPunct/>
              <w:topLinePunct w:val="0"/>
              <w:bidi w:val="0"/>
              <w:spacing w:before="245" w:line="201"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12" w:type="dxa"/>
            <w:vAlign w:val="top"/>
          </w:tcPr>
          <w:p>
            <w:pPr>
              <w:keepNext w:val="0"/>
              <w:keepLines w:val="0"/>
              <w:pageBreakBefore w:val="0"/>
              <w:kinsoku/>
              <w:wordWrap w:val="0"/>
              <w:overflowPunct/>
              <w:topLinePunct w:val="0"/>
              <w:bidi w:val="0"/>
              <w:spacing w:before="221" w:line="219"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5791" w:type="dxa"/>
            <w:vAlign w:val="top"/>
          </w:tcPr>
          <w:p>
            <w:pPr>
              <w:pStyle w:val="24"/>
              <w:keepNext w:val="0"/>
              <w:keepLines w:val="0"/>
              <w:pageBreakBefore w:val="0"/>
              <w:kinsoku/>
              <w:wordWrap w:val="0"/>
              <w:overflowPunct/>
              <w:topLinePunct w:val="0"/>
              <w:bidi w:val="0"/>
              <w:spacing w:before="69" w:line="228" w:lineRule="auto"/>
              <w:ind w:left="117" w:right="29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投标报价未超过招标文件中规定的项目/采购包预算金额或者</w:t>
            </w:r>
            <w:r>
              <w:rPr>
                <w:rFonts w:hint="eastAsia" w:asciiTheme="minorEastAsia" w:hAnsiTheme="minorEastAsia" w:eastAsiaTheme="minorEastAsia" w:cstheme="minorEastAsia"/>
                <w:spacing w:val="-5"/>
                <w:sz w:val="24"/>
                <w:szCs w:val="24"/>
              </w:rPr>
              <w:t>项目/采购包最高限价</w:t>
            </w:r>
            <w:r>
              <w:rPr>
                <w:rFonts w:hint="eastAsia" w:asciiTheme="minorEastAsia" w:hAnsiTheme="minorEastAsia" w:eastAsiaTheme="minorEastAsia" w:cstheme="minorEastAsia"/>
                <w:spacing w:val="-5"/>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4"/>
              <w:keepNext w:val="0"/>
              <w:keepLines w:val="0"/>
              <w:pageBreakBefore w:val="0"/>
              <w:kinsoku/>
              <w:wordWrap w:val="0"/>
              <w:overflowPunct/>
              <w:topLinePunct w:val="0"/>
              <w:bidi w:val="0"/>
              <w:spacing w:before="247" w:line="199" w:lineRule="auto"/>
              <w:ind w:left="30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812" w:type="dxa"/>
            <w:vAlign w:val="top"/>
          </w:tcPr>
          <w:p>
            <w:pPr>
              <w:keepNext w:val="0"/>
              <w:keepLines w:val="0"/>
              <w:pageBreakBefore w:val="0"/>
              <w:kinsoku/>
              <w:wordWrap w:val="0"/>
              <w:overflowPunct/>
              <w:topLinePunct w:val="0"/>
              <w:bidi w:val="0"/>
              <w:spacing w:before="223"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5791" w:type="dxa"/>
            <w:vAlign w:val="top"/>
          </w:tcPr>
          <w:p>
            <w:pPr>
              <w:keepNext w:val="0"/>
              <w:keepLines w:val="0"/>
              <w:pageBreakBefore w:val="0"/>
              <w:kinsoku/>
              <w:wordWrap w:val="0"/>
              <w:overflowPunct/>
              <w:topLinePunct w:val="0"/>
              <w:bidi w:val="0"/>
              <w:spacing w:before="68" w:line="230" w:lineRule="auto"/>
              <w:ind w:left="133" w:right="136" w:hanging="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投标文件未出现可选择性或可调整的报价（招标文件另有规定</w:t>
            </w:r>
            <w:r>
              <w:rPr>
                <w:rFonts w:hint="eastAsia" w:asciiTheme="minorEastAsia" w:hAnsiTheme="minorEastAsia" w:eastAsiaTheme="minorEastAsia" w:cstheme="minorEastAsia"/>
                <w:spacing w:val="-17"/>
                <w:sz w:val="24"/>
                <w:szCs w:val="24"/>
              </w:rPr>
              <w:t>的除外</w:t>
            </w: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pacing w:val="-9"/>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pPr>
              <w:pStyle w:val="24"/>
              <w:keepNext w:val="0"/>
              <w:keepLines w:val="0"/>
              <w:pageBreakBefore w:val="0"/>
              <w:kinsoku/>
              <w:wordWrap w:val="0"/>
              <w:overflowPunct/>
              <w:topLinePunct w:val="0"/>
              <w:bidi w:val="0"/>
              <w:spacing w:before="248" w:line="199"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12" w:type="dxa"/>
            <w:vAlign w:val="top"/>
          </w:tcPr>
          <w:p>
            <w:pPr>
              <w:keepNext w:val="0"/>
              <w:keepLines w:val="0"/>
              <w:pageBreakBefore w:val="0"/>
              <w:kinsoku/>
              <w:wordWrap w:val="0"/>
              <w:overflowPunct/>
              <w:topLinePunct w:val="0"/>
              <w:bidi w:val="0"/>
              <w:spacing w:before="222" w:line="221"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5791" w:type="dxa"/>
            <w:vAlign w:val="top"/>
          </w:tcPr>
          <w:p>
            <w:pPr>
              <w:keepNext w:val="0"/>
              <w:keepLines w:val="0"/>
              <w:pageBreakBefore w:val="0"/>
              <w:kinsoku/>
              <w:wordWrap w:val="0"/>
              <w:overflowPunct/>
              <w:topLinePunct w:val="0"/>
              <w:bidi w:val="0"/>
              <w:spacing w:before="70" w:line="229" w:lineRule="auto"/>
              <w:ind w:left="117"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投标文件中承诺的投标有效期满足招标文件中载明的投标有效</w:t>
            </w:r>
            <w:r>
              <w:rPr>
                <w:rFonts w:hint="eastAsia" w:asciiTheme="minorEastAsia" w:hAnsiTheme="minorEastAsia" w:eastAsiaTheme="minorEastAsia" w:cstheme="minorEastAsia"/>
                <w:spacing w:val="-15"/>
                <w:sz w:val="24"/>
                <w:szCs w:val="24"/>
              </w:rPr>
              <w:t>期的</w:t>
            </w:r>
            <w:r>
              <w:rPr>
                <w:rFonts w:hint="eastAsia" w:asciiTheme="minorEastAsia" w:hAnsiTheme="minorEastAsia" w:eastAsiaTheme="minorEastAsia" w:cstheme="minorEastAsia"/>
                <w:spacing w:val="-15"/>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4"/>
              <w:keepNext w:val="0"/>
              <w:keepLines w:val="0"/>
              <w:pageBreakBefore w:val="0"/>
              <w:kinsoku/>
              <w:wordWrap w:val="0"/>
              <w:overflowPunct/>
              <w:topLinePunct w:val="0"/>
              <w:bidi w:val="0"/>
              <w:spacing w:before="244" w:line="202" w:lineRule="auto"/>
              <w:ind w:left="3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812" w:type="dxa"/>
            <w:vAlign w:val="top"/>
          </w:tcPr>
          <w:p>
            <w:pPr>
              <w:keepNext w:val="0"/>
              <w:keepLines w:val="0"/>
              <w:pageBreakBefore w:val="0"/>
              <w:kinsoku/>
              <w:wordWrap w:val="0"/>
              <w:overflowPunct/>
              <w:topLinePunct w:val="0"/>
              <w:bidi w:val="0"/>
              <w:spacing w:before="224" w:line="220"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5791" w:type="dxa"/>
            <w:vAlign w:val="top"/>
          </w:tcPr>
          <w:p>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标记为</w:t>
            </w:r>
            <w:r>
              <w:rPr>
                <w:rFonts w:hint="eastAsia" w:asciiTheme="minorEastAsia" w:hAnsiTheme="minorEastAsia" w:eastAsiaTheme="minorEastAsia" w:cstheme="minorEastAsia"/>
                <w:spacing w:val="-1"/>
                <w:sz w:val="24"/>
                <w:szCs w:val="24"/>
              </w:rPr>
              <w:t>实质性格式的文件均按招标文件要求</w:t>
            </w:r>
            <w:r>
              <w:rPr>
                <w:rFonts w:hint="eastAsia" w:asciiTheme="minorEastAsia" w:hAnsiTheme="minorEastAsia" w:eastAsiaTheme="minorEastAsia" w:cstheme="minorEastAsia"/>
                <w:spacing w:val="-1"/>
                <w:sz w:val="24"/>
                <w:szCs w:val="24"/>
                <w:lang w:val="en-US" w:eastAsia="zh-CN"/>
              </w:rPr>
              <w:t>提</w:t>
            </w:r>
            <w:r>
              <w:rPr>
                <w:rFonts w:hint="eastAsia" w:asciiTheme="minorEastAsia" w:hAnsiTheme="minorEastAsia" w:eastAsiaTheme="minorEastAsia" w:cstheme="minorEastAsia"/>
                <w:spacing w:val="-1"/>
                <w:sz w:val="24"/>
                <w:szCs w:val="24"/>
              </w:rPr>
              <w:t>供且签署、盖</w:t>
            </w:r>
            <w:r>
              <w:rPr>
                <w:rFonts w:hint="eastAsia" w:asciiTheme="minorEastAsia" w:hAnsiTheme="minorEastAsia" w:eastAsiaTheme="minorEastAsia" w:cstheme="minorEastAsia"/>
                <w:spacing w:val="-17"/>
                <w:sz w:val="24"/>
                <w:szCs w:val="24"/>
              </w:rPr>
              <w:t>章的</w:t>
            </w:r>
            <w:r>
              <w:rPr>
                <w:rFonts w:hint="eastAsia" w:asciiTheme="minorEastAsia" w:hAnsiTheme="minorEastAsia" w:eastAsiaTheme="minorEastAsia" w:cstheme="minorEastAsia"/>
                <w:spacing w:val="-17"/>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pPr>
              <w:pStyle w:val="24"/>
              <w:keepNext w:val="0"/>
              <w:keepLines w:val="0"/>
              <w:pageBreakBefore w:val="0"/>
              <w:kinsoku/>
              <w:wordWrap w:val="0"/>
              <w:overflowPunct/>
              <w:topLinePunct w:val="0"/>
              <w:bidi w:val="0"/>
              <w:spacing w:before="247"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7</w:t>
            </w:r>
          </w:p>
        </w:tc>
        <w:tc>
          <w:tcPr>
            <w:tcW w:w="1812" w:type="dxa"/>
            <w:vAlign w:val="top"/>
          </w:tcPr>
          <w:p>
            <w:pPr>
              <w:keepNext w:val="0"/>
              <w:keepLines w:val="0"/>
              <w:pageBreakBefore w:val="0"/>
              <w:kinsoku/>
              <w:wordWrap w:val="0"/>
              <w:overflowPunct/>
              <w:topLinePunct w:val="0"/>
              <w:bidi w:val="0"/>
              <w:spacing w:before="72" w:line="230" w:lineRule="auto"/>
              <w:ind w:left="112" w:right="123" w:hanging="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报价的修正</w:t>
            </w:r>
          </w:p>
        </w:tc>
        <w:tc>
          <w:tcPr>
            <w:tcW w:w="5791" w:type="dxa"/>
            <w:vAlign w:val="top"/>
          </w:tcPr>
          <w:p>
            <w:pPr>
              <w:keepNext w:val="0"/>
              <w:keepLines w:val="0"/>
              <w:pageBreakBefore w:val="0"/>
              <w:kinsoku/>
              <w:wordWrap w:val="0"/>
              <w:overflowPunct/>
              <w:topLinePunct w:val="0"/>
              <w:bidi w:val="0"/>
              <w:spacing w:before="72" w:line="229" w:lineRule="auto"/>
              <w:ind w:left="114" w:right="136" w:firstLine="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不涉及报价修正，或投标文件报价出现前后不一致时，投标人</w:t>
            </w:r>
            <w:r>
              <w:rPr>
                <w:rFonts w:hint="eastAsia" w:asciiTheme="minorEastAsia" w:hAnsiTheme="minorEastAsia" w:eastAsiaTheme="minorEastAsia" w:cstheme="minorEastAsia"/>
                <w:spacing w:val="-2"/>
                <w:sz w:val="24"/>
                <w:szCs w:val="24"/>
              </w:rPr>
              <w:t>对修正后的报价予以确认</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top"/>
          </w:tcPr>
          <w:p>
            <w:pPr>
              <w:pStyle w:val="24"/>
              <w:keepNext w:val="0"/>
              <w:keepLines w:val="0"/>
              <w:pageBreakBefore w:val="0"/>
              <w:kinsoku/>
              <w:wordWrap w:val="0"/>
              <w:overflowPunct/>
              <w:topLinePunct w:val="0"/>
              <w:bidi w:val="0"/>
              <w:spacing w:line="304" w:lineRule="auto"/>
              <w:jc w:val="center"/>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8</w:t>
            </w:r>
          </w:p>
        </w:tc>
        <w:tc>
          <w:tcPr>
            <w:tcW w:w="1812" w:type="dxa"/>
            <w:vAlign w:val="top"/>
          </w:tcPr>
          <w:p>
            <w:pPr>
              <w:pStyle w:val="24"/>
              <w:keepNext w:val="0"/>
              <w:keepLines w:val="0"/>
              <w:pageBreakBefore w:val="0"/>
              <w:kinsoku/>
              <w:wordWrap w:val="0"/>
              <w:overflowPunct/>
              <w:topLinePunct w:val="0"/>
              <w:bidi w:val="0"/>
              <w:spacing w:line="271"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5791" w:type="dxa"/>
            <w:vAlign w:val="top"/>
          </w:tcPr>
          <w:p>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报价合理，或投标人的报价明显低于其他通过符合性审查投标人的报价，有可能影响产品质量或者不能诚信履约的，能够应</w:t>
            </w:r>
            <w:r>
              <w:rPr>
                <w:rFonts w:hint="eastAsia" w:asciiTheme="minorEastAsia" w:hAnsiTheme="minorEastAsia" w:eastAsiaTheme="minorEastAsia" w:cstheme="minorEastAsia"/>
                <w:spacing w:val="-3"/>
                <w:sz w:val="24"/>
                <w:szCs w:val="24"/>
              </w:rPr>
              <w:t>评标委员会要求在规定时间内证明其报价合理性的</w:t>
            </w:r>
            <w:r>
              <w:rPr>
                <w:rFonts w:hint="eastAsia" w:asciiTheme="minorEastAsia" w:hAnsiTheme="minorEastAsia" w:eastAsiaTheme="minorEastAsia" w:cstheme="minorEastAsia"/>
                <w:spacing w:val="-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vAlign w:val="top"/>
          </w:tcPr>
          <w:p>
            <w:pPr>
              <w:pStyle w:val="24"/>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9</w:t>
            </w:r>
          </w:p>
        </w:tc>
        <w:tc>
          <w:tcPr>
            <w:tcW w:w="1812" w:type="dxa"/>
            <w:vAlign w:val="top"/>
          </w:tcPr>
          <w:p>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服务期限</w:t>
            </w:r>
          </w:p>
        </w:tc>
        <w:tc>
          <w:tcPr>
            <w:tcW w:w="5791" w:type="dxa"/>
            <w:vAlign w:val="center"/>
          </w:tcPr>
          <w:p>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pPr>
              <w:pStyle w:val="24"/>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10</w:t>
            </w:r>
          </w:p>
        </w:tc>
        <w:tc>
          <w:tcPr>
            <w:tcW w:w="1812" w:type="dxa"/>
            <w:vAlign w:val="center"/>
          </w:tcPr>
          <w:p>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服务质量</w:t>
            </w:r>
          </w:p>
        </w:tc>
        <w:tc>
          <w:tcPr>
            <w:tcW w:w="5791" w:type="dxa"/>
            <w:vAlign w:val="center"/>
          </w:tcPr>
          <w:p>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vAlign w:val="top"/>
          </w:tcPr>
          <w:p>
            <w:pPr>
              <w:pStyle w:val="24"/>
              <w:keepNext w:val="0"/>
              <w:keepLines w:val="0"/>
              <w:pageBreakBefore w:val="0"/>
              <w:kinsoku/>
              <w:wordWrap w:val="0"/>
              <w:overflowPunct/>
              <w:topLinePunct w:val="0"/>
              <w:bidi w:val="0"/>
              <w:spacing w:line="301" w:lineRule="auto"/>
              <w:jc w:val="center"/>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11</w:t>
            </w:r>
          </w:p>
        </w:tc>
        <w:tc>
          <w:tcPr>
            <w:tcW w:w="1812" w:type="dxa"/>
            <w:vAlign w:val="top"/>
          </w:tcPr>
          <w:p>
            <w:pPr>
              <w:pStyle w:val="24"/>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20" w:lineRule="auto"/>
              <w:ind w:left="12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5791" w:type="dxa"/>
            <w:vAlign w:val="top"/>
          </w:tcPr>
          <w:p>
            <w:pPr>
              <w:keepNext w:val="0"/>
              <w:keepLines w:val="0"/>
              <w:pageBreakBefore w:val="0"/>
              <w:kinsoku/>
              <w:wordWrap w:val="0"/>
              <w:overflowPunct/>
              <w:topLinePunct w:val="0"/>
              <w:bidi w:val="0"/>
              <w:spacing w:before="38" w:line="228" w:lineRule="auto"/>
              <w:ind w:left="113" w:right="136" w:firstLine="4"/>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投标人遵循公平竞争的原则，不存在恶意串通，妨碍其他投标人的竞争行为，不存在损害采购人或者其他投标人的合法权益</w:t>
            </w:r>
            <w:r>
              <w:rPr>
                <w:rFonts w:hint="eastAsia" w:asciiTheme="minorEastAsia" w:hAnsiTheme="minorEastAsia" w:eastAsiaTheme="minorEastAsia" w:cstheme="minorEastAsia"/>
                <w:spacing w:val="-12"/>
                <w:sz w:val="24"/>
                <w:szCs w:val="24"/>
              </w:rPr>
              <w:t>情形的</w:t>
            </w:r>
            <w:r>
              <w:rPr>
                <w:rFonts w:hint="eastAsia" w:asciiTheme="minorEastAsia" w:hAnsiTheme="minorEastAsia" w:eastAsiaTheme="minorEastAsia" w:cstheme="minorEastAsia"/>
                <w:spacing w:val="-12"/>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pPr>
              <w:pStyle w:val="24"/>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12</w:t>
            </w:r>
          </w:p>
        </w:tc>
        <w:tc>
          <w:tcPr>
            <w:tcW w:w="1812" w:type="dxa"/>
            <w:vAlign w:val="top"/>
          </w:tcPr>
          <w:p>
            <w:pPr>
              <w:pStyle w:val="24"/>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pPr>
              <w:pStyle w:val="24"/>
              <w:keepNext w:val="0"/>
              <w:keepLines w:val="0"/>
              <w:pageBreakBefore w:val="0"/>
              <w:kinsoku/>
              <w:wordWrap w:val="0"/>
              <w:overflowPunct/>
              <w:topLinePunct w:val="0"/>
              <w:bidi w:val="0"/>
              <w:spacing w:line="297"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5791" w:type="dxa"/>
            <w:vMerge w:val="restart"/>
            <w:vAlign w:val="top"/>
          </w:tcPr>
          <w:p>
            <w:pPr>
              <w:keepNext w:val="0"/>
              <w:keepLines w:val="0"/>
              <w:pageBreakBefore w:val="0"/>
              <w:kinsoku/>
              <w:wordWrap w:val="0"/>
              <w:overflowPunct/>
              <w:topLinePunct w:val="0"/>
              <w:bidi w:val="0"/>
              <w:spacing w:before="42" w:line="234" w:lineRule="auto"/>
              <w:ind w:left="113" w:right="2" w:firstLine="5"/>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
                <w:sz w:val="24"/>
                <w:szCs w:val="24"/>
              </w:rPr>
              <w:t>不存在《政府采购货物和服务招标投标管理办法》视为投标人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7"/>
                <w:sz w:val="24"/>
                <w:szCs w:val="24"/>
              </w:rPr>
              <w:t>一）不同投标人的投标文件由同一单位或者</w:t>
            </w:r>
            <w:r>
              <w:rPr>
                <w:rFonts w:hint="eastAsia" w:asciiTheme="minorEastAsia" w:hAnsiTheme="minorEastAsia" w:eastAsiaTheme="minorEastAsia" w:cstheme="minorEastAsia"/>
                <w:spacing w:val="-8"/>
                <w:sz w:val="24"/>
                <w:szCs w:val="24"/>
              </w:rPr>
              <w:t>个人编制</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pacing w:val="-8"/>
                <w:sz w:val="24"/>
                <w:szCs w:val="24"/>
              </w:rPr>
              <w:t>二）不同投标人委托同一单位或者个人办</w:t>
            </w:r>
            <w:r>
              <w:rPr>
                <w:rFonts w:hint="eastAsia" w:asciiTheme="minorEastAsia" w:hAnsiTheme="minorEastAsia" w:eastAsiaTheme="minorEastAsia" w:cstheme="minorEastAsia"/>
                <w:spacing w:val="-9"/>
                <w:sz w:val="24"/>
                <w:szCs w:val="24"/>
              </w:rPr>
              <w:t>理投标事</w:t>
            </w:r>
            <w:r>
              <w:rPr>
                <w:rFonts w:hint="eastAsia" w:asciiTheme="minorEastAsia" w:hAnsiTheme="minorEastAsia" w:eastAsiaTheme="minorEastAsia" w:cstheme="minorEastAsia"/>
                <w:spacing w:val="-6"/>
                <w:sz w:val="24"/>
                <w:szCs w:val="24"/>
              </w:rPr>
              <w:t>宜</w:t>
            </w:r>
            <w:r>
              <w:rPr>
                <w:rFonts w:hint="eastAsia" w:asciiTheme="minorEastAsia" w:hAnsiTheme="minorEastAsia" w:eastAsiaTheme="minorEastAsia" w:cstheme="minorEastAsia"/>
                <w:spacing w:val="-59"/>
                <w:sz w:val="24"/>
                <w:szCs w:val="24"/>
              </w:rPr>
              <w:t>；（</w:t>
            </w:r>
            <w:r>
              <w:rPr>
                <w:rFonts w:hint="eastAsia" w:asciiTheme="minorEastAsia" w:hAnsiTheme="minorEastAsia" w:eastAsiaTheme="minorEastAsia" w:cstheme="minorEastAsia"/>
                <w:spacing w:val="-6"/>
                <w:sz w:val="24"/>
                <w:szCs w:val="24"/>
              </w:rPr>
              <w:t>三）不同投标人的投标文件载明的项目管理成员或者联系人员为同一人</w:t>
            </w:r>
            <w:r>
              <w:rPr>
                <w:rFonts w:hint="eastAsia" w:asciiTheme="minorEastAsia" w:hAnsiTheme="minorEastAsia" w:eastAsiaTheme="minorEastAsia" w:cstheme="minorEastAsia"/>
                <w:spacing w:val="-57"/>
                <w:sz w:val="24"/>
                <w:szCs w:val="24"/>
              </w:rPr>
              <w:t>；（</w:t>
            </w:r>
            <w:r>
              <w:rPr>
                <w:rFonts w:hint="eastAsia" w:asciiTheme="minorEastAsia" w:hAnsiTheme="minorEastAsia" w:eastAsiaTheme="minorEastAsia" w:cstheme="minorEastAsia"/>
                <w:spacing w:val="-6"/>
                <w:sz w:val="24"/>
                <w:szCs w:val="24"/>
              </w:rPr>
              <w:t>四）不同投标人的投标文件异常一</w:t>
            </w:r>
            <w:r>
              <w:rPr>
                <w:rFonts w:hint="eastAsia" w:asciiTheme="minorEastAsia" w:hAnsiTheme="minorEastAsia" w:eastAsiaTheme="minorEastAsia" w:cstheme="minorEastAsia"/>
                <w:spacing w:val="-7"/>
                <w:sz w:val="24"/>
                <w:szCs w:val="24"/>
              </w:rPr>
              <w:t>致或者投标</w:t>
            </w:r>
            <w:r>
              <w:rPr>
                <w:rFonts w:hint="eastAsia" w:asciiTheme="minorEastAsia" w:hAnsiTheme="minorEastAsia" w:eastAsiaTheme="minorEastAsia" w:cstheme="minorEastAsia"/>
                <w:spacing w:val="-18"/>
                <w:sz w:val="24"/>
                <w:szCs w:val="24"/>
              </w:rPr>
              <w:t>报价呈规律性差异</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五）不同投标人的投标文件相互混装</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六）</w:t>
            </w:r>
            <w:r>
              <w:rPr>
                <w:rFonts w:hint="eastAsia" w:asciiTheme="minorEastAsia" w:hAnsiTheme="minorEastAsia" w:eastAsiaTheme="minorEastAsia" w:cstheme="minorEastAsia"/>
                <w:spacing w:val="-1"/>
                <w:sz w:val="24"/>
                <w:szCs w:val="24"/>
              </w:rPr>
              <w:t>不同投标人的投标保证金从同一单位或者个人的账户转出；</w:t>
            </w:r>
            <w:r>
              <w:rPr>
                <w:rFonts w:hint="eastAsia" w:asciiTheme="minorEastAsia" w:hAnsiTheme="minorEastAsia" w:eastAsiaTheme="minorEastAsia" w:cstheme="minorEastAsia"/>
                <w:snapToGrid w:val="0"/>
                <w:color w:val="000000"/>
                <w:spacing w:val="-1"/>
                <w:kern w:val="0"/>
                <w:sz w:val="24"/>
                <w:szCs w:val="24"/>
                <w:lang w:val="en-US" w:eastAsia="zh-CN" w:bidi="ar-SA"/>
              </w:rPr>
              <w:t>不存在</w:t>
            </w:r>
            <w:r>
              <w:rPr>
                <w:rFonts w:hint="eastAsia" w:asciiTheme="minorEastAsia" w:hAnsiTheme="minorEastAsia" w:eastAsiaTheme="minorEastAsia" w:cstheme="minorEastAsia"/>
                <w:snapToGrid w:val="0"/>
                <w:color w:val="000000"/>
                <w:spacing w:val="-1"/>
                <w:kern w:val="0"/>
                <w:sz w:val="24"/>
                <w:szCs w:val="24"/>
                <w:lang w:val="en-US" w:eastAsia="en-US" w:bidi="ar-SA"/>
              </w:rPr>
              <w:t>南阳市财政局关于防范供应商串通投标促进政府采购公平竞争的通知（宛财购〔2022〕3号）</w:t>
            </w:r>
            <w:r>
              <w:rPr>
                <w:rFonts w:hint="eastAsia" w:asciiTheme="minorEastAsia" w:hAnsiTheme="minorEastAsia" w:eastAsiaTheme="minorEastAsia" w:cstheme="minorEastAsia"/>
                <w:spacing w:val="-1"/>
                <w:sz w:val="24"/>
                <w:szCs w:val="24"/>
              </w:rPr>
              <w:t>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p>
          <w:p>
            <w:pPr>
              <w:keepNext w:val="0"/>
              <w:keepLines w:val="0"/>
              <w:pageBreakBefore w:val="0"/>
              <w:widowControl/>
              <w:kinsoku/>
              <w:wordWrap w:val="0"/>
              <w:overflowPunct/>
              <w:topLinePunct w:val="0"/>
              <w:autoSpaceDE w:val="0"/>
              <w:autoSpaceDN w:val="0"/>
              <w:bidi w:val="0"/>
              <w:adjustRightInd w:val="0"/>
              <w:snapToGrid w:val="0"/>
              <w:spacing w:line="234" w:lineRule="auto"/>
              <w:ind w:left="0" w:right="0" w:firstLine="5"/>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一</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）不同供应商的电子投标（响应）文件上传的计算机网卡MAC地址、CPU序列号和硬盘序列号等硬件信息相同</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二</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）不同供应商的投标（响应）文件由同一电子设备编制、打印、加密或上传；（</w:t>
            </w:r>
            <w:r>
              <w:rPr>
                <w:rFonts w:hint="eastAsia" w:asciiTheme="minorEastAsia" w:hAnsiTheme="minorEastAsia" w:eastAsiaTheme="minorEastAsia" w:cstheme="minorEastAsia"/>
                <w:snapToGrid w:val="0"/>
                <w:color w:val="000000"/>
                <w:spacing w:val="-1"/>
                <w:kern w:val="0"/>
                <w:sz w:val="24"/>
                <w:szCs w:val="24"/>
                <w:lang w:val="en-US" w:eastAsia="zh-CN" w:bidi="ar-SA"/>
              </w:rPr>
              <w:t>三</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）不同供应商的投标（响应）文件由同一电子设备打印、复印；（</w:t>
            </w:r>
            <w:r>
              <w:rPr>
                <w:rFonts w:hint="eastAsia" w:asciiTheme="minorEastAsia" w:hAnsiTheme="minorEastAsia" w:eastAsiaTheme="minorEastAsia" w:cstheme="minorEastAsia"/>
                <w:snapToGrid w:val="0"/>
                <w:color w:val="000000"/>
                <w:spacing w:val="-1"/>
                <w:kern w:val="0"/>
                <w:sz w:val="24"/>
                <w:szCs w:val="24"/>
                <w:lang w:val="en-US" w:eastAsia="zh-CN" w:bidi="ar-SA"/>
              </w:rPr>
              <w:t>四</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）不同供应商的投标（响应）文件由同一人送达或分发，或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w:t>
            </w:r>
            <w:r>
              <w:rPr>
                <w:rFonts w:hint="eastAsia" w:asciiTheme="minorEastAsia" w:hAnsiTheme="minorEastAsia" w:eastAsiaTheme="minorEastAsia" w:cstheme="minorEastAsia"/>
                <w:snapToGrid w:val="0"/>
                <w:color w:val="000000"/>
                <w:spacing w:val="-1"/>
                <w:kern w:val="0"/>
                <w:sz w:val="24"/>
                <w:szCs w:val="24"/>
                <w:lang w:val="en-US" w:eastAsia="zh-CN" w:bidi="ar-SA"/>
              </w:rPr>
              <w:t>联系人</w:t>
            </w:r>
            <w:r>
              <w:rPr>
                <w:rFonts w:hint="eastAsia" w:asciiTheme="minorEastAsia" w:hAnsiTheme="minorEastAsia" w:eastAsiaTheme="minorEastAsia" w:cstheme="minorEastAsia"/>
                <w:snapToGrid w:val="0"/>
                <w:color w:val="000000"/>
                <w:spacing w:val="-1"/>
                <w:kern w:val="0"/>
                <w:sz w:val="24"/>
                <w:szCs w:val="24"/>
                <w:lang w:val="en-US" w:eastAsia="en-US" w:bidi="ar-SA"/>
              </w:rPr>
              <w:t>为同一人或不同联系人</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联系电话一致</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五</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）不同供应商的投标（响应）文件内容</w:t>
            </w:r>
            <w:r>
              <w:rPr>
                <w:rFonts w:hint="eastAsia" w:asciiTheme="minorEastAsia" w:hAnsiTheme="minorEastAsia" w:eastAsiaTheme="minorEastAsia" w:cstheme="minorEastAsia"/>
                <w:snapToGrid w:val="0"/>
                <w:color w:val="000000"/>
                <w:spacing w:val="-1"/>
                <w:kern w:val="0"/>
                <w:sz w:val="24"/>
                <w:szCs w:val="24"/>
                <w:lang w:val="en-US" w:eastAsia="zh-CN" w:bidi="ar-SA"/>
              </w:rPr>
              <w:t>存在</w:t>
            </w:r>
            <w:r>
              <w:rPr>
                <w:rFonts w:hint="eastAsia" w:asciiTheme="minorEastAsia" w:hAnsiTheme="minorEastAsia" w:eastAsiaTheme="minorEastAsia" w:cstheme="minorEastAsia"/>
                <w:snapToGrid w:val="0"/>
                <w:color w:val="000000"/>
                <w:spacing w:val="-1"/>
                <w:kern w:val="0"/>
                <w:sz w:val="24"/>
                <w:szCs w:val="24"/>
                <w:lang w:val="en-US" w:eastAsia="en-US" w:bidi="ar-SA"/>
              </w:rPr>
              <w:t>两处以上</w:t>
            </w:r>
            <w:r>
              <w:rPr>
                <w:rFonts w:hint="eastAsia" w:asciiTheme="minorEastAsia" w:hAnsiTheme="minorEastAsia" w:eastAsiaTheme="minorEastAsia" w:cstheme="minorEastAsia"/>
                <w:snapToGrid w:val="0"/>
                <w:color w:val="000000"/>
                <w:spacing w:val="-1"/>
                <w:kern w:val="0"/>
                <w:sz w:val="24"/>
                <w:szCs w:val="24"/>
                <w:lang w:val="en-US" w:eastAsia="zh-CN" w:bidi="ar-SA"/>
              </w:rPr>
              <w:t>细节错误</w:t>
            </w:r>
            <w:r>
              <w:rPr>
                <w:rFonts w:hint="eastAsia" w:asciiTheme="minorEastAsia" w:hAnsiTheme="minorEastAsia" w:eastAsiaTheme="minorEastAsia" w:cstheme="minorEastAsia"/>
                <w:snapToGrid w:val="0"/>
                <w:color w:val="000000"/>
                <w:spacing w:val="-1"/>
                <w:kern w:val="0"/>
                <w:sz w:val="24"/>
                <w:szCs w:val="24"/>
                <w:lang w:val="en-US" w:eastAsia="en-US" w:bidi="ar-SA"/>
              </w:rPr>
              <w:t>一致；（</w:t>
            </w:r>
            <w:r>
              <w:rPr>
                <w:rFonts w:hint="eastAsia" w:asciiTheme="minorEastAsia" w:hAnsiTheme="minorEastAsia" w:eastAsiaTheme="minorEastAsia" w:cstheme="minorEastAsia"/>
                <w:snapToGrid w:val="0"/>
                <w:color w:val="000000"/>
                <w:spacing w:val="-1"/>
                <w:kern w:val="0"/>
                <w:sz w:val="24"/>
                <w:szCs w:val="24"/>
                <w:lang w:val="en-US" w:eastAsia="zh-CN" w:bidi="ar-SA"/>
              </w:rPr>
              <w:t>六</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）不同供应商的法定代表人、委托代理人、项目经理、项目负责人</w:t>
            </w:r>
            <w:r>
              <w:rPr>
                <w:rFonts w:hint="eastAsia" w:asciiTheme="minorEastAsia" w:hAnsiTheme="minorEastAsia" w:eastAsiaTheme="minorEastAsia" w:cstheme="minorEastAsia"/>
                <w:snapToGrid w:val="0"/>
                <w:color w:val="000000"/>
                <w:spacing w:val="-1"/>
                <w:kern w:val="0"/>
                <w:sz w:val="24"/>
                <w:szCs w:val="24"/>
                <w:lang w:val="en-US" w:eastAsia="zh-CN" w:bidi="ar-SA"/>
              </w:rPr>
              <w:t>等由</w:t>
            </w:r>
            <w:r>
              <w:rPr>
                <w:rFonts w:hint="eastAsia" w:asciiTheme="minorEastAsia" w:hAnsiTheme="minorEastAsia" w:eastAsiaTheme="minorEastAsia" w:cstheme="minorEastAsia"/>
                <w:snapToGrid w:val="0"/>
                <w:color w:val="000000"/>
                <w:spacing w:val="-1"/>
                <w:kern w:val="0"/>
                <w:sz w:val="24"/>
                <w:szCs w:val="24"/>
                <w:lang w:val="en-US" w:eastAsia="en-US" w:bidi="ar-SA"/>
              </w:rPr>
              <w:t>同一单位缴纳社会保险或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领取报酬</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七</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）不同供应商投标</w:t>
            </w:r>
            <w:r>
              <w:rPr>
                <w:rFonts w:hint="eastAsia" w:asciiTheme="minorEastAsia" w:hAnsiTheme="minorEastAsia" w:eastAsiaTheme="minorEastAsia" w:cstheme="minorEastAsia"/>
                <w:snapToGrid w:val="0"/>
                <w:color w:val="000000"/>
                <w:spacing w:val="-1"/>
                <w:kern w:val="0"/>
                <w:sz w:val="24"/>
                <w:szCs w:val="24"/>
                <w:lang w:val="en-US" w:eastAsia="zh-CN" w:bidi="ar-SA"/>
              </w:rPr>
              <w:t>（响应）</w:t>
            </w:r>
            <w:r>
              <w:rPr>
                <w:rFonts w:hint="eastAsia" w:asciiTheme="minorEastAsia" w:hAnsiTheme="minorEastAsia" w:eastAsiaTheme="minorEastAsia" w:cstheme="minorEastAsia"/>
                <w:snapToGrid w:val="0"/>
                <w:color w:val="000000"/>
                <w:spacing w:val="-1"/>
                <w:kern w:val="0"/>
                <w:sz w:val="24"/>
                <w:szCs w:val="24"/>
                <w:lang w:val="en-US" w:eastAsia="en-US" w:bidi="ar-SA"/>
              </w:rPr>
              <w:t>文件中的法定代表人或负责人签名出自同一人</w:t>
            </w:r>
            <w:r>
              <w:rPr>
                <w:rFonts w:hint="eastAsia" w:asciiTheme="minorEastAsia" w:hAnsiTheme="minorEastAsia" w:eastAsiaTheme="minorEastAsia" w:cstheme="minorEastAsia"/>
                <w:snapToGrid w:val="0"/>
                <w:color w:val="000000"/>
                <w:spacing w:val="-1"/>
                <w:kern w:val="0"/>
                <w:sz w:val="24"/>
                <w:szCs w:val="24"/>
                <w:lang w:val="en-US" w:eastAsia="zh-CN" w:bidi="ar-SA"/>
              </w:rPr>
              <w:t>之手</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八</w:t>
            </w:r>
            <w:r>
              <w:rPr>
                <w:rFonts w:hint="eastAsia" w:asciiTheme="minorEastAsia" w:hAnsiTheme="minorEastAsia" w:eastAsiaTheme="minorEastAsia" w:cstheme="minorEastAsia"/>
                <w:snapToGrid w:val="0"/>
                <w:color w:val="000000"/>
                <w:spacing w:val="-1"/>
                <w:kern w:val="0"/>
                <w:sz w:val="24"/>
                <w:szCs w:val="24"/>
                <w:lang w:val="en-US" w:eastAsia="en-US" w:bidi="ar-SA"/>
              </w:rPr>
              <w:t>）其他涉嫌串通的情形。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pPr>
              <w:pStyle w:val="24"/>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pacing w:val="5"/>
                <w:sz w:val="24"/>
                <w:szCs w:val="24"/>
                <w:lang w:val="en-US" w:eastAsia="zh-CN"/>
              </w:rPr>
            </w:pPr>
          </w:p>
        </w:tc>
        <w:tc>
          <w:tcPr>
            <w:tcW w:w="1812" w:type="dxa"/>
            <w:vAlign w:val="top"/>
          </w:tcPr>
          <w:p>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pacing w:val="-6"/>
                <w:sz w:val="24"/>
                <w:szCs w:val="24"/>
              </w:rPr>
            </w:pPr>
          </w:p>
        </w:tc>
        <w:tc>
          <w:tcPr>
            <w:tcW w:w="5791" w:type="dxa"/>
            <w:vMerge w:val="continue"/>
            <w:vAlign w:val="top"/>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val="0"/>
              <w:bidi w:val="0"/>
              <w:adjustRightInd w:val="0"/>
              <w:snapToGrid w:val="0"/>
              <w:spacing w:before="0" w:beforeAutospacing="0" w:after="0" w:afterAutospacing="0"/>
              <w:ind w:left="0" w:right="0" w:firstLine="0"/>
              <w:jc w:val="both"/>
              <w:textAlignment w:val="baseline"/>
              <w:rPr>
                <w:rFonts w:hint="eastAsia" w:asciiTheme="minorEastAsia" w:hAnsiTheme="minorEastAsia" w:eastAsiaTheme="minorEastAsia" w:cstheme="minorEastAsia"/>
                <w:spacing w:val="-1"/>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4"/>
              <w:keepNext w:val="0"/>
              <w:keepLines w:val="0"/>
              <w:pageBreakBefore w:val="0"/>
              <w:kinsoku/>
              <w:wordWrap w:val="0"/>
              <w:overflowPunct/>
              <w:topLinePunct w:val="0"/>
              <w:bidi w:val="0"/>
              <w:spacing w:before="248"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3</w:t>
            </w:r>
          </w:p>
        </w:tc>
        <w:tc>
          <w:tcPr>
            <w:tcW w:w="1812" w:type="dxa"/>
            <w:vAlign w:val="top"/>
          </w:tcPr>
          <w:p>
            <w:pPr>
              <w:keepNext w:val="0"/>
              <w:keepLines w:val="0"/>
              <w:pageBreakBefore w:val="0"/>
              <w:kinsoku/>
              <w:wordWrap w:val="0"/>
              <w:overflowPunct/>
              <w:topLinePunct w:val="0"/>
              <w:bidi w:val="0"/>
              <w:spacing w:before="228" w:line="219" w:lineRule="auto"/>
              <w:ind w:left="13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5791" w:type="dxa"/>
            <w:vAlign w:val="top"/>
          </w:tcPr>
          <w:p>
            <w:pPr>
              <w:keepNext w:val="0"/>
              <w:keepLines w:val="0"/>
              <w:pageBreakBefore w:val="0"/>
              <w:kinsoku/>
              <w:wordWrap w:val="0"/>
              <w:overflowPunct/>
              <w:topLinePunct w:val="0"/>
              <w:bidi w:val="0"/>
              <w:spacing w:before="228" w:line="219" w:lineRule="auto"/>
              <w:ind w:left="11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投标文件未含有采购人不能接受的附加条件</w:t>
            </w:r>
            <w:r>
              <w:rPr>
                <w:rFonts w:hint="eastAsia" w:asciiTheme="minorEastAsia" w:hAnsiTheme="minorEastAsia" w:eastAsiaTheme="minorEastAsia" w:cstheme="minorEastAsia"/>
                <w:spacing w:val="-4"/>
                <w:sz w:val="24"/>
                <w:szCs w:val="24"/>
              </w:rPr>
              <w:t>的</w:t>
            </w:r>
            <w:r>
              <w:rPr>
                <w:rFonts w:hint="eastAsia" w:asciiTheme="minorEastAsia" w:hAnsiTheme="minorEastAsia" w:eastAsiaTheme="minorEastAsia" w:cstheme="minorEastAsia"/>
                <w:spacing w:val="-4"/>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vAlign w:val="top"/>
          </w:tcPr>
          <w:p>
            <w:pPr>
              <w:pStyle w:val="24"/>
              <w:keepNext w:val="0"/>
              <w:keepLines w:val="0"/>
              <w:pageBreakBefore w:val="0"/>
              <w:kinsoku/>
              <w:wordWrap w:val="0"/>
              <w:overflowPunct/>
              <w:topLinePunct w:val="0"/>
              <w:bidi w:val="0"/>
              <w:spacing w:before="252"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4</w:t>
            </w:r>
          </w:p>
        </w:tc>
        <w:tc>
          <w:tcPr>
            <w:tcW w:w="1812" w:type="dxa"/>
            <w:vAlign w:val="top"/>
          </w:tcPr>
          <w:p>
            <w:pPr>
              <w:keepNext w:val="0"/>
              <w:keepLines w:val="0"/>
              <w:pageBreakBefore w:val="0"/>
              <w:kinsoku/>
              <w:wordWrap w:val="0"/>
              <w:overflowPunct/>
              <w:topLinePunct w:val="0"/>
              <w:bidi w:val="0"/>
              <w:spacing w:before="226" w:line="221" w:lineRule="auto"/>
              <w:ind w:left="11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5791" w:type="dxa"/>
            <w:vAlign w:val="top"/>
          </w:tcPr>
          <w:p>
            <w:pPr>
              <w:keepNext w:val="0"/>
              <w:keepLines w:val="0"/>
              <w:pageBreakBefore w:val="0"/>
              <w:kinsoku/>
              <w:wordWrap w:val="0"/>
              <w:overflowPunct/>
              <w:topLinePunct w:val="0"/>
              <w:bidi w:val="0"/>
              <w:spacing w:before="74" w:line="229" w:lineRule="auto"/>
              <w:ind w:left="115" w:right="136" w:firstLine="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投标人、投标文件不存在不符合法律、法规和招标文件规定的</w:t>
            </w:r>
            <w:r>
              <w:rPr>
                <w:rFonts w:hint="eastAsia" w:asciiTheme="minorEastAsia" w:hAnsiTheme="minorEastAsia" w:eastAsiaTheme="minorEastAsia" w:cstheme="minorEastAsia"/>
                <w:spacing w:val="-6"/>
                <w:sz w:val="24"/>
                <w:szCs w:val="24"/>
              </w:rPr>
              <w:t>其他无效情形。</w:t>
            </w:r>
          </w:p>
        </w:tc>
      </w:tr>
    </w:tbl>
    <w:p>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pacing w:val="2"/>
          <w:position w:val="17"/>
          <w:sz w:val="24"/>
          <w:szCs w:val="24"/>
          <w:lang w:val="en-US" w:eastAsia="zh-CN"/>
        </w:rPr>
      </w:pPr>
    </w:p>
    <w:p>
      <w:pPr>
        <w:pStyle w:val="2"/>
        <w:keepNext w:val="0"/>
        <w:keepLines w:val="0"/>
        <w:pageBreakBefore w:val="0"/>
        <w:widowControl/>
        <w:numPr>
          <w:ilvl w:val="0"/>
          <w:numId w:val="18"/>
        </w:numPr>
        <w:kinsoku/>
        <w:wordWrap w:val="0"/>
        <w:overflowPunct/>
        <w:topLinePunct w:val="0"/>
        <w:autoSpaceDE w:val="0"/>
        <w:autoSpaceDN w:val="0"/>
        <w:bidi w:val="0"/>
        <w:adjustRightInd w:val="0"/>
        <w:snapToGrid w:val="0"/>
        <w:spacing w:line="360" w:lineRule="auto"/>
        <w:ind w:left="0" w:leftChars="0" w:firstLine="0" w:firstLineChars="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技术审查</w:t>
      </w:r>
    </w:p>
    <w:p>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审查内容包括:每标段投标人提供的各标段用地情况、计算机考台、拟投入考试车辆及人员配备情况、第一标段投标人提供的考场建设情况、所用设备的清单目录(需附相关照片或图片)第二标段、第三标段投标人提供的考试场地初步设计文件(包括技术方案、设计图纸、项目功能指标计算、主要设备材料清单和工程概算等四项内容及施工图设计)、第二标段投标人提供的测绘单位出具用于考试的场地面积测绘材料、投标人分标段提供的本项目各标段考场服务的总体方案、投入人员的岗位分配、服务及质量承诺等是否符合招标要求。</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3.评标委员会将通过审查确定每一投标人是否对招标文件做出了实质性响应</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4.投标文件的澄清</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4.2 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4.3 投标人的澄清、说明或补正文件是投标文件的组成部分，并取代投标文件中被澄清、说明或补正的部分。</w:t>
      </w: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五.</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评标方法和评标标准</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本项目采用的评标方法为：</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综合评分法，指投标文件满足招标文件全部实质性要求，且按照评审因素的量化指标评审得分最高的投标人为中标候选人的评标方法，见《评标标准》，招标文件中没有规定的评标标准不得作为评审的依据。</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确定中标候选人名单</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.投标人的排名按得分顺序从高到低排列;得分相同的，按优惠率从高到低顺序排列;得分且投标优惠率相同的，按技术指标优劣顺序排列。</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auto"/>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auto"/>
          <w:spacing w:val="2"/>
          <w:kern w:val="0"/>
          <w:position w:val="17"/>
          <w:sz w:val="24"/>
          <w:szCs w:val="24"/>
          <w:lang w:val="en-US" w:eastAsia="zh-CN" w:bidi="ar-SA"/>
        </w:rPr>
        <w:t xml:space="preserve">4.1 </w:t>
      </w:r>
      <w:r>
        <w:rPr>
          <w:rFonts w:hint="eastAsia" w:asciiTheme="minorEastAsia" w:hAnsiTheme="minorEastAsia" w:eastAsiaTheme="minorEastAsia" w:cstheme="minorEastAsia"/>
          <w:b/>
          <w:bCs/>
          <w:snapToGrid w:val="0"/>
          <w:color w:val="auto"/>
          <w:spacing w:val="2"/>
          <w:kern w:val="0"/>
          <w:position w:val="17"/>
          <w:sz w:val="24"/>
          <w:szCs w:val="24"/>
          <w:lang w:val="en-US" w:eastAsia="en-US" w:bidi="ar-SA"/>
        </w:rPr>
        <w:t>评标委员会要对评分汇总情况进行复核，特别是对排名第一的、报价最低的、投标文件被认定为无效的情形进行重点复核。</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auto"/>
          <w:spacing w:val="2"/>
          <w:kern w:val="0"/>
          <w:position w:val="17"/>
          <w:sz w:val="24"/>
          <w:szCs w:val="24"/>
          <w:lang w:val="en-US" w:eastAsia="en-US" w:bidi="ar-SA"/>
        </w:rPr>
      </w:pPr>
      <w:r>
        <w:rPr>
          <w:rFonts w:hint="eastAsia" w:asciiTheme="minorEastAsia" w:hAnsiTheme="minorEastAsia" w:eastAsiaTheme="minorEastAsia" w:cstheme="minorEastAsia"/>
          <w:snapToGrid w:val="0"/>
          <w:color w:val="auto"/>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auto"/>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auto"/>
          <w:spacing w:val="2"/>
          <w:kern w:val="0"/>
          <w:position w:val="17"/>
          <w:sz w:val="24"/>
          <w:szCs w:val="24"/>
          <w:lang w:val="en-US" w:eastAsia="zh-CN" w:bidi="ar-SA"/>
        </w:rPr>
        <w:t xml:space="preserve">2 </w:t>
      </w:r>
      <w:r>
        <w:rPr>
          <w:rFonts w:hint="eastAsia" w:asciiTheme="minorEastAsia" w:hAnsiTheme="minorEastAsia" w:eastAsiaTheme="minorEastAsia" w:cstheme="minorEastAsia"/>
          <w:snapToGrid w:val="0"/>
          <w:color w:val="auto"/>
          <w:spacing w:val="2"/>
          <w:kern w:val="0"/>
          <w:position w:val="17"/>
          <w:sz w:val="24"/>
          <w:szCs w:val="24"/>
          <w:lang w:val="en-US" w:eastAsia="en-US" w:bidi="ar-SA"/>
        </w:rPr>
        <w:t>评标委员会将根据各投标人的</w:t>
      </w:r>
      <w:r>
        <w:rPr>
          <w:rFonts w:hint="eastAsia" w:asciiTheme="minorEastAsia" w:hAnsiTheme="minorEastAsia" w:eastAsiaTheme="minorEastAsia" w:cstheme="minorEastAsia"/>
          <w:snapToGrid w:val="0"/>
          <w:color w:val="000000" w:themeColor="text1"/>
          <w:spacing w:val="2"/>
          <w:kern w:val="0"/>
          <w:position w:val="17"/>
          <w:sz w:val="24"/>
          <w:szCs w:val="24"/>
          <w:lang w:val="en-US" w:eastAsia="zh-CN" w:bidi="ar-SA"/>
          <w14:textFill>
            <w14:solidFill>
              <w14:schemeClr w14:val="tx1"/>
            </w14:solidFill>
          </w14:textFill>
        </w:rPr>
        <w:t>综合评分结果</w:t>
      </w:r>
      <w:r>
        <w:rPr>
          <w:rFonts w:hint="eastAsia" w:asciiTheme="minorEastAsia" w:hAnsiTheme="minorEastAsia" w:eastAsiaTheme="minorEastAsia" w:cstheme="minorEastAsia"/>
          <w:snapToGrid w:val="0"/>
          <w:color w:val="auto"/>
          <w:spacing w:val="2"/>
          <w:kern w:val="0"/>
          <w:position w:val="17"/>
          <w:sz w:val="24"/>
          <w:szCs w:val="24"/>
          <w:lang w:val="en-US" w:eastAsia="zh-CN" w:bidi="ar-SA"/>
        </w:rPr>
        <w:t>进行</w:t>
      </w:r>
      <w:r>
        <w:rPr>
          <w:rFonts w:hint="eastAsia" w:asciiTheme="minorEastAsia" w:hAnsiTheme="minorEastAsia" w:eastAsiaTheme="minorEastAsia" w:cstheme="minorEastAsia"/>
          <w:snapToGrid w:val="0"/>
          <w:color w:val="auto"/>
          <w:spacing w:val="2"/>
          <w:kern w:val="0"/>
          <w:position w:val="17"/>
          <w:sz w:val="24"/>
          <w:szCs w:val="24"/>
          <w:lang w:val="en-US" w:eastAsia="en-US" w:bidi="ar-SA"/>
        </w:rPr>
        <w:t>评标排序，依次推荐本项目（各采购包）的中标候选人，起草并签署评标报告。评标报告中标候选人排名顺序交南阳市公安局交通管理支队审定后公布入围定点社会考场服务单位名单。</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报告违法行为</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评标委员会在评标过程中发现投标人有行贿、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供虚假材料或者串通等违法行为时，有向采购人、采购代理机构或者有关部门报告的职责。</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6.确定中标人</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□根据采购人授权，评委会根据排名顺序直接确定排名第一的中标候选人为中标人。</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☑采购人应当在收到评标报告之日起5个工作日内，在评标报告确定的中标候选人名单中按顺序确定中标人。</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7.投标人存在下列情况之一的，投标无效：</w:t>
      </w:r>
    </w:p>
    <w:p>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（1）投标文件未按招标文件要求签署、盖章的；</w:t>
      </w:r>
    </w:p>
    <w:p>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（2）不具备招标文件中规定的资格要求的；</w:t>
      </w:r>
    </w:p>
    <w:p>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（3）报价超过招标文件中规定的预算金额或者最高限价的；</w:t>
      </w:r>
    </w:p>
    <w:p>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（4）投标文件含有采购人不能接受的附加条件的；</w:t>
      </w:r>
    </w:p>
    <w:p>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（5）不符合应提交投标文件资料数量要求的；</w:t>
      </w:r>
    </w:p>
    <w:p>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（6）开标解密时未在规定时间（30分钟）内进行解密成功的视为撤销其投标文件（因电子开标系统原因除外）；</w:t>
      </w:r>
    </w:p>
    <w:p>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（7）电子投标文件未使用CA</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认证并加密的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（8）未在投标截止时间前完成上传的；</w:t>
      </w:r>
    </w:p>
    <w:p>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（9）法律、法规和招标文件规定的其他无效情形。</w:t>
      </w:r>
    </w:p>
    <w:p>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8.在招标采购中，出现下列情形之一的，应予废标：</w:t>
      </w:r>
    </w:p>
    <w:p>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（1）符合专业条件的供应商或者对招标文件作实质性响应的供应商不足三家的；</w:t>
      </w:r>
    </w:p>
    <w:p>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（2）出现影响采购公正的违法、违规行为的；</w:t>
      </w:r>
    </w:p>
    <w:p>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（3）投标人的报价均超过了预算金额，采购人不能支付的；</w:t>
      </w:r>
    </w:p>
    <w:p>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（4）因重大变故，采购任务取消的。</w:t>
      </w:r>
    </w:p>
    <w:p>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废标后，应当在指定媒体发布公告，将废标理由通知所有投标人。</w:t>
      </w:r>
    </w:p>
    <w:p>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pPr>
        <w:pStyle w:val="2"/>
        <w:keepNext w:val="0"/>
        <w:keepLines w:val="0"/>
        <w:pageBreakBefore w:val="0"/>
        <w:kinsoku/>
        <w:wordWrap w:val="0"/>
        <w:overflowPunct/>
        <w:topLinePunct w:val="0"/>
        <w:bidi w:val="0"/>
        <w:spacing w:before="78" w:line="221" w:lineRule="auto"/>
        <w:jc w:val="center"/>
        <w:outlineLvl w:val="2"/>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78" w:line="221" w:lineRule="auto"/>
        <w:jc w:val="center"/>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分</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标准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（一）第一标段评分标准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1、投标报价。满分10分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满足招标文件要求且投标优惠率最高的投标报价为评标基准价，其价格分为满分。其余各投标人的投标报价得分=投标报价÷评标基准价×10分。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2、考试场地及设施。满分50分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评标委员会根据投标人提供的考场面积进行打分。科目一考场用于考试的场地面积＜150㎡，不得分；150㎡≤科目一考场用于考试的场地面积＜170㎡，得2分；170㎡≤科目一考场用于考试的场地面积＜200㎡，得4分；200㎡≤科目一考场用于考试的场地面积，得5分；每个考位面积&gt;2㎡的加2分；本项满分7分（以测绘单位出具的考试场地面积测绘材料、照片及其他资料为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评标委员会根据投标人提供的考试用计算机数量进行打分。考台数量＜60台不得分，60台≤考位计算机数量＜80台，得3分；80台≤考位计算机数量＜100台的，得5分；100台≤考位计算机数量，得7分；本项满分7分（提供购买发票或现场实景照片）；</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考生考试用计算机安装IE9及以上版本浏览器,IP地址保持固定、同一考场内保持唯一,考试区局域网带宽大于1000Mbps的得3分；考生考试用计算机禁用USB、光驱、软驱等设备,计算机上应未开启远程桌面服务，未安装与考试无关的软件，加装无妨碍观察考生答题操作的挡板的得3分；（提供照片及相关资料，未提供或提供不全不得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（4）评标委员会根据考场规模及配套设施综合情况进行打分。本项计分以供应商提供考试场地及配套设施实景图像等相关证明资料为准，未能提供上述资料的不得分；本项满分30分； </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①配备应急电源，设置紧急出口或应急通道得3分，提供照片及相关资料；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②停车区设置规范，标志标线齐全得3分，提供照片及相关资料；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③配备考试随机排队待考系统、人脸识别闸机、网络交换机、门禁系统、安检门、手持金属探测仪，有与考场有效隔离的候考区、休息区得3分，提供照片及相关资料；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④休息区安装供候考人员等候的座椅，提供饮水机、急救包、免费存包柜、公共卫生设施等便民服务设施得3分，提供照片及相关资料；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⑤消防设施完善，有灭火器、消防栓等消防设施和各种消防标志，并且消防制度完备得3分，提供照片及相关部门出具的消防合格证明资料；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⑥安装交通安全宣传设施设备和考场音视频实时播放设备屏幕；设置考试须知、考试流程、考试项目、评判标准和考试员照片、警号、考试工作纪律、举报投诉电话等公示栏得3分，提供照片及相关资料；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⑦配备考场内考试视频三年、考生考试过程音视频三年存储设备的得3分，提供购买发票和使用说明书及照片；</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⑧考试区配备屏蔽和干扰作弊的设备（应同时屏蔽所有无线通讯信号）得3分，提供购买发票或现场实景照片，并提供产品说明；</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⑨休息区面积≥200㎡，候考区域面积≥80㎡得3分，提供照片及相关资料、测绘单位出具的考试场地面积测绘材料；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⑩设置独立机房（应包含监控设备、门禁系统、空调等）得3分，提供照片及相关资料。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3、考场管理人员和工作人员配备，满分6分。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（1）设置咨询导办服务岗，配备1名急救人员和2名保安人员得2分。以供应商投入人员岗位分配情况表、劳动合同为准，未能提供的不得分；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考场配备服务人员4人及以上，人员构成合理，配备系统维护、门禁管理、秩序管理等岗位，专业齐全、职责任务明确并符合规范要求得2分；以供应商投入人员岗位分配情况表、劳动合同为准，未能提供的不得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（3）考场工作人员统一着装，持证上岗得2分。提供工作照片。</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4、考场服务的总体方案、服务及质量承诺等，满分27分。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（1）考场服务的总体方案：</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体系完善，流程科学合理，内容针对性强，整体方案切实可行得9-10分；方案完整，流程设置合理，有一定针对性得5-8分；方案缺乏实操性，经过完善也能满足项目需求得2-4分；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（2）服务及质量承诺：</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承诺详尽、切实可行、针对性强，承诺考试设备、系统等考试相关设施及时保养、维护，能够及时投入使用，有违约承诺，得9-10分；内容完整、有一定针对性，承诺考试设备、系统等考试相关设施及时保养、维护，能够及时投入使用，有违约承诺，得5-8分；内容缺乏针对性，可行性较差，得2-4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（3）设施先进、新技术应用保证措施：</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考务设施先进性强、新技术应用保证措施详尽、切实可行，有效的提高服务质量得6-7分；考务设施比较先进、新技术应用保证措施完善、有一定针对性，能够改善服务质量，得3-5分；考务设施齐全、新技术应用保证措施不够周详，缺乏针对性，得1-2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5、综合实力。满分7分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（1）投标文件符合招标文件所有条款，标书制作规范最多得5分；若投标文件与招标文件要求有偏离，但不影响到实质性响应，评委会根据情况扣1-2分；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（2）信用评价，满分2分。根据《南阳市政府采购信用评价实施办法》，投标人登录“南阳市政府采购信用管理系统”打印并提交《南阳市政府采购供应商信用记录表》，诚信评价为三星级的加 1 分，四星级的加 2 分，其他不得分。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（二）第二标段评分标准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1、投标报价。满分10分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满足招标文件要求且投标优惠率最高的投标报价为评标基准价，其价格分为满分。其余各投标人的投标报价得分=投标报价÷评标基准价×10分。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2、考试车辆、考试场地及设施。满分57分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（1）具备大中型客货车中一种考试车型车辆的，得2分，每增加大中型客货车中一种考试车型增加2分，最高不超过10分；以供应商提供响应承诺、效果图、相关资料等为准，未能提供的不得分；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（2）考试车辆＞15辆的，得6分，10辆＜考试车辆≤15辆的，得4分，8辆≤考试车辆≤10辆的，得2分；本项满分6分；以供应商提供响应承诺、效果图、相关资料等为准，未能提供的不得分；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（3）评标委员会根据考场规模及配套设施综合情况进行打分。满分41分； </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①配备应急电源，设置紧急出口或应急通道；停车区规划合理的，提供考试场地及配套设施规划布局图、效果图并文字说明，描述完整详尽、设置规范、科学合理、配备设施齐全得6-7分；提供考试场地及配套设施规划布局图、效果图并文字说明，描述完整、符合采购人要求得3-5分；提供考试场地及配套设施规划布局图、效果图、文字说明描述不够完整得1-2分；以供应商提供响应承诺、效果图、相关资料等为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②配备考试随机排队待考系统、人脸识别闸机、网络交换机、门禁系统、安检门、手持金属探测仪、手电筒，并具有显示待考情况的设备供学员掌握待考信息，有与考场有效隔离的休息区、候考区、考试区和监控室；配备考场内考试视频三年、考生考试过程音视频三年存储设备的，系统配备齐全，休息区、候考区、考试区和监控室布局科学合理、显示设备和存储设备先进、有效提高考务效率、提升服务质量，得6-7分；系统配置完备、有休息区、候考区、考试区和监控室，显示设备和存储设备能够满足采购人要求，得3-5分；设施设备不完备或描述不周全，缺乏针对性，得1-2分；以供应商提供响应承诺、效果图、相关资料等为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③安装交通安全宣传设施设备和考场音视频实时播放设备屏幕；设置考试须知、考试流程、考试项目、评判标准和考试员照片、警号、考试工作纪律、举报投诉电话等公示栏的，设施配备齐全、屏幕清晰度高、规格适当，公示栏内容布局合理、有利于考生高效、全面的了解考务安排，得6-7分；设施配备齐全、屏幕清晰、规格适当，公示栏内容满足采购人要求，得3-5分；设施设备不完备或描述不周全，缺乏可行性，得1-2分；以供应商提供响应承诺、效果图、相关资料等为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④休息区安装供候考人员等候的座椅，提供饮水机、急救包、免费存包柜、公共卫生设施等便民服务设施的，休息区设施配备齐全、便民服务设施人性化，设置规范、科学合理，包括但不限于上述要求的，得6-7分；休息区设施配备能够满足采购人要求，得3-5分；休息区设施设备不完备或描述不周全，缺乏针对性，得1-2分；以供应商提供响应承诺、效果图、相关资料等为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⑤消防设施完善，有灭火器、消防栓等消防设施和各种消防标志，并且消防制度完备的，消防设施配备完整、消防标志清晰等，设置规范、科学合理、配备设施齐全，得6-7分；消防设施和各种消防标志能够满足采购人要求，得3-5分；设施设备不完备或描述不周全，缺乏针对性，得1-2分；以供应商提供响应承诺、效果图、相关资料等为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⑥休息区面积＞200㎡，候考区域面积＞80㎡的，得3分；提供相关部门出具的测绘资料或设计图纸；</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⑦考场设置独立机房（包含监控设备、门禁系统、空调等）的得3分，以供应商提供响应承诺、效果图、相关资料等为准；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3、考场管理人员和工作人员配备，满分10分。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（1）考场设置咨询导办服务岗，配备1名急救人员和2名保安人员得2分。以供应商投入人员岗位分配情况表为准，未能提供的不得分；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考场配备服务人员10人及以上，人员构成合理，配备系统维护、秩序管理、车辆维修人员、引车员、讲解员、技术员等岗位，专业齐全、职责任务明确并符合规范要求得5-6分；考场配备服务人员8人至9人，人员构成合理，配备系统维护、秩序管理、车辆维修人员、引车员、讲解员、技术员等岗位，专业齐全、职责任务明确并符合规范要求得3-4分；考场配备服务人员5人至7人，人员构成合理，配备系统维护、秩序管理、车辆维修人员、引车员、讲解员、技术员等岗位，专业齐全、职责任务明确并符合规范要求得1-2分；配备人员低于5人不得分；以供应商投入人员岗位分配情况表为准，未能提供的不得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（3）考场工作人员统一着装，持证上岗得2分。提供响应承诺或工作照片。</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4、考场服务的总体方案、服务及质量承诺等，满分16分。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（1）考场服务的总体方案：</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体系完善，流程科学合理，内容针对性强，整体方案切实可行得5-6分；方案完整，流程设置合理，有一定针对性得3-4分；方案缺乏实操性，经过完善也能满足项目需求得1-2分；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（2）服务及质量承诺：</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承诺详尽、切实可行、针对性强，承诺考试设备、系统等考试相关设施及时保养、维护，能够及时投入使用，有违约承诺，得4-5分；内容完整、有一定针对性，承诺考试设备、系统等考试相关设施及时保养、维护，能够及时投入使用，有违约承诺，得2-3分；内容缺乏针对性，可行性较差，得1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（3）设施先进、新技术应用保证措施：</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考务设施先进性强、新技术应用保证措施详尽、切实可行，有效的提高服务质量得4-5分；考务设施比较先进、新技术应用保证措施完善、有一定针对性，能够改善服务质量，得2-3分；考务设施齐全、新技术应用保证措施不够周详，缺乏针对性，得1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5、综合实力。满分7分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（1）投标文件符合招标文件所有条款，标书制作规范最多得5分；若投标文件与招标文件要求有偏离，但不影响到实质性响应，评委会根据情况扣1-2分；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（2）信用评价，满分2分。根据《南阳市政府采购信用评价实施办法》，投标人登录“南阳市政府采购信用管理系统”打印并提交《南阳市政府采购供应商信用记录表》，诚信评价为三星级的加 1 分，四星级的加 2 分，其他不得分。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（三）第三标段评分标准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1、投标报价。满分10分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满足招标文件要求且投标优惠率最高的投标报价为评标基准价，其价格分为满分。其余各投标人的投标报价得分=投标报价÷评标基准价×10分。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2、考试车辆、考试场地及设施。满分57分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（1）具备大中型客货车中一种考试车型车辆的，得2分，每增加大中型客货车中一种考试车型增加2分，最高不超过10分；以供应商提供响应承诺、效果图、相关资料等为准，未能提供的不得分；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（2）考试车辆＞20辆的，得6分，15辆＜考试车辆≤20辆的，得4分，10辆≤考试车辆≤15辆的，得2分；本项满分6分；以供应商提供响应承诺、效果图、相关资料等为准，未能提供的不得分；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（3）评标委员会根据考场规模及配套设施综合情况进行打分。满分41分； </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①配备应急电源，设置紧急出口或应急通道,停车区设置、标志标线；提供考试场地及配套设施实景图像并文字说明或规划布局图、效果图并文字说明，描述完整详尽、设置规范、科学合理、配备设施齐全得6-7分；提供考试场地及配套设施实景图像并文字说明或规划布局图、效果图并文字说明，描述完整、符合采购人要求得3-5分；提供考试场地及配套设施图像并文字说明，描述不够完整得1-2分；以供应商提供响应承诺、效果图、相关资料等为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②配备考试随机排队待考系统、门禁系统，并具有显示待考情况的设备供学员掌握待考信息，有与考场有效隔离的候考室和监控室；配备符合相关规定的考试音视频三年存储设备的，系统配备齐全，候考区、和监控室布局科学合理、显示设备和存储设备先进、有效提高考务效率、提升服务质量，得6-7分；系统配置完备、有候考区和监控室，显示设备和存储设备能够满足采购人要求，得3-5分；设施设备不完备或描述不周全，缺乏针对性，得1-2分；以供应商提供响应承诺、效果图、相关资料等为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③安装交通安全宣传设施设备和考场音视频实时播放设备屏幕；设置考试须知、考试流程、考试项目、评判标准和考试员照片、警号、考试工作纪律、举报投诉电话等公示栏的，设施配备齐全、屏幕清晰度高、规格适当，公示栏内容布局合理、有利于考生高效、全面的了解考务安排，得6-7分；设施配备齐全、屏幕清晰、规格适当，公示栏内容满足采购人要求，得3-5分；设施设备不完备或描述不周全，缺乏可行性，得1-2分；以供应商提供响应承诺、效果图、相关资料等为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④休息区安装供候考人员等候的座椅，提供饮水机、急救包、免费存包柜、公共卫生设施等便民服务设施的，休息区设施配备齐全、便民服务设施人性化，设置规范、科学合理，包括但不限于上述要求的，得6-7分；休息区设施配备能够满足采购人要求，得3-5分；休息区设施设备不完备或描述不周全，缺乏针对性，得1-2分；以供应商提供响应承诺、效果图、相关资料等为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⑤消防设施完善，有灭火器、消防栓等消防设施和各种消防标志，并且消防制度完备的，消防设施配备完整、消防标志清晰等，设置规范、科学合理、配备设施齐全，得6-7分；消防设施和各种消防标志能够满足采购人要求，得3-5分；设施设备不完备或描述不周全，缺乏针对性，得1-2分；以供应商提供响应承诺、效果图、相关资料等为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⑥休息区面积＞200㎡，候考区域面积＞80㎡的，得3分；提供相关部门出具的测绘资料或设计图纸；</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⑦考场设置独立机房（包含监控设备、门禁系统、空调等）的得3分，以供应商提供响应承诺、效果图、相关资料等为准；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3、考场管理人员和工作人员配备，满分10分。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（1）考场设置咨询导办服务岗，配备1名急救人员和2名保安人员得2分。以供应商投入人员岗位分配情况表为准，未能提供的不得分；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考场配备服务人员40人及以上，人员构成合理，配备系统维护、秩序管理、车辆维修人员、引车员、讲解员、技术员等岗位，专业齐全、职责任务明确并符合规范要求得6分；考场配备服务人员25人至39人，人员构成合理，配备系统维护、秩序管理、车辆维修人员、引车员、讲解员、技术员等岗位，专业齐全、职责任务明确并符合规范要求得5分；考场配备服务人员15人至24人，人员构成合理，配备系统维护、秩序管理、车辆维修人员、引车员、讲解员、技术员等岗位，专业齐全、职责任务明确并符合规范要求得4分；配备人员10人至14人，人员构成合理，配备系统维护、秩序管理、车辆维修人员、引车员、讲解员、技术员等岗位，专业齐全、职责任务明确并符合规范要求，得3分；配备人员低于10人不得分；以供应商投入人员岗位分配情况表为准，未能提供的不得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（3）考场工作人员统一着装，持证上岗得2分。提供响应承诺或工作照片。</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4、考场服务的总体方案、服务及质量承诺等，满分16分。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（1）考场服务的总体方案：</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体系完善，流程科学合理，内容针对性强，整体方案切实可行得5-6分；方案完整，流程设置合理，有一定针对性得3-4分；方案缺乏实操性，经过完善也能满足项目需求得1-2分；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（2）服务及质量承诺：</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承诺详尽、切实可行、针对性强，承诺考试设备、系统等考试相关设施及时保养、维护，能够及时投入使用，有违约承诺，得4-5分；内容完整、有一定针对性，承诺考试设备、系统等考试相关设施及时保养、维护，能够及时投入使用，有违约承诺，得2-3分；内容缺乏针对性，可行性较差，得1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（3）设施先进、新技术应用保证措施：</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考务设施先进性强、新技术应用保证措施详尽、切实可行，有效的提高服务质量得4-5分；考务设施比较先进、新技术应用保证措施完善、有一定针对性，能够改善服务质量，得2-3分；考务设施齐全、新技术应用保证措施不够周详，缺乏针对性，得1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5、综合实力。满分7分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（1）投标文件符合招标文件所有条款，标书制作规范最多得5分；若投标文件与招标文件要求有偏离，但不影响到实质性响应，评委会根据情况扣1-2分；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（2）信用评价，满分2分。根据《南阳市政府采购信用评价实施办法》，投标人登录“南阳市政府采购信用管理系统”打印并提交《南阳市政府采购供应商信用记录表》，诚信评价为三星级的加 1 分，四星级的加 2 分，其他不得分。</w:t>
      </w: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1"/>
          <w:szCs w:val="21"/>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六.中标通知及签订合同</w:t>
      </w:r>
    </w:p>
    <w:p>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1.中标通知</w:t>
      </w:r>
    </w:p>
    <w:p>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1.1 中标人被正式确定后，将在“河南省政府采购网”和“南阳市公共资源交易中心网”上公告中标结果，同时向中标人发出《中标通知书》。</w:t>
      </w:r>
    </w:p>
    <w:p>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1.2 《中标通知书》将作为签订合同的依据之一。</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1.3 《中标通知书》发放办法：政府采购项目通过“南阳市公共资源交易中心公共服务平台或电子营业执照应用平台”向中标人发出电子《中标通知书》后，中标供应商可登录南阳市公共资源交易平台会员系统或电子营业执照应用平台，自行打印加盖电子签章的《中标通知书》。</w:t>
      </w:r>
    </w:p>
    <w:p>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2.签订合同</w:t>
      </w:r>
    </w:p>
    <w:p>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2.1中标供应商打印《中标通知书》后及时与采购人签订政府采购合同。合同签订后，采购人应通过“河南省电子化政府采购系统”(www.hngp.gov.cn)合同管理栏目上传合同原件扫描件完成备案。</w:t>
      </w:r>
    </w:p>
    <w:p>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2.2招标文件、投标文件、答疑及澄清文件，均为签订合同的依据。</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七.质疑与答复</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八、相关注意事项</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1.开标及询标时，投标人法定代表人（负责人）或授权代表务必携带有效的身份证明，否则产生的不利后果由投标人自行承担。</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2.各投标人应保证：投标文件中涉及到的所有内容，不会出现因第三方提出侵权而引发法律及经济纠纷，不论何种情况下若发生此类情况，其相应责任由投标人自行承担。</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3.3开标、评标期间，投标人不得向评委询问评标情况，不得进行旨在影响评标结果的活动。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4.为了保证评标的公正性，除询标外，评委不得与投标人交换意见。无论评标工作结束与否，参与评标的任何人均不得私下向外透露评标中的任何情况。</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5.投标人应本着公平竞争的原则参与投标，不得用任何方式对其它投标人恶意攻击。</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6.投标人如有违反上述要求或违反国家法律、法规的行为，无论评标结果如何，其投标资格将被取消。</w:t>
      </w: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30" w:firstLineChars="200"/>
        <w:jc w:val="both"/>
        <w:textAlignment w:val="baseline"/>
        <w:rPr>
          <w:rFonts w:hint="eastAsia"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pPr>
        <w:pStyle w:val="22"/>
        <w:keepNext w:val="0"/>
        <w:keepLines w:val="0"/>
        <w:pageBreakBefore w:val="0"/>
        <w:kinsoku/>
        <w:wordWrap w:val="0"/>
        <w:overflowPunct/>
        <w:topLinePunct w:val="0"/>
        <w:bidi w:val="0"/>
        <w:jc w:val="both"/>
        <w:rPr>
          <w:rFonts w:hint="eastAsia"/>
          <w:lang w:val="en-US" w:eastAsia="zh-CN"/>
        </w:rPr>
        <w:sectPr>
          <w:footerReference r:id="rId7" w:type="default"/>
          <w:pgSz w:w="11907" w:h="16840"/>
          <w:pgMar w:top="1440" w:right="1800" w:bottom="1440" w:left="1800" w:header="878" w:footer="886" w:gutter="0"/>
          <w:pgNumType w:fmt="decimal" w:start="1"/>
          <w:cols w:space="720" w:num="1"/>
        </w:sectPr>
      </w:pPr>
    </w:p>
    <w:p>
      <w:pPr>
        <w:pStyle w:val="2"/>
        <w:keepNext w:val="0"/>
        <w:keepLines w:val="0"/>
        <w:pageBreakBefore w:val="0"/>
        <w:kinsoku/>
        <w:wordWrap w:val="0"/>
        <w:overflowPunct/>
        <w:topLinePunct w:val="0"/>
        <w:bidi w:val="0"/>
        <w:spacing w:before="353" w:line="219" w:lineRule="auto"/>
        <w:ind w:left="2294"/>
        <w:jc w:val="both"/>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五</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政府采购合同（草案）</w:t>
      </w:r>
    </w:p>
    <w:p>
      <w:pPr>
        <w:pStyle w:val="22"/>
        <w:jc w:val="both"/>
        <w:rPr>
          <w:rFonts w:hint="eastAsia"/>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说明：</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1.合同类型按照</w:t>
      </w:r>
      <w:r>
        <w:rPr>
          <w:rFonts w:hint="eastAsia" w:asciiTheme="minorEastAsia" w:hAnsiTheme="minorEastAsia" w:eastAsiaTheme="minorEastAsia" w:cstheme="minorEastAsia"/>
          <w:spacing w:val="-13"/>
          <w:sz w:val="24"/>
          <w:szCs w:val="24"/>
          <w:lang w:val="en-US" w:eastAsia="zh-CN"/>
        </w:rPr>
        <w:t>中华人民共和国</w:t>
      </w:r>
      <w:r>
        <w:rPr>
          <w:rFonts w:hint="eastAsia" w:asciiTheme="minorEastAsia" w:hAnsiTheme="minorEastAsia" w:eastAsiaTheme="minorEastAsia" w:cstheme="minorEastAsia"/>
          <w:spacing w:val="-13"/>
          <w:sz w:val="24"/>
          <w:szCs w:val="24"/>
        </w:rPr>
        <w:t>民法典规定的典型合同类别，结合采购标的的实际情况确定。合同文本应当符合</w:t>
      </w:r>
      <w:r>
        <w:rPr>
          <w:rFonts w:hint="eastAsia" w:asciiTheme="minorEastAsia" w:hAnsiTheme="minorEastAsia" w:eastAsiaTheme="minorEastAsia" w:cstheme="minorEastAsia"/>
          <w:spacing w:val="-13"/>
          <w:sz w:val="24"/>
          <w:szCs w:val="24"/>
          <w:lang w:val="en-US" w:eastAsia="zh-CN"/>
        </w:rPr>
        <w:t>中华人民共和国</w:t>
      </w:r>
      <w:r>
        <w:rPr>
          <w:rFonts w:hint="eastAsia" w:asciiTheme="minorEastAsia" w:hAnsiTheme="minorEastAsia" w:eastAsiaTheme="minorEastAsia" w:cstheme="minorEastAsia"/>
          <w:spacing w:val="-13"/>
          <w:sz w:val="24"/>
          <w:szCs w:val="24"/>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2</w:t>
      </w:r>
      <w:r>
        <w:rPr>
          <w:rFonts w:hint="eastAsia" w:asciiTheme="minorEastAsia" w:hAnsiTheme="minorEastAsia" w:eastAsiaTheme="minorEastAsia" w:cstheme="minorEastAsia"/>
          <w:spacing w:val="-13"/>
          <w:sz w:val="24"/>
          <w:szCs w:val="24"/>
        </w:rPr>
        <w:t>.合同条款中应规定，乙方完全遵守《中华人民共和国妇女权益保障法》中关于劳动和社会保障权益的有关要求。</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3</w:t>
      </w:r>
      <w:r>
        <w:rPr>
          <w:rFonts w:hint="eastAsia" w:asciiTheme="minorEastAsia" w:hAnsiTheme="minorEastAsia" w:eastAsiaTheme="minorEastAsia" w:cstheme="minorEastAsia"/>
          <w:spacing w:val="-13"/>
          <w:sz w:val="24"/>
          <w:szCs w:val="24"/>
        </w:rPr>
        <w:t>.对于通过预留采购项目、预留专门采购包等措施签订的采购合同，应当明确标注本合同为中小企业预留合同。</w:t>
      </w:r>
    </w:p>
    <w:p>
      <w:pPr>
        <w:pStyle w:val="2"/>
        <w:keepNext w:val="0"/>
        <w:keepLines w:val="0"/>
        <w:pageBreakBefore w:val="0"/>
        <w:widowControl/>
        <w:kinsoku/>
        <w:wordWrap/>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4</w:t>
      </w:r>
      <w:r>
        <w:rPr>
          <w:rFonts w:hint="eastAsia" w:asciiTheme="minorEastAsia" w:hAnsiTheme="minorEastAsia" w:eastAsiaTheme="minorEastAsia" w:cstheme="minorEastAsia"/>
          <w:spacing w:val="-13"/>
          <w:sz w:val="24"/>
          <w:szCs w:val="24"/>
        </w:rPr>
        <w:t>.政府采购合同设定</w:t>
      </w:r>
      <w:r>
        <w:rPr>
          <w:rFonts w:hint="eastAsia" w:asciiTheme="minorEastAsia" w:hAnsiTheme="minorEastAsia" w:eastAsiaTheme="minorEastAsia" w:cstheme="minorEastAsia"/>
          <w:spacing w:val="-13"/>
          <w:sz w:val="24"/>
          <w:szCs w:val="24"/>
          <w:lang w:val="en-US" w:eastAsia="zh-CN"/>
        </w:rPr>
        <w:t>预</w:t>
      </w:r>
      <w:r>
        <w:rPr>
          <w:rFonts w:hint="eastAsia" w:asciiTheme="minorEastAsia" w:hAnsiTheme="minorEastAsia" w:eastAsiaTheme="minorEastAsia" w:cstheme="minorEastAsia"/>
          <w:spacing w:val="-13"/>
          <w:sz w:val="24"/>
          <w:szCs w:val="24"/>
        </w:rPr>
        <w:t>付款支付方式的，</w:t>
      </w:r>
      <w:r>
        <w:rPr>
          <w:rFonts w:hint="eastAsia" w:asciiTheme="minorEastAsia" w:hAnsiTheme="minorEastAsia" w:eastAsiaTheme="minorEastAsia" w:cstheme="minorEastAsia"/>
          <w:spacing w:val="-13"/>
          <w:sz w:val="24"/>
          <w:szCs w:val="24"/>
          <w:lang w:val="en-US" w:eastAsia="zh-CN"/>
        </w:rPr>
        <w:t>预</w:t>
      </w:r>
      <w:r>
        <w:rPr>
          <w:rFonts w:hint="eastAsia" w:asciiTheme="minorEastAsia" w:hAnsiTheme="minorEastAsia" w:eastAsiaTheme="minorEastAsia" w:cstheme="minorEastAsia"/>
          <w:spacing w:val="-13"/>
          <w:sz w:val="24"/>
          <w:szCs w:val="24"/>
        </w:rPr>
        <w:t>付款支付比例原则上不低于合同金额的</w:t>
      </w:r>
      <w:r>
        <w:rPr>
          <w:rFonts w:hint="eastAsia" w:asciiTheme="minorEastAsia" w:hAnsiTheme="minorEastAsia" w:eastAsiaTheme="minorEastAsia" w:cstheme="minorEastAsia"/>
          <w:spacing w:val="-13"/>
          <w:sz w:val="24"/>
          <w:szCs w:val="24"/>
          <w:lang w:val="en-US" w:eastAsia="zh-CN"/>
        </w:rPr>
        <w:t>5</w:t>
      </w:r>
      <w:r>
        <w:rPr>
          <w:rFonts w:hint="eastAsia" w:asciiTheme="minorEastAsia" w:hAnsiTheme="minorEastAsia" w:eastAsiaTheme="minorEastAsia" w:cstheme="minorEastAsia"/>
          <w:spacing w:val="-13"/>
          <w:sz w:val="24"/>
          <w:szCs w:val="24"/>
        </w:rPr>
        <w:t>0%；对于中小企业，</w:t>
      </w:r>
      <w:r>
        <w:rPr>
          <w:rFonts w:hint="eastAsia" w:asciiTheme="minorEastAsia" w:hAnsiTheme="minorEastAsia" w:eastAsiaTheme="minorEastAsia" w:cstheme="minorEastAsia"/>
          <w:spacing w:val="-13"/>
          <w:sz w:val="24"/>
          <w:szCs w:val="24"/>
          <w:lang w:val="en-US" w:eastAsia="zh-CN"/>
        </w:rPr>
        <w:t>预</w:t>
      </w:r>
      <w:r>
        <w:rPr>
          <w:rFonts w:hint="eastAsia" w:asciiTheme="minorEastAsia" w:hAnsiTheme="minorEastAsia" w:eastAsiaTheme="minorEastAsia" w:cstheme="minorEastAsia"/>
          <w:spacing w:val="-13"/>
          <w:sz w:val="24"/>
          <w:szCs w:val="24"/>
        </w:rPr>
        <w:t>付款支付比例原则上不低于合同金额的</w:t>
      </w:r>
      <w:r>
        <w:rPr>
          <w:rFonts w:hint="eastAsia" w:asciiTheme="minorEastAsia" w:hAnsiTheme="minorEastAsia" w:eastAsiaTheme="minorEastAsia" w:cstheme="minorEastAsia"/>
          <w:spacing w:val="-13"/>
          <w:sz w:val="24"/>
          <w:szCs w:val="24"/>
          <w:lang w:val="en-US" w:eastAsia="zh-CN"/>
        </w:rPr>
        <w:t>7</w:t>
      </w:r>
      <w:r>
        <w:rPr>
          <w:rFonts w:hint="eastAsia" w:asciiTheme="minorEastAsia" w:hAnsiTheme="minorEastAsia" w:eastAsiaTheme="minorEastAsia" w:cstheme="minorEastAsia"/>
          <w:spacing w:val="-13"/>
          <w:sz w:val="24"/>
          <w:szCs w:val="24"/>
        </w:rPr>
        <w:t>0%。</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5</w:t>
      </w:r>
      <w:r>
        <w:rPr>
          <w:rFonts w:hint="eastAsia" w:asciiTheme="minorEastAsia" w:hAnsiTheme="minorEastAsia" w:eastAsiaTheme="minorEastAsia" w:cstheme="minorEastAsia"/>
          <w:spacing w:val="-13"/>
          <w:sz w:val="24"/>
          <w:szCs w:val="24"/>
        </w:rPr>
        <w:t>.政府采购合同应当约定资金支付的方式、时间和条件，明确逾期支付资金的违约责任。对于满足合同约定支付条件的，采购人应当自收到发票后</w:t>
      </w:r>
      <w:r>
        <w:rPr>
          <w:rFonts w:hint="eastAsia" w:asciiTheme="minorEastAsia" w:hAnsiTheme="minorEastAsia" w:eastAsiaTheme="minorEastAsia" w:cstheme="minorEastAsia"/>
          <w:spacing w:val="-13"/>
          <w:sz w:val="24"/>
          <w:szCs w:val="24"/>
          <w:lang w:val="en-US" w:eastAsia="zh-CN"/>
        </w:rPr>
        <w:t>1</w:t>
      </w:r>
      <w:r>
        <w:rPr>
          <w:rFonts w:hint="eastAsia" w:asciiTheme="minorEastAsia" w:hAnsiTheme="minorEastAsia" w:eastAsiaTheme="minorEastAsia" w:cstheme="minorEastAsia"/>
          <w:spacing w:val="-13"/>
          <w:sz w:val="24"/>
          <w:szCs w:val="24"/>
        </w:rPr>
        <w:t>日内将资金支付到合同约定的供应商账户，不得以机构变动、人员更替、政策调整等为由延迟付款，不得将采购文件和合同中未规定的义务作为向供应商付款的条件。</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6</w:t>
      </w:r>
      <w:r>
        <w:rPr>
          <w:rFonts w:hint="eastAsia" w:asciiTheme="minorEastAsia" w:hAnsiTheme="minorEastAsia" w:eastAsiaTheme="minorEastAsia" w:cstheme="minorEastAsia"/>
          <w:spacing w:val="-13"/>
          <w:sz w:val="24"/>
          <w:szCs w:val="24"/>
        </w:rPr>
        <w:t>.采购文件对商品包装和快递包装</w:t>
      </w:r>
      <w:r>
        <w:rPr>
          <w:rFonts w:hint="eastAsia" w:asciiTheme="minorEastAsia" w:hAnsiTheme="minorEastAsia" w:eastAsiaTheme="minorEastAsia" w:cstheme="minorEastAsia"/>
          <w:spacing w:val="-13"/>
          <w:sz w:val="24"/>
          <w:szCs w:val="24"/>
          <w:lang w:val="en-US" w:eastAsia="zh-CN"/>
        </w:rPr>
        <w:t>提</w:t>
      </w:r>
      <w:r>
        <w:rPr>
          <w:rFonts w:hint="eastAsia" w:asciiTheme="minorEastAsia" w:hAnsiTheme="minorEastAsia" w:eastAsiaTheme="minorEastAsia" w:cstheme="minorEastAsia"/>
          <w:spacing w:val="-13"/>
          <w:sz w:val="24"/>
          <w:szCs w:val="24"/>
        </w:rPr>
        <w:t>出具体要求的，政府采购合同应当载明对政府采购供应商</w:t>
      </w:r>
      <w:r>
        <w:rPr>
          <w:rFonts w:hint="eastAsia" w:asciiTheme="minorEastAsia" w:hAnsiTheme="minorEastAsia" w:eastAsiaTheme="minorEastAsia" w:cstheme="minorEastAsia"/>
          <w:spacing w:val="-13"/>
          <w:sz w:val="24"/>
          <w:szCs w:val="24"/>
          <w:lang w:val="en-US" w:eastAsia="zh-CN"/>
        </w:rPr>
        <w:t>提</w:t>
      </w:r>
      <w:r>
        <w:rPr>
          <w:rFonts w:hint="eastAsia" w:asciiTheme="minorEastAsia" w:hAnsiTheme="minorEastAsia" w:eastAsiaTheme="minorEastAsia" w:cstheme="minorEastAsia"/>
          <w:spacing w:val="-13"/>
          <w:sz w:val="24"/>
          <w:szCs w:val="24"/>
        </w:rPr>
        <w:t>供产品及相关快递服务的具体包装要求和履约验收相关条款，必要时要求中标、成交供应商在履约验收环节出具检测报告。</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7</w:t>
      </w:r>
      <w:r>
        <w:rPr>
          <w:rFonts w:hint="eastAsia" w:asciiTheme="minorEastAsia" w:hAnsiTheme="minorEastAsia" w:eastAsiaTheme="minorEastAsia" w:cstheme="minorEastAsia"/>
          <w:spacing w:val="-13"/>
          <w:sz w:val="24"/>
          <w:szCs w:val="24"/>
        </w:rPr>
        <w:t>.当采购项目涉及数据中心相关设备、运维服务时，采购需求应当符合《绿色数据中</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心政府采购需求标准（试行）》（财库〔2023〕7号）的有关要求，并在合同中明确对相关指标的验收方式和违约责任。</w:t>
      </w:r>
    </w:p>
    <w:p>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pPr>
    </w:p>
    <w:p>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pPr>
    </w:p>
    <w:p>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pPr>
    </w:p>
    <w:p>
      <w:pPr>
        <w:pStyle w:val="2"/>
        <w:keepNext w:val="0"/>
        <w:keepLines w:val="0"/>
        <w:pageBreakBefore w:val="0"/>
        <w:kinsoku/>
        <w:wordWrap w:val="0"/>
        <w:overflowPunct/>
        <w:topLinePunct w:val="0"/>
        <w:bidi w:val="0"/>
        <w:spacing w:before="353" w:line="219" w:lineRule="auto"/>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353" w:line="219" w:lineRule="auto"/>
        <w:ind w:firstLine="2506" w:firstLineChars="700"/>
        <w:jc w:val="both"/>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六</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投标文件格式</w:t>
      </w:r>
    </w:p>
    <w:p>
      <w:pPr>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sz w:val="21"/>
        </w:rPr>
      </w:pPr>
    </w:p>
    <w:p>
      <w:pPr>
        <w:pStyle w:val="2"/>
        <w:keepNext w:val="0"/>
        <w:keepLines w:val="0"/>
        <w:pageBreakBefore w:val="0"/>
        <w:widowControl/>
        <w:kinsoku/>
        <w:wordWrap w:val="0"/>
        <w:overflowPunct/>
        <w:topLinePunct w:val="0"/>
        <w:autoSpaceDE w:val="0"/>
        <w:autoSpaceDN w:val="0"/>
        <w:bidi w:val="0"/>
        <w:adjustRightInd w:val="0"/>
        <w:snapToGrid w:val="0"/>
        <w:spacing w:before="78" w:line="360" w:lineRule="auto"/>
        <w:ind w:left="154"/>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投标人编制文件须知</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w:t>
      </w:r>
      <w:r>
        <w:rPr>
          <w:rFonts w:hint="eastAsia" w:asciiTheme="minorEastAsia" w:hAnsiTheme="minorEastAsia" w:eastAsiaTheme="minorEastAsia" w:cstheme="minorEastAsia"/>
          <w:spacing w:val="-3"/>
          <w:sz w:val="24"/>
          <w:szCs w:val="24"/>
        </w:rPr>
        <w:t>投标人按照本部分的顺序编制投标文件（资格证明文件）、投标</w:t>
      </w:r>
      <w:r>
        <w:rPr>
          <w:rFonts w:hint="eastAsia" w:asciiTheme="minorEastAsia" w:hAnsiTheme="minorEastAsia" w:eastAsiaTheme="minorEastAsia" w:cstheme="minorEastAsia"/>
          <w:spacing w:val="-4"/>
          <w:sz w:val="24"/>
          <w:szCs w:val="24"/>
        </w:rPr>
        <w:t>文件（商务技术文</w:t>
      </w:r>
      <w:r>
        <w:rPr>
          <w:rFonts w:hint="eastAsia" w:asciiTheme="minorEastAsia" w:hAnsiTheme="minorEastAsia" w:eastAsiaTheme="minorEastAsia" w:cstheme="minorEastAsia"/>
          <w:spacing w:val="-8"/>
          <w:sz w:val="24"/>
          <w:szCs w:val="24"/>
        </w:rPr>
        <w:t>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2.</w:t>
      </w:r>
      <w:r>
        <w:rPr>
          <w:rFonts w:hint="eastAsia" w:asciiTheme="minorEastAsia" w:hAnsiTheme="minorEastAsia" w:eastAsiaTheme="minorEastAsia" w:cstheme="minorEastAsia"/>
          <w:spacing w:val="-1"/>
          <w:sz w:val="24"/>
          <w:szCs w:val="24"/>
        </w:rPr>
        <w:t>全部声明和问题的回答及所附材料必须是真实的、准确的和完整</w:t>
      </w:r>
      <w:r>
        <w:rPr>
          <w:rFonts w:hint="eastAsia" w:asciiTheme="minorEastAsia" w:hAnsiTheme="minorEastAsia" w:eastAsiaTheme="minorEastAsia" w:cstheme="minorEastAsia"/>
          <w:spacing w:val="-2"/>
          <w:sz w:val="24"/>
          <w:szCs w:val="24"/>
        </w:rPr>
        <w:t>的。</w:t>
      </w:r>
    </w:p>
    <w:p>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sectPr>
          <w:headerReference r:id="rId8" w:type="default"/>
          <w:footerReference r:id="rId9" w:type="default"/>
          <w:pgSz w:w="11907" w:h="16840"/>
          <w:pgMar w:top="1440" w:right="1800" w:bottom="1440" w:left="1800" w:header="878" w:footer="886" w:gutter="0"/>
          <w:pgNumType w:fmt="decimal"/>
          <w:cols w:space="720" w:num="1"/>
        </w:sectPr>
      </w:pPr>
    </w:p>
    <w:p>
      <w:pPr>
        <w:pStyle w:val="2"/>
        <w:keepNext w:val="0"/>
        <w:keepLines w:val="0"/>
        <w:pageBreakBefore w:val="0"/>
        <w:kinsoku/>
        <w:wordWrap w:val="0"/>
        <w:overflowPunct/>
        <w:topLinePunct w:val="0"/>
        <w:bidi w:val="0"/>
        <w:spacing w:before="78" w:line="360" w:lineRule="auto"/>
        <w:ind w:left="13"/>
        <w:jc w:val="both"/>
        <w:outlineLvl w:val="2"/>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一、资格证明文件格式</w:t>
      </w:r>
    </w:p>
    <w:p>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w:t>
      </w:r>
    </w:p>
    <w:p>
      <w:pPr>
        <w:keepNext w:val="0"/>
        <w:keepLines w:val="0"/>
        <w:pageBreakBefore w:val="0"/>
        <w:kinsoku/>
        <w:wordWrap w:val="0"/>
        <w:overflowPunct/>
        <w:topLinePunct w:val="0"/>
        <w:bidi w:val="0"/>
        <w:spacing w:line="360" w:lineRule="auto"/>
        <w:ind w:firstLine="576" w:firstLineChars="200"/>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开标一览表</w:t>
      </w:r>
    </w:p>
    <w:tbl>
      <w:tblPr>
        <w:tblStyle w:val="17"/>
        <w:tblW w:w="88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7" w:hRule="atLeast"/>
        </w:trPr>
        <w:tc>
          <w:tcPr>
            <w:tcW w:w="1998"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6807"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trPr>
        <w:tc>
          <w:tcPr>
            <w:tcW w:w="1998"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6807"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atLeast"/>
        </w:trPr>
        <w:tc>
          <w:tcPr>
            <w:tcW w:w="1998"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w:t>
            </w:r>
          </w:p>
        </w:tc>
        <w:tc>
          <w:tcPr>
            <w:tcW w:w="6807"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0" w:hRule="atLeast"/>
        </w:trPr>
        <w:tc>
          <w:tcPr>
            <w:tcW w:w="1998"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投标报价</w:t>
            </w:r>
          </w:p>
        </w:tc>
        <w:tc>
          <w:tcPr>
            <w:tcW w:w="6807"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8"/>
                <w:kern w:val="0"/>
                <w:sz w:val="24"/>
                <w:szCs w:val="24"/>
                <w:lang w:val="en-US" w:eastAsia="zh-CN" w:bidi="ar-SA"/>
              </w:rPr>
              <w:t>综合优惠率：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1998"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服务期限</w:t>
            </w:r>
          </w:p>
        </w:tc>
        <w:tc>
          <w:tcPr>
            <w:tcW w:w="6807"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998"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服务质量</w:t>
            </w:r>
          </w:p>
        </w:tc>
        <w:tc>
          <w:tcPr>
            <w:tcW w:w="6807"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998"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6807"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bl>
    <w:p>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jc w:val="both"/>
        <w:textAlignment w:val="baseline"/>
        <w:rPr>
          <w:rFonts w:hint="default"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注：“开标一览表”报优惠率。优惠率报小数点形式（如：优惠率10%，报优惠率0.1）</w:t>
      </w: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投标人（公章）：法定代表人（负责人）或授权代表（签字）：</w:t>
      </w: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授权书格式</w:t>
      </w:r>
    </w:p>
    <w:p>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b/>
          <w:sz w:val="24"/>
          <w:szCs w:val="24"/>
          <w:lang w:eastAsia="zh-CN"/>
        </w:rPr>
      </w:pPr>
    </w:p>
    <w:p>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地址：法定代表人（负责人）：</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授权代表姓名：性别：出生日期：年月日</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身份证：现住：</w:t>
      </w:r>
    </w:p>
    <w:p>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兹委托参加项目事宜，并授权其全权办理以下事宜：</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pPr>
        <w:pStyle w:val="16"/>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委托单位（公章）：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法定代表人（负责人）（签字）：</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lang w:eastAsia="zh-CN"/>
        </w:rPr>
        <w:t>资格声明函格式</w:t>
      </w: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pPr>
        <w:keepNext w:val="0"/>
        <w:keepLines w:val="0"/>
        <w:pageBreakBefore w:val="0"/>
        <w:kinsoku/>
        <w:wordWrap w:val="0"/>
        <w:overflowPunct/>
        <w:topLinePunct w:val="0"/>
        <w:bidi w:val="0"/>
        <w:spacing w:line="360" w:lineRule="auto"/>
        <w:jc w:val="center"/>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关于资格的声明函</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关于贵方编号为公开招标，本签字人愿意参加投标，提供“采购内容及要求”中规定的服务，并证明提交的下列文件和说明是准确的真实的。</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1、由市场监管局签发的我方工商营业执照副本。</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投标人（公章）：法定代表人（负责人）或授权代表（签字）：</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日期</w:t>
      </w:r>
      <w:r>
        <w:rPr>
          <w:rFonts w:hint="eastAsia" w:asciiTheme="minorEastAsia" w:hAnsiTheme="minorEastAsia" w:eastAsiaTheme="minorEastAsia" w:cstheme="minorEastAsia"/>
          <w:spacing w:val="-3"/>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0" w:firstLineChars="200"/>
        <w:jc w:val="both"/>
        <w:textAlignment w:val="baseline"/>
        <w:rPr>
          <w:rFonts w:hint="eastAsia" w:asciiTheme="minorEastAsia" w:hAnsiTheme="minorEastAsia" w:eastAsiaTheme="minorEastAsia" w:cstheme="minorEastAsia"/>
          <w:sz w:val="24"/>
          <w:szCs w:val="24"/>
          <w:lang w:val="en-US" w:eastAsia="zh-CN"/>
        </w:rPr>
        <w:sectPr>
          <w:headerReference r:id="rId10" w:type="default"/>
          <w:footerReference r:id="rId11"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bCs/>
          <w:spacing w:val="-3"/>
          <w:sz w:val="24"/>
          <w:szCs w:val="24"/>
        </w:rPr>
        <w:t>说明：供应商承诺不实的，依据《</w:t>
      </w:r>
      <w:r>
        <w:rPr>
          <w:rFonts w:hint="eastAsia" w:asciiTheme="minorEastAsia" w:hAnsiTheme="minorEastAsia" w:eastAsiaTheme="minorEastAsia" w:cstheme="minorEastAsia"/>
          <w:b/>
          <w:bCs/>
          <w:spacing w:val="-3"/>
          <w:sz w:val="24"/>
          <w:szCs w:val="24"/>
          <w:lang w:val="en-US" w:eastAsia="zh-CN"/>
        </w:rPr>
        <w:t>中华人民共和国</w:t>
      </w:r>
      <w:r>
        <w:rPr>
          <w:rFonts w:hint="eastAsia" w:asciiTheme="minorEastAsia" w:hAnsiTheme="minorEastAsia" w:eastAsiaTheme="minorEastAsia" w:cstheme="minorEastAsia"/>
          <w:b/>
          <w:bCs/>
          <w:spacing w:val="-3"/>
          <w:sz w:val="24"/>
          <w:szCs w:val="24"/>
        </w:rPr>
        <w:t>政府采购法》第七十七条</w:t>
      </w:r>
      <w:r>
        <w:rPr>
          <w:rFonts w:hint="eastAsia" w:asciiTheme="minorEastAsia" w:hAnsiTheme="minorEastAsia" w:eastAsiaTheme="minorEastAsia" w:cstheme="minorEastAsia"/>
          <w:b/>
          <w:bCs/>
          <w:spacing w:val="8"/>
          <w:sz w:val="24"/>
          <w:szCs w:val="24"/>
        </w:rPr>
        <w:t>供虚假材料谋取中标、</w:t>
      </w:r>
      <w:r>
        <w:rPr>
          <w:rFonts w:hint="eastAsia" w:asciiTheme="minorEastAsia" w:hAnsiTheme="minorEastAsia" w:eastAsiaTheme="minorEastAsia" w:cstheme="minorEastAsia"/>
          <w:b/>
          <w:bCs/>
          <w:spacing w:val="-4"/>
          <w:sz w:val="24"/>
          <w:szCs w:val="24"/>
        </w:rPr>
        <w:t>成交的</w:t>
      </w:r>
      <w:r>
        <w:rPr>
          <w:rFonts w:hint="eastAsia" w:asciiTheme="minorEastAsia" w:hAnsiTheme="minorEastAsia" w:eastAsiaTheme="minorEastAsia" w:cstheme="minorEastAsia"/>
          <w:b/>
          <w:bCs/>
          <w:position w:val="11"/>
          <w:sz w:val="24"/>
          <w:szCs w:val="24"/>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31"/>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rPr>
        <w:t>有关规定予以</w:t>
      </w:r>
      <w:r>
        <w:rPr>
          <w:rFonts w:hint="eastAsia" w:asciiTheme="minorEastAsia" w:hAnsiTheme="minorEastAsia" w:eastAsiaTheme="minorEastAsia" w:cstheme="minorEastAsia"/>
          <w:b/>
          <w:bCs/>
          <w:spacing w:val="-4"/>
          <w:sz w:val="24"/>
          <w:szCs w:val="24"/>
          <w:lang w:val="en-US" w:eastAsia="zh-CN"/>
        </w:rPr>
        <w:t>处理。</w:t>
      </w:r>
    </w:p>
    <w:p>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b/>
          <w:bCs/>
          <w:sz w:val="24"/>
          <w:szCs w:val="24"/>
          <w:lang w:eastAsia="zh-CN"/>
        </w:rPr>
        <w:t>承诺函格式</w:t>
      </w: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投</w:t>
      </w:r>
      <w:r>
        <w:rPr>
          <w:rFonts w:hint="eastAsia" w:asciiTheme="minorEastAsia" w:hAnsiTheme="minorEastAsia" w:eastAsiaTheme="minorEastAsia" w:cstheme="minorEastAsia"/>
          <w:b/>
          <w:bCs/>
          <w:sz w:val="24"/>
          <w:szCs w:val="24"/>
          <w:lang w:eastAsia="zh-CN"/>
        </w:rPr>
        <w:t>标人承诺函</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很荣幸能参与项目编号为项目的投标。</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服务合同，并且严格按合同履行义务，按时交付使用，保证设备</w:t>
      </w:r>
      <w:r>
        <w:rPr>
          <w:rFonts w:hint="eastAsia" w:asciiTheme="minorEastAsia" w:hAnsiTheme="minorEastAsia" w:eastAsiaTheme="minorEastAsia" w:cstheme="minorEastAsia"/>
          <w:sz w:val="24"/>
          <w:szCs w:val="24"/>
          <w:lang w:val="en-US" w:eastAsia="zh-CN"/>
        </w:rPr>
        <w:t>或服务</w:t>
      </w:r>
      <w:r>
        <w:rPr>
          <w:rFonts w:hint="eastAsia" w:asciiTheme="minorEastAsia" w:hAnsiTheme="minorEastAsia" w:eastAsiaTheme="minorEastAsia" w:cstheme="minorEastAsia"/>
          <w:sz w:val="24"/>
          <w:szCs w:val="24"/>
          <w:lang w:eastAsia="zh-CN"/>
        </w:rPr>
        <w:t>质量符合招标文件要求，并提供优质服务。如果在合同执行过程中，发现问题，我方一定尽快对其进行调整，并承担相应的经济责任；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6、我方保证，严格遵守《</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政府采购法实施条例》《政府采购货物和服务招标投标管理办法》及其他相关法律法规的规定，若有违反上述法律法规的行为，愿意接受处罚并承担相应的法律责任。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投标人（公章）：法定代表人（负责人）或授权代表（签字）：</w:t>
      </w:r>
    </w:p>
    <w:p>
      <w:pPr>
        <w:keepNext w:val="0"/>
        <w:keepLines w:val="0"/>
        <w:pageBreakBefore w:val="0"/>
        <w:kinsoku/>
        <w:wordWrap w:val="0"/>
        <w:overflowPunct/>
        <w:topLinePunct w:val="0"/>
        <w:bidi w:val="0"/>
        <w:spacing w:line="360" w:lineRule="auto"/>
        <w:ind w:firstLine="720" w:firstLineChars="3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营业执照副本</w:t>
      </w:r>
      <w:r>
        <w:rPr>
          <w:rFonts w:hint="eastAsia" w:asciiTheme="minorEastAsia" w:hAnsiTheme="minorEastAsia" w:eastAsiaTheme="minorEastAsia" w:cstheme="minorEastAsia"/>
          <w:b/>
          <w:bCs/>
          <w:sz w:val="24"/>
          <w:szCs w:val="24"/>
          <w:lang w:val="en-US" w:eastAsia="zh-CN"/>
        </w:rPr>
        <w:t>或其他资格证明文件</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eastAsiaTheme="minorEastAsia" w:cstheme="minorEastAsia"/>
          <w:b/>
          <w:bCs/>
          <w:sz w:val="24"/>
          <w:szCs w:val="24"/>
          <w:lang w:eastAsia="zh-CN"/>
        </w:rPr>
        <w:t>具有履行合同所必需的设备和专业技术能力的承诺</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7.</w:t>
      </w:r>
      <w:r>
        <w:rPr>
          <w:rFonts w:hint="eastAsia" w:asciiTheme="minorEastAsia" w:hAnsiTheme="minorEastAsia" w:eastAsiaTheme="minorEastAsia" w:cstheme="minorEastAsia"/>
          <w:b/>
          <w:bCs/>
          <w:sz w:val="24"/>
          <w:szCs w:val="24"/>
          <w:lang w:eastAsia="zh-CN"/>
        </w:rPr>
        <w:t>依法缴纳税收和社会保障资金的缴费凭证(提供近半年</w:t>
      </w:r>
      <w:r>
        <w:rPr>
          <w:rFonts w:hint="eastAsia" w:asciiTheme="minorEastAsia" w:hAnsiTheme="minorEastAsia" w:eastAsiaTheme="minorEastAsia" w:cstheme="minorEastAsia"/>
          <w:b/>
          <w:bCs/>
          <w:sz w:val="24"/>
          <w:szCs w:val="24"/>
          <w:lang w:val="en-US" w:eastAsia="zh-CN"/>
        </w:rPr>
        <w:t>内</w:t>
      </w:r>
      <w:r>
        <w:rPr>
          <w:rFonts w:hint="eastAsia" w:asciiTheme="minorEastAsia" w:hAnsiTheme="minorEastAsia" w:eastAsiaTheme="minorEastAsia" w:cstheme="minorEastAsia"/>
          <w:b/>
          <w:bCs/>
          <w:sz w:val="24"/>
          <w:szCs w:val="24"/>
          <w:lang w:eastAsia="zh-CN"/>
        </w:rPr>
        <w:t>任意三个月的有效凭证)</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8.</w:t>
      </w:r>
      <w:r>
        <w:rPr>
          <w:rFonts w:hint="eastAsia" w:asciiTheme="minorEastAsia" w:hAnsiTheme="minorEastAsia" w:eastAsiaTheme="minorEastAsia" w:cstheme="minorEastAsia"/>
          <w:b/>
          <w:bCs/>
          <w:sz w:val="24"/>
          <w:szCs w:val="24"/>
          <w:lang w:eastAsia="zh-CN"/>
        </w:rPr>
        <w:t>良好的商业信誉和健全的财务会计制度的证明文件</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说明：</w:t>
      </w: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提供本单位上年度经会计师事务所出具的审计报告或本公司出具的财务报表或提供银行出具的证明文件。银行出具的证明文件应能说明该投标人与银行之间业务往来正常，企业信誉良好等。（</w:t>
      </w: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lang w:eastAsia="zh-CN"/>
        </w:rPr>
        <w:t>）投标人提供企业有关财务会计制度。</w:t>
      </w:r>
    </w:p>
    <w:p>
      <w:pPr>
        <w:keepNext w:val="0"/>
        <w:keepLines w:val="0"/>
        <w:pageBreakBefore w:val="0"/>
        <w:numPr>
          <w:ilvl w:val="0"/>
          <w:numId w:val="19"/>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投标人出具参加政府采购活动前三年内，</w:t>
      </w:r>
      <w:r>
        <w:rPr>
          <w:rFonts w:hint="eastAsia" w:asciiTheme="minorEastAsia" w:hAnsiTheme="minorEastAsia" w:eastAsiaTheme="minorEastAsia" w:cstheme="minorEastAsia"/>
          <w:b/>
          <w:bCs/>
          <w:snapToGrid w:val="0"/>
          <w:color w:val="000000"/>
          <w:kern w:val="0"/>
          <w:sz w:val="24"/>
          <w:szCs w:val="24"/>
          <w:lang w:val="en-US" w:eastAsia="zh-CN" w:bidi="ar-SA"/>
        </w:rPr>
        <w:t>在经营活动中没有重大违法记录</w:t>
      </w:r>
      <w:r>
        <w:rPr>
          <w:rFonts w:hint="eastAsia" w:asciiTheme="minorEastAsia" w:hAnsiTheme="minorEastAsia" w:eastAsiaTheme="minorEastAsia" w:cstheme="minorEastAsia"/>
          <w:b/>
          <w:bCs/>
          <w:sz w:val="24"/>
          <w:szCs w:val="24"/>
          <w:lang w:eastAsia="zh-CN"/>
        </w:rPr>
        <w:t>的书面声明（加盖单位公章）</w:t>
      </w:r>
    </w:p>
    <w:p>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10.</w:t>
      </w:r>
      <w:r>
        <w:rPr>
          <w:rFonts w:hint="eastAsia" w:asciiTheme="minorEastAsia" w:hAnsiTheme="minorEastAsia" w:eastAsiaTheme="minorEastAsia" w:cstheme="minorEastAsia"/>
          <w:b/>
          <w:bCs/>
          <w:sz w:val="24"/>
          <w:szCs w:val="24"/>
          <w:lang w:eastAsia="zh-CN"/>
        </w:rPr>
        <w:t>投标人诚信承诺书</w:t>
      </w: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诚信承诺书</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承诺人法定地址：</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授权代表（签字或盖章）：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w:t>
      </w:r>
    </w:p>
    <w:p>
      <w:pPr>
        <w:keepNext w:val="0"/>
        <w:keepLines w:val="0"/>
        <w:pageBreakBefore w:val="0"/>
        <w:kinsoku/>
        <w:wordWrap w:val="0"/>
        <w:overflowPunct/>
        <w:topLinePunct w:val="0"/>
        <w:bidi w:val="0"/>
        <w:spacing w:line="360" w:lineRule="auto"/>
        <w:ind w:firstLine="672" w:firstLineChars="3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pPr>
        <w:keepNext w:val="0"/>
        <w:keepLines w:val="0"/>
        <w:pageBreakBefore w:val="0"/>
        <w:numPr>
          <w:ilvl w:val="0"/>
          <w:numId w:val="0"/>
        </w:numPr>
        <w:kinsoku/>
        <w:wordWrap w:val="0"/>
        <w:overflowPunct/>
        <w:topLinePunct w:val="0"/>
        <w:bidi w:val="0"/>
        <w:spacing w:line="360" w:lineRule="auto"/>
        <w:ind w:leftChars="0"/>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11</w:t>
      </w:r>
      <w:r>
        <w:rPr>
          <w:rFonts w:hint="eastAsia" w:asciiTheme="minorEastAsia" w:hAnsiTheme="minorEastAsia" w:eastAsiaTheme="minorEastAsia" w:cstheme="minorEastAsia"/>
          <w:b/>
          <w:bCs/>
          <w:sz w:val="24"/>
          <w:szCs w:val="24"/>
          <w:lang w:eastAsia="zh-CN"/>
        </w:rPr>
        <w:t>投标人出具信用记录查询结果网页截图</w:t>
      </w:r>
    </w:p>
    <w:p>
      <w:pPr>
        <w:keepNext w:val="0"/>
        <w:keepLines w:val="0"/>
        <w:pageBreakBefore w:val="0"/>
        <w:numPr>
          <w:ilvl w:val="0"/>
          <w:numId w:val="0"/>
        </w:numPr>
        <w:kinsoku/>
        <w:wordWrap w:val="0"/>
        <w:overflowPunct/>
        <w:topLinePunct w:val="0"/>
        <w:bidi w:val="0"/>
        <w:spacing w:line="360" w:lineRule="auto"/>
        <w:ind w:leftChars="0"/>
        <w:jc w:val="both"/>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12.</w:t>
      </w:r>
      <w:r>
        <w:rPr>
          <w:rFonts w:hint="eastAsia" w:ascii="宋体" w:hAnsi="宋体" w:eastAsia="宋体" w:cs="宋体"/>
          <w:sz w:val="24"/>
          <w:szCs w:val="24"/>
        </w:rPr>
        <w:t>第一标段投标人须提供该标段考试服务经历的证明，且须提供所建房屋安全检测证明(附检测单位资质证明)或房屋竣工验收备案表、消防部门出具的考场经消防检查合格证明或消防检查意见书;第二标段、第三标段投标人须提供消防合格证明或消防检查意见书或者规划建设许可证明;第三标段投标人还须提供具有管辖权的行政管理部门出具的小型汽车、小型自动挡汽车考试路段不少于4公里的审批文件,若拟同时承担大中型客货车考试服务的还须提供大中型客货车考试路段不少于8公里的审批文件</w:t>
      </w:r>
      <w:r>
        <w:rPr>
          <w:rFonts w:hint="eastAsia" w:ascii="宋体" w:hAnsi="宋体" w:eastAsia="宋体" w:cs="宋体"/>
          <w:sz w:val="24"/>
          <w:szCs w:val="24"/>
          <w:lang w:eastAsia="zh-CN"/>
        </w:rPr>
        <w:t>。</w:t>
      </w:r>
    </w:p>
    <w:p>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13.其他资格证明</w:t>
      </w:r>
    </w:p>
    <w:p>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napToGrid w:val="0"/>
          <w:color w:val="000000"/>
          <w:kern w:val="0"/>
          <w:sz w:val="24"/>
          <w:szCs w:val="24"/>
          <w:lang w:val="zh-CN" w:eastAsia="zh-CN" w:bidi="ar-SA"/>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对于市本级政府采购项目，全部实施供应商资格信用承诺，投标人</w:t>
      </w:r>
      <w:r>
        <w:rPr>
          <w:rFonts w:hint="eastAsia" w:asciiTheme="minorEastAsia" w:hAnsiTheme="minorEastAsia" w:eastAsiaTheme="minorEastAsia" w:cstheme="minorEastAsia"/>
          <w:b/>
          <w:bCs/>
          <w:sz w:val="24"/>
          <w:szCs w:val="24"/>
          <w:lang w:eastAsia="zh-CN"/>
        </w:rPr>
        <w:t>在投标时，按照规定提供“南阳市政府采购供应商信用承诺函”（详见附件）的，无需再提交上述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pPr>
        <w:pStyle w:val="2"/>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kern w:val="0"/>
          <w:sz w:val="32"/>
          <w:szCs w:val="32"/>
          <w:lang w:val="zh-CN" w:eastAsia="zh-CN" w:bidi="ar-SA"/>
        </w:rPr>
      </w:pPr>
      <w:r>
        <w:rPr>
          <w:rFonts w:hint="eastAsia" w:asciiTheme="minorEastAsia" w:hAnsiTheme="minorEastAsia" w:eastAsiaTheme="minorEastAsia" w:cstheme="minorEastAsia"/>
          <w:b/>
          <w:bCs/>
          <w:snapToGrid w:val="0"/>
          <w:color w:val="000000"/>
          <w:kern w:val="0"/>
          <w:sz w:val="32"/>
          <w:szCs w:val="32"/>
          <w:lang w:val="zh-CN" w:eastAsia="zh-CN" w:bidi="ar-SA"/>
        </w:rPr>
        <w:t>南阳市政府采购供应商信用承诺函</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p>
      <w:pPr>
        <w:pStyle w:val="2"/>
        <w:keepNext w:val="0"/>
        <w:keepLines w:val="0"/>
        <w:pageBreakBefore w:val="0"/>
        <w:kinsoku/>
        <w:wordWrap w:val="0"/>
        <w:overflowPunct/>
        <w:topLinePunct w:val="0"/>
        <w:bidi w:val="0"/>
        <w:spacing w:before="78" w:line="360" w:lineRule="auto"/>
        <w:jc w:val="both"/>
        <w:outlineLvl w:val="2"/>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二、商务技术文件格式</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1.投标书格式</w:t>
      </w:r>
    </w:p>
    <w:p>
      <w:pPr>
        <w:keepNext w:val="0"/>
        <w:keepLines w:val="0"/>
        <w:pageBreakBefore w:val="0"/>
        <w:kinsoku/>
        <w:wordWrap w:val="0"/>
        <w:overflowPunct/>
        <w:topLinePunct w:val="0"/>
        <w:bidi w:val="0"/>
        <w:spacing w:line="360" w:lineRule="auto"/>
        <w:ind w:firstLine="607" w:firstLineChars="252"/>
        <w:jc w:val="center"/>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bCs/>
          <w:sz w:val="24"/>
          <w:szCs w:val="24"/>
          <w:lang w:eastAsia="zh-CN"/>
        </w:rPr>
        <w:t>投标书</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致：采购人或采购代理机构</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根据贵方招标编号为（）的公开招标公告，签字代表（全名、职务）经正式授权并代表投标人（投标人名称、地址）提交电子投标文件一份，并对之负法律责任。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投标文件组成资格证明文件第1至</w:t>
      </w:r>
      <w:r>
        <w:rPr>
          <w:rFonts w:hint="eastAsia" w:asciiTheme="minorEastAsia" w:hAnsiTheme="minorEastAsia" w:eastAsiaTheme="minorEastAsia" w:cstheme="minorEastAsia"/>
          <w:b w:val="0"/>
          <w:bCs w:val="0"/>
          <w:color w:val="auto"/>
          <w:sz w:val="24"/>
          <w:szCs w:val="24"/>
          <w:u w:val="single"/>
          <w:lang w:val="en-US" w:eastAsia="zh-CN"/>
        </w:rPr>
        <w:t xml:space="preserve"> 12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，商务技术文件第1</w:t>
      </w:r>
      <w:r>
        <w:rPr>
          <w:rFonts w:hint="eastAsia" w:asciiTheme="minorEastAsia" w:hAnsiTheme="minorEastAsia" w:eastAsiaTheme="minorEastAsia" w:cstheme="minorEastAsia"/>
          <w:b w:val="0"/>
          <w:bCs w:val="0"/>
          <w:color w:val="auto"/>
          <w:sz w:val="24"/>
          <w:szCs w:val="24"/>
          <w:lang w:eastAsia="zh-CN"/>
        </w:rPr>
        <w:t>至</w:t>
      </w:r>
      <w:r>
        <w:rPr>
          <w:rFonts w:hint="eastAsia" w:asciiTheme="minorEastAsia" w:hAnsiTheme="minorEastAsia" w:eastAsiaTheme="minorEastAsia" w:cstheme="minorEastAsia"/>
          <w:b w:val="0"/>
          <w:bCs w:val="0"/>
          <w:color w:val="auto"/>
          <w:sz w:val="24"/>
          <w:szCs w:val="24"/>
          <w:u w:val="single"/>
          <w:lang w:val="en-US" w:eastAsia="zh-CN"/>
        </w:rPr>
        <w:t xml:space="preserve"> 10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据此函，签字代表宣布同意如下：</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1、所附服务报价为以开标一览表为准。</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2、如果我们的投标书被接受，我们将履行招标文件中规定的每一项要求，按期、按质、按量履行合同。</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3、我方愿按《中华人民共和国政府采购法》和《中华人民共和国民法典》履行我方的全部责任。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4、我方已详细审查全部招标文件，包括修改文件以及全部参考资料和有关附件。我们完全理解并同意放弃对这方面有不明白及误解的权力。</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5、本投标自开标之日起有效期为60天。</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地址：</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电话（传真）：</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法定代表人（负责人）或授权代表（签字）：</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投标人名称（公章）：</w:t>
      </w:r>
    </w:p>
    <w:p>
      <w:pPr>
        <w:keepNext w:val="0"/>
        <w:keepLines w:val="0"/>
        <w:pageBreakBefore w:val="0"/>
        <w:kinsoku/>
        <w:wordWrap w:val="0"/>
        <w:overflowPunct/>
        <w:topLinePunct w:val="0"/>
        <w:bidi w:val="0"/>
        <w:spacing w:line="360" w:lineRule="auto"/>
        <w:ind w:firstLine="604" w:firstLineChars="252"/>
        <w:jc w:val="both"/>
        <w:rPr>
          <w:rFonts w:hint="default" w:asciiTheme="minorEastAsia" w:hAnsiTheme="minorEastAsia" w:eastAsiaTheme="minorEastAsia" w:cstheme="minorEastAsia"/>
          <w:b w:val="0"/>
          <w:bCs w:val="0"/>
          <w:sz w:val="24"/>
          <w:szCs w:val="24"/>
          <w:lang w:val="en-US" w:eastAsia="zh-CN"/>
        </w:rPr>
        <w:sectPr>
          <w:headerReference r:id="rId12" w:type="default"/>
          <w:footerReference r:id="rId13"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val="0"/>
          <w:bCs w:val="0"/>
          <w:sz w:val="24"/>
          <w:szCs w:val="24"/>
          <w:lang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日</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2、每个标段投标人提供各标段的用地情况、计算机考台、拟投入考试车辆及人员配备情况</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3、第一标段投标人在投标文件中提供考场建设情况、所用设备的</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清单目录(需附相关照片或图片)</w:t>
      </w:r>
    </w:p>
    <w:p>
      <w:pPr>
        <w:keepNext w:val="0"/>
        <w:keepLines w:val="0"/>
        <w:pageBreakBefore w:val="0"/>
        <w:numPr>
          <w:ilvl w:val="0"/>
          <w:numId w:val="2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第二标段、第三标段投标人提供考试场地初步设计文件(包括技术方案、设计图纸、项目功能指标计算、主要设备材料清单和工程概算等四项内容及施工图设计)，且科目二考场还需提供测绘单位出具用于考试的场地面积测绘材料</w:t>
      </w:r>
    </w:p>
    <w:p>
      <w:pPr>
        <w:keepNext w:val="0"/>
        <w:keepLines w:val="0"/>
        <w:pageBreakBefore w:val="0"/>
        <w:numPr>
          <w:ilvl w:val="0"/>
          <w:numId w:val="2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第二标段、第三标段投标人提供对本项目商务要求第四项的承诺书</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6、投标人分标段提供本项目各标段考场服务的总体方案、投入人员的岗位分配、服务及质量承诺等</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7.</w:t>
      </w:r>
      <w:r>
        <w:rPr>
          <w:rFonts w:hint="eastAsia" w:asciiTheme="minorEastAsia" w:hAnsiTheme="minorEastAsia" w:eastAsiaTheme="minorEastAsia" w:cstheme="minorEastAsia"/>
          <w:b/>
          <w:sz w:val="24"/>
          <w:szCs w:val="24"/>
          <w:lang w:eastAsia="zh-CN"/>
        </w:rPr>
        <w:t>商务偏差表格式</w:t>
      </w:r>
    </w:p>
    <w:p>
      <w:pPr>
        <w:keepNext w:val="0"/>
        <w:keepLines w:val="0"/>
        <w:pageBreakBefore w:val="0"/>
        <w:kinsoku/>
        <w:wordWrap w:val="0"/>
        <w:overflowPunct/>
        <w:topLinePunct w:val="0"/>
        <w:bidi w:val="0"/>
        <w:ind w:firstLine="482"/>
        <w:jc w:val="both"/>
        <w:rPr>
          <w:rFonts w:hint="eastAsia" w:asciiTheme="minorEastAsia" w:hAnsiTheme="minorEastAsia" w:eastAsiaTheme="minorEastAsia" w:cstheme="minorEastAsia"/>
          <w:b/>
          <w:sz w:val="24"/>
          <w:szCs w:val="24"/>
          <w:lang w:eastAsia="zh-CN"/>
        </w:rPr>
      </w:pPr>
    </w:p>
    <w:p>
      <w:pPr>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商务偏差表</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项目名称：项目编号：</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招标文件</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投标人（公章）：法定代表人（负责人）或授权代表（签字）：</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日期</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宋体" w:hAnsi="宋体" w:eastAsia="Arial" w:cs="Arial"/>
          <w:b/>
          <w:snapToGrid w:val="0"/>
          <w:color w:val="000000"/>
          <w:kern w:val="0"/>
          <w:sz w:val="24"/>
          <w:szCs w:val="24"/>
          <w:lang w:val="en-US" w:eastAsia="zh-CN" w:bidi="ar-SA"/>
        </w:rPr>
      </w:pPr>
      <w:r>
        <w:rPr>
          <w:rFonts w:hint="eastAsia" w:eastAsia="Arial" w:cs="Arial"/>
          <w:b/>
          <w:snapToGrid w:val="0"/>
          <w:color w:val="000000"/>
          <w:kern w:val="0"/>
          <w:sz w:val="24"/>
          <w:szCs w:val="24"/>
          <w:lang w:val="en-US" w:eastAsia="zh-CN" w:bidi="ar-SA"/>
        </w:rPr>
        <w:t>8</w:t>
      </w:r>
      <w:r>
        <w:rPr>
          <w:rFonts w:hint="eastAsia" w:ascii="宋体" w:hAnsi="宋体" w:eastAsia="Arial" w:cs="Arial"/>
          <w:b/>
          <w:snapToGrid w:val="0"/>
          <w:color w:val="000000"/>
          <w:kern w:val="0"/>
          <w:sz w:val="24"/>
          <w:szCs w:val="24"/>
          <w:lang w:val="en-US" w:eastAsia="zh-CN" w:bidi="ar-SA"/>
        </w:rPr>
        <w:t>.中小企业、监狱企业或残疾人福利性单位声明函</w:t>
      </w:r>
      <w:r>
        <w:rPr>
          <w:rFonts w:hint="eastAsia" w:eastAsia="Arial" w:cs="Arial"/>
          <w:b/>
          <w:snapToGrid w:val="0"/>
          <w:color w:val="000000"/>
          <w:kern w:val="0"/>
          <w:sz w:val="24"/>
          <w:szCs w:val="24"/>
          <w:lang w:val="en-US" w:eastAsia="zh-CN" w:bidi="ar-SA"/>
        </w:rPr>
        <w:t>（对于专门面向中小企业采购的项目必须提供）</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t>中小企业声明函（工程、服务）格式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6"/>
          <w:sz w:val="24"/>
          <w:szCs w:val="24"/>
        </w:rPr>
        <w:t>的具体情况如下：</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（中型企业、小型企业、微型企业</w:t>
      </w:r>
      <w:r>
        <w:rPr>
          <w:rFonts w:hint="eastAsia" w:asciiTheme="minorEastAsia" w:hAnsiTheme="minorEastAsia" w:eastAsiaTheme="minorEastAsia" w:cstheme="minorEastAsia"/>
          <w:spacing w:val="-50"/>
          <w:sz w:val="24"/>
          <w:szCs w:val="24"/>
          <w:u w:val="single" w:color="auto"/>
        </w:rPr>
        <w:t>）</w:t>
      </w:r>
      <w:r>
        <w:rPr>
          <w:rFonts w:hint="eastAsia" w:asciiTheme="minorEastAsia" w:hAnsiTheme="minorEastAsia" w:eastAsiaTheme="minorEastAsia" w:cstheme="minorEastAsia"/>
          <w:spacing w:val="-50"/>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color="auto"/>
        </w:rPr>
        <w:t>（中型企业、小型企业、微型企业</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24" w:firstLineChars="200"/>
        <w:jc w:val="both"/>
        <w:textAlignment w:val="baseline"/>
        <w:rPr>
          <w:rFonts w:hint="eastAsia" w:asciiTheme="minorEastAsia" w:hAnsiTheme="minorEastAsia" w:eastAsiaTheme="minorEastAsia" w:cstheme="minorEastAsia"/>
          <w:spacing w:val="11"/>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w:t>
      </w:r>
      <w:r>
        <w:rPr>
          <w:rFonts w:hint="eastAsia" w:asciiTheme="minorEastAsia" w:hAnsiTheme="minorEastAsia" w:eastAsiaTheme="minorEastAsia" w:cstheme="minorEastAsia"/>
          <w:spacing w:val="10"/>
          <w:position w:val="17"/>
          <w:sz w:val="24"/>
          <w:szCs w:val="24"/>
          <w:lang w:val="en-US" w:eastAsia="zh-CN"/>
        </w:rPr>
        <w:t>不存在与大企业的负责让你为同一人的情形。</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position w:val="5"/>
          <w:sz w:val="24"/>
          <w:szCs w:val="24"/>
          <w:lang w:val="en-US"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t>残疾人福利性单位声明函格式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keepNext w:val="0"/>
        <w:keepLines w:val="0"/>
        <w:pageBreakBefore w:val="0"/>
        <w:widowControl w:val="0"/>
        <w:kinsoku/>
        <w:wordWrap w:val="0"/>
        <w:overflowPunct/>
        <w:topLinePunct w:val="0"/>
        <w:autoSpaceDE w:val="0"/>
        <w:autoSpaceDN w:val="0"/>
        <w:bidi w:val="0"/>
        <w:adjustRightInd w:val="0"/>
        <w:spacing w:line="360" w:lineRule="auto"/>
        <w:ind w:firstLine="5152" w:firstLineChars="23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pPr>
        <w:keepNext w:val="0"/>
        <w:keepLines w:val="0"/>
        <w:pageBreakBefore w:val="0"/>
        <w:kinsoku/>
        <w:wordWrap w:val="0"/>
        <w:overflowPunct/>
        <w:topLinePunct w:val="0"/>
        <w:bidi w:val="0"/>
        <w:spacing w:line="360" w:lineRule="auto"/>
        <w:ind w:firstLine="4320" w:firstLineChars="18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en-US" w:bidi="ar-SA"/>
        </w:rPr>
      </w:pPr>
      <w:r>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t>9.招标文件要求的其它材料及投标人认为有必要提供的材料</w:t>
      </w:r>
    </w:p>
    <w:sectPr>
      <w:headerReference r:id="rId14" w:type="default"/>
      <w:footerReference r:id="rId15"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华文楷体">
    <w:altName w:val="宋体"/>
    <w:panose1 w:val="02010600040101010101"/>
    <w:charset w:val="86"/>
    <w:family w:val="auto"/>
    <w:pitch w:val="default"/>
    <w:sig w:usb0="00000000" w:usb1="00000000" w:usb2="00000010" w:usb3="00000000" w:csb0="0004009F" w:csb1="00000000"/>
  </w:font>
  <w:font w:name="ˎ̥">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rPr>
        <w:rFonts w:ascii="Arial" w:hAnsi="Arial" w:eastAsia="Arial"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7"/>
      <w:rPr>
        <w:rFonts w:ascii="Arial" w:hAnsi="Arial" w:eastAsia="Arial" w:cs="Arial"/>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EB201E"/>
    <w:multiLevelType w:val="singleLevel"/>
    <w:tmpl w:val="BBEB201E"/>
    <w:lvl w:ilvl="0" w:tentative="0">
      <w:start w:val="1"/>
      <w:numFmt w:val="chineseCounting"/>
      <w:suff w:val="nothing"/>
      <w:lvlText w:val="%1、"/>
      <w:lvlJc w:val="left"/>
      <w:rPr>
        <w:rFonts w:hint="eastAsia"/>
      </w:rPr>
    </w:lvl>
  </w:abstractNum>
  <w:abstractNum w:abstractNumId="1">
    <w:nsid w:val="D62AAA2C"/>
    <w:multiLevelType w:val="singleLevel"/>
    <w:tmpl w:val="D62AAA2C"/>
    <w:lvl w:ilvl="0" w:tentative="0">
      <w:start w:val="4"/>
      <w:numFmt w:val="decimal"/>
      <w:suff w:val="nothing"/>
      <w:lvlText w:val="%1、"/>
      <w:lvlJc w:val="left"/>
    </w:lvl>
  </w:abstractNum>
  <w:abstractNum w:abstractNumId="2">
    <w:nsid w:val="F5AC19C2"/>
    <w:multiLevelType w:val="singleLevel"/>
    <w:tmpl w:val="F5AC19C2"/>
    <w:lvl w:ilvl="0" w:tentative="0">
      <w:start w:val="1"/>
      <w:numFmt w:val="decimal"/>
      <w:lvlText w:val="%1."/>
      <w:lvlJc w:val="left"/>
      <w:pPr>
        <w:tabs>
          <w:tab w:val="left" w:pos="312"/>
        </w:tabs>
      </w:pPr>
    </w:lvl>
  </w:abstractNum>
  <w:abstractNum w:abstractNumId="3">
    <w:nsid w:val="F62EFBE0"/>
    <w:multiLevelType w:val="singleLevel"/>
    <w:tmpl w:val="F62EFBE0"/>
    <w:lvl w:ilvl="0" w:tentative="0">
      <w:start w:val="9"/>
      <w:numFmt w:val="decimal"/>
      <w:lvlText w:val="%1."/>
      <w:lvlJc w:val="left"/>
      <w:pPr>
        <w:tabs>
          <w:tab w:val="left" w:pos="312"/>
        </w:tabs>
      </w:pPr>
    </w:lvl>
  </w:abstractNum>
  <w:abstractNum w:abstractNumId="4">
    <w:nsid w:val="01787AD5"/>
    <w:multiLevelType w:val="multilevel"/>
    <w:tmpl w:val="01787AD5"/>
    <w:lvl w:ilvl="0" w:tentative="0">
      <w:start w:val="1"/>
      <w:numFmt w:val="lowerLetter"/>
      <w:lvlText w:val="%1)"/>
      <w:lvlJc w:val="left"/>
      <w:pPr>
        <w:ind w:left="1050" w:hanging="42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2692BB5"/>
    <w:multiLevelType w:val="multilevel"/>
    <w:tmpl w:val="02692BB5"/>
    <w:lvl w:ilvl="0" w:tentative="0">
      <w:start w:val="1"/>
      <w:numFmt w:val="lowerLetter"/>
      <w:lvlText w:val="%1)"/>
      <w:lvlJc w:val="left"/>
      <w:pPr>
        <w:ind w:left="1050" w:hanging="42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ADB203C"/>
    <w:multiLevelType w:val="multilevel"/>
    <w:tmpl w:val="0ADB203C"/>
    <w:lvl w:ilvl="0" w:tentative="0">
      <w:start w:val="1"/>
      <w:numFmt w:val="lowerLetter"/>
      <w:lvlText w:val="%1)"/>
      <w:lvlJc w:val="left"/>
      <w:pPr>
        <w:ind w:left="1050" w:hanging="42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2D942FB"/>
    <w:multiLevelType w:val="multilevel"/>
    <w:tmpl w:val="12D942FB"/>
    <w:lvl w:ilvl="0" w:tentative="0">
      <w:start w:val="1"/>
      <w:numFmt w:val="lowerLetter"/>
      <w:lvlText w:val="%1)"/>
      <w:lvlJc w:val="left"/>
      <w:pPr>
        <w:ind w:left="1050" w:hanging="42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41A60EE"/>
    <w:multiLevelType w:val="multilevel"/>
    <w:tmpl w:val="141A60EE"/>
    <w:lvl w:ilvl="0" w:tentative="0">
      <w:start w:val="1"/>
      <w:numFmt w:val="lowerLetter"/>
      <w:lvlText w:val="%1)"/>
      <w:lvlJc w:val="left"/>
      <w:pPr>
        <w:ind w:left="1050" w:hanging="42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B4937AD"/>
    <w:multiLevelType w:val="multilevel"/>
    <w:tmpl w:val="2B4937AD"/>
    <w:lvl w:ilvl="0" w:tentative="0">
      <w:start w:val="1"/>
      <w:numFmt w:val="lowerLetter"/>
      <w:lvlText w:val="%1)"/>
      <w:lvlJc w:val="left"/>
      <w:pPr>
        <w:ind w:left="1050" w:hanging="42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77115FE"/>
    <w:multiLevelType w:val="multilevel"/>
    <w:tmpl w:val="377115FE"/>
    <w:lvl w:ilvl="0" w:tentative="0">
      <w:start w:val="1"/>
      <w:numFmt w:val="lowerLetter"/>
      <w:lvlText w:val="%1)"/>
      <w:lvlJc w:val="left"/>
      <w:pPr>
        <w:ind w:left="1050" w:hanging="42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CAF51E1"/>
    <w:multiLevelType w:val="multilevel"/>
    <w:tmpl w:val="3CAF51E1"/>
    <w:lvl w:ilvl="0" w:tentative="0">
      <w:start w:val="1"/>
      <w:numFmt w:val="lowerLetter"/>
      <w:lvlText w:val="%1)"/>
      <w:lvlJc w:val="left"/>
      <w:pPr>
        <w:ind w:left="1050" w:hanging="42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1DF4970"/>
    <w:multiLevelType w:val="multilevel"/>
    <w:tmpl w:val="41DF4970"/>
    <w:lvl w:ilvl="0" w:tentative="0">
      <w:start w:val="1"/>
      <w:numFmt w:val="lowerLetter"/>
      <w:lvlText w:val="%1)"/>
      <w:lvlJc w:val="left"/>
      <w:pPr>
        <w:ind w:left="1050" w:hanging="42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B2D372C"/>
    <w:multiLevelType w:val="multilevel"/>
    <w:tmpl w:val="4B2D372C"/>
    <w:lvl w:ilvl="0" w:tentative="0">
      <w:start w:val="1"/>
      <w:numFmt w:val="lowerLetter"/>
      <w:lvlText w:val="%1)"/>
      <w:lvlJc w:val="left"/>
      <w:pPr>
        <w:ind w:left="1050" w:hanging="42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D7BE5FA"/>
    <w:multiLevelType w:val="singleLevel"/>
    <w:tmpl w:val="5D7BE5FA"/>
    <w:lvl w:ilvl="0" w:tentative="0">
      <w:start w:val="1"/>
      <w:numFmt w:val="decimal"/>
      <w:suff w:val="nothing"/>
      <w:lvlText w:val="%1、"/>
      <w:lvlJc w:val="left"/>
    </w:lvl>
  </w:abstractNum>
  <w:abstractNum w:abstractNumId="15">
    <w:nsid w:val="625471E5"/>
    <w:multiLevelType w:val="multilevel"/>
    <w:tmpl w:val="625471E5"/>
    <w:lvl w:ilvl="0" w:tentative="0">
      <w:start w:val="1"/>
      <w:numFmt w:val="lowerLetter"/>
      <w:lvlText w:val="%1)"/>
      <w:lvlJc w:val="left"/>
      <w:pPr>
        <w:ind w:left="1050" w:hanging="42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AC72ACA"/>
    <w:multiLevelType w:val="multilevel"/>
    <w:tmpl w:val="6AC72ACA"/>
    <w:lvl w:ilvl="0" w:tentative="0">
      <w:start w:val="1"/>
      <w:numFmt w:val="lowerLetter"/>
      <w:lvlText w:val="%1)"/>
      <w:lvlJc w:val="left"/>
      <w:pPr>
        <w:ind w:left="1050" w:hanging="42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781052B4"/>
    <w:multiLevelType w:val="multilevel"/>
    <w:tmpl w:val="781052B4"/>
    <w:lvl w:ilvl="0" w:tentative="0">
      <w:start w:val="1"/>
      <w:numFmt w:val="lowerLetter"/>
      <w:lvlText w:val="%1)"/>
      <w:lvlJc w:val="left"/>
      <w:pPr>
        <w:ind w:left="1050" w:hanging="42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795C22C3"/>
    <w:multiLevelType w:val="multilevel"/>
    <w:tmpl w:val="795C22C3"/>
    <w:lvl w:ilvl="0" w:tentative="0">
      <w:start w:val="1"/>
      <w:numFmt w:val="lowerLetter"/>
      <w:lvlText w:val="%1)"/>
      <w:lvlJc w:val="left"/>
      <w:pPr>
        <w:ind w:left="1050" w:hanging="42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7F373E40"/>
    <w:multiLevelType w:val="multilevel"/>
    <w:tmpl w:val="7F373E40"/>
    <w:lvl w:ilvl="0" w:tentative="0">
      <w:start w:val="1"/>
      <w:numFmt w:val="lowerLetter"/>
      <w:lvlText w:val="%1)"/>
      <w:lvlJc w:val="left"/>
      <w:pPr>
        <w:ind w:left="1050" w:hanging="42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12"/>
  </w:num>
  <w:num w:numId="4">
    <w:abstractNumId w:val="15"/>
  </w:num>
  <w:num w:numId="5">
    <w:abstractNumId w:val="11"/>
  </w:num>
  <w:num w:numId="6">
    <w:abstractNumId w:val="8"/>
  </w:num>
  <w:num w:numId="7">
    <w:abstractNumId w:val="18"/>
  </w:num>
  <w:num w:numId="8">
    <w:abstractNumId w:val="13"/>
  </w:num>
  <w:num w:numId="9">
    <w:abstractNumId w:val="9"/>
  </w:num>
  <w:num w:numId="10">
    <w:abstractNumId w:val="16"/>
  </w:num>
  <w:num w:numId="11">
    <w:abstractNumId w:val="6"/>
  </w:num>
  <w:num w:numId="12">
    <w:abstractNumId w:val="19"/>
  </w:num>
  <w:num w:numId="13">
    <w:abstractNumId w:val="17"/>
  </w:num>
  <w:num w:numId="14">
    <w:abstractNumId w:val="5"/>
  </w:num>
  <w:num w:numId="15">
    <w:abstractNumId w:val="10"/>
  </w:num>
  <w:num w:numId="16">
    <w:abstractNumId w:val="7"/>
  </w:num>
  <w:num w:numId="17">
    <w:abstractNumId w:val="14"/>
  </w:num>
  <w:num w:numId="18">
    <w:abstractNumId w:val="2"/>
  </w:num>
  <w:num w:numId="19">
    <w:abstractNumId w:val="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ZDU5ODFjOGEyNWRlYTNkMjA0OTNkYmM2YTBlNjc3YTEifQ=="/>
  </w:docVars>
  <w:rsids>
    <w:rsidRoot w:val="00000000"/>
    <w:rsid w:val="0096273C"/>
    <w:rsid w:val="00D24FF0"/>
    <w:rsid w:val="014E35A1"/>
    <w:rsid w:val="01C02D71"/>
    <w:rsid w:val="023E759B"/>
    <w:rsid w:val="027730B6"/>
    <w:rsid w:val="02FA03F5"/>
    <w:rsid w:val="03217B69"/>
    <w:rsid w:val="03C26B83"/>
    <w:rsid w:val="03CC315E"/>
    <w:rsid w:val="03DF5A69"/>
    <w:rsid w:val="044921B6"/>
    <w:rsid w:val="046E59EF"/>
    <w:rsid w:val="050D556D"/>
    <w:rsid w:val="05234F67"/>
    <w:rsid w:val="05545C1C"/>
    <w:rsid w:val="055748A3"/>
    <w:rsid w:val="059A3EA8"/>
    <w:rsid w:val="06593C39"/>
    <w:rsid w:val="06787E06"/>
    <w:rsid w:val="06AF4861"/>
    <w:rsid w:val="06B0495B"/>
    <w:rsid w:val="06C93A28"/>
    <w:rsid w:val="06E37C8B"/>
    <w:rsid w:val="076721B4"/>
    <w:rsid w:val="08CB596A"/>
    <w:rsid w:val="092D385C"/>
    <w:rsid w:val="09684744"/>
    <w:rsid w:val="09A129E2"/>
    <w:rsid w:val="09CC6764"/>
    <w:rsid w:val="09E3271C"/>
    <w:rsid w:val="0A29644D"/>
    <w:rsid w:val="0A437032"/>
    <w:rsid w:val="0A633B33"/>
    <w:rsid w:val="0AB46C2A"/>
    <w:rsid w:val="0ABC7CF1"/>
    <w:rsid w:val="0ABE6FC5"/>
    <w:rsid w:val="0AD86A92"/>
    <w:rsid w:val="0B3B7AF5"/>
    <w:rsid w:val="0B3C24F6"/>
    <w:rsid w:val="0BC76E66"/>
    <w:rsid w:val="0BF0521B"/>
    <w:rsid w:val="0CB101B0"/>
    <w:rsid w:val="0CBD4DA7"/>
    <w:rsid w:val="0CF900A3"/>
    <w:rsid w:val="0D9A718E"/>
    <w:rsid w:val="0DA859D3"/>
    <w:rsid w:val="0DD30B7C"/>
    <w:rsid w:val="0E307EEE"/>
    <w:rsid w:val="0EE83F9D"/>
    <w:rsid w:val="0F0D035A"/>
    <w:rsid w:val="0FB87AA7"/>
    <w:rsid w:val="0FE34B24"/>
    <w:rsid w:val="102C0845"/>
    <w:rsid w:val="104F3F68"/>
    <w:rsid w:val="10B145AD"/>
    <w:rsid w:val="11533890"/>
    <w:rsid w:val="115A7068"/>
    <w:rsid w:val="117D2D56"/>
    <w:rsid w:val="11B43A6A"/>
    <w:rsid w:val="11B5429E"/>
    <w:rsid w:val="122675E2"/>
    <w:rsid w:val="12417927"/>
    <w:rsid w:val="126E021D"/>
    <w:rsid w:val="12C549DA"/>
    <w:rsid w:val="12D9220E"/>
    <w:rsid w:val="12FD5FFB"/>
    <w:rsid w:val="1380268A"/>
    <w:rsid w:val="13C5707D"/>
    <w:rsid w:val="13F07810"/>
    <w:rsid w:val="1446371A"/>
    <w:rsid w:val="146A5814"/>
    <w:rsid w:val="14EC3DCF"/>
    <w:rsid w:val="15037E2D"/>
    <w:rsid w:val="156B2323"/>
    <w:rsid w:val="15AC3C0A"/>
    <w:rsid w:val="15B05882"/>
    <w:rsid w:val="15E04F64"/>
    <w:rsid w:val="164A7458"/>
    <w:rsid w:val="16E40DE4"/>
    <w:rsid w:val="16F45CE8"/>
    <w:rsid w:val="16FC049F"/>
    <w:rsid w:val="174C193E"/>
    <w:rsid w:val="179B0D80"/>
    <w:rsid w:val="17B27393"/>
    <w:rsid w:val="17E20058"/>
    <w:rsid w:val="183C5229"/>
    <w:rsid w:val="183D23CB"/>
    <w:rsid w:val="18510AEB"/>
    <w:rsid w:val="18610CDC"/>
    <w:rsid w:val="19161B44"/>
    <w:rsid w:val="19D46BD3"/>
    <w:rsid w:val="19E260C0"/>
    <w:rsid w:val="1A464AA0"/>
    <w:rsid w:val="1A6B22E0"/>
    <w:rsid w:val="1AAC0209"/>
    <w:rsid w:val="1AC47924"/>
    <w:rsid w:val="1AF57E02"/>
    <w:rsid w:val="1B4F168F"/>
    <w:rsid w:val="1B6F0841"/>
    <w:rsid w:val="1D391455"/>
    <w:rsid w:val="1D72498F"/>
    <w:rsid w:val="1D9D7C75"/>
    <w:rsid w:val="1E0754FF"/>
    <w:rsid w:val="1E2712E1"/>
    <w:rsid w:val="1E301BDE"/>
    <w:rsid w:val="1E7249AF"/>
    <w:rsid w:val="1F8737CC"/>
    <w:rsid w:val="1FE61854"/>
    <w:rsid w:val="1FF31541"/>
    <w:rsid w:val="20F10837"/>
    <w:rsid w:val="210939CE"/>
    <w:rsid w:val="212D6A29"/>
    <w:rsid w:val="217E2260"/>
    <w:rsid w:val="21DC7625"/>
    <w:rsid w:val="21E33D7D"/>
    <w:rsid w:val="22937C80"/>
    <w:rsid w:val="22E737AC"/>
    <w:rsid w:val="23C6058D"/>
    <w:rsid w:val="23D34A58"/>
    <w:rsid w:val="24C8734D"/>
    <w:rsid w:val="24E94D19"/>
    <w:rsid w:val="25052271"/>
    <w:rsid w:val="255045B2"/>
    <w:rsid w:val="256253DA"/>
    <w:rsid w:val="25722260"/>
    <w:rsid w:val="257A4289"/>
    <w:rsid w:val="25A83616"/>
    <w:rsid w:val="25D07317"/>
    <w:rsid w:val="260373D2"/>
    <w:rsid w:val="263A5FE5"/>
    <w:rsid w:val="265713EE"/>
    <w:rsid w:val="266177F8"/>
    <w:rsid w:val="26734FA1"/>
    <w:rsid w:val="267811A0"/>
    <w:rsid w:val="27EF7E63"/>
    <w:rsid w:val="27F6032D"/>
    <w:rsid w:val="28F42A6A"/>
    <w:rsid w:val="2944096C"/>
    <w:rsid w:val="29462E99"/>
    <w:rsid w:val="29C94933"/>
    <w:rsid w:val="29EF5E58"/>
    <w:rsid w:val="2A5E573D"/>
    <w:rsid w:val="2A870159"/>
    <w:rsid w:val="2ABA04F6"/>
    <w:rsid w:val="2AD7512C"/>
    <w:rsid w:val="2B296C36"/>
    <w:rsid w:val="2B32017A"/>
    <w:rsid w:val="2B4C1378"/>
    <w:rsid w:val="2BD35370"/>
    <w:rsid w:val="2CB368C6"/>
    <w:rsid w:val="2CE542E8"/>
    <w:rsid w:val="2D4C797B"/>
    <w:rsid w:val="2D854259"/>
    <w:rsid w:val="2DD5743D"/>
    <w:rsid w:val="2DF6291A"/>
    <w:rsid w:val="2E037ECE"/>
    <w:rsid w:val="2E123636"/>
    <w:rsid w:val="2EDE4089"/>
    <w:rsid w:val="2F795793"/>
    <w:rsid w:val="2F7E5B21"/>
    <w:rsid w:val="2FAF3423"/>
    <w:rsid w:val="305F18E8"/>
    <w:rsid w:val="311741D6"/>
    <w:rsid w:val="3119309A"/>
    <w:rsid w:val="312A5594"/>
    <w:rsid w:val="312C625F"/>
    <w:rsid w:val="31C81974"/>
    <w:rsid w:val="321A2D12"/>
    <w:rsid w:val="32230959"/>
    <w:rsid w:val="3322495F"/>
    <w:rsid w:val="337450B5"/>
    <w:rsid w:val="344C700B"/>
    <w:rsid w:val="34C22FEC"/>
    <w:rsid w:val="34EB0670"/>
    <w:rsid w:val="34F86C33"/>
    <w:rsid w:val="357D65D2"/>
    <w:rsid w:val="36266C69"/>
    <w:rsid w:val="36B765C5"/>
    <w:rsid w:val="374E72FE"/>
    <w:rsid w:val="37512649"/>
    <w:rsid w:val="37C036A0"/>
    <w:rsid w:val="37D664EB"/>
    <w:rsid w:val="37E776C2"/>
    <w:rsid w:val="383C09C6"/>
    <w:rsid w:val="38704382"/>
    <w:rsid w:val="388B2F38"/>
    <w:rsid w:val="399D1B1E"/>
    <w:rsid w:val="3A046503"/>
    <w:rsid w:val="3AF75C8A"/>
    <w:rsid w:val="3B35724B"/>
    <w:rsid w:val="3BB63ADA"/>
    <w:rsid w:val="3BDC4EDA"/>
    <w:rsid w:val="3C37498E"/>
    <w:rsid w:val="3C860462"/>
    <w:rsid w:val="3C94450B"/>
    <w:rsid w:val="3CD83A9C"/>
    <w:rsid w:val="3D051AB3"/>
    <w:rsid w:val="3D13022E"/>
    <w:rsid w:val="3D9C0E9C"/>
    <w:rsid w:val="3DDE7B24"/>
    <w:rsid w:val="3E353902"/>
    <w:rsid w:val="3E60285C"/>
    <w:rsid w:val="3E7A6E5F"/>
    <w:rsid w:val="3E807399"/>
    <w:rsid w:val="3E923BF9"/>
    <w:rsid w:val="3ED454B4"/>
    <w:rsid w:val="3F0A4EA1"/>
    <w:rsid w:val="3F487C50"/>
    <w:rsid w:val="3F814E1B"/>
    <w:rsid w:val="3FC65745"/>
    <w:rsid w:val="3FCE3BC4"/>
    <w:rsid w:val="40274071"/>
    <w:rsid w:val="405D1A2A"/>
    <w:rsid w:val="407F405E"/>
    <w:rsid w:val="409370B0"/>
    <w:rsid w:val="40D41902"/>
    <w:rsid w:val="41884B35"/>
    <w:rsid w:val="423849B8"/>
    <w:rsid w:val="435F746A"/>
    <w:rsid w:val="4372309F"/>
    <w:rsid w:val="44093E52"/>
    <w:rsid w:val="444E5D13"/>
    <w:rsid w:val="446F3136"/>
    <w:rsid w:val="44790C24"/>
    <w:rsid w:val="44A50405"/>
    <w:rsid w:val="453A628D"/>
    <w:rsid w:val="45CF0C25"/>
    <w:rsid w:val="45DD7715"/>
    <w:rsid w:val="47503B46"/>
    <w:rsid w:val="47C562E2"/>
    <w:rsid w:val="47C81344"/>
    <w:rsid w:val="483B0352"/>
    <w:rsid w:val="488A3088"/>
    <w:rsid w:val="48DF1625"/>
    <w:rsid w:val="48F078C5"/>
    <w:rsid w:val="49320965"/>
    <w:rsid w:val="49AC2E6D"/>
    <w:rsid w:val="4A3F3154"/>
    <w:rsid w:val="4A4562D3"/>
    <w:rsid w:val="4A52328E"/>
    <w:rsid w:val="4B050440"/>
    <w:rsid w:val="4B227F62"/>
    <w:rsid w:val="4B6545C2"/>
    <w:rsid w:val="4BBC369E"/>
    <w:rsid w:val="4CEC4659"/>
    <w:rsid w:val="4D493511"/>
    <w:rsid w:val="4DF21FC2"/>
    <w:rsid w:val="4DF932EA"/>
    <w:rsid w:val="4E201C1D"/>
    <w:rsid w:val="4E7A34EC"/>
    <w:rsid w:val="4E861641"/>
    <w:rsid w:val="4EF462BB"/>
    <w:rsid w:val="4F4077B9"/>
    <w:rsid w:val="4FAB04B3"/>
    <w:rsid w:val="4FB426AD"/>
    <w:rsid w:val="4FEE2DC9"/>
    <w:rsid w:val="51346287"/>
    <w:rsid w:val="51850890"/>
    <w:rsid w:val="519F1DA4"/>
    <w:rsid w:val="520E355E"/>
    <w:rsid w:val="525210BA"/>
    <w:rsid w:val="52A90328"/>
    <w:rsid w:val="52DC3333"/>
    <w:rsid w:val="53036690"/>
    <w:rsid w:val="53376A7B"/>
    <w:rsid w:val="537441A1"/>
    <w:rsid w:val="53B1020C"/>
    <w:rsid w:val="54065481"/>
    <w:rsid w:val="557169CF"/>
    <w:rsid w:val="557D5D2A"/>
    <w:rsid w:val="55A41C2D"/>
    <w:rsid w:val="56682D63"/>
    <w:rsid w:val="56905D0D"/>
    <w:rsid w:val="56FB4C08"/>
    <w:rsid w:val="574153BB"/>
    <w:rsid w:val="589A668A"/>
    <w:rsid w:val="58AC00F0"/>
    <w:rsid w:val="58C46E3D"/>
    <w:rsid w:val="58D971B2"/>
    <w:rsid w:val="59042C0B"/>
    <w:rsid w:val="59272568"/>
    <w:rsid w:val="59576FB6"/>
    <w:rsid w:val="597D6A3E"/>
    <w:rsid w:val="59BC1D1A"/>
    <w:rsid w:val="59C142A0"/>
    <w:rsid w:val="59C641E6"/>
    <w:rsid w:val="59D65347"/>
    <w:rsid w:val="5A2E3043"/>
    <w:rsid w:val="5A9763C3"/>
    <w:rsid w:val="5A9920D7"/>
    <w:rsid w:val="5AEA63E6"/>
    <w:rsid w:val="5B2C7B17"/>
    <w:rsid w:val="5BCB0AF4"/>
    <w:rsid w:val="5C2D5181"/>
    <w:rsid w:val="5C9B1B86"/>
    <w:rsid w:val="5CA02E79"/>
    <w:rsid w:val="5CEA5B79"/>
    <w:rsid w:val="5D150553"/>
    <w:rsid w:val="5D3550FB"/>
    <w:rsid w:val="5D902A97"/>
    <w:rsid w:val="5E3606EF"/>
    <w:rsid w:val="5EDA32DC"/>
    <w:rsid w:val="5F321771"/>
    <w:rsid w:val="5F3A0F0C"/>
    <w:rsid w:val="5F412CC2"/>
    <w:rsid w:val="5FE2771E"/>
    <w:rsid w:val="600E6D7C"/>
    <w:rsid w:val="607F1E09"/>
    <w:rsid w:val="60BD2923"/>
    <w:rsid w:val="611C17E3"/>
    <w:rsid w:val="618C2692"/>
    <w:rsid w:val="622D31D4"/>
    <w:rsid w:val="62A74B0A"/>
    <w:rsid w:val="62E015B0"/>
    <w:rsid w:val="63510510"/>
    <w:rsid w:val="6353706B"/>
    <w:rsid w:val="639D4CC6"/>
    <w:rsid w:val="63C8425C"/>
    <w:rsid w:val="642053CC"/>
    <w:rsid w:val="646A5DEF"/>
    <w:rsid w:val="646F5EF6"/>
    <w:rsid w:val="653667D3"/>
    <w:rsid w:val="65785E0F"/>
    <w:rsid w:val="658A75F4"/>
    <w:rsid w:val="65CF7A95"/>
    <w:rsid w:val="66A23F66"/>
    <w:rsid w:val="672526A7"/>
    <w:rsid w:val="680D3662"/>
    <w:rsid w:val="68222C97"/>
    <w:rsid w:val="68333F9A"/>
    <w:rsid w:val="683858D3"/>
    <w:rsid w:val="68645FE7"/>
    <w:rsid w:val="69413090"/>
    <w:rsid w:val="69855FCD"/>
    <w:rsid w:val="69BC17E8"/>
    <w:rsid w:val="69DD77FF"/>
    <w:rsid w:val="6AE37CE3"/>
    <w:rsid w:val="6B0625EA"/>
    <w:rsid w:val="6B5442BA"/>
    <w:rsid w:val="6C593408"/>
    <w:rsid w:val="6C68544B"/>
    <w:rsid w:val="6C785167"/>
    <w:rsid w:val="6D0715D4"/>
    <w:rsid w:val="6DDB2C74"/>
    <w:rsid w:val="6E0E0C0F"/>
    <w:rsid w:val="6E7533B5"/>
    <w:rsid w:val="6E8E7670"/>
    <w:rsid w:val="6EEB0447"/>
    <w:rsid w:val="6EF05B5D"/>
    <w:rsid w:val="6FAF3250"/>
    <w:rsid w:val="6FC71762"/>
    <w:rsid w:val="70312E6C"/>
    <w:rsid w:val="703F6560"/>
    <w:rsid w:val="70725ED5"/>
    <w:rsid w:val="70B362F9"/>
    <w:rsid w:val="71653340"/>
    <w:rsid w:val="71F347D3"/>
    <w:rsid w:val="71FC098F"/>
    <w:rsid w:val="72415D05"/>
    <w:rsid w:val="7296241B"/>
    <w:rsid w:val="732A300A"/>
    <w:rsid w:val="73803FEB"/>
    <w:rsid w:val="73CE2CA8"/>
    <w:rsid w:val="743A4414"/>
    <w:rsid w:val="747F7695"/>
    <w:rsid w:val="748C5DD6"/>
    <w:rsid w:val="754A398B"/>
    <w:rsid w:val="75857AA3"/>
    <w:rsid w:val="758D5DE2"/>
    <w:rsid w:val="75943299"/>
    <w:rsid w:val="76017BAF"/>
    <w:rsid w:val="767A5F36"/>
    <w:rsid w:val="76837B47"/>
    <w:rsid w:val="76B97261"/>
    <w:rsid w:val="772D4414"/>
    <w:rsid w:val="7744228A"/>
    <w:rsid w:val="781E668F"/>
    <w:rsid w:val="788C166D"/>
    <w:rsid w:val="78AC0934"/>
    <w:rsid w:val="78BD4DDD"/>
    <w:rsid w:val="78E700F4"/>
    <w:rsid w:val="78EE7B24"/>
    <w:rsid w:val="7907377A"/>
    <w:rsid w:val="792E7F96"/>
    <w:rsid w:val="793B1352"/>
    <w:rsid w:val="79AB21E7"/>
    <w:rsid w:val="79CC501C"/>
    <w:rsid w:val="79F12DE4"/>
    <w:rsid w:val="7B0E17E2"/>
    <w:rsid w:val="7B3E48AE"/>
    <w:rsid w:val="7C6203C7"/>
    <w:rsid w:val="7CB47DAA"/>
    <w:rsid w:val="7D076A17"/>
    <w:rsid w:val="7D462131"/>
    <w:rsid w:val="7DC974CD"/>
    <w:rsid w:val="7E4B00B1"/>
    <w:rsid w:val="7EA62275"/>
    <w:rsid w:val="7F034C8E"/>
    <w:rsid w:val="7F235328"/>
    <w:rsid w:val="7F640382"/>
    <w:rsid w:val="7FB30C7B"/>
    <w:rsid w:val="7FB346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44"/>
      <w:sz w:val="33"/>
      <w:szCs w:val="33"/>
      <w:lang w:val="en-US" w:eastAsia="zh-CN" w:bidi="ar"/>
    </w:rPr>
  </w:style>
  <w:style w:type="paragraph" w:styleId="4">
    <w:name w:val="heading 2"/>
    <w:basedOn w:val="1"/>
    <w:next w:val="1"/>
    <w:qFormat/>
    <w:uiPriority w:val="0"/>
    <w:pPr>
      <w:keepNext/>
      <w:keepLines/>
      <w:spacing w:line="360" w:lineRule="auto"/>
      <w:outlineLvl w:val="1"/>
    </w:pPr>
    <w:rPr>
      <w:rFonts w:ascii="Arial" w:hAnsi="Arial"/>
      <w:b/>
      <w:bCs/>
      <w:sz w:val="24"/>
      <w:szCs w:val="32"/>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宋体" w:hAnsi="宋体" w:eastAsia="宋体" w:cs="宋体"/>
      <w:sz w:val="31"/>
      <w:szCs w:val="31"/>
      <w:lang w:val="en-US" w:eastAsia="en-US" w:bidi="ar-SA"/>
    </w:rPr>
  </w:style>
  <w:style w:type="paragraph" w:styleId="6">
    <w:name w:val="annotation text"/>
    <w:basedOn w:val="1"/>
    <w:qFormat/>
    <w:uiPriority w:val="0"/>
    <w:pPr>
      <w:jc w:val="left"/>
    </w:pPr>
  </w:style>
  <w:style w:type="paragraph" w:styleId="7">
    <w:name w:val="Body Text Indent"/>
    <w:basedOn w:val="1"/>
    <w:qFormat/>
    <w:uiPriority w:val="99"/>
    <w:pPr>
      <w:spacing w:after="120" w:afterLines="0"/>
      <w:ind w:left="420" w:leftChars="200"/>
    </w:pPr>
    <w:rPr>
      <w:kern w:val="2"/>
      <w:sz w:val="21"/>
      <w:lang w:eastAsia="zh-CN" w:bidi="ar-SA"/>
    </w:rPr>
  </w:style>
  <w:style w:type="paragraph" w:styleId="8">
    <w:name w:val="Plain Text"/>
    <w:basedOn w:val="1"/>
    <w:qFormat/>
    <w:uiPriority w:val="0"/>
    <w:rPr>
      <w:rFonts w:ascii="宋体" w:hAnsi="Courier New" w:cs="Courier New"/>
      <w:szCs w:val="21"/>
    </w:rPr>
  </w:style>
  <w:style w:type="paragraph" w:styleId="9">
    <w:name w:val="Date"/>
    <w:basedOn w:val="1"/>
    <w:next w:val="1"/>
    <w:qFormat/>
    <w:uiPriority w:val="0"/>
    <w:rPr>
      <w:kern w:val="2"/>
      <w:sz w:val="21"/>
      <w:lang w:eastAsia="zh-CN" w:bidi="ar-SA"/>
    </w:rPr>
  </w:style>
  <w:style w:type="paragraph" w:styleId="10">
    <w:name w:val="footer"/>
    <w:basedOn w:val="1"/>
    <w:qFormat/>
    <w:uiPriority w:val="0"/>
    <w:pPr>
      <w:tabs>
        <w:tab w:val="center" w:pos="4153"/>
        <w:tab w:val="right" w:pos="8306"/>
      </w:tabs>
      <w:snapToGrid w:val="0"/>
      <w:jc w:val="left"/>
    </w:pPr>
    <w:rPr>
      <w:sz w:val="18"/>
    </w:rPr>
  </w:style>
  <w:style w:type="paragraph" w:styleId="11">
    <w:name w:val="envelope return"/>
    <w:basedOn w:val="1"/>
    <w:qFormat/>
    <w:uiPriority w:val="0"/>
    <w:pPr>
      <w:snapToGrid w:val="0"/>
    </w:pPr>
    <w:rPr>
      <w:rFonts w:ascii="Arial" w:hAnsi="Arial"/>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qFormat/>
    <w:uiPriority w:val="0"/>
    <w:pPr>
      <w:spacing w:after="120" w:line="480" w:lineRule="auto"/>
    </w:pPr>
    <w:rPr>
      <w:rFonts w:ascii="Tahoma" w:hAnsi="Tahoma"/>
    </w:rPr>
  </w:style>
  <w:style w:type="paragraph" w:styleId="14">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Body Text First Indent 2"/>
    <w:basedOn w:val="7"/>
    <w:next w:val="1"/>
    <w:qFormat/>
    <w:uiPriority w:val="0"/>
    <w:pPr>
      <w:ind w:firstLine="200" w:firstLineChars="200"/>
    </w:pPr>
    <w:rPr>
      <w:kern w:val="2"/>
      <w:sz w:val="28"/>
      <w:lang w:eastAsia="zh-CN" w:bidi="ar-SA"/>
    </w:rPr>
  </w:style>
  <w:style w:type="character" w:styleId="19">
    <w:name w:val="FollowedHyperlink"/>
    <w:basedOn w:val="18"/>
    <w:qFormat/>
    <w:uiPriority w:val="0"/>
    <w:rPr>
      <w:color w:val="444444"/>
      <w:sz w:val="16"/>
      <w:szCs w:val="16"/>
      <w:u w:val="none"/>
    </w:rPr>
  </w:style>
  <w:style w:type="character" w:styleId="20">
    <w:name w:val="Hyperlink"/>
    <w:basedOn w:val="18"/>
    <w:qFormat/>
    <w:uiPriority w:val="0"/>
    <w:rPr>
      <w:color w:val="0000FF"/>
      <w:u w:val="single"/>
    </w:rPr>
  </w:style>
  <w:style w:type="paragraph" w:customStyle="1" w:styleId="2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2">
    <w:name w:val="自动更正"/>
    <w:qFormat/>
    <w:uiPriority w:val="99"/>
    <w:pPr>
      <w:widowControl w:val="0"/>
    </w:pPr>
    <w:rPr>
      <w:rFonts w:ascii="Times New Roman" w:hAnsi="Times New Roman" w:eastAsia="宋体" w:cs="Times New Roman"/>
      <w:kern w:val="2"/>
      <w:sz w:val="24"/>
      <w:szCs w:val="24"/>
      <w:lang w:val="en-US" w:eastAsia="zh-CN" w:bidi="ar-SA"/>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Arial" w:hAnsi="Arial" w:eastAsia="Arial" w:cs="Arial"/>
      <w:sz w:val="21"/>
      <w:szCs w:val="21"/>
      <w:lang w:val="en-US" w:eastAsia="en-US" w:bidi="ar-SA"/>
    </w:rPr>
  </w:style>
  <w:style w:type="paragraph" w:customStyle="1" w:styleId="25">
    <w:name w:val="Default"/>
    <w:next w:val="1"/>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customStyle="1" w:styleId="26">
    <w:name w:val="Char Char10 Char Char Char Char"/>
    <w:basedOn w:val="1"/>
    <w:next w:val="27"/>
    <w:qFormat/>
    <w:uiPriority w:val="99"/>
    <w:pPr>
      <w:autoSpaceDE w:val="0"/>
      <w:autoSpaceDN w:val="0"/>
      <w:jc w:val="left"/>
    </w:pPr>
    <w:rPr>
      <w:rFonts w:ascii="宋体" w:hAnsi="宋体" w:cs="宋体"/>
      <w:lang w:val="zh-CN" w:bidi="zh-CN"/>
    </w:rPr>
  </w:style>
  <w:style w:type="paragraph" w:customStyle="1" w:styleId="27">
    <w:name w:val="xl87"/>
    <w:basedOn w:val="1"/>
    <w:next w:val="28"/>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bidi="ar-SA"/>
    </w:rPr>
  </w:style>
  <w:style w:type="paragraph" w:customStyle="1" w:styleId="28">
    <w:name w:val="xl72"/>
    <w:basedOn w:val="1"/>
    <w:next w:val="9"/>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bidi="ar-SA"/>
    </w:rPr>
  </w:style>
  <w:style w:type="paragraph" w:customStyle="1" w:styleId="29">
    <w:name w:val="MessageHeader"/>
    <w:basedOn w:val="1"/>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textAlignment w:val="baseline"/>
    </w:pPr>
    <w:rPr>
      <w:rFonts w:ascii="Calibri Light" w:hAnsi="Calibri Light" w:eastAsia="宋体"/>
      <w:kern w:val="2"/>
      <w:sz w:val="21"/>
      <w:szCs w:val="24"/>
      <w:lang w:val="en-US" w:eastAsia="zh-CN" w:bidi="ar-SA"/>
    </w:rPr>
  </w:style>
  <w:style w:type="character" w:customStyle="1" w:styleId="30">
    <w:name w:val="hover18"/>
    <w:basedOn w:val="18"/>
    <w:qFormat/>
    <w:uiPriority w:val="0"/>
  </w:style>
  <w:style w:type="paragraph" w:customStyle="1" w:styleId="31">
    <w:name w:val="列出段落1"/>
    <w:basedOn w:val="1"/>
    <w:qFormat/>
    <w:uiPriority w:val="0"/>
    <w:pPr>
      <w:ind w:firstLine="420" w:firstLineChars="200"/>
    </w:pPr>
    <w:rPr>
      <w:szCs w:val="21"/>
    </w:rPr>
  </w:style>
  <w:style w:type="paragraph" w:customStyle="1" w:styleId="32">
    <w:name w:val="二级无"/>
    <w:basedOn w:val="33"/>
    <w:qFormat/>
    <w:uiPriority w:val="0"/>
    <w:pPr>
      <w:spacing w:before="0" w:after="0"/>
    </w:pPr>
    <w:rPr>
      <w:rFonts w:ascii="宋体" w:eastAsia="宋体"/>
    </w:rPr>
  </w:style>
  <w:style w:type="paragraph" w:customStyle="1" w:styleId="33">
    <w:name w:val="二级条标题"/>
    <w:basedOn w:val="34"/>
    <w:next w:val="35"/>
    <w:qFormat/>
    <w:uiPriority w:val="0"/>
    <w:pPr>
      <w:numPr>
        <w:ilvl w:val="0"/>
        <w:numId w:val="0"/>
      </w:numPr>
      <w:spacing w:before="50" w:after="50"/>
      <w:ind w:left="540"/>
      <w:outlineLvl w:val="3"/>
    </w:pPr>
    <w:rPr>
      <w:rFonts w:cs="Times New Roman"/>
    </w:rPr>
  </w:style>
  <w:style w:type="paragraph" w:customStyle="1" w:styleId="34">
    <w:name w:val="一级条标题"/>
    <w:next w:val="35"/>
    <w:qFormat/>
    <w:uiPriority w:val="0"/>
    <w:pPr>
      <w:spacing w:beforeLines="50" w:afterLines="50"/>
      <w:outlineLvl w:val="2"/>
    </w:pPr>
    <w:rPr>
      <w:rFonts w:ascii="黑体" w:hAnsi="Calibri" w:eastAsia="黑体" w:cs="黑体"/>
      <w:sz w:val="21"/>
      <w:szCs w:val="21"/>
      <w:lang w:val="en-US" w:eastAsia="zh-CN" w:bidi="ar-SA"/>
    </w:rPr>
  </w:style>
  <w:style w:type="paragraph" w:customStyle="1" w:styleId="35">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6">
    <w:name w:val="三级无"/>
    <w:basedOn w:val="37"/>
    <w:qFormat/>
    <w:uiPriority w:val="0"/>
    <w:pPr>
      <w:spacing w:before="0" w:after="0"/>
    </w:pPr>
    <w:rPr>
      <w:rFonts w:ascii="宋体" w:eastAsia="宋体"/>
    </w:rPr>
  </w:style>
  <w:style w:type="paragraph" w:customStyle="1" w:styleId="37">
    <w:name w:val="三级条标题"/>
    <w:basedOn w:val="33"/>
    <w:next w:val="35"/>
    <w:qFormat/>
    <w:uiPriority w:val="0"/>
    <w:pPr>
      <w:numPr>
        <w:ilvl w:val="3"/>
      </w:numPr>
      <w:outlineLvl w:val="4"/>
    </w:pPr>
  </w:style>
  <w:style w:type="paragraph" w:customStyle="1" w:styleId="38">
    <w:name w:val="正文表标题"/>
    <w:next w:val="35"/>
    <w:qFormat/>
    <w:uiPriority w:val="0"/>
    <w:pPr>
      <w:spacing w:beforeLines="50" w:afterLines="50"/>
      <w:jc w:val="center"/>
    </w:pPr>
    <w:rPr>
      <w:rFonts w:ascii="黑体" w:hAnsi="Times New Roman" w:eastAsia="黑体" w:cs="Times New Roman"/>
      <w:sz w:val="21"/>
      <w:lang w:val="en-US" w:eastAsia="zh-CN" w:bidi="ar-SA"/>
    </w:rPr>
  </w:style>
  <w:style w:type="paragraph" w:customStyle="1" w:styleId="39">
    <w:name w:val="附录图标题"/>
    <w:basedOn w:val="1"/>
    <w:next w:val="35"/>
    <w:qFormat/>
    <w:uiPriority w:val="0"/>
    <w:pPr>
      <w:spacing w:beforeLines="50" w:afterLines="50"/>
      <w:ind w:left="1190" w:hanging="567"/>
      <w:jc w:val="center"/>
    </w:pPr>
    <w:rPr>
      <w:rFonts w:ascii="黑体" w:eastAsia="黑体"/>
      <w:szCs w:val="21"/>
    </w:rPr>
  </w:style>
  <w:style w:type="paragraph" w:customStyle="1" w:styleId="40">
    <w:name w:val="普通(网站)1"/>
    <w:basedOn w:val="1"/>
    <w:qFormat/>
    <w:uiPriority w:val="0"/>
    <w:pPr>
      <w:spacing w:before="100" w:beforeAutospacing="1" w:after="100" w:afterAutospacing="1"/>
    </w:pPr>
    <w:rPr>
      <w:rFonts w:ascii="宋体" w:hAnsi="宋体" w:cs="宋体"/>
      <w:sz w:val="18"/>
      <w:szCs w:val="18"/>
    </w:rPr>
  </w:style>
  <w:style w:type="character" w:customStyle="1" w:styleId="41">
    <w:name w:val="layui-layer-tabnow"/>
    <w:basedOn w:val="18"/>
    <w:qFormat/>
    <w:uiPriority w:val="0"/>
    <w:rPr>
      <w:bdr w:val="single" w:color="CCCCCC" w:sz="6" w:space="0"/>
      <w:shd w:val="clear" w:fill="FFFFFF"/>
    </w:rPr>
  </w:style>
  <w:style w:type="character" w:customStyle="1" w:styleId="42">
    <w:name w:val="first-child"/>
    <w:basedOn w:val="18"/>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5.png"/><Relationship Id="rId30" Type="http://schemas.openxmlformats.org/officeDocument/2006/relationships/image" Target="media/image14.jpeg"/><Relationship Id="rId3" Type="http://schemas.openxmlformats.org/officeDocument/2006/relationships/footnotes" Target="footnotes.xml"/><Relationship Id="rId29" Type="http://schemas.openxmlformats.org/officeDocument/2006/relationships/image" Target="media/image13.jpeg"/><Relationship Id="rId28" Type="http://schemas.openxmlformats.org/officeDocument/2006/relationships/image" Target="media/image12.jpeg"/><Relationship Id="rId27" Type="http://schemas.openxmlformats.org/officeDocument/2006/relationships/image" Target="media/image11.jpeg"/><Relationship Id="rId26" Type="http://schemas.openxmlformats.org/officeDocument/2006/relationships/image" Target="media/image10.jpeg"/><Relationship Id="rId25" Type="http://schemas.openxmlformats.org/officeDocument/2006/relationships/image" Target="media/image9.jpeg"/><Relationship Id="rId24" Type="http://schemas.openxmlformats.org/officeDocument/2006/relationships/image" Target="media/image8.jpeg"/><Relationship Id="rId23" Type="http://schemas.openxmlformats.org/officeDocument/2006/relationships/image" Target="media/image7.jpeg"/><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jpeg"/><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81</Pages>
  <Words>40757</Words>
  <Characters>43111</Characters>
  <TotalTime>0</TotalTime>
  <ScaleCrop>false</ScaleCrop>
  <LinksUpToDate>false</LinksUpToDate>
  <CharactersWithSpaces>44127</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2023-09-08T09:17:00Z</dcterms:created>
  <dc:creator>尹皓</dc:creator>
  <cp:lastModifiedBy>NTKO</cp:lastModifiedBy>
  <cp:lastPrinted>2024-07-12T02:47:00Z</cp:lastPrinted>
  <dcterms:modified xsi:type="dcterms:W3CDTF">2024-07-12T10:45:24Z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2052-12.1.0.16929</vt:lpwstr>
  </property>
  <property fmtid="{D5CDD505-2E9C-101B-9397-08002B2CF9AE}" pid="5" name="ICV">
    <vt:lpwstr>BB4EF32F0A414D5BB7AD7F77BFAE09CC_13</vt:lpwstr>
  </property>
</Properties>
</file>