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bidi w:val="0"/>
        <w:rPr>
          <w:rFonts w:hint="eastAsia"/>
          <w:lang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南阳市公安局交通管理支队2024年驾驶人社会考场服务项目                           </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南阳政采公开-2024-28              </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南阳市公安局交通管理支队          </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pPr>
            <w:pStyle w:val="2"/>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pPr>
            <w:pStyle w:val="2"/>
            <w:keepNext w:val="0"/>
            <w:keepLines w:val="0"/>
            <w:pageBreakBefore w:val="0"/>
            <w:kinsoku/>
            <w:wordWrap w:val="0"/>
            <w:overflowPunct/>
            <w:topLinePunct w:val="0"/>
            <w:bidi w:val="0"/>
            <w:jc w:val="both"/>
            <w:rPr>
              <w:rFonts w:hint="eastAsia"/>
              <w:shd w:val="clear" w:color="FFFFFF" w:fill="D9D9D9"/>
            </w:rPr>
          </w:pPr>
        </w:p>
        <w:p>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pPr>
            <w:pStyle w:val="2"/>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pPr>
            <w:pStyle w:val="2"/>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pPr>
            <w:pStyle w:val="2"/>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pPr>
        <w:pStyle w:val="2"/>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p>
      <w:pPr>
        <w:pStyle w:val="2"/>
        <w:keepNext w:val="0"/>
        <w:keepLines w:val="0"/>
        <w:pageBreakBefore w:val="0"/>
        <w:kinsoku/>
        <w:wordWrap w:val="0"/>
        <w:overflowPunct/>
        <w:topLinePunct w:val="0"/>
        <w:bidi w:val="0"/>
        <w:spacing w:before="353" w:line="360" w:lineRule="auto"/>
        <w:ind w:firstLine="2506" w:firstLineChars="700"/>
        <w:jc w:val="both"/>
        <w:rPr>
          <w:color w:val="auto"/>
          <w:spacing w:val="-6"/>
          <w:sz w:val="36"/>
          <w:szCs w:val="36"/>
        </w:rPr>
      </w:pPr>
      <w:r>
        <w:rPr>
          <w:rFonts w:hint="eastAsia" w:asciiTheme="minorEastAsia" w:hAnsiTheme="minorEastAsia" w:eastAsiaTheme="minorEastAsia" w:cstheme="minorEastAsia"/>
          <w:color w:val="auto"/>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color w:val="auto"/>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lang w:eastAsia="zh-CN"/>
          <w14:textOutline w14:w="2306" w14:cap="flat" w14:cmpd="sng">
            <w14:solidFill>
              <w14:srgbClr w14:val="000000"/>
            </w14:solidFill>
            <w14:prstDash w14:val="solid"/>
            <w14:miter w14:val="0"/>
          </w14:textOutline>
        </w:rPr>
        <w:t>公开招标公告</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color w:val="auto"/>
          <w:spacing w:val="-6"/>
          <w:sz w:val="24"/>
          <w:szCs w:val="24"/>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color w:val="auto"/>
          <w:spacing w:val="-6"/>
          <w:sz w:val="24"/>
          <w:szCs w:val="24"/>
        </w:rPr>
      </w:pPr>
      <w:r>
        <w:rPr>
          <w:color w:val="auto"/>
          <w:spacing w:val="-6"/>
          <w:sz w:val="24"/>
          <w:szCs w:val="24"/>
        </w:rPr>
        <w:t>采购人拟就下述项目以</w:t>
      </w:r>
      <w:r>
        <w:rPr>
          <w:rFonts w:hint="eastAsia"/>
          <w:color w:val="auto"/>
          <w:spacing w:val="-6"/>
          <w:sz w:val="24"/>
          <w:szCs w:val="24"/>
          <w:lang w:val="en-US" w:eastAsia="zh-CN"/>
        </w:rPr>
        <w:t>公开</w:t>
      </w:r>
      <w:r>
        <w:rPr>
          <w:color w:val="auto"/>
          <w:spacing w:val="-6"/>
          <w:sz w:val="24"/>
          <w:szCs w:val="24"/>
        </w:rPr>
        <w:t>招标方式组织采购活动，</w:t>
      </w:r>
      <w:r>
        <w:rPr>
          <w:rFonts w:hint="eastAsia"/>
          <w:color w:val="auto"/>
          <w:spacing w:val="-6"/>
          <w:sz w:val="24"/>
          <w:szCs w:val="24"/>
          <w:lang w:eastAsia="zh-CN"/>
        </w:rPr>
        <w:t>欢迎潜在投标人</w:t>
      </w:r>
      <w:r>
        <w:rPr>
          <w:color w:val="auto"/>
          <w:spacing w:val="-6"/>
          <w:sz w:val="24"/>
          <w:szCs w:val="24"/>
        </w:rPr>
        <w:t>参与本项目投标。</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14:textOutline w14:w="1537" w14:cap="flat" w14:cmpd="sng">
            <w14:solidFill>
              <w14:srgbClr w14:val="000000"/>
            </w14:solidFill>
            <w14:prstDash w14:val="solid"/>
            <w14:miter w14:val="0"/>
          </w14:textOutline>
        </w:rPr>
        <w:t>一、项目基本情况</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5"/>
          <w:sz w:val="24"/>
          <w:szCs w:val="24"/>
        </w:rPr>
        <w:t xml:space="preserve">1.项目编号： 南阳政采公开-2024-28 </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4"/>
          <w:sz w:val="24"/>
          <w:szCs w:val="24"/>
        </w:rPr>
        <w:t xml:space="preserve">2.项目名称：南阳市公安局交通管理支队2024年驾驶人社会考场服务项目    </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sz w:val="24"/>
          <w:szCs w:val="24"/>
        </w:rPr>
        <w:t>3.项目预算金额：</w:t>
      </w:r>
      <w:r>
        <w:rPr>
          <w:rFonts w:hint="eastAsia" w:asciiTheme="minorEastAsia" w:hAnsiTheme="minorEastAsia" w:eastAsiaTheme="minorEastAsia" w:cstheme="minorEastAsia"/>
          <w:color w:val="auto"/>
          <w:spacing w:val="-14"/>
          <w:sz w:val="24"/>
          <w:szCs w:val="24"/>
          <w:u w:val="single"/>
          <w:lang w:val="en-US" w:eastAsia="zh-CN"/>
        </w:rPr>
        <w:t xml:space="preserve">   156.98  </w:t>
      </w:r>
      <w:r>
        <w:rPr>
          <w:rFonts w:hint="eastAsia" w:asciiTheme="minorEastAsia" w:hAnsiTheme="minorEastAsia" w:eastAsiaTheme="minorEastAsia" w:cstheme="minorEastAsia"/>
          <w:color w:val="auto"/>
          <w:spacing w:val="-14"/>
          <w:sz w:val="24"/>
          <w:szCs w:val="24"/>
        </w:rPr>
        <w:t>万元、项目最高限价（如有</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pacing w:val="-14"/>
          <w:sz w:val="24"/>
          <w:szCs w:val="24"/>
          <w:u w:val="single"/>
          <w:lang w:val="en-US" w:eastAsia="zh-CN"/>
        </w:rPr>
        <w:t>156.98</w:t>
      </w:r>
      <w:r>
        <w:rPr>
          <w:rFonts w:hint="eastAsia" w:asciiTheme="minorEastAsia" w:hAnsiTheme="minorEastAsia" w:eastAsiaTheme="minorEastAsia" w:cstheme="minorEastAsia"/>
          <w:color w:val="auto"/>
          <w:spacing w:val="5"/>
          <w:sz w:val="24"/>
          <w:szCs w:val="24"/>
          <w:u w:val="single"/>
          <w:lang w:val="en-US" w:eastAsia="zh-CN"/>
        </w:rPr>
        <w:t xml:space="preserve">   </w:t>
      </w:r>
      <w:r>
        <w:rPr>
          <w:rFonts w:hint="eastAsia" w:asciiTheme="minorEastAsia" w:hAnsiTheme="minorEastAsia" w:eastAsiaTheme="minorEastAsia" w:cstheme="minorEastAsia"/>
          <w:color w:val="auto"/>
          <w:spacing w:val="-14"/>
          <w:sz w:val="24"/>
          <w:szCs w:val="24"/>
        </w:rPr>
        <w:t>万元</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4.采购需求：</w:t>
      </w:r>
    </w:p>
    <w:tbl>
      <w:tblPr>
        <w:tblStyle w:val="23"/>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包号</w:t>
            </w:r>
          </w:p>
        </w:tc>
        <w:tc>
          <w:tcPr>
            <w:tcW w:w="4215" w:type="dxa"/>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lang w:val="en-US" w:eastAsia="zh-CN"/>
              </w:rPr>
              <w:t>包</w:t>
            </w:r>
            <w:r>
              <w:rPr>
                <w:rFonts w:hint="eastAsia" w:asciiTheme="minorEastAsia" w:hAnsiTheme="minorEastAsia" w:eastAsiaTheme="minorEastAsia" w:cstheme="minorEastAsia"/>
                <w:color w:val="auto"/>
                <w:spacing w:val="7"/>
                <w:sz w:val="24"/>
                <w:szCs w:val="24"/>
              </w:rPr>
              <w:t>名称</w:t>
            </w:r>
          </w:p>
        </w:tc>
        <w:tc>
          <w:tcPr>
            <w:tcW w:w="2321" w:type="dxa"/>
            <w:vAlign w:val="center"/>
          </w:tcPr>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包预算</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万</w:t>
            </w:r>
            <w:r>
              <w:rPr>
                <w:rFonts w:hint="eastAsia" w:asciiTheme="minorEastAsia" w:hAnsiTheme="minorEastAsia" w:eastAsiaTheme="minorEastAsia" w:cstheme="minorEastAsia"/>
                <w:color w:val="auto"/>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pPr>
              <w:pStyle w:val="2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5"/>
                <w:sz w:val="24"/>
                <w:szCs w:val="24"/>
              </w:rPr>
              <w:t xml:space="preserve">南阳政采公开-2024-28 </w:t>
            </w:r>
            <w:r>
              <w:rPr>
                <w:rFonts w:hint="eastAsia" w:asciiTheme="minorEastAsia" w:hAnsiTheme="minorEastAsia" w:eastAsiaTheme="minorEastAsia" w:cstheme="minorEastAsia"/>
                <w:color w:val="auto"/>
                <w:spacing w:val="14"/>
                <w:sz w:val="24"/>
                <w:szCs w:val="24"/>
                <w:lang w:val="en-US" w:eastAsia="zh-CN"/>
              </w:rPr>
              <w:t>-</w:t>
            </w:r>
            <w:r>
              <w:rPr>
                <w:rFonts w:hint="eastAsia" w:asciiTheme="minorEastAsia" w:hAnsiTheme="minorEastAsia" w:eastAsiaTheme="minorEastAsia" w:cstheme="minorEastAsia"/>
                <w:color w:val="auto"/>
                <w:spacing w:val="14"/>
                <w:sz w:val="24"/>
                <w:szCs w:val="24"/>
              </w:rPr>
              <w:t>1</w:t>
            </w:r>
          </w:p>
        </w:tc>
        <w:tc>
          <w:tcPr>
            <w:tcW w:w="4215" w:type="dxa"/>
            <w:vAlign w:val="top"/>
          </w:tcPr>
          <w:p>
            <w:pPr>
              <w:pStyle w:val="2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384" w:firstLineChars="200"/>
              <w:jc w:val="both"/>
              <w:textAlignment w:val="baseline"/>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24"/>
                <w:sz w:val="24"/>
                <w:szCs w:val="24"/>
              </w:rPr>
              <w:t xml:space="preserve">南阳市公安局交通管理支队2024年驾驶人社会考场服务项目  </w:t>
            </w:r>
            <w:r>
              <w:rPr>
                <w:rFonts w:hint="eastAsia" w:asciiTheme="minorEastAsia" w:hAnsiTheme="minorEastAsia" w:eastAsiaTheme="minorEastAsia" w:cstheme="minorEastAsia"/>
                <w:color w:val="auto"/>
                <w:spacing w:val="-24"/>
                <w:sz w:val="24"/>
                <w:szCs w:val="24"/>
                <w:lang w:val="en-US" w:eastAsia="zh-CN"/>
              </w:rPr>
              <w:t>第一标段</w:t>
            </w:r>
          </w:p>
        </w:tc>
        <w:tc>
          <w:tcPr>
            <w:tcW w:w="2321" w:type="dxa"/>
            <w:vAlign w:val="top"/>
          </w:tcPr>
          <w:p>
            <w:pPr>
              <w:pStyle w:val="2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35" w:type="dxa"/>
            <w:vAlign w:val="top"/>
          </w:tcPr>
          <w:p>
            <w:pPr>
              <w:pStyle w:val="2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5"/>
                <w:sz w:val="24"/>
                <w:szCs w:val="24"/>
              </w:rPr>
              <w:t xml:space="preserve">南阳政采公开-2024-28 </w:t>
            </w:r>
            <w:r>
              <w:rPr>
                <w:rFonts w:hint="eastAsia" w:asciiTheme="minorEastAsia" w:hAnsiTheme="minorEastAsia" w:eastAsiaTheme="minorEastAsia" w:cstheme="minorEastAsia"/>
                <w:color w:val="auto"/>
                <w:spacing w:val="14"/>
                <w:sz w:val="24"/>
                <w:szCs w:val="24"/>
                <w:lang w:val="en-US" w:eastAsia="zh-CN"/>
              </w:rPr>
              <w:t>-</w:t>
            </w:r>
            <w:r>
              <w:rPr>
                <w:rFonts w:hint="eastAsia" w:asciiTheme="minorEastAsia" w:hAnsiTheme="minorEastAsia" w:eastAsiaTheme="minorEastAsia" w:cstheme="minorEastAsia"/>
                <w:color w:val="auto"/>
                <w:spacing w:val="14"/>
                <w:sz w:val="24"/>
                <w:szCs w:val="24"/>
              </w:rPr>
              <w:t>2</w:t>
            </w:r>
          </w:p>
        </w:tc>
        <w:tc>
          <w:tcPr>
            <w:tcW w:w="4215" w:type="dxa"/>
            <w:vAlign w:val="top"/>
          </w:tcPr>
          <w:p>
            <w:pPr>
              <w:pStyle w:val="2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3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4"/>
                <w:sz w:val="24"/>
                <w:szCs w:val="24"/>
              </w:rPr>
              <w:t xml:space="preserve">南阳市公安局交通管理支队2024年驾驶人社会考场服务项目  </w:t>
            </w:r>
            <w:r>
              <w:rPr>
                <w:rFonts w:hint="eastAsia" w:asciiTheme="minorEastAsia" w:hAnsiTheme="minorEastAsia" w:eastAsiaTheme="minorEastAsia" w:cstheme="minorEastAsia"/>
                <w:color w:val="auto"/>
                <w:spacing w:val="-24"/>
                <w:sz w:val="24"/>
                <w:szCs w:val="24"/>
                <w:lang w:val="en-US" w:eastAsia="zh-CN"/>
              </w:rPr>
              <w:t>第二标段</w:t>
            </w:r>
          </w:p>
        </w:tc>
        <w:tc>
          <w:tcPr>
            <w:tcW w:w="2321" w:type="dxa"/>
            <w:vAlign w:val="top"/>
          </w:tcPr>
          <w:p>
            <w:pPr>
              <w:pStyle w:val="2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53.58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5" w:type="dxa"/>
            <w:vAlign w:val="top"/>
          </w:tcPr>
          <w:p>
            <w:pPr>
              <w:pStyle w:val="2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5"/>
                <w:sz w:val="24"/>
                <w:szCs w:val="24"/>
              </w:rPr>
              <w:t>南阳政采公开-2024-28</w:t>
            </w:r>
            <w:r>
              <w:rPr>
                <w:rFonts w:hint="eastAsia" w:asciiTheme="minorEastAsia" w:hAnsiTheme="minorEastAsia" w:eastAsiaTheme="minorEastAsia" w:cstheme="minorEastAsia"/>
                <w:color w:val="auto"/>
                <w:spacing w:val="-25"/>
                <w:sz w:val="24"/>
                <w:szCs w:val="24"/>
                <w:lang w:val="en-US" w:eastAsia="zh-CN"/>
              </w:rPr>
              <w:t>-3</w:t>
            </w:r>
            <w:r>
              <w:rPr>
                <w:rFonts w:hint="eastAsia" w:asciiTheme="minorEastAsia" w:hAnsiTheme="minorEastAsia" w:eastAsiaTheme="minorEastAsia" w:cstheme="minorEastAsia"/>
                <w:color w:val="auto"/>
                <w:spacing w:val="-25"/>
                <w:sz w:val="24"/>
                <w:szCs w:val="24"/>
              </w:rPr>
              <w:t xml:space="preserve"> </w:t>
            </w:r>
          </w:p>
        </w:tc>
        <w:tc>
          <w:tcPr>
            <w:tcW w:w="4215" w:type="dxa"/>
            <w:vAlign w:val="top"/>
          </w:tcPr>
          <w:p>
            <w:pPr>
              <w:pStyle w:val="2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3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4"/>
                <w:sz w:val="24"/>
                <w:szCs w:val="24"/>
              </w:rPr>
              <w:t xml:space="preserve">南阳市公安局交通管理支队2024年驾驶人社会考场服务项目 </w:t>
            </w:r>
            <w:r>
              <w:rPr>
                <w:rFonts w:hint="eastAsia" w:asciiTheme="minorEastAsia" w:hAnsiTheme="minorEastAsia" w:eastAsiaTheme="minorEastAsia" w:cstheme="minorEastAsia"/>
                <w:color w:val="auto"/>
                <w:spacing w:val="-24"/>
                <w:sz w:val="24"/>
                <w:szCs w:val="24"/>
                <w:lang w:val="en-US" w:eastAsia="zh-CN"/>
              </w:rPr>
              <w:t>第三标段</w:t>
            </w:r>
          </w:p>
        </w:tc>
        <w:tc>
          <w:tcPr>
            <w:tcW w:w="2321" w:type="dxa"/>
            <w:vAlign w:val="top"/>
          </w:tcPr>
          <w:p>
            <w:pPr>
              <w:pStyle w:val="2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75.2</w:t>
            </w:r>
          </w:p>
        </w:tc>
      </w:tr>
    </w:tbl>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5.服务要求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0" w:right="0" w:firstLine="460" w:firstLineChars="200"/>
        <w:jc w:val="both"/>
        <w:textAlignment w:val="baseline"/>
        <w:rPr>
          <w:rFonts w:hint="eastAsia" w:asciiTheme="minorEastAsia" w:hAnsiTheme="minorEastAsia" w:eastAsiaTheme="minorEastAsia" w:cstheme="minorEastAsia"/>
          <w:color w:val="auto"/>
          <w:spacing w:val="-5"/>
          <w:sz w:val="24"/>
          <w:szCs w:val="24"/>
          <w:lang w:val="en-US" w:eastAsia="zh-CN"/>
        </w:rPr>
      </w:pPr>
      <w:r>
        <w:rPr>
          <w:rFonts w:hint="eastAsia" w:asciiTheme="minorEastAsia" w:hAnsiTheme="minorEastAsia" w:eastAsiaTheme="minorEastAsia" w:cstheme="minorEastAsia"/>
          <w:color w:val="auto"/>
          <w:spacing w:val="-5"/>
          <w:sz w:val="24"/>
          <w:szCs w:val="24"/>
          <w:lang w:val="en-US" w:eastAsia="zh-CN"/>
        </w:rPr>
        <w:t>现通过公开招标选择定点社会考场服务，第一标段道路交通安全法律、法规和相关知识考场(以下简称“科目一考场”)，第二标段场地驾驶技能考场(以下简称“科目二考场”)，第三标段道路驾驶技能考场(以下简称“科目三道路考场”)，服务期限均为1年。</w:t>
      </w:r>
      <w:r>
        <w:rPr>
          <w:rFonts w:hint="eastAsia" w:asciiTheme="minorEastAsia" w:hAnsiTheme="minorEastAsia" w:eastAsiaTheme="minorEastAsia" w:cstheme="minorEastAsia"/>
          <w:snapToGrid w:val="0"/>
          <w:color w:val="auto"/>
          <w:spacing w:val="-1"/>
          <w:kern w:val="0"/>
          <w:sz w:val="24"/>
          <w:szCs w:val="24"/>
          <w:lang w:val="en-US" w:eastAsia="zh-CN" w:bidi="ar-SA"/>
        </w:rPr>
        <w:t>（其中科目一考场服务根据《机动车驾驶证业务工作规范》（公交管[2022]73号）、《河南省机动车驾驶人考场管理规定》（豫公交办〔2022〕283号）</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等</w:t>
      </w:r>
      <w:r>
        <w:rPr>
          <w:rFonts w:hint="eastAsia" w:asciiTheme="minorEastAsia" w:hAnsiTheme="minorEastAsia" w:eastAsiaTheme="minorEastAsia" w:cstheme="minorEastAsia"/>
          <w:snapToGrid w:val="0"/>
          <w:color w:val="auto"/>
          <w:spacing w:val="-1"/>
          <w:kern w:val="0"/>
          <w:sz w:val="24"/>
          <w:szCs w:val="24"/>
          <w:lang w:val="en-US" w:eastAsia="zh-CN" w:bidi="ar-SA"/>
        </w:rPr>
        <w:t>要求：公安机关交通管理部门应当自行建设驾驶理论考场。在采购人驾驶理论考场建成使用后，采购人可随时终止第一标段科目一考场购买服务，使用费用据实结算）</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6</w:t>
      </w:r>
      <w:r>
        <w:rPr>
          <w:rFonts w:hint="eastAsia" w:asciiTheme="minorEastAsia" w:hAnsiTheme="minorEastAsia" w:eastAsiaTheme="minorEastAsia" w:cstheme="minorEastAsia"/>
          <w:color w:val="auto"/>
          <w:spacing w:val="-2"/>
          <w:sz w:val="24"/>
          <w:szCs w:val="24"/>
        </w:rPr>
        <w:t>.本项目是否接受联合体投标：</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是</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否。</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auto"/>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color w:val="auto"/>
          <w:spacing w:val="-1"/>
          <w:sz w:val="24"/>
          <w:szCs w:val="24"/>
          <w14:textOutline w14:w="1537" w14:cap="flat" w14:cmpd="sng">
            <w14:solidFill>
              <w14:srgbClr w14:val="000000"/>
            </w14:solidFill>
            <w14:prstDash w14:val="solid"/>
            <w14:miter w14:val="0"/>
          </w14:textOutline>
        </w:rPr>
        <w:t>资格要求（须同时满足）</w:t>
      </w:r>
    </w:p>
    <w:p>
      <w:pPr>
        <w:keepNext w:val="0"/>
        <w:keepLines w:val="0"/>
        <w:pageBreakBefore w:val="0"/>
        <w:widowControl/>
        <w:kinsoku/>
        <w:wordWrap w:val="0"/>
        <w:overflowPunct/>
        <w:topLinePunct w:val="0"/>
        <w:autoSpaceDE/>
        <w:autoSpaceDN/>
        <w:bidi w:val="0"/>
        <w:adjustRightInd/>
        <w:snapToGrid/>
        <w:spacing w:line="360" w:lineRule="auto"/>
        <w:ind w:leftChars="0"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1.投标人须是注册于中华人民共和国境内，具有独立承担民事责任能力的专业服务机构，且拥有考场建设用地所有权或使用权证明（附带宗地图，土地使用性质应为非农林业用地）；属于租赁的，还应提供租赁合同。且保证所用土地满足本项目服务期限。</w:t>
      </w:r>
    </w:p>
    <w:p>
      <w:pPr>
        <w:keepNext w:val="0"/>
        <w:keepLines w:val="0"/>
        <w:pageBreakBefore w:val="0"/>
        <w:widowControl/>
        <w:kinsoku/>
        <w:wordWrap w:val="0"/>
        <w:overflowPunct/>
        <w:topLinePunct w:val="0"/>
        <w:autoSpaceDE/>
        <w:autoSpaceDN/>
        <w:bidi w:val="0"/>
        <w:adjustRightInd/>
        <w:snapToGrid/>
        <w:spacing w:line="360" w:lineRule="auto"/>
        <w:ind w:leftChars="0" w:firstLine="424" w:firstLineChars="200"/>
        <w:jc w:val="both"/>
        <w:textAlignment w:val="auto"/>
        <w:rPr>
          <w:rFonts w:hint="eastAsia" w:asciiTheme="minorEastAsia" w:hAnsiTheme="minorEastAsia" w:eastAsiaTheme="minorEastAsia" w:cstheme="minorEastAsia"/>
          <w:snapToGrid w:val="0"/>
          <w:color w:val="000000" w:themeColor="text1"/>
          <w:spacing w:val="-14"/>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auto"/>
          <w:spacing w:val="-14"/>
          <w:kern w:val="0"/>
          <w:sz w:val="24"/>
          <w:szCs w:val="24"/>
          <w:lang w:val="en-US" w:eastAsia="zh-CN" w:bidi="ar-SA"/>
        </w:rPr>
        <w:t>2.投标人需符合《机动车驾驶证业务工作规范》（公交管[2022]73号）、《河南省机动车驾驶人考场管理规定》（豫公交办〔2022〕283号）中关于社会考场使用的相关要求。</w:t>
      </w:r>
    </w:p>
    <w:p>
      <w:pPr>
        <w:keepNext w:val="0"/>
        <w:keepLines w:val="0"/>
        <w:pageBreakBefore w:val="0"/>
        <w:widowControl/>
        <w:kinsoku/>
        <w:wordWrap w:val="0"/>
        <w:overflowPunct/>
        <w:topLinePunct w:val="0"/>
        <w:autoSpaceDE/>
        <w:autoSpaceDN/>
        <w:bidi w:val="0"/>
        <w:adjustRightInd/>
        <w:snapToGrid/>
        <w:spacing w:line="360" w:lineRule="auto"/>
        <w:ind w:leftChars="0"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000000" w:themeColor="text1"/>
          <w:spacing w:val="-14"/>
          <w:kern w:val="0"/>
          <w:sz w:val="24"/>
          <w:szCs w:val="24"/>
          <w:lang w:val="en-US" w:eastAsia="zh-CN" w:bidi="ar-SA"/>
          <w14:textFill>
            <w14:solidFill>
              <w14:schemeClr w14:val="tx1"/>
            </w14:solidFill>
          </w14:textFill>
        </w:rPr>
        <w:t>3.第一标段科目一考场需通过河南省公安厅验收备案,具备服务该标段考试的能力并提供相关证明,</w:t>
      </w:r>
      <w:r>
        <w:rPr>
          <w:rFonts w:hint="eastAsia" w:asciiTheme="minorEastAsia" w:hAnsiTheme="minorEastAsia" w:eastAsiaTheme="minorEastAsia" w:cstheme="minorEastAsia"/>
          <w:snapToGrid w:val="0"/>
          <w:color w:val="auto"/>
          <w:spacing w:val="-14"/>
          <w:kern w:val="0"/>
          <w:sz w:val="24"/>
          <w:szCs w:val="24"/>
          <w:lang w:val="en-US" w:eastAsia="zh-CN" w:bidi="ar-SA"/>
        </w:rPr>
        <w:t>且需提供所建房屋安全检测证明（须附检测单位资质证明）或房屋竣工验收备案表、消防部门出具的考场经消防检查合格证明或消防检查意见书。</w:t>
      </w:r>
    </w:p>
    <w:p>
      <w:pPr>
        <w:keepNext w:val="0"/>
        <w:keepLines w:val="0"/>
        <w:pageBreakBefore w:val="0"/>
        <w:widowControl/>
        <w:kinsoku/>
        <w:wordWrap w:val="0"/>
        <w:overflowPunct/>
        <w:topLinePunct w:val="0"/>
        <w:autoSpaceDE/>
        <w:autoSpaceDN/>
        <w:bidi w:val="0"/>
        <w:adjustRightInd/>
        <w:snapToGrid/>
        <w:spacing w:line="360" w:lineRule="auto"/>
        <w:ind w:leftChars="0"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4.第二标段、第三标段投标人应符合《河南省机动车驾驶人考场管理规定》（豫公交办〔2022〕283号）第八条“新建社会化考场应同时具备科目二和科目三考试能力”的要求，提供消防合格证明或消防检查意见书或者规划建设许可证明。第三标段投标人还须提供具有管辖权的行政管理部门出具的小型汽车、小型自动挡汽车考试路段不少于4公里的审批文件,若拟同时承担大中型客货车考试服务的还须提供大中型客货车考试路段不少于8公里的审批文件。</w:t>
      </w:r>
    </w:p>
    <w:p>
      <w:pPr>
        <w:keepNext w:val="0"/>
        <w:keepLines w:val="0"/>
        <w:pageBreakBefore w:val="0"/>
        <w:widowControl/>
        <w:kinsoku/>
        <w:wordWrap w:val="0"/>
        <w:overflowPunct/>
        <w:topLinePunct w:val="0"/>
        <w:autoSpaceDE/>
        <w:autoSpaceDN/>
        <w:bidi w:val="0"/>
        <w:adjustRightInd/>
        <w:snapToGrid/>
        <w:spacing w:line="360" w:lineRule="auto"/>
        <w:ind w:leftChars="0"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5.具有良好的商业信誉和健全的财务会计制度；</w:t>
      </w:r>
    </w:p>
    <w:p>
      <w:pPr>
        <w:keepNext w:val="0"/>
        <w:keepLines w:val="0"/>
        <w:pageBreakBefore w:val="0"/>
        <w:widowControl/>
        <w:kinsoku/>
        <w:wordWrap w:val="0"/>
        <w:overflowPunct/>
        <w:topLinePunct w:val="0"/>
        <w:autoSpaceDE/>
        <w:autoSpaceDN/>
        <w:bidi w:val="0"/>
        <w:adjustRightInd/>
        <w:snapToGrid/>
        <w:spacing w:line="360" w:lineRule="auto"/>
        <w:ind w:leftChars="0"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6.具有履行合同所必需的设备和专业技术能力；</w:t>
      </w:r>
    </w:p>
    <w:p>
      <w:pPr>
        <w:keepNext w:val="0"/>
        <w:keepLines w:val="0"/>
        <w:pageBreakBefore w:val="0"/>
        <w:widowControl/>
        <w:kinsoku/>
        <w:wordWrap w:val="0"/>
        <w:overflowPunct/>
        <w:topLinePunct w:val="0"/>
        <w:autoSpaceDE/>
        <w:autoSpaceDN/>
        <w:bidi w:val="0"/>
        <w:adjustRightInd/>
        <w:snapToGrid/>
        <w:spacing w:line="360" w:lineRule="auto"/>
        <w:ind w:leftChars="0"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7.有依法缴纳税收和社会保障资金的良好记录；</w:t>
      </w:r>
    </w:p>
    <w:p>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8.参加政府采购活动前三年内，在经营活动中没有重大违法记录；</w:t>
      </w:r>
    </w:p>
    <w:p>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9.根据《关于在政府采购活动中查询及使用信用记录有关问题的通知》(财库</w:t>
      </w:r>
      <w:r>
        <w:rPr>
          <w:rFonts w:hint="eastAsia" w:asciiTheme="minorEastAsia" w:hAnsiTheme="minorEastAsia" w:eastAsiaTheme="minorEastAsia" w:cstheme="minorEastAsia"/>
          <w:color w:val="auto"/>
          <w:spacing w:val="-2"/>
          <w:sz w:val="24"/>
          <w:szCs w:val="24"/>
          <w:lang w:val="en-US" w:eastAsia="zh-CN"/>
        </w:rPr>
        <w:t>〔2016〕</w:t>
      </w:r>
      <w:r>
        <w:rPr>
          <w:rFonts w:hint="eastAsia" w:asciiTheme="minorEastAsia" w:hAnsiTheme="minorEastAsia" w:eastAsiaTheme="minorEastAsia" w:cstheme="minorEastAsia"/>
          <w:snapToGrid w:val="0"/>
          <w:color w:val="auto"/>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default"/>
          <w:color w:val="auto"/>
          <w:lang w:val="en-US" w:eastAsia="zh-CN"/>
        </w:rPr>
      </w:pPr>
      <w:r>
        <w:rPr>
          <w:rFonts w:hint="eastAsia" w:asciiTheme="minorEastAsia" w:hAnsiTheme="minorEastAsia" w:eastAsiaTheme="minorEastAsia" w:cstheme="minorEastAsia"/>
          <w:snapToGrid w:val="0"/>
          <w:color w:val="auto"/>
          <w:spacing w:val="-14"/>
          <w:kern w:val="0"/>
          <w:sz w:val="24"/>
          <w:szCs w:val="24"/>
          <w:lang w:val="en-US" w:eastAsia="zh-CN" w:bidi="ar-SA"/>
        </w:rPr>
        <w:t>10.</w:t>
      </w:r>
      <w:r>
        <w:rPr>
          <w:rFonts w:hint="eastAsia" w:asciiTheme="minorEastAsia" w:hAnsiTheme="minorEastAsia" w:eastAsiaTheme="minorEastAsia" w:cstheme="minorEastAsia"/>
          <w:b w:val="0"/>
          <w:bCs w:val="0"/>
          <w:snapToGrid w:val="0"/>
          <w:color w:val="auto"/>
          <w:spacing w:val="-14"/>
          <w:kern w:val="0"/>
          <w:sz w:val="24"/>
          <w:szCs w:val="24"/>
          <w:lang w:val="en-US" w:eastAsia="zh-CN" w:bidi="ar-SA"/>
        </w:rPr>
        <w:t>本项目专门面向中小企业采购，供应商须提交服务企业中小企业声明函。</w:t>
      </w:r>
    </w:p>
    <w:p>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11.遵守国家有关法律、法规、规章。</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
          <w:sz w:val="24"/>
          <w:szCs w:val="24"/>
          <w:lang w:val="en-US" w:eastAsia="zh-CN"/>
          <w14:textOutline w14:w="1537"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1"/>
          <w:sz w:val="24"/>
          <w:szCs w:val="24"/>
          <w14:textOutline w14:w="1537" w14:cap="flat" w14:cmpd="sng">
            <w14:solidFill>
              <w14:srgbClr w14:val="000000"/>
            </w14:solidFill>
            <w14:prstDash w14:val="solid"/>
            <w14:miter w14:val="0"/>
          </w14:textOutline>
        </w:rPr>
        <w:t>落实政府采购政策需满足的资格要求：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1.</w:t>
      </w:r>
      <w:r>
        <w:rPr>
          <w:rFonts w:hint="eastAsia" w:asciiTheme="minorEastAsia" w:hAnsiTheme="minorEastAsia" w:eastAsiaTheme="minorEastAsia" w:cstheme="minorEastAsia"/>
          <w:color w:val="auto"/>
          <w:spacing w:val="1"/>
          <w:sz w:val="24"/>
          <w:szCs w:val="24"/>
        </w:rPr>
        <w:t>中小企业政策</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7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12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7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19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8：00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18：00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pPr>
        <w:kinsoku/>
        <w:wordWrap w:val="0"/>
        <w:spacing w:line="360" w:lineRule="auto"/>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w:t>
      </w:r>
      <w:r>
        <w:rPr>
          <w:rFonts w:hint="eastAsia" w:asciiTheme="minorEastAsia" w:hAnsiTheme="minorEastAsia" w:eastAsiaTheme="minorEastAsia" w:cstheme="minorEastAsia"/>
          <w:spacing w:val="-4"/>
          <w:sz w:val="24"/>
          <w:szCs w:val="24"/>
          <w:lang w:val="en-US" w:eastAsia="zh-CN"/>
        </w:rPr>
        <w:t>详见（https://ggzyjy.nanyang.gov.cn/ptdl/011009/single.html）</w:t>
      </w:r>
      <w:r>
        <w:rPr>
          <w:rFonts w:hint="eastAsia" w:asciiTheme="minorEastAsia" w:hAnsiTheme="minorEastAsia" w:eastAsiaTheme="minorEastAsia" w:cstheme="minorEastAsia"/>
          <w:spacing w:val="-4"/>
          <w:sz w:val="24"/>
          <w:szCs w:val="24"/>
          <w:lang w:eastAsia="zh-CN"/>
        </w:rPr>
        <w:t>。</w:t>
      </w:r>
      <w:bookmarkStart w:id="384" w:name="_GoBack"/>
      <w:bookmarkEnd w:id="384"/>
    </w:p>
    <w:p>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4"/>
          <w:sz w:val="24"/>
          <w:szCs w:val="24"/>
        </w:rPr>
        <w:t>4.售价：0元。</w:t>
      </w:r>
    </w:p>
    <w:p>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造成开标无法继续的，视为该投标人自动放弃投标，将被退回投标文件”。电子交易系统技术支持电话：400-998-0000。</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u w:val="single"/>
          <w:lang w:val="en-US" w:eastAsia="zh-CN"/>
        </w:rPr>
        <w:t xml:space="preserve">  2024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8</w:t>
      </w:r>
      <w:r>
        <w:rPr>
          <w:rFonts w:hint="eastAsia" w:asciiTheme="minorEastAsia" w:hAnsiTheme="minorEastAsia" w:eastAsiaTheme="minorEastAsia" w:cstheme="minorEastAsia"/>
          <w:snapToGrid w:val="0"/>
          <w:color w:val="000000"/>
          <w:spacing w:val="-4"/>
          <w:kern w:val="0"/>
          <w:sz w:val="24"/>
          <w:szCs w:val="24"/>
          <w:lang w:val="en-US" w:eastAsia="zh-CN" w:bidi="ar-SA"/>
        </w:rPr>
        <w:t>月</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2 </w:t>
      </w:r>
      <w:r>
        <w:rPr>
          <w:rFonts w:hint="eastAsia" w:asciiTheme="minorEastAsia" w:hAnsiTheme="minorEastAsia" w:eastAsiaTheme="minorEastAsia" w:cstheme="minorEastAsia"/>
          <w:snapToGrid w:val="0"/>
          <w:color w:val="000000"/>
          <w:spacing w:val="-4"/>
          <w:kern w:val="0"/>
          <w:sz w:val="24"/>
          <w:szCs w:val="24"/>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分（北</w:t>
      </w:r>
      <w:r>
        <w:rPr>
          <w:rFonts w:hint="eastAsia" w:asciiTheme="minorEastAsia" w:hAnsiTheme="minorEastAsia" w:eastAsiaTheme="minorEastAsia" w:cstheme="minorEastAsia"/>
          <w:spacing w:val="-15"/>
          <w:sz w:val="24"/>
          <w:szCs w:val="24"/>
        </w:rPr>
        <w:t>京时间）。</w:t>
      </w:r>
    </w:p>
    <w:p>
      <w:pPr>
        <w:pStyle w:val="2"/>
        <w:kinsoku/>
        <w:wordWrap w:val="0"/>
        <w:spacing w:line="360" w:lineRule="auto"/>
        <w:jc w:val="both"/>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7"/>
          <w:sz w:val="24"/>
          <w:szCs w:val="24"/>
          <w:lang w:val="en-US" w:eastAsia="zh-CN"/>
        </w:rPr>
        <w:t>开标方式：</w:t>
      </w:r>
      <w:r>
        <w:rPr>
          <w:rFonts w:hint="eastAsia" w:ascii="宋体" w:hAnsi="宋体" w:eastAsia="宋体" w:cs="宋体"/>
          <w:snapToGrid w:val="0"/>
          <w:color w:val="000000" w:themeColor="text1"/>
          <w:spacing w:val="-17"/>
          <w:kern w:val="0"/>
          <w:sz w:val="24"/>
          <w:szCs w:val="24"/>
          <w:lang w:val="en-US" w:eastAsia="zh-CN" w:bidi="ar-SA"/>
          <w14:textFill>
            <w14:solidFill>
              <w14:schemeClr w14:val="tx1"/>
            </w14:solidFill>
          </w14:textFill>
        </w:rPr>
        <w:t>不见面开标大厅（</w:t>
      </w:r>
      <w:r>
        <w:rPr>
          <w:rFonts w:hint="eastAsia" w:ascii="微软雅黑" w:hAnsi="微软雅黑" w:eastAsia="微软雅黑" w:cs="微软雅黑"/>
          <w:b w:val="0"/>
          <w:i w:val="0"/>
          <w:snapToGrid w:val="0"/>
          <w:color w:val="000000" w:themeColor="text1"/>
          <w:kern w:val="0"/>
          <w:sz w:val="21"/>
          <w:szCs w:val="21"/>
          <w:lang w:val="en-US" w:eastAsia="zh-CN" w:bidi="ar"/>
          <w14:textFill>
            <w14:solidFill>
              <w14:schemeClr w14:val="tx1"/>
            </w14:solidFill>
          </w14:textFill>
        </w:rPr>
        <w:t>https://ggzyjy.nanyang.gov.cn/BidOpening/bidopeninghallaction/hall/login</w:t>
      </w:r>
      <w:r>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spacing w:val="-17"/>
          <w:sz w:val="24"/>
          <w:szCs w:val="24"/>
          <w:lang w:eastAsia="zh-CN"/>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7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12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7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19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val="en-US" w:eastAsia="zh-CN"/>
        </w:rPr>
        <w:t>本次招标公告在河南省政府采购网、南阳市公共资源交易中心网发布。</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z w:val="24"/>
          <w:szCs w:val="24"/>
          <w:u w:val="none" w:color="auto"/>
          <w:lang w:val="en-US" w:eastAsia="zh-CN"/>
        </w:rPr>
        <w:t xml:space="preserve">南阳市公安局交通管理支队 </w:t>
      </w:r>
      <w:r>
        <w:rPr>
          <w:rFonts w:hint="eastAsia" w:asciiTheme="minorEastAsia" w:hAnsiTheme="minorEastAsia" w:eastAsiaTheme="minorEastAsia" w:cstheme="minorEastAsia"/>
          <w:color w:val="000000" w:themeColor="text1"/>
          <w:sz w:val="24"/>
          <w:szCs w:val="24"/>
          <w:u w:val="none" w:color="auto"/>
          <w14:textFill>
            <w14:solidFill>
              <w14:schemeClr w14:val="tx1"/>
            </w14:solidFill>
          </w14:textFill>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eastAsia="zh-CN"/>
        </w:rPr>
        <w:t>南阳市新华路166号</w:t>
      </w:r>
      <w:r>
        <w:rPr>
          <w:rFonts w:hint="eastAsia" w:ascii="宋体" w:hAnsi="宋体" w:eastAsia="宋体" w:cs="宋体"/>
          <w:sz w:val="24"/>
          <w:szCs w:val="24"/>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ascii="宋体" w:hAnsi="宋体" w:eastAsia="宋体" w:cs="宋体"/>
          <w:sz w:val="24"/>
          <w:szCs w:val="24"/>
          <w:lang w:eastAsia="zh-CN"/>
        </w:rPr>
        <w:t>王先生</w:t>
      </w:r>
      <w:r>
        <w:rPr>
          <w:rFonts w:hint="eastAsia" w:ascii="宋体" w:hAnsi="宋体" w:eastAsia="宋体" w:cs="宋体"/>
          <w:sz w:val="24"/>
          <w:szCs w:val="24"/>
        </w:rPr>
        <w:t xml:space="preserve">               </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0377-61231106</w:t>
      </w:r>
      <w:r>
        <w:rPr>
          <w:rFonts w:hint="eastAsia" w:ascii="宋体" w:hAnsi="宋体" w:eastAsia="宋体" w:cs="宋体"/>
          <w:sz w:val="24"/>
          <w:szCs w:val="24"/>
        </w:rPr>
        <w:t xml:space="preserve">   </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z w:val="24"/>
          <w:szCs w:val="24"/>
          <w:u w:val="none" w:color="auto"/>
          <w:lang w:val="en-US" w:eastAsia="zh-CN"/>
        </w:rPr>
        <w:t>南阳市范蠡东路与南都路交叉口市民服务中心中区3号楼5楼</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联系人：潘高</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pPr>
        <w:pStyle w:val="2"/>
        <w:kinsoku/>
        <w:wordWrap w:val="0"/>
        <w:spacing w:line="360" w:lineRule="auto"/>
        <w:jc w:val="both"/>
        <w:outlineLvl w:val="1"/>
        <w:rPr>
          <w:rFonts w:asciiTheme="minorEastAsia" w:hAnsiTheme="minorEastAsia" w:eastAsiaTheme="minorEastAsia" w:cstheme="minorEastAsia"/>
          <w:b/>
          <w:bCs/>
          <w:spacing w:val="5"/>
          <w:sz w:val="24"/>
          <w:szCs w:val="24"/>
          <w:lang w:eastAsia="zh-CN"/>
        </w:rPr>
      </w:pPr>
    </w:p>
    <w:p>
      <w:pPr>
        <w:pStyle w:val="2"/>
        <w:kinsoku/>
        <w:wordWrap w:val="0"/>
        <w:spacing w:line="360" w:lineRule="auto"/>
        <w:jc w:val="both"/>
        <w:outlineLvl w:val="1"/>
        <w:rPr>
          <w:rFonts w:ascii="仿宋_GB2312" w:eastAsia="仿宋_GB2312"/>
          <w:color w:val="0000FF"/>
          <w:sz w:val="28"/>
          <w:szCs w:val="28"/>
          <w:lang w:eastAsia="zh-CN"/>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3.网址：</w:t>
      </w:r>
      <w:r>
        <w:fldChar w:fldCharType="begin"/>
      </w:r>
      <w:r>
        <w:instrText xml:space="preserve"> HYPERLINK "https://ggzyjy.nanyang.gov.cn" </w:instrText>
      </w:r>
      <w:r>
        <w:fldChar w:fldCharType="separate"/>
      </w:r>
      <w:r>
        <w:rPr>
          <w:rStyle w:val="20"/>
          <w:rFonts w:hint="eastAsia" w:asciiTheme="minorEastAsia" w:hAnsiTheme="minorEastAsia" w:eastAsiaTheme="minorEastAsia" w:cstheme="minorEastAsia"/>
          <w:spacing w:val="-15"/>
          <w:sz w:val="24"/>
          <w:szCs w:val="24"/>
          <w:lang w:eastAsia="zh-CN"/>
        </w:rPr>
        <w:t>https://ggzyjy.nanyang.gov.cn</w:t>
      </w:r>
      <w:r>
        <w:rPr>
          <w:rStyle w:val="20"/>
          <w:rFonts w:hint="eastAsia" w:asciiTheme="minorEastAsia" w:hAnsiTheme="minorEastAsia" w:eastAsiaTheme="minorEastAsia" w:cstheme="minorEastAsia"/>
          <w:spacing w:val="-15"/>
          <w:sz w:val="24"/>
          <w:szCs w:val="24"/>
          <w:lang w:eastAsia="zh-CN"/>
        </w:rPr>
        <w:fldChar w:fldCharType="end"/>
      </w:r>
      <w:r>
        <w:rPr>
          <w:rFonts w:hint="eastAsia" w:asciiTheme="minorEastAsia" w:hAnsiTheme="minorEastAsia" w:eastAsiaTheme="minorEastAsia" w:cstheme="minorEastAsia"/>
          <w:spacing w:val="-15"/>
          <w:sz w:val="24"/>
          <w:szCs w:val="24"/>
          <w:lang w:eastAsia="zh-CN"/>
        </w:rPr>
        <w:t xml:space="preserve">   E-mail:</w:t>
      </w:r>
      <w:r>
        <w:rPr>
          <w:rFonts w:hint="eastAsia" w:asciiTheme="minorEastAsia" w:hAnsiTheme="minorEastAsia" w:eastAsiaTheme="minorEastAsia" w:cstheme="minorEastAsia"/>
          <w:spacing w:val="-15"/>
          <w:sz w:val="24"/>
          <w:szCs w:val="24"/>
          <w:lang w:val="en-US" w:eastAsia="zh-CN"/>
        </w:rPr>
        <w:t xml:space="preserve">nyszfcgzx@126.com </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eastAsia" w:asciiTheme="minorEastAsia" w:hAnsiTheme="minorEastAsia" w:eastAsiaTheme="minorEastAsia" w:cstheme="minorEastAsia"/>
          <w:spacing w:val="-15"/>
          <w:sz w:val="24"/>
          <w:szCs w:val="24"/>
          <w:u w:val="none"/>
          <w:lang w:val="en-US"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eastAsia" w:asciiTheme="minorEastAsia" w:hAnsiTheme="minorEastAsia" w:eastAsiaTheme="minorEastAsia" w:cstheme="minorEastAsia"/>
          <w:spacing w:val="-15"/>
          <w:sz w:val="24"/>
          <w:szCs w:val="24"/>
          <w:u w:val="none"/>
          <w:lang w:val="en-US"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eastAsia" w:asciiTheme="minorEastAsia" w:hAnsiTheme="minorEastAsia" w:eastAsiaTheme="minorEastAsia" w:cstheme="minorEastAsia"/>
          <w:spacing w:val="-15"/>
          <w:sz w:val="24"/>
          <w:szCs w:val="24"/>
          <w:u w:val="none"/>
          <w:lang w:val="en-US"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default" w:asciiTheme="minorEastAsia" w:hAnsiTheme="minorEastAsia" w:eastAsiaTheme="minorEastAsia" w:cstheme="minorEastAsia"/>
          <w:spacing w:val="-13"/>
          <w:sz w:val="24"/>
          <w:szCs w:val="24"/>
          <w:u w:val="none"/>
          <w:lang w:val="en-US" w:eastAsia="zh-CN"/>
        </w:rPr>
      </w:pPr>
      <w:r>
        <w:rPr>
          <w:rFonts w:hint="eastAsia" w:asciiTheme="minorEastAsia" w:hAnsiTheme="minorEastAsia" w:eastAsiaTheme="minorEastAsia" w:cstheme="minorEastAsia"/>
          <w:spacing w:val="-15"/>
          <w:sz w:val="24"/>
          <w:szCs w:val="24"/>
          <w:u w:val="none"/>
          <w:lang w:val="en-US" w:eastAsia="zh-CN"/>
        </w:rPr>
        <w:t>南阳市公共资源交易中心</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778" w:firstLineChars="2700"/>
        <w:jc w:val="both"/>
        <w:textAlignment w:val="baseline"/>
        <w:outlineLvl w:val="1"/>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3"/>
          <w:sz w:val="24"/>
          <w:szCs w:val="24"/>
          <w:u w:val="none"/>
          <w:lang w:val="en-US" w:eastAsia="zh-CN"/>
        </w:rPr>
        <w:t>2024</w:t>
      </w:r>
      <w:r>
        <w:rPr>
          <w:rFonts w:hint="eastAsia" w:asciiTheme="minorEastAsia" w:hAnsiTheme="minorEastAsia" w:eastAsiaTheme="minorEastAsia" w:cstheme="minorEastAsia"/>
          <w:spacing w:val="-13"/>
          <w:sz w:val="24"/>
          <w:szCs w:val="24"/>
          <w:u w:val="none"/>
        </w:rPr>
        <w:t>年</w:t>
      </w:r>
      <w:r>
        <w:rPr>
          <w:rFonts w:hint="eastAsia" w:asciiTheme="minorEastAsia" w:hAnsiTheme="minorEastAsia" w:eastAsiaTheme="minorEastAsia" w:cstheme="minorEastAsia"/>
          <w:spacing w:val="-13"/>
          <w:sz w:val="24"/>
          <w:szCs w:val="24"/>
          <w:u w:val="none"/>
          <w:lang w:val="en-US" w:eastAsia="zh-CN"/>
        </w:rPr>
        <w:t xml:space="preserve"> 7 </w:t>
      </w:r>
      <w:r>
        <w:rPr>
          <w:rFonts w:hint="eastAsia" w:asciiTheme="minorEastAsia" w:hAnsiTheme="minorEastAsia" w:eastAsiaTheme="minorEastAsia" w:cstheme="minorEastAsia"/>
          <w:spacing w:val="-13"/>
          <w:sz w:val="24"/>
          <w:szCs w:val="24"/>
          <w:u w:val="none"/>
        </w:rPr>
        <w:t>月</w:t>
      </w:r>
      <w:r>
        <w:rPr>
          <w:rFonts w:hint="eastAsia" w:asciiTheme="minorEastAsia" w:hAnsiTheme="minorEastAsia" w:eastAsiaTheme="minorEastAsia" w:cstheme="minorEastAsia"/>
          <w:spacing w:val="-13"/>
          <w:sz w:val="24"/>
          <w:szCs w:val="24"/>
          <w:u w:val="none"/>
          <w:lang w:val="en-US" w:eastAsia="zh-CN"/>
        </w:rPr>
        <w:t>12</w:t>
      </w:r>
      <w:r>
        <w:rPr>
          <w:rFonts w:hint="eastAsia" w:asciiTheme="minorEastAsia" w:hAnsiTheme="minorEastAsia" w:eastAsiaTheme="minorEastAsia" w:cstheme="minorEastAsia"/>
          <w:spacing w:val="-13"/>
          <w:sz w:val="24"/>
          <w:szCs w:val="24"/>
          <w:u w:val="none"/>
        </w:rPr>
        <w:t>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pPr>
        <w:pStyle w:val="2"/>
        <w:keepNext w:val="0"/>
        <w:keepLines w:val="0"/>
        <w:pageBreakBefore w:val="0"/>
        <w:widowControl/>
        <w:numPr>
          <w:ilvl w:val="0"/>
          <w:numId w:val="1"/>
        </w:numPr>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pPr>
        <w:pStyle w:val="32"/>
        <w:numPr>
          <w:ilvl w:val="2"/>
          <w:numId w:val="0"/>
        </w:numPr>
        <w:spacing w:beforeLines="0" w:afterLines="0" w:line="440" w:lineRule="exact"/>
        <w:ind w:firstLine="476" w:firstLineChars="200"/>
        <w:jc w:val="both"/>
        <w:outlineLvl w:val="0"/>
        <w:rPr>
          <w:rFonts w:hint="default"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一、考场基本要求</w:t>
      </w:r>
    </w:p>
    <w:p>
      <w:pPr>
        <w:pStyle w:val="32"/>
        <w:numPr>
          <w:ilvl w:val="2"/>
          <w:numId w:val="0"/>
        </w:numPr>
        <w:spacing w:beforeLines="0" w:afterLines="0" w:line="440" w:lineRule="exact"/>
        <w:ind w:firstLine="476" w:firstLineChars="200"/>
        <w:jc w:val="both"/>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考试场地、路段、车辆配备、设施设备、考试系统以及考试项目、评判要求须符合《机动车驾驶人考试内容和方法》（GA1026-2022）、《机动车驾驶人考试系统通用技术条件》（GA/T1028-2022）、《机动车驾驶人考试场地及其设施设置规范》（GA1029-2022）和河南省公安厅交通管理局、南阳市公安局交通管理支队等要求。</w:t>
      </w:r>
    </w:p>
    <w:p>
      <w:pPr>
        <w:pStyle w:val="34"/>
        <w:numPr>
          <w:ilvl w:val="1"/>
          <w:numId w:val="0"/>
        </w:numPr>
        <w:spacing w:beforeLines="0" w:afterLines="0"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 xml:space="preserve">2、应建立场地、车辆、设施日常检查，考试系统日常维护，考试工作台帐记录管理，考试异常情况处置等完备的考场运行管理制度。 </w:t>
      </w:r>
    </w:p>
    <w:p>
      <w:pPr>
        <w:pStyle w:val="34"/>
        <w:numPr>
          <w:ilvl w:val="1"/>
          <w:numId w:val="0"/>
        </w:numPr>
        <w:spacing w:beforeLines="0" w:afterLines="0"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3、配备保障考场规范运行的工作人员。</w:t>
      </w:r>
    </w:p>
    <w:p>
      <w:pPr>
        <w:pStyle w:val="34"/>
        <w:numPr>
          <w:ilvl w:val="1"/>
          <w:numId w:val="0"/>
        </w:numPr>
        <w:spacing w:beforeLines="0" w:afterLines="0" w:line="440" w:lineRule="exact"/>
        <w:ind w:firstLine="238" w:firstLineChars="100"/>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（1）设置咨询岗、信息采集岗、安全管理岗、技术保障岗、中心监控岗等岗位及工作人员，负责考生身份验证、考试引导、考场巡查、远程监控等工作。</w:t>
      </w:r>
    </w:p>
    <w:p>
      <w:pPr>
        <w:pStyle w:val="34"/>
        <w:numPr>
          <w:ilvl w:val="1"/>
          <w:numId w:val="0"/>
        </w:numPr>
        <w:spacing w:beforeLines="0" w:afterLines="0" w:line="440" w:lineRule="exact"/>
        <w:ind w:firstLine="238" w:firstLineChars="100"/>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（2）工作人员需配备使用工作记录仪，考场须配备工作记录仪采集站和满足三个月存储时长的存储设备。</w:t>
      </w:r>
    </w:p>
    <w:p>
      <w:pPr>
        <w:spacing w:line="440" w:lineRule="exac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 xml:space="preserve">    4、配备齐全的便民服务设备设施。</w:t>
      </w:r>
    </w:p>
    <w:p>
      <w:pPr>
        <w:spacing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5、考试车要求。</w:t>
      </w:r>
    </w:p>
    <w:p>
      <w:pPr>
        <w:spacing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bookmarkStart w:id="0" w:name="_Toc317578064"/>
      <w:bookmarkStart w:id="1" w:name="_Toc315424782"/>
      <w:bookmarkStart w:id="2" w:name="_Toc322206933"/>
      <w:r>
        <w:rPr>
          <w:rFonts w:hint="eastAsia" w:asciiTheme="minorEastAsia" w:hAnsiTheme="minorEastAsia" w:eastAsiaTheme="minorEastAsia" w:cstheme="minorEastAsia"/>
          <w:snapToGrid w:val="0"/>
          <w:color w:val="000000"/>
          <w:spacing w:val="-1"/>
          <w:kern w:val="0"/>
          <w:sz w:val="24"/>
          <w:szCs w:val="24"/>
          <w:lang w:val="en-US" w:eastAsia="zh-CN" w:bidi="ar-SA"/>
        </w:rPr>
        <w:t>（1）车型要求：</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473"/>
        <w:gridCol w:w="1731"/>
        <w:gridCol w:w="51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3" w:hRule="atLeast"/>
        </w:trPr>
        <w:tc>
          <w:tcPr>
            <w:tcW w:w="1473" w:type="dxa"/>
            <w:tcBorders>
              <w:top w:val="single" w:color="auto" w:sz="8" w:space="0"/>
              <w:left w:val="single" w:color="auto" w:sz="8" w:space="0"/>
              <w:bottom w:val="single" w:color="auto" w:sz="8" w:space="0"/>
              <w:right w:val="single" w:color="auto" w:sz="4"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准驾车型</w:t>
            </w:r>
          </w:p>
        </w:tc>
        <w:tc>
          <w:tcPr>
            <w:tcW w:w="1731" w:type="dxa"/>
            <w:tcBorders>
              <w:top w:val="single" w:color="auto" w:sz="8" w:space="0"/>
              <w:left w:val="single" w:color="auto" w:sz="4" w:space="0"/>
              <w:bottom w:val="single" w:color="auto" w:sz="8" w:space="0"/>
              <w:right w:val="single" w:color="auto" w:sz="4"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考试车辆类型</w:t>
            </w:r>
          </w:p>
        </w:tc>
        <w:tc>
          <w:tcPr>
            <w:tcW w:w="5136" w:type="dxa"/>
            <w:tcBorders>
              <w:top w:val="single" w:color="auto" w:sz="8" w:space="0"/>
              <w:left w:val="single" w:color="auto" w:sz="4" w:space="0"/>
              <w:bottom w:val="single" w:color="auto" w:sz="8" w:space="0"/>
              <w:right w:val="single" w:color="auto" w:sz="8" w:space="0"/>
            </w:tcBorders>
            <w:noWrap w:val="0"/>
            <w:vAlign w:val="center"/>
          </w:tcPr>
          <w:p>
            <w:pPr>
              <w:pStyle w:val="32"/>
              <w:spacing w:beforeLines="0" w:afterLines="0" w:line="440" w:lineRule="exact"/>
              <w:ind w:left="0"/>
              <w:jc w:val="center"/>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3" w:hRule="atLeast"/>
        </w:trPr>
        <w:tc>
          <w:tcPr>
            <w:tcW w:w="1473" w:type="dxa"/>
            <w:tcBorders>
              <w:top w:val="single" w:color="auto" w:sz="8" w:space="0"/>
              <w:left w:val="single" w:color="auto" w:sz="8" w:space="0"/>
              <w:bottom w:val="single" w:color="auto" w:sz="4" w:space="0"/>
              <w:right w:val="single" w:color="auto" w:sz="4"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大型客车</w:t>
            </w:r>
          </w:p>
        </w:tc>
        <w:tc>
          <w:tcPr>
            <w:tcW w:w="1731" w:type="dxa"/>
            <w:vMerge w:val="restart"/>
            <w:tcBorders>
              <w:top w:val="single" w:color="auto" w:sz="8" w:space="0"/>
              <w:left w:val="single" w:color="auto" w:sz="4" w:space="0"/>
              <w:bottom w:val="single" w:color="auto" w:sz="4" w:space="0"/>
              <w:right w:val="single" w:color="auto" w:sz="4" w:space="0"/>
            </w:tcBorders>
            <w:noWrap w:val="0"/>
            <w:vAlign w:val="center"/>
          </w:tcPr>
          <w:p>
            <w:pPr>
              <w:pStyle w:val="32"/>
              <w:spacing w:beforeLines="0" w:afterLines="0" w:line="440" w:lineRule="exact"/>
              <w:ind w:left="0"/>
              <w:jc w:val="both"/>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大型载客汽车</w:t>
            </w:r>
          </w:p>
        </w:tc>
        <w:tc>
          <w:tcPr>
            <w:tcW w:w="5136" w:type="dxa"/>
            <w:vMerge w:val="restart"/>
            <w:tcBorders>
              <w:top w:val="single" w:color="auto" w:sz="8" w:space="0"/>
              <w:left w:val="single" w:color="auto" w:sz="4" w:space="0"/>
              <w:bottom w:val="single" w:color="auto" w:sz="4" w:space="0"/>
              <w:right w:val="single" w:color="auto" w:sz="8"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车长大于或等于9.0 m，科目二考试车辆的车宽大于或等于2.4m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86" w:hRule="atLeast"/>
        </w:trPr>
        <w:tc>
          <w:tcPr>
            <w:tcW w:w="1473" w:type="dxa"/>
            <w:tcBorders>
              <w:top w:val="single" w:color="auto" w:sz="4" w:space="0"/>
              <w:left w:val="single" w:color="auto" w:sz="8" w:space="0"/>
              <w:bottom w:val="single" w:color="auto" w:sz="4" w:space="0"/>
              <w:right w:val="single" w:color="auto" w:sz="4"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城市公交车</w:t>
            </w:r>
          </w:p>
        </w:tc>
        <w:tc>
          <w:tcPr>
            <w:tcW w:w="1731" w:type="dxa"/>
            <w:vMerge w:val="continue"/>
            <w:tcBorders>
              <w:top w:val="single" w:color="auto" w:sz="4" w:space="0"/>
              <w:left w:val="single" w:color="auto" w:sz="4" w:space="0"/>
              <w:bottom w:val="single" w:color="auto" w:sz="4" w:space="0"/>
              <w:right w:val="single" w:color="auto" w:sz="4" w:space="0"/>
            </w:tcBorders>
            <w:noWrap w:val="0"/>
            <w:vAlign w:val="center"/>
          </w:tcPr>
          <w:p>
            <w:pPr>
              <w:pStyle w:val="32"/>
              <w:spacing w:beforeLines="0" w:afterLines="0" w:line="440" w:lineRule="exact"/>
              <w:ind w:left="0"/>
              <w:jc w:val="both"/>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p>
        </w:tc>
        <w:tc>
          <w:tcPr>
            <w:tcW w:w="5136" w:type="dxa"/>
            <w:vMerge w:val="continue"/>
            <w:tcBorders>
              <w:top w:val="single" w:color="auto" w:sz="4" w:space="0"/>
              <w:left w:val="single" w:color="auto" w:sz="4" w:space="0"/>
              <w:bottom w:val="single" w:color="auto" w:sz="4" w:space="0"/>
              <w:right w:val="single" w:color="auto" w:sz="8"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86" w:hRule="atLeast"/>
        </w:trPr>
        <w:tc>
          <w:tcPr>
            <w:tcW w:w="1473" w:type="dxa"/>
            <w:tcBorders>
              <w:top w:val="single" w:color="auto" w:sz="4" w:space="0"/>
              <w:left w:val="single" w:color="auto" w:sz="8" w:space="0"/>
              <w:bottom w:val="single" w:color="auto" w:sz="4" w:space="0"/>
              <w:right w:val="single" w:color="auto" w:sz="4"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重型牵引挂车</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pStyle w:val="32"/>
              <w:spacing w:beforeLines="0" w:afterLines="0" w:line="440" w:lineRule="exact"/>
              <w:ind w:left="0"/>
              <w:jc w:val="both"/>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半挂汽车列车</w:t>
            </w:r>
          </w:p>
        </w:tc>
        <w:tc>
          <w:tcPr>
            <w:tcW w:w="5136" w:type="dxa"/>
            <w:tcBorders>
              <w:top w:val="single" w:color="auto" w:sz="4" w:space="0"/>
              <w:left w:val="single" w:color="auto" w:sz="4" w:space="0"/>
              <w:bottom w:val="single" w:color="auto" w:sz="4" w:space="0"/>
              <w:right w:val="single" w:color="auto" w:sz="8"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半挂牵引车和半挂车的组合，车长大于或等于12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86" w:hRule="atLeast"/>
        </w:trPr>
        <w:tc>
          <w:tcPr>
            <w:tcW w:w="1473" w:type="dxa"/>
            <w:tcBorders>
              <w:top w:val="single" w:color="auto" w:sz="4" w:space="0"/>
              <w:left w:val="single" w:color="auto" w:sz="8" w:space="0"/>
              <w:bottom w:val="single" w:color="auto" w:sz="4" w:space="0"/>
              <w:right w:val="single" w:color="auto" w:sz="4"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中型客车</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pStyle w:val="32"/>
              <w:spacing w:beforeLines="0" w:afterLines="0" w:line="440" w:lineRule="exact"/>
              <w:ind w:left="0"/>
              <w:jc w:val="both"/>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中型载客汽车</w:t>
            </w:r>
          </w:p>
        </w:tc>
        <w:tc>
          <w:tcPr>
            <w:tcW w:w="5136" w:type="dxa"/>
            <w:tcBorders>
              <w:top w:val="single" w:color="auto" w:sz="4" w:space="0"/>
              <w:left w:val="single" w:color="auto" w:sz="4" w:space="0"/>
              <w:bottom w:val="single" w:color="auto" w:sz="4" w:space="0"/>
              <w:right w:val="single" w:color="auto" w:sz="8" w:space="0"/>
            </w:tcBorders>
            <w:noWrap w:val="0"/>
            <w:vAlign w:val="top"/>
          </w:tcPr>
          <w:p>
            <w:pPr>
              <w:pStyle w:val="32"/>
              <w:spacing w:beforeLines="0" w:afterLines="0" w:line="440" w:lineRule="exact"/>
              <w:ind w:left="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车长大于或等于5.8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4" w:hRule="atLeast"/>
        </w:trPr>
        <w:tc>
          <w:tcPr>
            <w:tcW w:w="1473" w:type="dxa"/>
            <w:tcBorders>
              <w:top w:val="single" w:color="auto" w:sz="4" w:space="0"/>
              <w:left w:val="single" w:color="auto" w:sz="8" w:space="0"/>
              <w:bottom w:val="single" w:color="auto" w:sz="4" w:space="0"/>
              <w:right w:val="single" w:color="auto" w:sz="4"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大型货车</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pStyle w:val="32"/>
              <w:spacing w:beforeLines="0" w:afterLines="0" w:line="440" w:lineRule="exact"/>
              <w:ind w:left="0"/>
              <w:jc w:val="both"/>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重型载货汽车</w:t>
            </w:r>
          </w:p>
        </w:tc>
        <w:tc>
          <w:tcPr>
            <w:tcW w:w="5136" w:type="dxa"/>
            <w:tcBorders>
              <w:top w:val="single" w:color="auto" w:sz="4" w:space="0"/>
              <w:left w:val="single" w:color="auto" w:sz="4" w:space="0"/>
              <w:bottom w:val="single" w:color="auto" w:sz="4" w:space="0"/>
              <w:right w:val="single" w:color="auto" w:sz="8"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车长大于或等于9.0 m、车宽大于或等于2.4m、轴距大于或等于5.0 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4" w:hRule="atLeast"/>
        </w:trPr>
        <w:tc>
          <w:tcPr>
            <w:tcW w:w="1473" w:type="dxa"/>
            <w:vMerge w:val="restart"/>
            <w:tcBorders>
              <w:top w:val="single" w:color="auto" w:sz="4" w:space="0"/>
              <w:left w:val="single" w:color="auto" w:sz="8" w:space="0"/>
              <w:bottom w:val="single" w:color="auto" w:sz="4" w:space="0"/>
              <w:right w:val="single" w:color="auto" w:sz="4"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小型汽车</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pStyle w:val="32"/>
              <w:spacing w:beforeLines="0" w:afterLines="0" w:line="440" w:lineRule="exact"/>
              <w:ind w:left="0"/>
              <w:jc w:val="both"/>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手动挡轻型载货汽车</w:t>
            </w:r>
          </w:p>
        </w:tc>
        <w:tc>
          <w:tcPr>
            <w:tcW w:w="5136" w:type="dxa"/>
            <w:tcBorders>
              <w:top w:val="single" w:color="auto" w:sz="4" w:space="0"/>
              <w:left w:val="single" w:color="auto" w:sz="4" w:space="0"/>
              <w:bottom w:val="single" w:color="auto" w:sz="4" w:space="0"/>
              <w:right w:val="single" w:color="auto" w:sz="8"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车长大于或等于5.0m、车宽大于或等于1.7m、轴距大于或等于2.8m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4" w:hRule="atLeast"/>
        </w:trPr>
        <w:tc>
          <w:tcPr>
            <w:tcW w:w="1473" w:type="dxa"/>
            <w:vMerge w:val="continue"/>
            <w:tcBorders>
              <w:top w:val="single" w:color="auto" w:sz="4" w:space="0"/>
              <w:left w:val="single" w:color="auto" w:sz="8" w:space="0"/>
              <w:bottom w:val="single" w:color="auto" w:sz="4" w:space="0"/>
              <w:right w:val="single" w:color="auto" w:sz="4"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pStyle w:val="32"/>
              <w:spacing w:beforeLines="0" w:afterLines="0" w:line="440" w:lineRule="exact"/>
              <w:ind w:left="0"/>
              <w:jc w:val="both"/>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手动挡小型载客汽车</w:t>
            </w:r>
          </w:p>
        </w:tc>
        <w:tc>
          <w:tcPr>
            <w:tcW w:w="5136" w:type="dxa"/>
            <w:tcBorders>
              <w:top w:val="single" w:color="auto" w:sz="4" w:space="0"/>
              <w:left w:val="single" w:color="auto" w:sz="4" w:space="0"/>
              <w:bottom w:val="single" w:color="auto" w:sz="4" w:space="0"/>
              <w:right w:val="single" w:color="auto" w:sz="8"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车长大于或等于4.0m、车宽大于或等于1.65m、轴距大于或等于2.4m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4" w:hRule="atLeast"/>
        </w:trPr>
        <w:tc>
          <w:tcPr>
            <w:tcW w:w="1473" w:type="dxa"/>
            <w:vMerge w:val="restart"/>
            <w:tcBorders>
              <w:top w:val="single" w:color="auto" w:sz="4" w:space="0"/>
              <w:left w:val="single" w:color="auto" w:sz="8" w:space="0"/>
              <w:bottom w:val="single" w:color="auto" w:sz="8" w:space="0"/>
              <w:right w:val="single" w:color="auto" w:sz="4"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小型自动挡汽车</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pStyle w:val="32"/>
              <w:spacing w:beforeLines="0" w:afterLines="0" w:line="440" w:lineRule="exact"/>
              <w:ind w:left="0"/>
              <w:jc w:val="both"/>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自动挡轻型载货汽车</w:t>
            </w:r>
          </w:p>
        </w:tc>
        <w:tc>
          <w:tcPr>
            <w:tcW w:w="5136" w:type="dxa"/>
            <w:tcBorders>
              <w:top w:val="single" w:color="auto" w:sz="4" w:space="0"/>
              <w:left w:val="single" w:color="auto" w:sz="4" w:space="0"/>
              <w:bottom w:val="single" w:color="auto" w:sz="4" w:space="0"/>
              <w:right w:val="single" w:color="auto" w:sz="8"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车长大于或等于5.0m、车宽大于或等于1.7m、轴距大于或等于2.8m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2" w:hRule="atLeast"/>
        </w:trPr>
        <w:tc>
          <w:tcPr>
            <w:tcW w:w="1473" w:type="dxa"/>
            <w:vMerge w:val="continue"/>
            <w:tcBorders>
              <w:top w:val="single" w:color="auto" w:sz="4" w:space="0"/>
              <w:left w:val="single" w:color="auto" w:sz="8" w:space="0"/>
              <w:bottom w:val="single" w:color="auto" w:sz="4" w:space="0"/>
              <w:right w:val="single" w:color="auto" w:sz="4"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pStyle w:val="32"/>
              <w:spacing w:beforeLines="0" w:afterLines="0" w:line="440" w:lineRule="exact"/>
              <w:ind w:left="0"/>
              <w:jc w:val="both"/>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自动挡小型载客汽车</w:t>
            </w:r>
          </w:p>
        </w:tc>
        <w:tc>
          <w:tcPr>
            <w:tcW w:w="5136" w:type="dxa"/>
            <w:tcBorders>
              <w:top w:val="single" w:color="auto" w:sz="4" w:space="0"/>
              <w:left w:val="single" w:color="auto" w:sz="4" w:space="0"/>
              <w:bottom w:val="single" w:color="auto" w:sz="4" w:space="0"/>
              <w:right w:val="single" w:color="auto" w:sz="8"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车长大于或等于4.0m、车宽大于或等于1.65m、轴距大于或等于2.4m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4" w:hRule="atLeast"/>
        </w:trPr>
        <w:tc>
          <w:tcPr>
            <w:tcW w:w="1473" w:type="dxa"/>
            <w:vMerge w:val="restart"/>
            <w:tcBorders>
              <w:top w:val="single" w:color="auto" w:sz="4" w:space="0"/>
              <w:left w:val="single" w:color="auto" w:sz="8" w:space="0"/>
              <w:bottom w:val="single" w:color="auto" w:sz="4" w:space="0"/>
              <w:right w:val="single" w:color="auto" w:sz="4"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轻型牵引挂车</w:t>
            </w:r>
          </w:p>
        </w:tc>
        <w:tc>
          <w:tcPr>
            <w:tcW w:w="1731" w:type="dxa"/>
            <w:tcBorders>
              <w:top w:val="single" w:color="auto" w:sz="4" w:space="0"/>
              <w:left w:val="single" w:color="auto" w:sz="4" w:space="0"/>
              <w:bottom w:val="single" w:color="auto" w:sz="4" w:space="0"/>
              <w:right w:val="single" w:color="auto" w:sz="4" w:space="0"/>
            </w:tcBorders>
            <w:noWrap w:val="0"/>
            <w:vAlign w:val="center"/>
          </w:tcPr>
          <w:p>
            <w:pPr>
              <w:pStyle w:val="32"/>
              <w:spacing w:beforeLines="0" w:afterLines="0" w:line="440" w:lineRule="exact"/>
              <w:ind w:left="0"/>
              <w:jc w:val="both"/>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乘用车列车</w:t>
            </w:r>
          </w:p>
        </w:tc>
        <w:tc>
          <w:tcPr>
            <w:tcW w:w="5136" w:type="dxa"/>
            <w:tcBorders>
              <w:top w:val="single" w:color="auto" w:sz="4" w:space="0"/>
              <w:left w:val="single" w:color="auto" w:sz="4" w:space="0"/>
              <w:bottom w:val="single" w:color="auto" w:sz="4" w:space="0"/>
              <w:right w:val="single" w:color="auto" w:sz="8"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自动挡小型载客汽车与中置轴挂车的组合，组合车辆的车宽大于或等于2.0m、车长大于或等于10m、总质量小于4500kg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4" w:hRule="atLeast"/>
        </w:trPr>
        <w:tc>
          <w:tcPr>
            <w:tcW w:w="1473" w:type="dxa"/>
            <w:vMerge w:val="continue"/>
            <w:tcBorders>
              <w:top w:val="single" w:color="auto" w:sz="4" w:space="0"/>
              <w:left w:val="single" w:color="auto" w:sz="8" w:space="0"/>
              <w:bottom w:val="single" w:color="auto" w:sz="4" w:space="0"/>
              <w:right w:val="single" w:color="auto" w:sz="4"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pPr>
              <w:pStyle w:val="32"/>
              <w:spacing w:beforeLines="0" w:afterLines="0" w:line="440" w:lineRule="exact"/>
              <w:ind w:left="0"/>
              <w:jc w:val="both"/>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中置轴挂车列车</w:t>
            </w:r>
          </w:p>
        </w:tc>
        <w:tc>
          <w:tcPr>
            <w:tcW w:w="5136" w:type="dxa"/>
            <w:tcBorders>
              <w:top w:val="single" w:color="auto" w:sz="4" w:space="0"/>
              <w:left w:val="single" w:color="auto" w:sz="4" w:space="0"/>
              <w:bottom w:val="single" w:color="auto" w:sz="4" w:space="0"/>
              <w:right w:val="single" w:color="auto" w:sz="8"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自动挡轻型载货汽车与中置轴挂车的组合；组合车辆的车宽大于或等于2.0m、车长大于或等于10m、总质量小于4500kg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09" w:hRule="atLeast"/>
        </w:trPr>
        <w:tc>
          <w:tcPr>
            <w:tcW w:w="8340" w:type="dxa"/>
            <w:gridSpan w:val="3"/>
            <w:tcBorders>
              <w:top w:val="single" w:color="auto" w:sz="8" w:space="0"/>
              <w:left w:val="single" w:color="auto" w:sz="8" w:space="0"/>
              <w:bottom w:val="single" w:color="auto" w:sz="8" w:space="0"/>
              <w:right w:val="single" w:color="auto" w:sz="8" w:space="0"/>
            </w:tcBorders>
            <w:noWrap w:val="0"/>
            <w:vAlign w:val="top"/>
          </w:tcPr>
          <w:p>
            <w:pPr>
              <w:pStyle w:val="32"/>
              <w:spacing w:beforeLines="0" w:afterLines="0" w:line="440" w:lineRule="exact"/>
              <w:ind w:left="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注：除半挂汽车列车外，其他车辆尺寸以车辆公告参数或注册登记参数为准</w:t>
            </w:r>
          </w:p>
        </w:tc>
      </w:tr>
    </w:tbl>
    <w:p>
      <w:pPr>
        <w:pStyle w:val="33"/>
        <w:spacing w:before="0" w:beforeLines="0" w:after="0" w:afterLines="0" w:line="440" w:lineRule="exact"/>
        <w:ind w:left="0"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（2）车辆要求：</w:t>
      </w:r>
    </w:p>
    <w:p>
      <w:pPr>
        <w:pStyle w:val="33"/>
        <w:spacing w:before="0" w:beforeLines="0" w:after="0" w:afterLines="0" w:line="440" w:lineRule="exact"/>
        <w:ind w:left="0"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begin"/>
      </w:r>
      <w:r>
        <w:rPr>
          <w:rFonts w:hint="eastAsia" w:asciiTheme="minorEastAsia" w:hAnsiTheme="minorEastAsia" w:eastAsiaTheme="minorEastAsia" w:cstheme="minorEastAsia"/>
          <w:snapToGrid w:val="0"/>
          <w:color w:val="000000"/>
          <w:spacing w:val="-1"/>
          <w:kern w:val="0"/>
          <w:sz w:val="24"/>
          <w:szCs w:val="24"/>
          <w:lang w:val="en-US" w:eastAsia="en-US" w:bidi="ar-SA"/>
        </w:rPr>
        <w:instrText xml:space="preserve"> = 1 \* GB3 \* MERGEFORMAT </w:instrTex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separate"/>
      </w:r>
      <w:r>
        <w:rPr>
          <w:rFonts w:hint="eastAsia" w:asciiTheme="minorEastAsia" w:hAnsiTheme="minorEastAsia" w:eastAsiaTheme="minorEastAsia" w:cstheme="minorEastAsia"/>
          <w:snapToGrid w:val="0"/>
          <w:color w:val="000000"/>
          <w:spacing w:val="-1"/>
          <w:kern w:val="0"/>
          <w:sz w:val="24"/>
          <w:szCs w:val="24"/>
          <w:lang w:val="en-US" w:eastAsia="en-US" w:bidi="ar-SA"/>
        </w:rPr>
        <w:t>①</w: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end"/>
      </w:r>
      <w:r>
        <w:rPr>
          <w:rFonts w:hint="eastAsia" w:asciiTheme="minorEastAsia" w:hAnsiTheme="minorEastAsia" w:eastAsiaTheme="minorEastAsia" w:cstheme="minorEastAsia"/>
          <w:snapToGrid w:val="0"/>
          <w:color w:val="000000"/>
          <w:spacing w:val="-1"/>
          <w:kern w:val="0"/>
          <w:sz w:val="24"/>
          <w:szCs w:val="24"/>
          <w:lang w:val="en-US" w:eastAsia="en-US" w:bidi="ar-SA"/>
        </w:rPr>
        <w:t>考试车辆应设置明显的考试用车标志和考试车辆编号。</w:t>
      </w:r>
    </w:p>
    <w:p>
      <w:pPr>
        <w:pStyle w:val="33"/>
        <w:spacing w:before="0" w:beforeLines="0" w:after="0" w:afterLines="0" w:line="440" w:lineRule="exact"/>
        <w:ind w:left="0"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begin"/>
      </w:r>
      <w:r>
        <w:rPr>
          <w:rFonts w:hint="eastAsia" w:asciiTheme="minorEastAsia" w:hAnsiTheme="minorEastAsia" w:eastAsiaTheme="minorEastAsia" w:cstheme="minorEastAsia"/>
          <w:snapToGrid w:val="0"/>
          <w:color w:val="000000"/>
          <w:spacing w:val="-1"/>
          <w:kern w:val="0"/>
          <w:sz w:val="24"/>
          <w:szCs w:val="24"/>
          <w:lang w:val="en-US" w:eastAsia="en-US" w:bidi="ar-SA"/>
        </w:rPr>
        <w:instrText xml:space="preserve"> = 2 \* GB3 \* MERGEFORMAT </w:instrTex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separate"/>
      </w:r>
      <w:r>
        <w:rPr>
          <w:rFonts w:hint="eastAsia" w:asciiTheme="minorEastAsia" w:hAnsiTheme="minorEastAsia" w:eastAsiaTheme="minorEastAsia" w:cstheme="minorEastAsia"/>
          <w:snapToGrid w:val="0"/>
          <w:color w:val="000000"/>
          <w:spacing w:val="-1"/>
          <w:kern w:val="0"/>
          <w:sz w:val="24"/>
          <w:szCs w:val="24"/>
          <w:lang w:val="en-US" w:eastAsia="en-US" w:bidi="ar-SA"/>
        </w:rPr>
        <w:t>②</w: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end"/>
      </w:r>
      <w:r>
        <w:rPr>
          <w:rFonts w:hint="eastAsia" w:asciiTheme="minorEastAsia" w:hAnsiTheme="minorEastAsia" w:eastAsiaTheme="minorEastAsia" w:cstheme="minorEastAsia"/>
          <w:snapToGrid w:val="0"/>
          <w:color w:val="000000"/>
          <w:spacing w:val="-1"/>
          <w:kern w:val="0"/>
          <w:sz w:val="24"/>
          <w:szCs w:val="24"/>
          <w:lang w:val="en-US" w:eastAsia="en-US" w:bidi="ar-SA"/>
        </w:rPr>
        <w:t>考试车辆应需要驾驶人操作离合器、换挡杆才能完成换挡操作，驱动动力装置应为内燃机。</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begin"/>
      </w:r>
      <w:r>
        <w:rPr>
          <w:rFonts w:hint="eastAsia" w:asciiTheme="minorEastAsia" w:hAnsiTheme="minorEastAsia" w:eastAsiaTheme="minorEastAsia" w:cstheme="minorEastAsia"/>
          <w:snapToGrid w:val="0"/>
          <w:color w:val="000000"/>
          <w:spacing w:val="-1"/>
          <w:kern w:val="0"/>
          <w:sz w:val="24"/>
          <w:szCs w:val="24"/>
          <w:lang w:val="en-US" w:eastAsia="en-US" w:bidi="ar-SA"/>
        </w:rPr>
        <w:instrText xml:space="preserve"> = 3 \* GB3 \* MERGEFORMAT </w:instrTex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separate"/>
      </w:r>
      <w:r>
        <w:rPr>
          <w:rFonts w:hint="eastAsia" w:asciiTheme="minorEastAsia" w:hAnsiTheme="minorEastAsia" w:eastAsiaTheme="minorEastAsia" w:cstheme="minorEastAsia"/>
          <w:snapToGrid w:val="0"/>
          <w:color w:val="000000"/>
          <w:spacing w:val="-1"/>
          <w:kern w:val="0"/>
          <w:sz w:val="24"/>
          <w:szCs w:val="24"/>
          <w:lang w:val="en-US" w:eastAsia="en-US" w:bidi="ar-SA"/>
        </w:rPr>
        <w:t>③</w: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end"/>
      </w:r>
      <w:r>
        <w:rPr>
          <w:rFonts w:hint="eastAsia" w:asciiTheme="minorEastAsia" w:hAnsiTheme="minorEastAsia" w:eastAsiaTheme="minorEastAsia" w:cstheme="minorEastAsia"/>
          <w:snapToGrid w:val="0"/>
          <w:color w:val="000000"/>
          <w:spacing w:val="-1"/>
          <w:kern w:val="0"/>
          <w:sz w:val="24"/>
          <w:szCs w:val="24"/>
          <w:lang w:val="en-US" w:eastAsia="en-US" w:bidi="ar-SA"/>
        </w:rPr>
        <w:t>轻型牵引挂车的考试车辆应满足以下要求：</w:t>
      </w:r>
    </w:p>
    <w:p>
      <w:pPr>
        <w:numPr>
          <w:ilvl w:val="0"/>
          <w:numId w:val="2"/>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自动挡轻型载货汽车或自动挡小型载客汽车的车长大于或等于4.4m，车宽大于或等于1.65m，轴距大于或等于2.4m，准牵引总质量大于或等于1500kg，连接球头位于车辆纵向中心线上（偏差小于或等于10mm）；</w:t>
      </w:r>
    </w:p>
    <w:p>
      <w:pPr>
        <w:numPr>
          <w:ilvl w:val="0"/>
          <w:numId w:val="2"/>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中置轴挂车的箱体为尺寸不小于4.0m（长）×2.0m（宽）×1.5m（高）的近似长方体，总质量大于或等于1000kg；</w:t>
      </w:r>
    </w:p>
    <w:p>
      <w:pPr>
        <w:numPr>
          <w:ilvl w:val="0"/>
          <w:numId w:val="2"/>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 xml:space="preserve">自动挡轻型载货汽车或自动挡小型载客汽车与中置轴挂车采用A50连接球头连接； </w:t>
      </w:r>
    </w:p>
    <w:p>
      <w:pPr>
        <w:numPr>
          <w:ilvl w:val="0"/>
          <w:numId w:val="2"/>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中置轴挂车与自动挡小型载客汽车整备质量之比，当自动挡小型载客汽车为前轮驱动时小于或等于1.0，其他类型时小于或等于1.5；</w:t>
      </w:r>
    </w:p>
    <w:p>
      <w:pPr>
        <w:numPr>
          <w:ilvl w:val="0"/>
          <w:numId w:val="2"/>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后视镜满足观察中置轴挂车的需求，且其单侧外伸量不超出组合车辆最大宽度处250mm。</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begin"/>
      </w:r>
      <w:r>
        <w:rPr>
          <w:rFonts w:hint="eastAsia" w:asciiTheme="minorEastAsia" w:hAnsiTheme="minorEastAsia" w:eastAsiaTheme="minorEastAsia" w:cstheme="minorEastAsia"/>
          <w:snapToGrid w:val="0"/>
          <w:color w:val="000000"/>
          <w:spacing w:val="-1"/>
          <w:kern w:val="0"/>
          <w:sz w:val="24"/>
          <w:szCs w:val="24"/>
          <w:lang w:val="en-US" w:eastAsia="en-US" w:bidi="ar-SA"/>
        </w:rPr>
        <w:instrText xml:space="preserve"> = 4 \* GB3 \* MERGEFORMAT </w:instrTex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separate"/>
      </w:r>
      <w:r>
        <w:rPr>
          <w:rFonts w:hint="eastAsia" w:asciiTheme="minorEastAsia" w:hAnsiTheme="minorEastAsia" w:eastAsiaTheme="minorEastAsia" w:cstheme="minorEastAsia"/>
          <w:snapToGrid w:val="0"/>
          <w:color w:val="000000"/>
          <w:spacing w:val="-1"/>
          <w:kern w:val="0"/>
          <w:sz w:val="24"/>
          <w:szCs w:val="24"/>
          <w:lang w:val="en-US" w:eastAsia="en-US" w:bidi="ar-SA"/>
        </w:rPr>
        <w:t>④</w: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end"/>
      </w:r>
      <w:r>
        <w:rPr>
          <w:rFonts w:hint="eastAsia" w:asciiTheme="minorEastAsia" w:hAnsiTheme="minorEastAsia" w:eastAsiaTheme="minorEastAsia" w:cstheme="minorEastAsia"/>
          <w:snapToGrid w:val="0"/>
          <w:color w:val="000000"/>
          <w:spacing w:val="-1"/>
          <w:kern w:val="0"/>
          <w:sz w:val="24"/>
          <w:szCs w:val="24"/>
          <w:lang w:val="en-US" w:eastAsia="en-US" w:bidi="ar-SA"/>
        </w:rPr>
        <w:t>考试车辆不应安装副离合等可辅助考试操作的装置，不应固定油门、拆除原车座椅或头枕等。</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begin"/>
      </w:r>
      <w:r>
        <w:rPr>
          <w:rFonts w:hint="eastAsia" w:asciiTheme="minorEastAsia" w:hAnsiTheme="minorEastAsia" w:eastAsiaTheme="minorEastAsia" w:cstheme="minorEastAsia"/>
          <w:snapToGrid w:val="0"/>
          <w:color w:val="000000"/>
          <w:spacing w:val="-1"/>
          <w:kern w:val="0"/>
          <w:sz w:val="24"/>
          <w:szCs w:val="24"/>
          <w:lang w:val="en-US" w:eastAsia="en-US" w:bidi="ar-SA"/>
        </w:rPr>
        <w:instrText xml:space="preserve"> = 5 \* GB3 \* MERGEFORMAT </w:instrTex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separate"/>
      </w:r>
      <w:r>
        <w:rPr>
          <w:rFonts w:hint="eastAsia" w:asciiTheme="minorEastAsia" w:hAnsiTheme="minorEastAsia" w:eastAsiaTheme="minorEastAsia" w:cstheme="minorEastAsia"/>
          <w:snapToGrid w:val="0"/>
          <w:color w:val="000000"/>
          <w:spacing w:val="-1"/>
          <w:kern w:val="0"/>
          <w:sz w:val="24"/>
          <w:szCs w:val="24"/>
          <w:lang w:val="en-US" w:eastAsia="en-US" w:bidi="ar-SA"/>
        </w:rPr>
        <w:t>⑤</w: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end"/>
      </w:r>
      <w:r>
        <w:rPr>
          <w:rFonts w:hint="eastAsia" w:asciiTheme="minorEastAsia" w:hAnsiTheme="minorEastAsia" w:eastAsiaTheme="minorEastAsia" w:cstheme="minorEastAsia"/>
          <w:snapToGrid w:val="0"/>
          <w:color w:val="000000"/>
          <w:spacing w:val="-1"/>
          <w:kern w:val="0"/>
          <w:sz w:val="24"/>
          <w:szCs w:val="24"/>
          <w:lang w:val="en-US" w:eastAsia="en-US" w:bidi="ar-SA"/>
        </w:rPr>
        <w:t>考试车辆驻车制动不应使用电子控制装置，不应具备坡道辅助、一键启动等装置或功能。</w:t>
      </w:r>
    </w:p>
    <w:p>
      <w:pPr>
        <w:pStyle w:val="33"/>
        <w:numPr>
          <w:ilvl w:val="2"/>
          <w:numId w:val="0"/>
        </w:numPr>
        <w:spacing w:before="0" w:beforeLines="0" w:after="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begin"/>
      </w:r>
      <w:r>
        <w:rPr>
          <w:rFonts w:hint="eastAsia" w:asciiTheme="minorEastAsia" w:hAnsiTheme="minorEastAsia" w:eastAsiaTheme="minorEastAsia" w:cstheme="minorEastAsia"/>
          <w:snapToGrid w:val="0"/>
          <w:color w:val="000000"/>
          <w:spacing w:val="-1"/>
          <w:kern w:val="0"/>
          <w:sz w:val="24"/>
          <w:szCs w:val="24"/>
          <w:lang w:val="en-US" w:eastAsia="en-US" w:bidi="ar-SA"/>
        </w:rPr>
        <w:instrText xml:space="preserve"> = 6 \* GB3 \* MERGEFORMAT </w:instrTex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separate"/>
      </w:r>
      <w:r>
        <w:rPr>
          <w:rFonts w:hint="eastAsia" w:asciiTheme="minorEastAsia" w:hAnsiTheme="minorEastAsia" w:eastAsiaTheme="minorEastAsia" w:cstheme="minorEastAsia"/>
          <w:snapToGrid w:val="0"/>
          <w:color w:val="000000"/>
          <w:spacing w:val="-1"/>
          <w:kern w:val="0"/>
          <w:sz w:val="24"/>
          <w:szCs w:val="24"/>
          <w:lang w:val="en-US" w:eastAsia="en-US" w:bidi="ar-SA"/>
        </w:rPr>
        <w:t>⑥</w: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end"/>
      </w:r>
      <w:r>
        <w:rPr>
          <w:rFonts w:hint="eastAsia" w:asciiTheme="minorEastAsia" w:hAnsiTheme="minorEastAsia" w:eastAsiaTheme="minorEastAsia" w:cstheme="minorEastAsia"/>
          <w:snapToGrid w:val="0"/>
          <w:color w:val="000000"/>
          <w:spacing w:val="-1"/>
          <w:kern w:val="0"/>
          <w:sz w:val="24"/>
          <w:szCs w:val="24"/>
          <w:lang w:val="en-US" w:eastAsia="en-US" w:bidi="ar-SA"/>
        </w:rPr>
        <w:t>考试车辆的使用年限不应超过8年。（注：使用年限从注册登记之日起算。）</w:t>
      </w:r>
    </w:p>
    <w:bookmarkEnd w:id="0"/>
    <w:bookmarkEnd w:id="1"/>
    <w:bookmarkEnd w:id="2"/>
    <w:p>
      <w:pPr>
        <w:pStyle w:val="32"/>
        <w:numPr>
          <w:ilvl w:val="2"/>
          <w:numId w:val="0"/>
        </w:numPr>
        <w:spacing w:beforeLines="0" w:afterLines="0" w:line="440" w:lineRule="exact"/>
        <w:outlineLvl w:val="0"/>
        <w:rPr>
          <w:rFonts w:hint="eastAsia" w:asciiTheme="minorEastAsia" w:hAnsiTheme="minorEastAsia" w:eastAsiaTheme="minorEastAsia" w:cstheme="minorEastAsia"/>
          <w:b/>
          <w:bCs/>
          <w:snapToGrid w:val="0"/>
          <w:color w:val="000000"/>
          <w:spacing w:val="-1"/>
          <w:kern w:val="0"/>
          <w:sz w:val="24"/>
          <w:szCs w:val="24"/>
          <w:lang w:val="en-US" w:eastAsia="en-US" w:bidi="ar-SA"/>
        </w:rPr>
      </w:pPr>
      <w:r>
        <w:rPr>
          <w:rFonts w:hint="eastAsia" w:asciiTheme="minorEastAsia" w:hAnsiTheme="minorEastAsia" w:eastAsiaTheme="minorEastAsia" w:cstheme="minorEastAsia"/>
          <w:b/>
          <w:bCs/>
          <w:snapToGrid w:val="0"/>
          <w:color w:val="000000"/>
          <w:spacing w:val="-1"/>
          <w:kern w:val="0"/>
          <w:sz w:val="24"/>
          <w:szCs w:val="24"/>
          <w:lang w:val="en-US" w:eastAsia="zh-CN" w:bidi="ar-SA"/>
        </w:rPr>
        <w:t>二</w:t>
      </w:r>
      <w:r>
        <w:rPr>
          <w:rFonts w:hint="eastAsia" w:asciiTheme="minorEastAsia" w:hAnsiTheme="minorEastAsia" w:eastAsiaTheme="minorEastAsia" w:cstheme="minorEastAsia"/>
          <w:b/>
          <w:bCs/>
          <w:snapToGrid w:val="0"/>
          <w:color w:val="000000"/>
          <w:spacing w:val="-1"/>
          <w:kern w:val="0"/>
          <w:sz w:val="24"/>
          <w:szCs w:val="24"/>
          <w:lang w:val="en-US" w:eastAsia="en-US" w:bidi="ar-SA"/>
        </w:rPr>
        <w:t>、各标段建设其他标准：</w:t>
      </w:r>
    </w:p>
    <w:p>
      <w:pPr>
        <w:pStyle w:val="32"/>
        <w:numPr>
          <w:ilvl w:val="2"/>
          <w:numId w:val="0"/>
        </w:numPr>
        <w:spacing w:beforeLines="0" w:afterLines="0" w:line="440" w:lineRule="exact"/>
        <w:outlineLvl w:val="0"/>
        <w:rPr>
          <w:rFonts w:hint="eastAsia" w:asciiTheme="minorEastAsia" w:hAnsiTheme="minorEastAsia" w:eastAsiaTheme="minorEastAsia" w:cstheme="minorEastAsia"/>
          <w:b/>
          <w:bCs/>
          <w:snapToGrid w:val="0"/>
          <w:color w:val="000000"/>
          <w:spacing w:val="-1"/>
          <w:kern w:val="0"/>
          <w:sz w:val="24"/>
          <w:szCs w:val="24"/>
          <w:lang w:val="en-US" w:eastAsia="en-US" w:bidi="ar-SA"/>
        </w:rPr>
      </w:pPr>
      <w:r>
        <w:rPr>
          <w:rFonts w:hint="eastAsia" w:asciiTheme="minorEastAsia" w:hAnsiTheme="minorEastAsia" w:eastAsiaTheme="minorEastAsia" w:cstheme="minorEastAsia"/>
          <w:b/>
          <w:bCs/>
          <w:snapToGrid w:val="0"/>
          <w:color w:val="000000"/>
          <w:spacing w:val="-1"/>
          <w:kern w:val="0"/>
          <w:sz w:val="24"/>
          <w:szCs w:val="24"/>
          <w:lang w:val="en-US" w:eastAsia="en-US" w:bidi="ar-SA"/>
        </w:rPr>
        <w:t>第一标段：</w:t>
      </w:r>
    </w:p>
    <w:p>
      <w:pPr>
        <w:pStyle w:val="32"/>
        <w:numPr>
          <w:ilvl w:val="2"/>
          <w:numId w:val="0"/>
        </w:numPr>
        <w:spacing w:beforeLines="0" w:afterLines="0" w:line="440" w:lineRule="exact"/>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科目一</w:t>
      </w:r>
      <w:r>
        <w:rPr>
          <w:rFonts w:hint="eastAsia" w:asciiTheme="minorEastAsia" w:hAnsiTheme="minorEastAsia" w:eastAsiaTheme="minorEastAsia" w:cstheme="minorEastAsia"/>
          <w:snapToGrid w:val="0"/>
          <w:color w:val="000000"/>
          <w:spacing w:val="-1"/>
          <w:kern w:val="0"/>
          <w:sz w:val="24"/>
          <w:szCs w:val="24"/>
          <w:lang w:val="en-US" w:eastAsia="en-US" w:bidi="ar-SA"/>
        </w:rPr>
        <w:t>考场要求：</w:t>
      </w:r>
    </w:p>
    <w:p>
      <w:pPr>
        <w:pStyle w:val="32"/>
        <w:numPr>
          <w:ilvl w:val="0"/>
          <w:numId w:val="0"/>
        </w:numPr>
        <w:spacing w:beforeLines="0" w:afterLines="0" w:line="440" w:lineRule="exact"/>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w:t>
      </w:r>
      <w:r>
        <w:rPr>
          <w:rFonts w:hint="eastAsia" w:asciiTheme="minorEastAsia" w:hAnsiTheme="minorEastAsia" w:eastAsiaTheme="minorEastAsia" w:cstheme="minorEastAsia"/>
          <w:snapToGrid w:val="0"/>
          <w:color w:val="000000"/>
          <w:spacing w:val="-1"/>
          <w:kern w:val="0"/>
          <w:sz w:val="24"/>
          <w:szCs w:val="24"/>
          <w:lang w:val="en-US" w:eastAsia="en-US" w:bidi="ar-SA"/>
        </w:rPr>
        <w:t>场地设置要求</w:t>
      </w:r>
      <w:bookmarkStart w:id="3" w:name="_Toc315424752"/>
      <w:bookmarkStart w:id="4" w:name="OLE_LINK51"/>
      <w:bookmarkStart w:id="5" w:name="_Toc317578034"/>
      <w:bookmarkStart w:id="6" w:name="_Toc322206903"/>
    </w:p>
    <w:p>
      <w:pPr>
        <w:pStyle w:val="32"/>
        <w:spacing w:beforeLines="0" w:afterLines="0" w:line="440" w:lineRule="exact"/>
        <w:ind w:left="0" w:leftChars="0" w:firstLine="0" w:firstLineChars="0"/>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（1）场地组成</w:t>
      </w:r>
    </w:p>
    <w:p>
      <w:pPr>
        <w:pStyle w:val="33"/>
        <w:spacing w:before="0" w:beforeLines="0" w:after="0" w:afterLines="0" w:line="440" w:lineRule="exact"/>
        <w:ind w:left="0" w:firstLine="476" w:firstLineChars="200"/>
        <w:jc w:val="both"/>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场地应设置候考区、考试区、控制区、机房等功能性场所，配套设置公共卫生设施、公共服务区、停车区等服务性场所，并设置资料室、办公室等。</w:t>
      </w:r>
    </w:p>
    <w:p>
      <w:pPr>
        <w:pStyle w:val="33"/>
        <w:spacing w:before="0" w:beforeLines="0" w:after="0" w:afterLines="0" w:line="440" w:lineRule="exact"/>
        <w:ind w:left="0" w:leftChars="0" w:firstLine="0" w:firstLineChars="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（2）休息区面积不低于200平方米，候考区面积不低于80平方米，应配备以下设备、设施：</w:t>
      </w:r>
    </w:p>
    <w:p>
      <w:pPr>
        <w:numPr>
          <w:ilvl w:val="0"/>
          <w:numId w:val="3"/>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考生自助签到设备；</w:t>
      </w:r>
    </w:p>
    <w:p>
      <w:pPr>
        <w:numPr>
          <w:ilvl w:val="0"/>
          <w:numId w:val="3"/>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考试组织动态信息公告设备；</w:t>
      </w:r>
    </w:p>
    <w:p>
      <w:pPr>
        <w:numPr>
          <w:ilvl w:val="0"/>
          <w:numId w:val="3"/>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用于安全管理的视频监控设备；</w:t>
      </w:r>
    </w:p>
    <w:p>
      <w:pPr>
        <w:numPr>
          <w:ilvl w:val="0"/>
          <w:numId w:val="3"/>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用于播放交通安全宣传片的设备；</w:t>
      </w:r>
    </w:p>
    <w:p>
      <w:pPr>
        <w:numPr>
          <w:ilvl w:val="0"/>
          <w:numId w:val="3"/>
        </w:numPr>
        <w:autoSpaceDE w:val="0"/>
        <w:autoSpaceDN w:val="0"/>
        <w:adjustRightInd w:val="0"/>
        <w:snapToGrid w:val="0"/>
        <w:spacing w:line="440" w:lineRule="exact"/>
        <w:ind w:left="0" w:hanging="315"/>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数量足够的休息座椅及饮用水、储物等便民服务设施；</w:t>
      </w:r>
    </w:p>
    <w:p>
      <w:pPr>
        <w:numPr>
          <w:ilvl w:val="0"/>
          <w:numId w:val="3"/>
        </w:numPr>
        <w:autoSpaceDE w:val="0"/>
        <w:autoSpaceDN w:val="0"/>
        <w:adjustRightInd w:val="0"/>
        <w:snapToGrid w:val="0"/>
        <w:spacing w:line="440" w:lineRule="exact"/>
        <w:ind w:left="0" w:hanging="315"/>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封闭管理的，设置紧急出口或应急通道。</w:t>
      </w:r>
    </w:p>
    <w:p>
      <w:pPr>
        <w:pStyle w:val="33"/>
        <w:spacing w:before="0" w:beforeLines="0" w:after="0" w:afterLines="0" w:line="440" w:lineRule="exact"/>
        <w:ind w:left="0" w:leftChars="0" w:firstLine="0" w:firstLineChars="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（3）考试区应符合以下要求：</w:t>
      </w:r>
    </w:p>
    <w:p>
      <w:pPr>
        <w:numPr>
          <w:ilvl w:val="0"/>
          <w:numId w:val="4"/>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场地面积不低于150平方米，封闭式物理隔离，出入口设置管理设备，能实现出入人员分类控制；</w:t>
      </w:r>
    </w:p>
    <w:p>
      <w:pPr>
        <w:numPr>
          <w:ilvl w:val="0"/>
          <w:numId w:val="4"/>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计算机考台设置清晰的考台编号，无妨碍观察考生答题操作的挡板；</w:t>
      </w:r>
    </w:p>
    <w:p>
      <w:pPr>
        <w:numPr>
          <w:ilvl w:val="0"/>
          <w:numId w:val="4"/>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每个考位面积不少于2平方米，设置方便残疾人考试的考位，每日核定考试能力不得少于600人；</w:t>
      </w:r>
    </w:p>
    <w:p>
      <w:pPr>
        <w:numPr>
          <w:ilvl w:val="0"/>
          <w:numId w:val="4"/>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bookmarkStart w:id="7" w:name="_Toc187030361"/>
      <w:bookmarkStart w:id="8" w:name="_Toc181072611"/>
      <w:bookmarkStart w:id="9" w:name="_Toc180895463"/>
      <w:bookmarkStart w:id="10" w:name="_Toc322502969"/>
      <w:bookmarkStart w:id="11" w:name="_Toc179545845"/>
      <w:bookmarkStart w:id="12" w:name="_Toc209108847"/>
      <w:bookmarkStart w:id="13" w:name="_Toc180895412"/>
      <w:bookmarkStart w:id="14" w:name="_Toc322206912"/>
      <w:bookmarkStart w:id="15" w:name="_Toc187463734"/>
      <w:bookmarkStart w:id="16" w:name="_Toc187027054"/>
      <w:bookmarkStart w:id="17" w:name="_Toc230430257"/>
      <w:bookmarkStart w:id="18" w:name="_Toc187025631"/>
      <w:bookmarkStart w:id="19" w:name="_Toc179543523"/>
      <w:bookmarkStart w:id="20" w:name="_Toc187030470"/>
      <w:bookmarkStart w:id="21" w:name="_Toc230773334"/>
      <w:bookmarkStart w:id="22" w:name="_Toc187464945"/>
      <w:bookmarkStart w:id="23" w:name="_Toc187465049"/>
      <w:bookmarkStart w:id="24" w:name="_Toc187030246"/>
      <w:bookmarkStart w:id="25" w:name="_Toc311039327"/>
      <w:bookmarkStart w:id="26" w:name="_Toc230773381"/>
      <w:bookmarkStart w:id="27" w:name="_Toc187464737"/>
      <w:bookmarkStart w:id="28" w:name="_Toc187464841"/>
      <w:bookmarkStart w:id="29" w:name="_Toc230773426"/>
      <w:bookmarkStart w:id="30" w:name="_Toc232409712"/>
      <w:bookmarkStart w:id="31" w:name="_Toc187025783"/>
      <w:bookmarkStart w:id="32" w:name="_Toc187464632"/>
      <w:bookmarkStart w:id="33" w:name="_Toc179544623"/>
      <w:bookmarkStart w:id="34" w:name="_Toc179543501"/>
      <w:bookmarkStart w:id="35" w:name="_Toc186874663"/>
      <w:bookmarkStart w:id="36" w:name="_Toc187465154"/>
      <w:bookmarkStart w:id="37" w:name="_Toc180311789"/>
      <w:bookmarkStart w:id="38" w:name="_Toc180895354"/>
      <w:bookmarkStart w:id="39" w:name="_Toc187465387"/>
      <w:bookmarkStart w:id="40" w:name="_Toc231005835"/>
      <w:bookmarkStart w:id="41" w:name="_Toc231543525"/>
      <w:bookmarkStart w:id="42" w:name="_Toc179543473"/>
      <w:r>
        <w:rPr>
          <w:rFonts w:hint="eastAsia" w:asciiTheme="minorEastAsia" w:hAnsiTheme="minorEastAsia" w:eastAsiaTheme="minorEastAsia" w:cstheme="minorEastAsia"/>
          <w:snapToGrid w:val="0"/>
          <w:color w:val="000000"/>
          <w:spacing w:val="-1"/>
          <w:kern w:val="0"/>
          <w:sz w:val="24"/>
          <w:szCs w:val="24"/>
          <w:lang w:val="en-US" w:eastAsia="zh-CN" w:bidi="ar-SA"/>
        </w:rPr>
        <w:t>设置覆盖整个封闭考试区的全景视频监控，能清晰反映每个考生及考位周围情况；</w:t>
      </w:r>
    </w:p>
    <w:p>
      <w:pPr>
        <w:numPr>
          <w:ilvl w:val="0"/>
          <w:numId w:val="4"/>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分区域设置反映考生考试操作情况的视频监控；</w:t>
      </w:r>
    </w:p>
    <w:p>
      <w:pPr>
        <w:numPr>
          <w:ilvl w:val="0"/>
          <w:numId w:val="4"/>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设置紧急出口或应急通道；</w:t>
      </w:r>
    </w:p>
    <w:p>
      <w:pPr>
        <w:numPr>
          <w:ilvl w:val="0"/>
          <w:numId w:val="4"/>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计算机考台表面的光照度大于或等于300 lx。</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Pr>
        <w:pStyle w:val="33"/>
        <w:spacing w:before="0" w:beforeLines="0" w:after="0" w:afterLines="0" w:line="440" w:lineRule="exact"/>
        <w:ind w:left="0" w:leftChars="0" w:firstLine="0" w:firstLineChars="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（4）控制区应符合以下要求：</w:t>
      </w:r>
    </w:p>
    <w:p>
      <w:pPr>
        <w:numPr>
          <w:ilvl w:val="0"/>
          <w:numId w:val="5"/>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配备用于查看考台状态、在考及待考考生信息的显示设备；</w:t>
      </w:r>
    </w:p>
    <w:p>
      <w:pPr>
        <w:numPr>
          <w:ilvl w:val="0"/>
          <w:numId w:val="5"/>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配备封闭考试区、候考区视频监控的显示设备；</w:t>
      </w:r>
    </w:p>
    <w:p>
      <w:pPr>
        <w:numPr>
          <w:ilvl w:val="0"/>
          <w:numId w:val="5"/>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配备监控控制区的视频设备。</w:t>
      </w:r>
    </w:p>
    <w:p>
      <w:pPr>
        <w:pStyle w:val="33"/>
        <w:spacing w:before="0" w:beforeLines="0" w:after="0" w:afterLines="0" w:line="440" w:lineRule="exact"/>
        <w:ind w:left="0" w:leftChars="0" w:firstLine="0" w:firstLineChars="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（5）机房应符合以下要求：</w:t>
      </w:r>
    </w:p>
    <w:p>
      <w:pPr>
        <w:numPr>
          <w:ilvl w:val="0"/>
          <w:numId w:val="6"/>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设置独立出入口，具备独立管理条件；</w:t>
      </w:r>
    </w:p>
    <w:p>
      <w:pPr>
        <w:numPr>
          <w:ilvl w:val="0"/>
          <w:numId w:val="6"/>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配备监控机房入口或内部的视频设备；</w:t>
      </w:r>
    </w:p>
    <w:p>
      <w:pPr>
        <w:numPr>
          <w:ilvl w:val="0"/>
          <w:numId w:val="6"/>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内部温、湿度受控，地面铺设防静电地板。</w:t>
      </w:r>
    </w:p>
    <w:p>
      <w:pPr>
        <w:pStyle w:val="36"/>
        <w:numPr>
          <w:ilvl w:val="0"/>
          <w:numId w:val="0"/>
        </w:numPr>
        <w:spacing w:beforeLines="0" w:afterLines="0" w:line="440" w:lineRule="exact"/>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用于考试的应用服务器、考试过程音视频监控记录存储设备应设置在机房内。</w:t>
      </w:r>
    </w:p>
    <w:p>
      <w:pPr>
        <w:pStyle w:val="34"/>
        <w:spacing w:beforeLines="0" w:afterLines="0" w:line="440" w:lineRule="exact"/>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2、场地设施要求</w:t>
      </w:r>
    </w:p>
    <w:p>
      <w:pPr>
        <w:pStyle w:val="33"/>
        <w:spacing w:before="0" w:beforeLines="0" w:after="0" w:afterLines="0" w:line="440" w:lineRule="exact"/>
        <w:ind w:left="0" w:leftChars="0" w:firstLine="0" w:firstLineChars="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（1）场地设施组成</w:t>
      </w:r>
    </w:p>
    <w:p>
      <w:pPr>
        <w:pStyle w:val="35"/>
        <w:spacing w:line="440" w:lineRule="exact"/>
        <w:ind w:left="0" w:leftChars="0" w:firstLine="0" w:firstLineChars="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场地应设置供电设施、网络设施、信息公告设施、考台计算机、应用服务器、管理计算机、防作弊设施、消防安全设施等。</w:t>
      </w:r>
    </w:p>
    <w:p>
      <w:pPr>
        <w:pStyle w:val="33"/>
        <w:spacing w:before="0" w:beforeLines="0" w:after="0" w:afterLines="0" w:line="440" w:lineRule="exact"/>
        <w:ind w:left="0" w:leftChars="0" w:firstLine="0" w:firstLineChars="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（2）供电设施</w:t>
      </w:r>
    </w:p>
    <w:p>
      <w:pPr>
        <w:pStyle w:val="35"/>
        <w:spacing w:line="440" w:lineRule="exact"/>
        <w:ind w:left="0" w:leftChars="0" w:firstLine="0" w:firstLineChars="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主供电端应安装过载、漏电、短路等保护装置和防雷装置，应配备不间断备用电源保证停电后计算机考台、网络交换机、音视频监控等设备正常工作至正在进行考试的考生完成考试。</w:t>
      </w:r>
    </w:p>
    <w:p>
      <w:pPr>
        <w:pStyle w:val="33"/>
        <w:spacing w:before="0" w:beforeLines="0" w:after="0" w:afterLines="0" w:line="440" w:lineRule="exact"/>
        <w:ind w:left="0" w:leftChars="0" w:firstLine="0" w:firstLineChars="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（3）网络设施</w:t>
      </w:r>
    </w:p>
    <w:p>
      <w:pPr>
        <w:pStyle w:val="36"/>
        <w:numPr>
          <w:ilvl w:val="0"/>
          <w:numId w:val="0"/>
        </w:numPr>
        <w:spacing w:beforeLines="0" w:afterLines="0" w:line="440" w:lineRule="exact"/>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default" w:ascii="Calibri" w:hAnsi="Calibri" w:cs="Calibri" w:eastAsiaTheme="minorEastAsia"/>
          <w:snapToGrid w:val="0"/>
          <w:color w:val="000000"/>
          <w:spacing w:val="-1"/>
          <w:kern w:val="0"/>
          <w:sz w:val="24"/>
          <w:szCs w:val="24"/>
          <w:lang w:val="en-US" w:eastAsia="en-US" w:bidi="ar-SA"/>
        </w:rPr>
        <w:t>①</w:t>
      </w:r>
      <w:r>
        <w:rPr>
          <w:rFonts w:hint="eastAsia" w:asciiTheme="minorEastAsia" w:hAnsiTheme="minorEastAsia" w:eastAsiaTheme="minorEastAsia" w:cstheme="minorEastAsia"/>
          <w:snapToGrid w:val="0"/>
          <w:color w:val="000000"/>
          <w:spacing w:val="-1"/>
          <w:kern w:val="0"/>
          <w:sz w:val="24"/>
          <w:szCs w:val="24"/>
          <w:lang w:val="en-US" w:eastAsia="en-US" w:bidi="ar-SA"/>
        </w:rPr>
        <w:t>考试网络设施应符合以下要求：</w:t>
      </w:r>
    </w:p>
    <w:p>
      <w:pPr>
        <w:numPr>
          <w:ilvl w:val="0"/>
          <w:numId w:val="7"/>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应用服务器与计算机考台之间网络带宽大于或等于1000 Mbit/s；</w:t>
      </w:r>
    </w:p>
    <w:p>
      <w:pPr>
        <w:numPr>
          <w:ilvl w:val="0"/>
          <w:numId w:val="7"/>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交换机独立设置，具备独立管理条件；</w:t>
      </w:r>
    </w:p>
    <w:p>
      <w:pPr>
        <w:numPr>
          <w:ilvl w:val="0"/>
          <w:numId w:val="7"/>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接入交换机的网线清晰标识其用途；</w:t>
      </w:r>
    </w:p>
    <w:p>
      <w:pPr>
        <w:numPr>
          <w:ilvl w:val="0"/>
          <w:numId w:val="7"/>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连接交换机与应用服务器或交换机与计算机考台的网线连续无接头，走向清晰；</w:t>
      </w:r>
    </w:p>
    <w:p>
      <w:pPr>
        <w:numPr>
          <w:ilvl w:val="0"/>
          <w:numId w:val="7"/>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能满足考试相关信息的接收、存贮、处理、交换、传输；</w:t>
      </w:r>
    </w:p>
    <w:p>
      <w:pPr>
        <w:numPr>
          <w:ilvl w:val="0"/>
          <w:numId w:val="7"/>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与其他网络物理隔离；</w:t>
      </w:r>
    </w:p>
    <w:p>
      <w:pPr>
        <w:numPr>
          <w:ilvl w:val="0"/>
          <w:numId w:val="7"/>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防雷设计符合GB 50343的要求。</w:t>
      </w:r>
    </w:p>
    <w:p>
      <w:pPr>
        <w:pStyle w:val="36"/>
        <w:numPr>
          <w:ilvl w:val="0"/>
          <w:numId w:val="0"/>
        </w:numPr>
        <w:spacing w:beforeLines="0" w:afterLines="0" w:line="440" w:lineRule="exact"/>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begin"/>
      </w:r>
      <w:r>
        <w:rPr>
          <w:rFonts w:hint="eastAsia" w:asciiTheme="minorEastAsia" w:hAnsiTheme="minorEastAsia" w:eastAsiaTheme="minorEastAsia" w:cstheme="minorEastAsia"/>
          <w:snapToGrid w:val="0"/>
          <w:color w:val="000000"/>
          <w:spacing w:val="-1"/>
          <w:kern w:val="0"/>
          <w:sz w:val="24"/>
          <w:szCs w:val="24"/>
          <w:lang w:val="en-US" w:eastAsia="en-US" w:bidi="ar-SA"/>
        </w:rPr>
        <w:instrText xml:space="preserve"> = 2 \* GB3 \* MERGEFORMAT </w:instrTex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separate"/>
      </w:r>
      <w:r>
        <w:rPr>
          <w:rFonts w:hint="eastAsia" w:asciiTheme="minorEastAsia" w:hAnsiTheme="minorEastAsia" w:eastAsiaTheme="minorEastAsia" w:cstheme="minorEastAsia"/>
          <w:snapToGrid w:val="0"/>
          <w:color w:val="000000"/>
          <w:spacing w:val="-1"/>
          <w:kern w:val="0"/>
          <w:sz w:val="24"/>
          <w:szCs w:val="24"/>
          <w:lang w:val="en-US" w:eastAsia="en-US" w:bidi="ar-SA"/>
        </w:rPr>
        <w:t>②</w: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end"/>
      </w:r>
      <w:r>
        <w:rPr>
          <w:rFonts w:hint="eastAsia" w:asciiTheme="minorEastAsia" w:hAnsiTheme="minorEastAsia" w:eastAsiaTheme="minorEastAsia" w:cstheme="minorEastAsia"/>
          <w:snapToGrid w:val="0"/>
          <w:color w:val="000000"/>
          <w:spacing w:val="-1"/>
          <w:kern w:val="0"/>
          <w:sz w:val="24"/>
          <w:szCs w:val="24"/>
          <w:lang w:val="en-US" w:eastAsia="en-US" w:bidi="ar-SA"/>
        </w:rPr>
        <w:t>监控网络设施应满足图像等监控信息的传输和存储要求，应接入上级监控中心，能实时查看或调取视频监控设备的监控画面，音视频监控资料存储空间不少于3年。防雷设计应符合GB 50343要求。</w:t>
      </w:r>
    </w:p>
    <w:p>
      <w:pPr>
        <w:pStyle w:val="33"/>
        <w:spacing w:before="0" w:beforeLines="0" w:after="0" w:afterLines="0" w:line="440" w:lineRule="exact"/>
        <w:ind w:left="0" w:leftChars="0" w:firstLine="0" w:firstLineChars="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（4）场地应设置以下信息公告设施：</w:t>
      </w:r>
    </w:p>
    <w:p>
      <w:pPr>
        <w:numPr>
          <w:ilvl w:val="0"/>
          <w:numId w:val="8"/>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场地公共服务区设置播放考试区全景监控实时视频的设备及公示场地运行管理制度等的设施；</w:t>
      </w:r>
    </w:p>
    <w:p>
      <w:pPr>
        <w:numPr>
          <w:ilvl w:val="0"/>
          <w:numId w:val="8"/>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场地或候考区入口设置考试流程图及对应管理设施的分布图；</w:t>
      </w:r>
    </w:p>
    <w:p>
      <w:pPr>
        <w:numPr>
          <w:ilvl w:val="0"/>
          <w:numId w:val="8"/>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候考区设置考试注意事项、考试员考试工作纪律、收费标准等公告设施；</w:t>
      </w:r>
    </w:p>
    <w:p>
      <w:pPr>
        <w:numPr>
          <w:ilvl w:val="0"/>
          <w:numId w:val="8"/>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设置公告当日考试员及工作人员姓名、照片、举报投诉电话等的设施。</w:t>
      </w:r>
    </w:p>
    <w:p>
      <w:pPr>
        <w:pStyle w:val="33"/>
        <w:spacing w:before="0" w:beforeLines="0" w:after="0" w:afterLines="0" w:line="440" w:lineRule="exact"/>
        <w:ind w:left="0" w:leftChars="0" w:firstLine="0" w:firstLineChars="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（5）考台计算机应符合以下要求：</w:t>
      </w:r>
    </w:p>
    <w:p>
      <w:pPr>
        <w:numPr>
          <w:ilvl w:val="0"/>
          <w:numId w:val="9"/>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禁用USB、光驱、软驱等接口，根据考试和管理需求配备鼠标、键盘接口；</w:t>
      </w:r>
    </w:p>
    <w:p>
      <w:pPr>
        <w:numPr>
          <w:ilvl w:val="0"/>
          <w:numId w:val="9"/>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配备能清晰反映考生正面影像的图像采集设备；</w:t>
      </w:r>
    </w:p>
    <w:p>
      <w:pPr>
        <w:numPr>
          <w:ilvl w:val="0"/>
          <w:numId w:val="9"/>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显示屏采取防窥措施；</w:t>
      </w:r>
    </w:p>
    <w:p>
      <w:pPr>
        <w:numPr>
          <w:ilvl w:val="0"/>
          <w:numId w:val="9"/>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考台计算机的软、硬件通过应用服务器进行定制管理和运行维护；</w:t>
      </w:r>
    </w:p>
    <w:p>
      <w:pPr>
        <w:numPr>
          <w:ilvl w:val="0"/>
          <w:numId w:val="9"/>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考台计算机不能独立于应用服务器启动和运行。</w:t>
      </w:r>
    </w:p>
    <w:p>
      <w:pPr>
        <w:pStyle w:val="33"/>
        <w:spacing w:before="0" w:beforeLines="0" w:after="0" w:afterLines="0" w:line="440" w:lineRule="exact"/>
        <w:ind w:left="0" w:leftChars="0" w:firstLine="0" w:firstLineChars="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（6）应用服务器应设置在机房内，并符合以下要求：</w:t>
      </w:r>
    </w:p>
    <w:p>
      <w:pPr>
        <w:numPr>
          <w:ilvl w:val="0"/>
          <w:numId w:val="10"/>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仅设定的物理地址和IP地址的计算机能访问应用服务器；</w:t>
      </w:r>
    </w:p>
    <w:p>
      <w:pPr>
        <w:numPr>
          <w:ilvl w:val="0"/>
          <w:numId w:val="10"/>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仅应用服务器或管理用计算机能进行考台计算机的维护、管理、安装或卸载程序等操作；</w:t>
      </w:r>
    </w:p>
    <w:p>
      <w:pPr>
        <w:numPr>
          <w:ilvl w:val="0"/>
          <w:numId w:val="10"/>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在应用服务器或管理用计算上对考台计算的所有操作生成日志，日志保存时间大于或等于3年；</w:t>
      </w:r>
    </w:p>
    <w:p>
      <w:pPr>
        <w:numPr>
          <w:ilvl w:val="0"/>
          <w:numId w:val="10"/>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通过应用服务器或管理计算机能分类查看操作日志。</w:t>
      </w:r>
    </w:p>
    <w:p>
      <w:pPr>
        <w:pStyle w:val="33"/>
        <w:spacing w:before="0" w:beforeLines="0" w:after="0" w:afterLines="0" w:line="440" w:lineRule="exact"/>
        <w:ind w:left="0" w:leftChars="0" w:firstLine="0" w:firstLineChars="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（7）防作弊设施</w:t>
      </w:r>
    </w:p>
    <w:p>
      <w:pPr>
        <w:pStyle w:val="35"/>
        <w:spacing w:line="440" w:lineRule="exact"/>
        <w:ind w:firstLine="56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场地应配备考试区入口通讯设备检测、考试区信号屏蔽和干扰、无线传输数据扫描等一种或多种的防作弊设施。</w:t>
      </w:r>
    </w:p>
    <w:p>
      <w:pPr>
        <w:pStyle w:val="33"/>
        <w:spacing w:before="0" w:beforeLines="0" w:after="0" w:afterLines="0" w:line="440" w:lineRule="exact"/>
        <w:ind w:left="0" w:leftChars="0" w:firstLine="0" w:firstLineChars="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（8）消防安全设施</w:t>
      </w:r>
    </w:p>
    <w:p>
      <w:pPr>
        <w:pStyle w:val="35"/>
        <w:spacing w:line="440" w:lineRule="exact"/>
        <w:ind w:firstLine="56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消防安全设计应符合GB 50016规定，配备消防设备。</w:t>
      </w:r>
    </w:p>
    <w:p>
      <w:pPr>
        <w:pStyle w:val="32"/>
        <w:numPr>
          <w:ilvl w:val="2"/>
          <w:numId w:val="0"/>
        </w:numPr>
        <w:spacing w:beforeLines="0" w:afterLines="0" w:line="440" w:lineRule="exact"/>
        <w:outlineLvl w:val="0"/>
        <w:rPr>
          <w:rFonts w:hint="eastAsia" w:asciiTheme="minorEastAsia" w:hAnsiTheme="minorEastAsia" w:eastAsiaTheme="minorEastAsia" w:cstheme="minorEastAsia"/>
          <w:b/>
          <w:bCs/>
          <w:snapToGrid w:val="0"/>
          <w:color w:val="000000"/>
          <w:spacing w:val="-1"/>
          <w:kern w:val="0"/>
          <w:sz w:val="24"/>
          <w:szCs w:val="24"/>
          <w:lang w:val="en-US" w:eastAsia="en-US" w:bidi="ar-SA"/>
        </w:rPr>
      </w:pPr>
    </w:p>
    <w:p>
      <w:pPr>
        <w:pStyle w:val="32"/>
        <w:numPr>
          <w:ilvl w:val="2"/>
          <w:numId w:val="0"/>
        </w:numPr>
        <w:spacing w:beforeLines="0" w:afterLines="0" w:line="440" w:lineRule="exact"/>
        <w:outlineLvl w:val="0"/>
        <w:rPr>
          <w:rFonts w:hint="eastAsia" w:asciiTheme="minorEastAsia" w:hAnsiTheme="minorEastAsia" w:eastAsiaTheme="minorEastAsia" w:cstheme="minorEastAsia"/>
          <w:b/>
          <w:bCs/>
          <w:snapToGrid w:val="0"/>
          <w:color w:val="000000"/>
          <w:spacing w:val="-1"/>
          <w:kern w:val="0"/>
          <w:sz w:val="24"/>
          <w:szCs w:val="24"/>
          <w:lang w:val="en-US" w:eastAsia="en-US" w:bidi="ar-SA"/>
        </w:rPr>
      </w:pPr>
      <w:r>
        <w:rPr>
          <w:rFonts w:hint="eastAsia" w:asciiTheme="minorEastAsia" w:hAnsiTheme="minorEastAsia" w:eastAsiaTheme="minorEastAsia" w:cstheme="minorEastAsia"/>
          <w:b/>
          <w:bCs/>
          <w:snapToGrid w:val="0"/>
          <w:color w:val="000000"/>
          <w:spacing w:val="-1"/>
          <w:kern w:val="0"/>
          <w:sz w:val="24"/>
          <w:szCs w:val="24"/>
          <w:lang w:val="en-US" w:eastAsia="en-US" w:bidi="ar-SA"/>
        </w:rPr>
        <w:t>第二标段：</w:t>
      </w:r>
    </w:p>
    <w:p>
      <w:pPr>
        <w:pStyle w:val="32"/>
        <w:numPr>
          <w:ilvl w:val="2"/>
          <w:numId w:val="0"/>
        </w:numPr>
        <w:spacing w:beforeLines="0" w:afterLines="0" w:line="440" w:lineRule="exact"/>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 xml:space="preserve">  科目二考场要求(可为大中小型客货车考场或小型汽车考场）：</w:t>
      </w:r>
    </w:p>
    <w:p>
      <w:pPr>
        <w:spacing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1、考试场地独立，封闭管理，只能用于驾驶人考试。考场内不得存在与考试无关的建筑、设施和场地。</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2、场地组成应设置休息区、候考区、考试区、控制中心、机房等功能性场所，配套设置公共卫生设施、公共服务区、停车区等服务性场所。</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（1）休息区面积不低于200平方米，候考区面积不低于80平方米，应配备以下设备、设施：</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a)考生自助签到设备；</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b)考试组织动态信息公告设备;</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c)用于安全管理的视频监控设备；</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d)用于播放交通安全宣传片的设备；</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e)数量足够的休息座椅及饮用水、储物等便民服务设施；</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f)封闭管理的，设置紧急出口或应急通道。</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（2）大中型客货车用于考试的场地面积不低于4.7万平方米，小型汽车用于考试的场地面积不低于1万平方米，考试区</w:t>
      </w:r>
      <w:bookmarkStart w:id="43" w:name="_Toc322207045"/>
      <w:bookmarkStart w:id="44" w:name="_Toc323463108"/>
      <w:bookmarkStart w:id="45" w:name="_Toc323462057"/>
      <w:bookmarkStart w:id="46" w:name="OLE_LINK35"/>
      <w:bookmarkStart w:id="47" w:name="_Toc317578176"/>
      <w:bookmarkStart w:id="48" w:name="_Toc315424894"/>
      <w:r>
        <w:rPr>
          <w:rFonts w:hint="eastAsia" w:asciiTheme="minorEastAsia" w:hAnsiTheme="minorEastAsia" w:eastAsiaTheme="minorEastAsia" w:cstheme="minorEastAsia"/>
          <w:snapToGrid w:val="0"/>
          <w:color w:val="000000"/>
          <w:spacing w:val="-1"/>
          <w:kern w:val="0"/>
          <w:sz w:val="24"/>
          <w:szCs w:val="24"/>
          <w:lang w:val="en-US" w:eastAsia="en-US" w:bidi="ar-SA"/>
        </w:rPr>
        <w:t>平面布置应符合以下要求：</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a)与外界物理隔离，出入口设置管理设备，能实现出入人员分类控制；</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b)按人车分离的原则布置分隔、导流、无障碍通道等设施，合理组织人流、车流；</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c)自然地形坡度大于8%时采用台式布置，台地之间用挡土墙或护坡连接；</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d)无妨碍考试车辆行车视线或观察考试车辆的障碍物，出入口、场地绿化布置满足行车视距要求；</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e)考试路线合理顺畅，自然形成车流，车辆在项目内的行驶路线符合GA 1026要求；</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f)考试项目按考试车辆尺寸分别设置，平面线形与地形、地质、水文等结合；</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g)考试项目衔接处的缓冲路段长度大于或等于1.5倍考试车长，项目前10 m内设置项目名称标志；</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h)除考试项目设置中有规定外，项目图形内地面平整；</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i)考试项目内无项目图形要求以外的标志、标线及设施等。</w:t>
      </w:r>
    </w:p>
    <w:bookmarkEnd w:id="43"/>
    <w:bookmarkEnd w:id="44"/>
    <w:bookmarkEnd w:id="45"/>
    <w:bookmarkEnd w:id="46"/>
    <w:bookmarkEnd w:id="47"/>
    <w:bookmarkEnd w:id="48"/>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（3）控制中心应配备以下设备：</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a)门禁；</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b)实时显示考试区视频监控、考试车辆驾驶室视频监控和候考区视频监控的显示设备；</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c)用于考试过程管理和信息显示的计算机;</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d)监控控制中心的视频设备；</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e)消防设备、设施。</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（4）机房设置独立出入口，具备独立管理条件；配备监控机房入口或内部的视频设备；内部温、湿度受控，地面铺设防静电地板。</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3、场地设施应设置供电设施、网络设施、信息公告设施、场地照明设施、防雷设施、考试区设施等。</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（1）供电设施应满足以下要求：</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a)设置专门的配电室或配电柜、总等电位装置，供电电源就近引自附近的变配电所，电源选用交流220V或380V；</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b)主供电端安装过载、漏电、短路等保护装置和防雷装置；</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c)配电室或配电柜室外各用电设备的线路采用电缆埋地敷设，集中或重要负荷采用放射式配电；</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d)配备不间断备用电源保证停电后网络设备、音视频监控等设备正常工作至正在进行考试的考生完成考试；</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e)供电系统的接地型式采用GB 50052中的TN-S系统，穿线用的保护金属管及灯具金属部分与TN-S系统中的PE线连接，PE线与相线等截面。</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（2）网络设施应满足以下要求：</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a)采用符合GB 50311要求的综合布线系统，防雷设计符合GB 50343要求；</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b)满足采集评判软件与后台管理软件及参数设置软件间信息接收、存贮、处理、交换、传输要求；</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 xml:space="preserve">c)满足语音、图像等监控信息的传输和存储要求，场地音视频监控及考试车辆音视频监控应接入上级监控中心，支持远程查询或调取视频监控设备的监控画面，音视频监控资料存储空间不少于3年； </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d)网络设备及网线进行清晰、规范的标识;</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e)同时有两套以上网络系统时，不同网络间设置物理隔离。</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w:t>
      </w:r>
      <w:bookmarkStart w:id="49" w:name="_Toc322207354"/>
      <w:bookmarkStart w:id="50" w:name="_Toc315425237"/>
      <w:bookmarkStart w:id="51" w:name="_Toc323462223"/>
      <w:bookmarkStart w:id="52" w:name="_Toc230773351"/>
      <w:bookmarkStart w:id="53" w:name="_Toc317578529"/>
      <w:bookmarkStart w:id="54" w:name="_Toc230773397"/>
      <w:bookmarkStart w:id="55" w:name="_Toc323463274"/>
      <w:r>
        <w:rPr>
          <w:rFonts w:hint="eastAsia" w:asciiTheme="minorEastAsia" w:hAnsiTheme="minorEastAsia" w:eastAsiaTheme="minorEastAsia" w:cstheme="minorEastAsia"/>
          <w:snapToGrid w:val="0"/>
          <w:color w:val="000000"/>
          <w:spacing w:val="-1"/>
          <w:kern w:val="0"/>
          <w:sz w:val="24"/>
          <w:szCs w:val="24"/>
          <w:lang w:val="en-US" w:eastAsia="en-US" w:bidi="ar-SA"/>
        </w:rPr>
        <w:t>场地应设置以下信息公告设施：</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a)场地公共服务区设置播放考试区全景监控实时视频的设备及公示封闭考试区平面布置图、场地运行管理制度等的设施;</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b)候考区入口设置考试流程图及对应管理设施的分布图；</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c)候考区设置考试项目及评判标准、考试注意事项、考试员考试工作纪律、收费标准等公告设施；</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d)设置公告当日考试员及工作人员姓名、照片、举报投诉电话等信息的设施。</w:t>
      </w:r>
    </w:p>
    <w:bookmarkEnd w:id="49"/>
    <w:bookmarkEnd w:id="50"/>
    <w:bookmarkEnd w:id="51"/>
    <w:bookmarkEnd w:id="52"/>
    <w:bookmarkEnd w:id="53"/>
    <w:bookmarkEnd w:id="54"/>
    <w:bookmarkEnd w:id="55"/>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（4）场地照明设施应按场地使用需求设置。设置时，道路照明应按CJJ 45中Ⅲ级执行，其他场所照明应按GB 50034有关条款执行；每盏高杆灯处应设置独立的接地装置，穿线用的金属保护管应与该装置连接。</w:t>
      </w:r>
    </w:p>
    <w:p>
      <w:pPr>
        <w:pStyle w:val="32"/>
        <w:spacing w:beforeLines="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（5）防雷设施应符合以下要求：</w:t>
      </w:r>
    </w:p>
    <w:p>
      <w:pPr>
        <w:pStyle w:val="32"/>
        <w:spacing w:beforeLines="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a)建筑物、构筑物防雷设计符合GB 50057要求；</w:t>
      </w:r>
    </w:p>
    <w:p>
      <w:pPr>
        <w:pStyle w:val="32"/>
        <w:spacing w:beforeLines="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b)弱电防雷系统设计符合GB 50343的要求；</w:t>
      </w:r>
    </w:p>
    <w:p>
      <w:pPr>
        <w:pStyle w:val="32"/>
        <w:spacing w:beforeLines="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c)高杆灯设置避雷针。</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（6）考试区设施</w:t>
      </w:r>
    </w:p>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begin"/>
      </w:r>
      <w:r>
        <w:rPr>
          <w:rFonts w:hint="eastAsia" w:asciiTheme="minorEastAsia" w:hAnsiTheme="minorEastAsia" w:eastAsiaTheme="minorEastAsia" w:cstheme="minorEastAsia"/>
          <w:snapToGrid w:val="0"/>
          <w:color w:val="000000"/>
          <w:spacing w:val="-1"/>
          <w:kern w:val="0"/>
          <w:sz w:val="24"/>
          <w:szCs w:val="24"/>
          <w:lang w:val="en-US" w:eastAsia="en-US" w:bidi="ar-SA"/>
        </w:rPr>
        <w:instrText xml:space="preserve"> = 1 \* GB3 \* MERGEFORMAT </w:instrTex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separate"/>
      </w:r>
      <w:r>
        <w:rPr>
          <w:rFonts w:hint="eastAsia" w:asciiTheme="minorEastAsia" w:hAnsiTheme="minorEastAsia" w:eastAsiaTheme="minorEastAsia" w:cstheme="minorEastAsia"/>
          <w:snapToGrid w:val="0"/>
          <w:color w:val="000000"/>
          <w:spacing w:val="-1"/>
          <w:kern w:val="0"/>
          <w:sz w:val="24"/>
          <w:szCs w:val="24"/>
          <w:lang w:val="en-US" w:eastAsia="en-US" w:bidi="ar-SA"/>
        </w:rPr>
        <w:t>①</w: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end"/>
      </w:r>
      <w:r>
        <w:rPr>
          <w:rFonts w:hint="eastAsia" w:asciiTheme="minorEastAsia" w:hAnsiTheme="minorEastAsia" w:eastAsiaTheme="minorEastAsia" w:cstheme="minorEastAsia"/>
          <w:snapToGrid w:val="0"/>
          <w:color w:val="000000"/>
          <w:spacing w:val="-1"/>
          <w:kern w:val="0"/>
          <w:sz w:val="24"/>
          <w:szCs w:val="24"/>
          <w:lang w:val="en-US" w:eastAsia="en-US" w:bidi="ar-SA"/>
        </w:rPr>
        <w:t>考试项目图形线</w:t>
      </w:r>
    </w:p>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除坡道定点停车和起步项目的桩杆线、模拟项目的标线外，其余考试项目图形线宽度应为150mm±5mm，颜色应为白色或黄色，项目内同一标线颜色应一致。</w:t>
      </w:r>
    </w:p>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begin"/>
      </w:r>
      <w:r>
        <w:rPr>
          <w:rFonts w:hint="eastAsia" w:asciiTheme="minorEastAsia" w:hAnsiTheme="minorEastAsia" w:eastAsiaTheme="minorEastAsia" w:cstheme="minorEastAsia"/>
          <w:snapToGrid w:val="0"/>
          <w:color w:val="000000"/>
          <w:spacing w:val="-1"/>
          <w:kern w:val="0"/>
          <w:sz w:val="24"/>
          <w:szCs w:val="24"/>
          <w:lang w:val="en-US" w:eastAsia="en-US" w:bidi="ar-SA"/>
        </w:rPr>
        <w:instrText xml:space="preserve"> = 2 \* GB3 \* MERGEFORMAT </w:instrTex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separate"/>
      </w:r>
      <w:r>
        <w:rPr>
          <w:rFonts w:hint="eastAsia" w:asciiTheme="minorEastAsia" w:hAnsiTheme="minorEastAsia" w:eastAsiaTheme="minorEastAsia" w:cstheme="minorEastAsia"/>
          <w:snapToGrid w:val="0"/>
          <w:color w:val="000000"/>
          <w:spacing w:val="-1"/>
          <w:kern w:val="0"/>
          <w:sz w:val="24"/>
          <w:szCs w:val="24"/>
          <w:lang w:val="en-US" w:eastAsia="en-US" w:bidi="ar-SA"/>
        </w:rPr>
        <w:t>②</w: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end"/>
      </w:r>
      <w:r>
        <w:rPr>
          <w:rFonts w:hint="eastAsia" w:asciiTheme="minorEastAsia" w:hAnsiTheme="minorEastAsia" w:eastAsiaTheme="minorEastAsia" w:cstheme="minorEastAsia"/>
          <w:snapToGrid w:val="0"/>
          <w:color w:val="000000"/>
          <w:spacing w:val="-1"/>
          <w:kern w:val="0"/>
          <w:sz w:val="24"/>
          <w:szCs w:val="24"/>
          <w:lang w:val="en-US" w:eastAsia="en-US" w:bidi="ar-SA"/>
        </w:rPr>
        <w:t>考试项目桩杆或标杆</w:t>
      </w:r>
    </w:p>
    <w:p>
      <w:pPr>
        <w:pStyle w:val="35"/>
        <w:spacing w:line="440" w:lineRule="exact"/>
        <w:ind w:firstLine="56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桩考、坡道定点停车和起步、通过限宽门项目桩杆或标杆应符合以下要求：</w:t>
      </w:r>
    </w:p>
    <w:p>
      <w:pPr>
        <w:pStyle w:val="35"/>
        <w:spacing w:line="440" w:lineRule="exact"/>
        <w:ind w:firstLine="56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 xml:space="preserve">a)直径在20 mm～40 mm之间; </w:t>
      </w:r>
    </w:p>
    <w:p>
      <w:pPr>
        <w:pStyle w:val="35"/>
        <w:spacing w:line="440" w:lineRule="exact"/>
        <w:ind w:firstLine="56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b)颜色为红白相间或黄黑相间，同一考试区桩杆颜色一致；</w:t>
      </w:r>
    </w:p>
    <w:p>
      <w:pPr>
        <w:pStyle w:val="35"/>
        <w:spacing w:line="440" w:lineRule="exact"/>
        <w:ind w:firstLine="56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c)大型客车、城市公交车的桩考、通过限宽门项目的桩杆或标杆高度大于考试车辆车高300 mm以上，其余车型桩考、通过限宽门项目的桩杆或标杆高度大于考试车辆车高600 mm以上；</w:t>
      </w:r>
    </w:p>
    <w:p>
      <w:pPr>
        <w:pStyle w:val="35"/>
        <w:spacing w:line="440" w:lineRule="exact"/>
        <w:ind w:firstLine="56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d)坡道定点停车和起步项目桩杆高度不小于1500mm，且固定不可移动；</w:t>
      </w:r>
    </w:p>
    <w:p>
      <w:pPr>
        <w:pStyle w:val="35"/>
        <w:spacing w:line="440" w:lineRule="exact"/>
        <w:ind w:firstLine="56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e)桩考桩杆、通过限宽门标杆一端离开原位大于500 mm后能自动回位，回位时间不大于20 s；</w:t>
      </w:r>
    </w:p>
    <w:p>
      <w:pPr>
        <w:pStyle w:val="35"/>
        <w:spacing w:line="440" w:lineRule="exact"/>
        <w:ind w:firstLine="56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f)风力小于6级时桩杆、标杆无摆动。</w:t>
      </w:r>
    </w:p>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begin"/>
      </w:r>
      <w:r>
        <w:rPr>
          <w:rFonts w:hint="eastAsia" w:asciiTheme="minorEastAsia" w:hAnsiTheme="minorEastAsia" w:eastAsiaTheme="minorEastAsia" w:cstheme="minorEastAsia"/>
          <w:snapToGrid w:val="0"/>
          <w:color w:val="000000"/>
          <w:spacing w:val="-1"/>
          <w:kern w:val="0"/>
          <w:sz w:val="24"/>
          <w:szCs w:val="24"/>
          <w:lang w:val="en-US" w:eastAsia="en-US" w:bidi="ar-SA"/>
        </w:rPr>
        <w:instrText xml:space="preserve"> = 3 \* GB3 \* MERGEFORMAT </w:instrTex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separate"/>
      </w:r>
      <w:r>
        <w:rPr>
          <w:rFonts w:hint="eastAsia" w:asciiTheme="minorEastAsia" w:hAnsiTheme="minorEastAsia" w:eastAsiaTheme="minorEastAsia" w:cstheme="minorEastAsia"/>
          <w:snapToGrid w:val="0"/>
          <w:color w:val="000000"/>
          <w:spacing w:val="-1"/>
          <w:kern w:val="0"/>
          <w:sz w:val="24"/>
          <w:szCs w:val="24"/>
          <w:lang w:val="en-US" w:eastAsia="en-US" w:bidi="ar-SA"/>
        </w:rPr>
        <w:t>③</w: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end"/>
      </w:r>
      <w:r>
        <w:rPr>
          <w:rFonts w:hint="eastAsia" w:asciiTheme="minorEastAsia" w:hAnsiTheme="minorEastAsia" w:eastAsiaTheme="minorEastAsia" w:cstheme="minorEastAsia"/>
          <w:snapToGrid w:val="0"/>
          <w:color w:val="000000"/>
          <w:spacing w:val="-1"/>
          <w:kern w:val="0"/>
          <w:sz w:val="24"/>
          <w:szCs w:val="24"/>
          <w:lang w:val="en-US" w:eastAsia="en-US" w:bidi="ar-SA"/>
        </w:rPr>
        <w:t>考试项目标志</w:t>
      </w:r>
    </w:p>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项目名称标志样式、规格尺寸应按照省级公安机关交通管理部门的规定执行，项目名称简称应符合表1规定。</w:t>
      </w:r>
    </w:p>
    <w:p>
      <w:pPr>
        <w:pStyle w:val="38"/>
        <w:spacing w:beforeLines="0" w:afterLines="0" w:line="440" w:lineRule="exact"/>
        <w:ind w:firstLine="2142" w:firstLineChars="900"/>
        <w:jc w:val="both"/>
        <w:rPr>
          <w:rFonts w:hint="eastAsia" w:asciiTheme="minorEastAsia" w:hAnsiTheme="minorEastAsia" w:eastAsiaTheme="minorEastAsia" w:cstheme="minorEastAsia"/>
          <w:snapToGrid w:val="0"/>
          <w:color w:val="000000"/>
          <w:spacing w:val="-1"/>
          <w:kern w:val="0"/>
          <w:sz w:val="24"/>
          <w:szCs w:val="24"/>
          <w:lang w:val="en-US" w:eastAsia="en-US" w:bidi="ar-SA"/>
        </w:rPr>
      </w:pPr>
    </w:p>
    <w:p>
      <w:pPr>
        <w:pStyle w:val="38"/>
        <w:spacing w:beforeLines="0" w:afterLines="0" w:line="440" w:lineRule="exact"/>
        <w:ind w:firstLine="2142" w:firstLineChars="900"/>
        <w:jc w:val="both"/>
        <w:rPr>
          <w:rFonts w:hint="eastAsia" w:asciiTheme="minorEastAsia" w:hAnsiTheme="minorEastAsia" w:eastAsiaTheme="minorEastAsia" w:cstheme="minorEastAsia"/>
          <w:snapToGrid w:val="0"/>
          <w:color w:val="000000"/>
          <w:spacing w:val="-1"/>
          <w:kern w:val="0"/>
          <w:sz w:val="24"/>
          <w:szCs w:val="24"/>
          <w:lang w:val="en-US" w:eastAsia="en-US" w:bidi="ar-SA"/>
        </w:rPr>
      </w:pPr>
    </w:p>
    <w:p>
      <w:pPr>
        <w:pStyle w:val="35"/>
        <w:rPr>
          <w:rFonts w:hint="eastAsia" w:asciiTheme="minorEastAsia" w:hAnsiTheme="minorEastAsia" w:eastAsiaTheme="minorEastAsia" w:cstheme="minorEastAsia"/>
          <w:snapToGrid w:val="0"/>
          <w:color w:val="000000"/>
          <w:spacing w:val="-1"/>
          <w:kern w:val="0"/>
          <w:sz w:val="24"/>
          <w:szCs w:val="24"/>
          <w:lang w:val="en-US" w:eastAsia="en-US" w:bidi="ar-SA"/>
        </w:rPr>
      </w:pPr>
    </w:p>
    <w:p>
      <w:pPr>
        <w:pStyle w:val="35"/>
        <w:rPr>
          <w:rFonts w:hint="eastAsia" w:asciiTheme="minorEastAsia" w:hAnsiTheme="minorEastAsia" w:eastAsiaTheme="minorEastAsia" w:cstheme="minorEastAsia"/>
          <w:snapToGrid w:val="0"/>
          <w:color w:val="000000"/>
          <w:spacing w:val="-1"/>
          <w:kern w:val="0"/>
          <w:sz w:val="24"/>
          <w:szCs w:val="24"/>
          <w:lang w:val="en-US" w:eastAsia="en-US" w:bidi="ar-SA"/>
        </w:rPr>
      </w:pPr>
    </w:p>
    <w:p>
      <w:pPr>
        <w:pStyle w:val="35"/>
        <w:rPr>
          <w:rFonts w:hint="eastAsia" w:asciiTheme="minorEastAsia" w:hAnsiTheme="minorEastAsia" w:eastAsiaTheme="minorEastAsia" w:cstheme="minorEastAsia"/>
          <w:snapToGrid w:val="0"/>
          <w:color w:val="000000"/>
          <w:spacing w:val="-1"/>
          <w:kern w:val="0"/>
          <w:sz w:val="24"/>
          <w:szCs w:val="24"/>
          <w:lang w:val="en-US" w:eastAsia="en-US" w:bidi="ar-SA"/>
        </w:rPr>
      </w:pPr>
    </w:p>
    <w:p>
      <w:pPr>
        <w:pStyle w:val="38"/>
        <w:spacing w:beforeLines="0" w:afterLines="0" w:line="440" w:lineRule="exact"/>
        <w:ind w:firstLine="2142" w:firstLineChars="900"/>
        <w:jc w:val="both"/>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表1  考试项目简称</w:t>
      </w:r>
    </w:p>
    <w:tbl>
      <w:tblPr>
        <w:tblStyle w:val="17"/>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865"/>
        <w:gridCol w:w="1493"/>
        <w:gridCol w:w="627"/>
        <w:gridCol w:w="1995"/>
        <w:gridCol w:w="16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626" w:type="dxa"/>
            <w:tcBorders>
              <w:top w:val="single" w:color="auto" w:sz="8" w:space="0"/>
              <w:bottom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序号</w:t>
            </w:r>
          </w:p>
        </w:tc>
        <w:tc>
          <w:tcPr>
            <w:tcW w:w="1865" w:type="dxa"/>
            <w:tcBorders>
              <w:top w:val="single" w:color="auto" w:sz="8" w:space="0"/>
              <w:bottom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项目名称</w:t>
            </w:r>
          </w:p>
        </w:tc>
        <w:tc>
          <w:tcPr>
            <w:tcW w:w="1493" w:type="dxa"/>
            <w:tcBorders>
              <w:top w:val="single" w:color="auto" w:sz="8" w:space="0"/>
              <w:bottom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项目简称</w:t>
            </w:r>
          </w:p>
        </w:tc>
        <w:tc>
          <w:tcPr>
            <w:tcW w:w="627" w:type="dxa"/>
            <w:tcBorders>
              <w:top w:val="single" w:color="auto" w:sz="8" w:space="0"/>
              <w:bottom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序号</w:t>
            </w:r>
          </w:p>
        </w:tc>
        <w:tc>
          <w:tcPr>
            <w:tcW w:w="1995" w:type="dxa"/>
            <w:tcBorders>
              <w:top w:val="single" w:color="auto" w:sz="8" w:space="0"/>
              <w:bottom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项目名称</w:t>
            </w:r>
          </w:p>
        </w:tc>
        <w:tc>
          <w:tcPr>
            <w:tcW w:w="1614" w:type="dxa"/>
            <w:tcBorders>
              <w:top w:val="single" w:color="auto" w:sz="8" w:space="0"/>
              <w:bottom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项目简称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626" w:type="dxa"/>
            <w:tcBorders>
              <w:top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w:t>
            </w:r>
          </w:p>
        </w:tc>
        <w:tc>
          <w:tcPr>
            <w:tcW w:w="1865" w:type="dxa"/>
            <w:tcBorders>
              <w:top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倒车入库</w:t>
            </w:r>
          </w:p>
        </w:tc>
        <w:tc>
          <w:tcPr>
            <w:tcW w:w="1493" w:type="dxa"/>
            <w:tcBorders>
              <w:top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倒车入库</w:t>
            </w:r>
          </w:p>
        </w:tc>
        <w:tc>
          <w:tcPr>
            <w:tcW w:w="627" w:type="dxa"/>
            <w:tcBorders>
              <w:top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8</w:t>
            </w:r>
          </w:p>
        </w:tc>
        <w:tc>
          <w:tcPr>
            <w:tcW w:w="1995" w:type="dxa"/>
            <w:tcBorders>
              <w:top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通过限宽门</w:t>
            </w:r>
          </w:p>
        </w:tc>
        <w:tc>
          <w:tcPr>
            <w:tcW w:w="1614" w:type="dxa"/>
            <w:tcBorders>
              <w:top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限宽门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626"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w:t>
            </w:r>
          </w:p>
        </w:tc>
        <w:tc>
          <w:tcPr>
            <w:tcW w:w="1865"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侧方停车</w:t>
            </w:r>
          </w:p>
        </w:tc>
        <w:tc>
          <w:tcPr>
            <w:tcW w:w="1493"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侧方停车</w:t>
            </w:r>
          </w:p>
        </w:tc>
        <w:tc>
          <w:tcPr>
            <w:tcW w:w="627"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9</w:t>
            </w:r>
          </w:p>
        </w:tc>
        <w:tc>
          <w:tcPr>
            <w:tcW w:w="1995"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窄路掉头</w:t>
            </w:r>
          </w:p>
        </w:tc>
        <w:tc>
          <w:tcPr>
            <w:tcW w:w="1614"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窄路掉头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626"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w:t>
            </w:r>
          </w:p>
        </w:tc>
        <w:tc>
          <w:tcPr>
            <w:tcW w:w="1865"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坡道定点停车和起步</w:t>
            </w:r>
          </w:p>
        </w:tc>
        <w:tc>
          <w:tcPr>
            <w:tcW w:w="1493"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坡道停车起步</w:t>
            </w:r>
          </w:p>
        </w:tc>
        <w:tc>
          <w:tcPr>
            <w:tcW w:w="627"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10</w:t>
            </w:r>
          </w:p>
        </w:tc>
        <w:tc>
          <w:tcPr>
            <w:tcW w:w="1995"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模拟隧道行驶</w:t>
            </w:r>
          </w:p>
        </w:tc>
        <w:tc>
          <w:tcPr>
            <w:tcW w:w="1614"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模拟隧道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626"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4</w:t>
            </w:r>
          </w:p>
        </w:tc>
        <w:tc>
          <w:tcPr>
            <w:tcW w:w="1865"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直角转弯</w:t>
            </w:r>
          </w:p>
        </w:tc>
        <w:tc>
          <w:tcPr>
            <w:tcW w:w="1493"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直角转弯</w:t>
            </w:r>
          </w:p>
        </w:tc>
        <w:tc>
          <w:tcPr>
            <w:tcW w:w="627"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11</w:t>
            </w:r>
          </w:p>
        </w:tc>
        <w:tc>
          <w:tcPr>
            <w:tcW w:w="1995"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模拟高速公路行驶</w:t>
            </w:r>
          </w:p>
        </w:tc>
        <w:tc>
          <w:tcPr>
            <w:tcW w:w="1614"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模拟高速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626"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5</w:t>
            </w:r>
          </w:p>
        </w:tc>
        <w:tc>
          <w:tcPr>
            <w:tcW w:w="1865"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曲线行驶</w:t>
            </w:r>
          </w:p>
        </w:tc>
        <w:tc>
          <w:tcPr>
            <w:tcW w:w="1493"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曲线行驶</w:t>
            </w:r>
          </w:p>
        </w:tc>
        <w:tc>
          <w:tcPr>
            <w:tcW w:w="627"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12</w:t>
            </w:r>
          </w:p>
        </w:tc>
        <w:tc>
          <w:tcPr>
            <w:tcW w:w="1995"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模拟连续急弯山区路行驶</w:t>
            </w:r>
          </w:p>
        </w:tc>
        <w:tc>
          <w:tcPr>
            <w:tcW w:w="1614"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模拟山区路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626" w:type="dxa"/>
            <w:tcBorders>
              <w:bottom w:val="single" w:color="auto" w:sz="4"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6</w:t>
            </w:r>
          </w:p>
        </w:tc>
        <w:tc>
          <w:tcPr>
            <w:tcW w:w="1865" w:type="dxa"/>
            <w:tcBorders>
              <w:bottom w:val="single" w:color="auto" w:sz="4"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桩考</w:t>
            </w:r>
          </w:p>
        </w:tc>
        <w:tc>
          <w:tcPr>
            <w:tcW w:w="1493" w:type="dxa"/>
            <w:tcBorders>
              <w:bottom w:val="single" w:color="auto" w:sz="4"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桩考</w:t>
            </w:r>
          </w:p>
        </w:tc>
        <w:tc>
          <w:tcPr>
            <w:tcW w:w="627" w:type="dxa"/>
            <w:tcBorders>
              <w:bottom w:val="single" w:color="auto" w:sz="4"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13</w:t>
            </w:r>
          </w:p>
        </w:tc>
        <w:tc>
          <w:tcPr>
            <w:tcW w:w="1995" w:type="dxa"/>
            <w:tcBorders>
              <w:bottom w:val="single" w:color="auto" w:sz="4"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模拟雨（雾）天行驶</w:t>
            </w:r>
          </w:p>
        </w:tc>
        <w:tc>
          <w:tcPr>
            <w:tcW w:w="1614" w:type="dxa"/>
            <w:tcBorders>
              <w:bottom w:val="single" w:color="auto" w:sz="4"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模拟雨（雾）天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626" w:type="dxa"/>
            <w:tcBorders>
              <w:top w:val="single" w:color="auto" w:sz="4" w:space="0"/>
              <w:bottom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7</w:t>
            </w:r>
          </w:p>
        </w:tc>
        <w:tc>
          <w:tcPr>
            <w:tcW w:w="1865" w:type="dxa"/>
            <w:tcBorders>
              <w:top w:val="single" w:color="auto" w:sz="4" w:space="0"/>
              <w:bottom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通过单边桥</w:t>
            </w:r>
          </w:p>
        </w:tc>
        <w:tc>
          <w:tcPr>
            <w:tcW w:w="1493" w:type="dxa"/>
            <w:tcBorders>
              <w:top w:val="single" w:color="auto" w:sz="4" w:space="0"/>
              <w:bottom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单边桥</w:t>
            </w:r>
          </w:p>
        </w:tc>
        <w:tc>
          <w:tcPr>
            <w:tcW w:w="627" w:type="dxa"/>
            <w:tcBorders>
              <w:top w:val="single" w:color="auto" w:sz="4" w:space="0"/>
              <w:bottom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14</w:t>
            </w:r>
          </w:p>
        </w:tc>
        <w:tc>
          <w:tcPr>
            <w:tcW w:w="1995" w:type="dxa"/>
            <w:tcBorders>
              <w:top w:val="single" w:color="auto" w:sz="4" w:space="0"/>
              <w:bottom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模拟湿滑路行驶</w:t>
            </w:r>
          </w:p>
        </w:tc>
        <w:tc>
          <w:tcPr>
            <w:tcW w:w="1614" w:type="dxa"/>
            <w:tcBorders>
              <w:top w:val="single" w:color="auto" w:sz="4" w:space="0"/>
              <w:bottom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模拟湿滑路</w:t>
            </w:r>
          </w:p>
        </w:tc>
      </w:tr>
    </w:tbl>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begin"/>
      </w:r>
      <w:r>
        <w:rPr>
          <w:rFonts w:hint="eastAsia" w:asciiTheme="minorEastAsia" w:hAnsiTheme="minorEastAsia" w:eastAsiaTheme="minorEastAsia" w:cstheme="minorEastAsia"/>
          <w:snapToGrid w:val="0"/>
          <w:color w:val="000000"/>
          <w:spacing w:val="-1"/>
          <w:kern w:val="0"/>
          <w:sz w:val="24"/>
          <w:szCs w:val="24"/>
          <w:lang w:val="en-US" w:eastAsia="en-US" w:bidi="ar-SA"/>
        </w:rPr>
        <w:instrText xml:space="preserve"> = 4 \* GB3 \* MERGEFORMAT </w:instrTex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separate"/>
      </w:r>
      <w:r>
        <w:rPr>
          <w:rFonts w:hint="eastAsia" w:asciiTheme="minorEastAsia" w:hAnsiTheme="minorEastAsia" w:eastAsiaTheme="minorEastAsia" w:cstheme="minorEastAsia"/>
          <w:snapToGrid w:val="0"/>
          <w:color w:val="000000"/>
          <w:spacing w:val="-1"/>
          <w:kern w:val="0"/>
          <w:sz w:val="24"/>
          <w:szCs w:val="24"/>
          <w:lang w:val="en-US" w:eastAsia="en-US" w:bidi="ar-SA"/>
        </w:rPr>
        <w:t>④</w: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end"/>
      </w:r>
      <w:r>
        <w:rPr>
          <w:rFonts w:hint="eastAsia" w:asciiTheme="minorEastAsia" w:hAnsiTheme="minorEastAsia" w:eastAsiaTheme="minorEastAsia" w:cstheme="minorEastAsia"/>
          <w:snapToGrid w:val="0"/>
          <w:color w:val="000000"/>
          <w:spacing w:val="-1"/>
          <w:kern w:val="0"/>
          <w:sz w:val="24"/>
          <w:szCs w:val="24"/>
          <w:lang w:val="en-US" w:eastAsia="en-US" w:bidi="ar-SA"/>
        </w:rPr>
        <w:t>考试项目视频监控应符合以下要求：</w:t>
      </w:r>
    </w:p>
    <w:p>
      <w:pPr>
        <w:pStyle w:val="36"/>
        <w:numPr>
          <w:ilvl w:val="0"/>
          <w:numId w:val="0"/>
        </w:numPr>
        <w:spacing w:beforeLines="0" w:afterLines="0" w:line="440" w:lineRule="exact"/>
        <w:ind w:left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a)每个考试项目设置覆盖本项目区域的视频监控；</w:t>
      </w:r>
    </w:p>
    <w:p>
      <w:pPr>
        <w:pStyle w:val="36"/>
        <w:numPr>
          <w:ilvl w:val="0"/>
          <w:numId w:val="0"/>
        </w:numPr>
        <w:spacing w:beforeLines="0" w:afterLines="0" w:line="440" w:lineRule="exact"/>
        <w:ind w:left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b)监控清晰度能分辨车辆类型、颜色、轮廓和考试车辆编号；</w:t>
      </w:r>
    </w:p>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c)能反映考试车辆在本项目区域的运行情况；</w:t>
      </w:r>
    </w:p>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d)出现视频信号缺失等异常情况时能在监控中心的显示设备上自动报警。</w:t>
      </w:r>
    </w:p>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begin"/>
      </w:r>
      <w:r>
        <w:rPr>
          <w:rFonts w:hint="eastAsia" w:asciiTheme="minorEastAsia" w:hAnsiTheme="minorEastAsia" w:eastAsiaTheme="minorEastAsia" w:cstheme="minorEastAsia"/>
          <w:snapToGrid w:val="0"/>
          <w:color w:val="000000"/>
          <w:spacing w:val="-1"/>
          <w:kern w:val="0"/>
          <w:sz w:val="24"/>
          <w:szCs w:val="24"/>
          <w:lang w:val="en-US" w:eastAsia="en-US" w:bidi="ar-SA"/>
        </w:rPr>
        <w:instrText xml:space="preserve"> = 5 \* GB3 \* MERGEFORMAT </w:instrTex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separate"/>
      </w:r>
      <w:r>
        <w:rPr>
          <w:rFonts w:hint="eastAsia" w:asciiTheme="minorEastAsia" w:hAnsiTheme="minorEastAsia" w:eastAsiaTheme="minorEastAsia" w:cstheme="minorEastAsia"/>
          <w:snapToGrid w:val="0"/>
          <w:color w:val="000000"/>
          <w:spacing w:val="-1"/>
          <w:kern w:val="0"/>
          <w:sz w:val="24"/>
          <w:szCs w:val="24"/>
          <w:lang w:val="en-US" w:eastAsia="en-US" w:bidi="ar-SA"/>
        </w:rPr>
        <w:t>⑤</w: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end"/>
      </w:r>
      <w:bookmarkStart w:id="56" w:name="_Toc322207348"/>
      <w:bookmarkStart w:id="57" w:name="_Toc323463268"/>
      <w:bookmarkStart w:id="58" w:name="_Toc317578519"/>
      <w:bookmarkStart w:id="59" w:name="_Toc323463273"/>
      <w:bookmarkStart w:id="60" w:name="_Toc322207353"/>
      <w:bookmarkStart w:id="61" w:name="_Toc323462217"/>
      <w:bookmarkStart w:id="62" w:name="_Toc315425236"/>
      <w:bookmarkStart w:id="63" w:name="_Toc323462222"/>
      <w:bookmarkStart w:id="64" w:name="OLE_LINK45"/>
      <w:bookmarkStart w:id="65" w:name="_Toc317578528"/>
      <w:bookmarkStart w:id="66" w:name="_Toc315425227"/>
      <w:r>
        <w:rPr>
          <w:rFonts w:hint="eastAsia" w:asciiTheme="minorEastAsia" w:hAnsiTheme="minorEastAsia" w:eastAsiaTheme="minorEastAsia" w:cstheme="minorEastAsia"/>
          <w:snapToGrid w:val="0"/>
          <w:color w:val="000000"/>
          <w:spacing w:val="-1"/>
          <w:kern w:val="0"/>
          <w:sz w:val="24"/>
          <w:szCs w:val="24"/>
          <w:lang w:val="en-US" w:eastAsia="en-US" w:bidi="ar-SA"/>
        </w:rPr>
        <w:t>考试区全景视频监控应符合以下要求：</w:t>
      </w:r>
    </w:p>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a)大型客车、重型牵引挂车、城市公交车、中型客车、大型货车考试区全景视频监控范围同时覆盖除模拟连续急弯山区路、模拟隧道、模拟高速公路、模拟湿滑路面、模拟雨（雾）天外其余所有考试项目衔接区域；</w:t>
      </w:r>
    </w:p>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b)轻型牵引挂车考试区全景监控同时覆盖桩考、直角转弯、曲线行驶项目和考试项目衔接区域;</w:t>
      </w:r>
    </w:p>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c)除a）、b）外的其他车型考试区全景视频监控范围同时覆盖整个考试区</w:t>
      </w:r>
      <w:bookmarkEnd w:id="56"/>
      <w:bookmarkEnd w:id="57"/>
      <w:bookmarkEnd w:id="58"/>
      <w:bookmarkEnd w:id="59"/>
      <w:bookmarkEnd w:id="60"/>
      <w:bookmarkEnd w:id="61"/>
      <w:bookmarkEnd w:id="62"/>
      <w:bookmarkEnd w:id="63"/>
      <w:bookmarkEnd w:id="64"/>
      <w:bookmarkEnd w:id="65"/>
      <w:bookmarkEnd w:id="66"/>
      <w:r>
        <w:rPr>
          <w:rFonts w:hint="eastAsia" w:asciiTheme="minorEastAsia" w:hAnsiTheme="minorEastAsia" w:eastAsiaTheme="minorEastAsia" w:cstheme="minorEastAsia"/>
          <w:snapToGrid w:val="0"/>
          <w:color w:val="000000"/>
          <w:spacing w:val="-1"/>
          <w:kern w:val="0"/>
          <w:sz w:val="24"/>
          <w:szCs w:val="24"/>
          <w:lang w:val="en-US" w:eastAsia="en-US" w:bidi="ar-SA"/>
        </w:rPr>
        <w:t>。</w:t>
      </w:r>
    </w:p>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begin"/>
      </w:r>
      <w:r>
        <w:rPr>
          <w:rFonts w:hint="eastAsia" w:asciiTheme="minorEastAsia" w:hAnsiTheme="minorEastAsia" w:eastAsiaTheme="minorEastAsia" w:cstheme="minorEastAsia"/>
          <w:snapToGrid w:val="0"/>
          <w:color w:val="000000"/>
          <w:spacing w:val="-1"/>
          <w:kern w:val="0"/>
          <w:sz w:val="24"/>
          <w:szCs w:val="24"/>
          <w:lang w:val="en-US" w:eastAsia="en-US" w:bidi="ar-SA"/>
        </w:rPr>
        <w:instrText xml:space="preserve"> = 6 \* GB3 \* MERGEFORMAT </w:instrTex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separate"/>
      </w:r>
      <w:r>
        <w:rPr>
          <w:rFonts w:hint="eastAsia" w:asciiTheme="minorEastAsia" w:hAnsiTheme="minorEastAsia" w:eastAsiaTheme="minorEastAsia" w:cstheme="minorEastAsia"/>
          <w:snapToGrid w:val="0"/>
          <w:color w:val="000000"/>
          <w:spacing w:val="-1"/>
          <w:kern w:val="0"/>
          <w:sz w:val="24"/>
          <w:szCs w:val="24"/>
          <w:lang w:val="en-US" w:eastAsia="en-US" w:bidi="ar-SA"/>
        </w:rPr>
        <w:t>⑥</w: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end"/>
      </w:r>
      <w:r>
        <w:rPr>
          <w:rFonts w:hint="eastAsia" w:asciiTheme="minorEastAsia" w:hAnsiTheme="minorEastAsia" w:eastAsiaTheme="minorEastAsia" w:cstheme="minorEastAsia"/>
          <w:snapToGrid w:val="0"/>
          <w:color w:val="000000"/>
          <w:spacing w:val="-1"/>
          <w:kern w:val="0"/>
          <w:sz w:val="24"/>
          <w:szCs w:val="24"/>
          <w:lang w:val="en-US" w:eastAsia="en-US" w:bidi="ar-SA"/>
        </w:rPr>
        <w:t>考试区道路应符合以下要求:</w:t>
      </w:r>
    </w:p>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a)按照CJJ 37设计，路面设计轴载采用双轮组单轴载100 kN；</w:t>
      </w:r>
    </w:p>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b)除考试项目路段外，积雪或冰冻地区道路的最大纵坡小于或等于3.5%，其他地区道路的最大纵坡应小于或等于6%；</w:t>
      </w:r>
    </w:p>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c)直线与平曲线的衔接时，参照CJJ 37合理设置缓和曲线、超高、加宽等；</w:t>
      </w:r>
    </w:p>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d)路缘石与项目标线距离小于30cm时，小型汽车、小型自动挡汽车、摩托车考试单元内路缘石圆曲线半径应大于或等于1.0 m，大型客车、重型牵引挂车、城市公交车、中型客车、大型货车考试单元内路缘石圆曲线半径应大于或等于1.5 m;</w:t>
      </w:r>
    </w:p>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e)道路宽度大于或等于考试项目图形宽度，项目图形线外侧0.3 m内无影响考试评判的设施；</w:t>
      </w:r>
    </w:p>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f)除考试项目有规定外，道路转弯半径小型汽车、小型自动挡汽车大于或等于8.0 m，大型客车、重型牵引挂车、城市公交车、中型客车、大型货车大于或等于12 m；</w:t>
      </w:r>
    </w:p>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g)道路合理设置排水设施，保证路基、路面及标线不因积水而损坏；</w:t>
      </w:r>
    </w:p>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h)道路建筑限界符合图1及表2规定。</w:t>
      </w:r>
    </w:p>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bookmarkStart w:id="67" w:name="_Toc315424887"/>
      <w:bookmarkStart w:id="68" w:name="_Toc322207038"/>
      <w:bookmarkStart w:id="69" w:name="_Toc317578169"/>
      <w:r>
        <w:rPr>
          <w:rFonts w:hint="eastAsia" w:asciiTheme="minorEastAsia" w:hAnsiTheme="minorEastAsia" w:eastAsiaTheme="minorEastAsia" w:cstheme="minorEastAsia"/>
          <w:snapToGrid w:val="0"/>
          <w:color w:val="000000"/>
          <w:spacing w:val="-1"/>
          <w:kern w:val="0"/>
          <w:sz w:val="24"/>
          <w:szCs w:val="24"/>
          <w:lang w:val="en-US" w:eastAsia="en-US" w:bidi="ar-SA"/>
        </w:rPr>
        <w:drawing>
          <wp:anchor distT="0" distB="0" distL="114300" distR="114300" simplePos="0" relativeHeight="251659264" behindDoc="0" locked="0" layoutInCell="1" allowOverlap="1">
            <wp:simplePos x="0" y="0"/>
            <wp:positionH relativeFrom="column">
              <wp:posOffset>-50800</wp:posOffset>
            </wp:positionH>
            <wp:positionV relativeFrom="paragraph">
              <wp:posOffset>403860</wp:posOffset>
            </wp:positionV>
            <wp:extent cx="5763895" cy="2810510"/>
            <wp:effectExtent l="0" t="0" r="8255" b="8890"/>
            <wp:wrapTopAndBottom/>
            <wp:docPr id="2" name="道路建筑限界示意图.jpg"/>
            <wp:cNvGraphicFramePr/>
            <a:graphic xmlns:a="http://schemas.openxmlformats.org/drawingml/2006/main">
              <a:graphicData uri="http://schemas.openxmlformats.org/drawingml/2006/picture">
                <pic:pic xmlns:pic="http://schemas.openxmlformats.org/drawingml/2006/picture">
                  <pic:nvPicPr>
                    <pic:cNvPr id="2" name="道路建筑限界示意图.jpg"/>
                    <pic:cNvPicPr/>
                  </pic:nvPicPr>
                  <pic:blipFill>
                    <a:blip r:embed="rId17"/>
                    <a:stretch>
                      <a:fillRect/>
                    </a:stretch>
                  </pic:blipFill>
                  <pic:spPr>
                    <a:xfrm flipV="1">
                      <a:off x="0" y="0"/>
                      <a:ext cx="5763895" cy="2810510"/>
                    </a:xfrm>
                    <a:prstGeom prst="rect">
                      <a:avLst/>
                    </a:prstGeom>
                    <a:noFill/>
                    <a:ln>
                      <a:noFill/>
                    </a:ln>
                  </pic:spPr>
                </pic:pic>
              </a:graphicData>
            </a:graphic>
          </wp:anchor>
        </w:drawing>
      </w:r>
      <w:bookmarkEnd w:id="67"/>
      <w:bookmarkEnd w:id="68"/>
      <w:bookmarkEnd w:id="69"/>
      <w:bookmarkStart w:id="70" w:name="_Toc315424891"/>
      <w:bookmarkStart w:id="71" w:name="_Toc317578173"/>
      <w:bookmarkStart w:id="72" w:name="_Toc322207042"/>
      <w:r>
        <w:rPr>
          <w:rFonts w:hint="eastAsia" w:asciiTheme="minorEastAsia" w:hAnsiTheme="minorEastAsia" w:eastAsiaTheme="minorEastAsia" w:cstheme="minorEastAsia"/>
          <w:snapToGrid w:val="0"/>
          <w:color w:val="000000"/>
          <w:spacing w:val="-1"/>
          <w:kern w:val="0"/>
          <w:sz w:val="24"/>
          <w:szCs w:val="24"/>
          <w:lang w:val="en-US" w:eastAsia="en-US" w:bidi="ar-SA"/>
        </w:rPr>
        <w:t>标引序号说明：</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bookmarkStart w:id="73" w:name="OLE_LINK33"/>
      <w:bookmarkStart w:id="74" w:name="_Toc315424884"/>
      <w:bookmarkStart w:id="75" w:name="_Toc317578166"/>
      <w:bookmarkStart w:id="76" w:name="_Toc322207035"/>
      <w:r>
        <w:rPr>
          <w:rFonts w:hint="eastAsia" w:asciiTheme="minorEastAsia" w:hAnsiTheme="minorEastAsia" w:eastAsiaTheme="minorEastAsia" w:cstheme="minorEastAsia"/>
          <w:snapToGrid w:val="0"/>
          <w:color w:val="000000"/>
          <w:spacing w:val="-1"/>
          <w:kern w:val="0"/>
          <w:sz w:val="24"/>
          <w:szCs w:val="24"/>
          <w:lang w:val="en-US" w:eastAsia="zh-CN" w:bidi="ar-SA"/>
        </w:rPr>
        <w:t>h1 ——净空高度；</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bookmarkStart w:id="77" w:name="_Toc322207039"/>
      <w:bookmarkStart w:id="78" w:name="_Toc317578170"/>
      <w:bookmarkStart w:id="79" w:name="_Toc315424888"/>
      <w:r>
        <w:rPr>
          <w:rFonts w:hint="eastAsia" w:asciiTheme="minorEastAsia" w:hAnsiTheme="minorEastAsia" w:eastAsiaTheme="minorEastAsia" w:cstheme="minorEastAsia"/>
          <w:snapToGrid w:val="0"/>
          <w:color w:val="000000"/>
          <w:spacing w:val="-1"/>
          <w:kern w:val="0"/>
          <w:sz w:val="24"/>
          <w:szCs w:val="24"/>
          <w:lang w:val="en-US" w:eastAsia="zh-CN" w:bidi="ar-SA"/>
        </w:rPr>
        <w:t>h2 ——路缘石高度；</w:t>
      </w:r>
      <w:bookmarkEnd w:id="77"/>
      <w:bookmarkEnd w:id="78"/>
      <w:bookmarkEnd w:id="79"/>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bookmarkStart w:id="80" w:name="_Toc315424889"/>
      <w:bookmarkStart w:id="81" w:name="_Toc317578171"/>
      <w:bookmarkStart w:id="82" w:name="_Toc322207040"/>
      <w:r>
        <w:rPr>
          <w:rFonts w:hint="eastAsia" w:asciiTheme="minorEastAsia" w:hAnsiTheme="minorEastAsia" w:eastAsiaTheme="minorEastAsia" w:cstheme="minorEastAsia"/>
          <w:snapToGrid w:val="0"/>
          <w:color w:val="000000"/>
          <w:spacing w:val="-1"/>
          <w:kern w:val="0"/>
          <w:sz w:val="24"/>
          <w:szCs w:val="24"/>
          <w:lang w:val="en-US" w:eastAsia="zh-CN" w:bidi="ar-SA"/>
        </w:rPr>
        <w:t>h3 ——路侧净空高度</w:t>
      </w:r>
      <w:bookmarkEnd w:id="80"/>
      <w:bookmarkEnd w:id="81"/>
      <w:bookmarkEnd w:id="82"/>
      <w:r>
        <w:rPr>
          <w:rFonts w:hint="eastAsia" w:asciiTheme="minorEastAsia" w:hAnsiTheme="minorEastAsia" w:eastAsiaTheme="minorEastAsia" w:cstheme="minorEastAsia"/>
          <w:snapToGrid w:val="0"/>
          <w:color w:val="000000"/>
          <w:spacing w:val="-1"/>
          <w:kern w:val="0"/>
          <w:sz w:val="24"/>
          <w:szCs w:val="24"/>
          <w:lang w:val="en-US" w:eastAsia="zh-CN" w:bidi="ar-SA"/>
        </w:rPr>
        <w:t>；</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b1 ——建筑限界顶角宽度；</w:t>
      </w:r>
      <w:bookmarkEnd w:id="73"/>
      <w:bookmarkEnd w:id="74"/>
      <w:bookmarkEnd w:id="75"/>
      <w:bookmarkEnd w:id="76"/>
      <w:r>
        <w:rPr>
          <w:rFonts w:hint="eastAsia" w:asciiTheme="minorEastAsia" w:hAnsiTheme="minorEastAsia" w:eastAsiaTheme="minorEastAsia" w:cstheme="minorEastAsia"/>
          <w:snapToGrid w:val="0"/>
          <w:color w:val="000000"/>
          <w:spacing w:val="-1"/>
          <w:kern w:val="0"/>
          <w:sz w:val="24"/>
          <w:szCs w:val="24"/>
          <w:lang w:val="en-US" w:eastAsia="zh-CN" w:bidi="ar-SA"/>
        </w:rPr>
        <w:t xml:space="preserve"> </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bookmarkStart w:id="83" w:name="_Toc317578167"/>
      <w:bookmarkStart w:id="84" w:name="_Toc315424885"/>
      <w:bookmarkStart w:id="85" w:name="_Toc322207036"/>
      <w:r>
        <w:rPr>
          <w:rFonts w:hint="eastAsia" w:asciiTheme="minorEastAsia" w:hAnsiTheme="minorEastAsia" w:eastAsiaTheme="minorEastAsia" w:cstheme="minorEastAsia"/>
          <w:snapToGrid w:val="0"/>
          <w:color w:val="000000"/>
          <w:spacing w:val="-1"/>
          <w:kern w:val="0"/>
          <w:sz w:val="24"/>
          <w:szCs w:val="24"/>
          <w:lang w:val="en-US" w:eastAsia="zh-CN" w:bidi="ar-SA"/>
        </w:rPr>
        <w:t>b2 ——</w:t>
      </w:r>
      <w:bookmarkEnd w:id="83"/>
      <w:bookmarkEnd w:id="84"/>
      <w:bookmarkEnd w:id="85"/>
      <w:r>
        <w:rPr>
          <w:rFonts w:hint="eastAsia" w:asciiTheme="minorEastAsia" w:hAnsiTheme="minorEastAsia" w:eastAsiaTheme="minorEastAsia" w:cstheme="minorEastAsia"/>
          <w:snapToGrid w:val="0"/>
          <w:color w:val="000000"/>
          <w:spacing w:val="-1"/>
          <w:kern w:val="0"/>
          <w:sz w:val="24"/>
          <w:szCs w:val="24"/>
          <w:lang w:val="en-US" w:eastAsia="zh-CN" w:bidi="ar-SA"/>
        </w:rPr>
        <w:t>行车道宽度；</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bookmarkStart w:id="86" w:name="_Toc322207037"/>
      <w:bookmarkStart w:id="87" w:name="_Toc315424886"/>
      <w:bookmarkStart w:id="88" w:name="_Toc317578168"/>
      <w:r>
        <w:rPr>
          <w:rFonts w:hint="eastAsia" w:asciiTheme="minorEastAsia" w:hAnsiTheme="minorEastAsia" w:eastAsiaTheme="minorEastAsia" w:cstheme="minorEastAsia"/>
          <w:snapToGrid w:val="0"/>
          <w:color w:val="000000"/>
          <w:spacing w:val="-1"/>
          <w:kern w:val="0"/>
          <w:sz w:val="24"/>
          <w:szCs w:val="24"/>
          <w:lang w:val="en-US" w:eastAsia="zh-CN" w:bidi="ar-SA"/>
        </w:rPr>
        <w:t>b3 ——路缘带宽度；</w:t>
      </w:r>
      <w:bookmarkEnd w:id="86"/>
      <w:bookmarkEnd w:id="87"/>
      <w:bookmarkEnd w:id="88"/>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b4 ——侧向净空宽度</w:t>
      </w:r>
      <w:bookmarkStart w:id="89" w:name="_Toc315424890"/>
      <w:bookmarkStart w:id="90" w:name="_Toc322207041"/>
      <w:bookmarkStart w:id="91" w:name="_Toc317578172"/>
      <w:r>
        <w:rPr>
          <w:rFonts w:hint="eastAsia" w:asciiTheme="minorEastAsia" w:hAnsiTheme="minorEastAsia" w:eastAsiaTheme="minorEastAsia" w:cstheme="minorEastAsia"/>
          <w:snapToGrid w:val="0"/>
          <w:color w:val="000000"/>
          <w:spacing w:val="-1"/>
          <w:kern w:val="0"/>
          <w:sz w:val="24"/>
          <w:szCs w:val="24"/>
          <w:lang w:val="en-US" w:eastAsia="zh-CN" w:bidi="ar-SA"/>
        </w:rPr>
        <w:t>。</w:t>
      </w:r>
      <w:bookmarkEnd w:id="89"/>
      <w:bookmarkEnd w:id="90"/>
      <w:bookmarkEnd w:id="91"/>
    </w:p>
    <w:p>
      <w:pPr>
        <w:pStyle w:val="36"/>
        <w:numPr>
          <w:ilvl w:val="0"/>
          <w:numId w:val="0"/>
        </w:numPr>
        <w:spacing w:beforeLines="0" w:afterLines="0"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图1  道路建筑限界</w:t>
      </w:r>
      <w:bookmarkEnd w:id="70"/>
      <w:bookmarkEnd w:id="71"/>
      <w:bookmarkEnd w:id="72"/>
      <w:r>
        <w:rPr>
          <w:rFonts w:hint="eastAsia" w:asciiTheme="minorEastAsia" w:hAnsiTheme="minorEastAsia" w:eastAsiaTheme="minorEastAsia" w:cstheme="minorEastAsia"/>
          <w:snapToGrid w:val="0"/>
          <w:color w:val="000000"/>
          <w:spacing w:val="-1"/>
          <w:kern w:val="0"/>
          <w:sz w:val="24"/>
          <w:szCs w:val="24"/>
          <w:lang w:val="en-US" w:eastAsia="en-US" w:bidi="ar-SA"/>
        </w:rPr>
        <w:t>示意图</w:t>
      </w:r>
    </w:p>
    <w:p>
      <w:pPr>
        <w:pStyle w:val="38"/>
        <w:spacing w:beforeLines="0" w:afterLines="0" w:line="440" w:lineRule="exact"/>
        <w:ind w:firstLine="2380" w:firstLineChars="1000"/>
        <w:jc w:val="both"/>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表2  道路限界尺寸</w:t>
      </w:r>
    </w:p>
    <w:p>
      <w:pPr>
        <w:pStyle w:val="35"/>
        <w:spacing w:line="440" w:lineRule="exact"/>
        <w:ind w:firstLine="560"/>
        <w:jc w:val="right"/>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单位为米</w:t>
      </w:r>
    </w:p>
    <w:tbl>
      <w:tblPr>
        <w:tblStyle w:val="17"/>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970"/>
        <w:gridCol w:w="42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13" w:type="dxa"/>
            <w:tcBorders>
              <w:top w:val="single" w:color="auto" w:sz="8" w:space="0"/>
              <w:bottom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标引序号</w:t>
            </w:r>
          </w:p>
        </w:tc>
        <w:tc>
          <w:tcPr>
            <w:tcW w:w="3970" w:type="dxa"/>
            <w:tcBorders>
              <w:top w:val="single" w:color="auto" w:sz="8" w:space="0"/>
              <w:bottom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轻型载货汽车、小型载客汽车</w:t>
            </w:r>
          </w:p>
        </w:tc>
        <w:tc>
          <w:tcPr>
            <w:tcW w:w="4255" w:type="dxa"/>
            <w:tcBorders>
              <w:top w:val="single" w:color="auto" w:sz="8" w:space="0"/>
              <w:bottom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其它车型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13" w:type="dxa"/>
            <w:tcBorders>
              <w:top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h1</w:t>
            </w:r>
          </w:p>
        </w:tc>
        <w:tc>
          <w:tcPr>
            <w:tcW w:w="3970" w:type="dxa"/>
            <w:tcBorders>
              <w:top w:val="single" w:color="auto" w:sz="8"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3.0</w:t>
            </w:r>
          </w:p>
        </w:tc>
        <w:tc>
          <w:tcPr>
            <w:tcW w:w="4255" w:type="dxa"/>
            <w:tcBorders>
              <w:top w:val="single" w:color="auto" w:sz="8"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13"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h2</w:t>
            </w:r>
          </w:p>
        </w:tc>
        <w:tc>
          <w:tcPr>
            <w:tcW w:w="3970"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0.1～0.2</w:t>
            </w:r>
          </w:p>
        </w:tc>
        <w:tc>
          <w:tcPr>
            <w:tcW w:w="4255"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13"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h3</w:t>
            </w:r>
          </w:p>
        </w:tc>
        <w:tc>
          <w:tcPr>
            <w:tcW w:w="3970"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2.5</w:t>
            </w:r>
          </w:p>
        </w:tc>
        <w:tc>
          <w:tcPr>
            <w:tcW w:w="4255"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13"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b1</w:t>
            </w:r>
          </w:p>
        </w:tc>
        <w:tc>
          <w:tcPr>
            <w:tcW w:w="3970"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1.0</w:t>
            </w:r>
          </w:p>
        </w:tc>
        <w:tc>
          <w:tcPr>
            <w:tcW w:w="4255"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13"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b2</w:t>
            </w:r>
          </w:p>
        </w:tc>
        <w:tc>
          <w:tcPr>
            <w:tcW w:w="3970"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≥3.2</w:t>
            </w:r>
          </w:p>
        </w:tc>
        <w:tc>
          <w:tcPr>
            <w:tcW w:w="4255"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13"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b3</w:t>
            </w:r>
          </w:p>
        </w:tc>
        <w:tc>
          <w:tcPr>
            <w:tcW w:w="3970"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0～0.3</w:t>
            </w:r>
          </w:p>
        </w:tc>
        <w:tc>
          <w:tcPr>
            <w:tcW w:w="4255"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13"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b4</w:t>
            </w:r>
          </w:p>
        </w:tc>
        <w:tc>
          <w:tcPr>
            <w:tcW w:w="8225" w:type="dxa"/>
            <w:gridSpan w:val="2"/>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弯道外侧取值1.5，其余取值1.0</w:t>
            </w:r>
          </w:p>
        </w:tc>
      </w:tr>
    </w:tbl>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bookmarkStart w:id="92" w:name="_Toc230773440"/>
      <w:bookmarkStart w:id="93" w:name="_Toc230773348"/>
      <w:bookmarkStart w:id="94" w:name="_Toc315424900"/>
      <w:bookmarkStart w:id="95" w:name="_Toc232409726"/>
      <w:bookmarkStart w:id="96" w:name="_Toc323463267"/>
      <w:bookmarkStart w:id="97" w:name="_Toc323463113"/>
      <w:bookmarkStart w:id="98" w:name="_Toc317578182"/>
      <w:bookmarkStart w:id="99" w:name="OLE_LINK37"/>
      <w:bookmarkStart w:id="100" w:name="_Toc322207049"/>
      <w:bookmarkStart w:id="101" w:name="_Toc231543539"/>
      <w:bookmarkStart w:id="102" w:name="_Toc311039357"/>
      <w:bookmarkStart w:id="103" w:name="_Toc230773395"/>
      <w:bookmarkStart w:id="104" w:name="OLE_LINK59"/>
      <w:bookmarkStart w:id="105" w:name="_Toc231005849"/>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begin"/>
      </w:r>
      <w:r>
        <w:rPr>
          <w:rFonts w:hint="eastAsia" w:asciiTheme="minorEastAsia" w:hAnsiTheme="minorEastAsia" w:eastAsiaTheme="minorEastAsia" w:cstheme="minorEastAsia"/>
          <w:snapToGrid w:val="0"/>
          <w:color w:val="000000"/>
          <w:spacing w:val="-1"/>
          <w:kern w:val="0"/>
          <w:sz w:val="24"/>
          <w:szCs w:val="24"/>
          <w:lang w:val="en-US" w:eastAsia="en-US" w:bidi="ar-SA"/>
        </w:rPr>
        <w:instrText xml:space="preserve"> = 7 \* GB3 \* MERGEFORMAT </w:instrTex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separate"/>
      </w:r>
      <w:r>
        <w:rPr>
          <w:rFonts w:hint="eastAsia" w:asciiTheme="minorEastAsia" w:hAnsiTheme="minorEastAsia" w:eastAsiaTheme="minorEastAsia" w:cstheme="minorEastAsia"/>
          <w:snapToGrid w:val="0"/>
          <w:color w:val="000000"/>
          <w:spacing w:val="-1"/>
          <w:kern w:val="0"/>
          <w:sz w:val="24"/>
          <w:szCs w:val="24"/>
          <w:lang w:val="en-US" w:eastAsia="en-US" w:bidi="ar-SA"/>
        </w:rPr>
        <w:t>⑦</w: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end"/>
      </w:r>
      <w:r>
        <w:rPr>
          <w:rFonts w:hint="eastAsia" w:asciiTheme="minorEastAsia" w:hAnsiTheme="minorEastAsia" w:eastAsiaTheme="minorEastAsia" w:cstheme="minorEastAsia"/>
          <w:snapToGrid w:val="0"/>
          <w:color w:val="000000"/>
          <w:spacing w:val="-1"/>
          <w:kern w:val="0"/>
          <w:sz w:val="24"/>
          <w:szCs w:val="24"/>
          <w:lang w:val="en-US" w:eastAsia="en-US" w:bidi="ar-SA"/>
        </w:rPr>
        <w:t>交通工程设施</w:t>
      </w:r>
    </w:p>
    <w:p>
      <w:pPr>
        <w:pStyle w:val="35"/>
        <w:spacing w:line="440" w:lineRule="exact"/>
        <w:ind w:firstLine="56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考试区场地交通工程设施应符合以下要求：</w:t>
      </w:r>
    </w:p>
    <w:p>
      <w:pPr>
        <w:pStyle w:val="35"/>
        <w:spacing w:line="440" w:lineRule="exact"/>
        <w:ind w:firstLine="56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a)按照“保障安全、提供服务、利于管理”的原则设置，安全设计符合相关标准要求；</w:t>
      </w:r>
    </w:p>
    <w:p>
      <w:pPr>
        <w:pStyle w:val="35"/>
        <w:spacing w:line="440" w:lineRule="exact"/>
        <w:ind w:firstLine="56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b)道路路面两侧与路外场地落差超过0.5 m时，在道路边缘设置防护设施；</w:t>
      </w:r>
    </w:p>
    <w:p>
      <w:pPr>
        <w:pStyle w:val="35"/>
        <w:spacing w:line="440" w:lineRule="exact"/>
        <w:ind w:firstLine="56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c)道路一侧至路肩边缘不足2.0 m存在落差大于或等于1.0 m的水域、铁路等路段时，路侧设置防撞等级大于或等于JTG D81中B级的护栏；</w:t>
      </w:r>
      <w:bookmarkStart w:id="106" w:name="_Toc322207351"/>
      <w:bookmarkStart w:id="107" w:name="_Toc323463271"/>
      <w:bookmarkStart w:id="108" w:name="_Toc230773349"/>
      <w:bookmarkStart w:id="109" w:name="_Toc317578526"/>
      <w:bookmarkStart w:id="110" w:name="_Toc315425234"/>
      <w:bookmarkStart w:id="111" w:name="_Toc323462220"/>
    </w:p>
    <w:p>
      <w:pPr>
        <w:pStyle w:val="35"/>
        <w:spacing w:line="440" w:lineRule="exact"/>
        <w:ind w:firstLine="56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d)道路侧向净空范围内或道路转弯、分流路口等处存在可能与车辆发生刚性碰撞的物体时，在物体前设置有效的消能物体或设施</w:t>
      </w:r>
      <w:bookmarkEnd w:id="106"/>
      <w:bookmarkEnd w:id="107"/>
      <w:bookmarkEnd w:id="108"/>
      <w:bookmarkEnd w:id="109"/>
      <w:bookmarkEnd w:id="110"/>
      <w:bookmarkEnd w:id="111"/>
      <w:r>
        <w:rPr>
          <w:rFonts w:hint="eastAsia" w:asciiTheme="minorEastAsia" w:hAnsiTheme="minorEastAsia" w:eastAsiaTheme="minorEastAsia" w:cstheme="minorEastAsia"/>
          <w:snapToGrid w:val="0"/>
          <w:color w:val="000000"/>
          <w:spacing w:val="-1"/>
          <w:kern w:val="0"/>
          <w:sz w:val="24"/>
          <w:szCs w:val="24"/>
          <w:lang w:val="en-US" w:eastAsia="en-US" w:bidi="ar-SA"/>
        </w:rPr>
        <w:t>；</w:t>
      </w:r>
    </w:p>
    <w:p>
      <w:pPr>
        <w:pStyle w:val="35"/>
        <w:spacing w:line="440" w:lineRule="exact"/>
        <w:ind w:firstLine="56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e)交通设施无刚性棱角等可能造成人员损伤的尖锐凸出部位；</w:t>
      </w:r>
      <w:bookmarkStart w:id="112" w:name="_Toc323462218"/>
      <w:bookmarkStart w:id="113" w:name="_Toc322207349"/>
      <w:bookmarkStart w:id="114" w:name="_Toc317578520"/>
      <w:bookmarkStart w:id="115" w:name="_Toc323463269"/>
      <w:bookmarkStart w:id="116" w:name="_Toc315425228"/>
      <w:bookmarkStart w:id="117" w:name="_Toc323462219"/>
      <w:bookmarkStart w:id="118" w:name="_Toc317578521"/>
      <w:bookmarkStart w:id="119" w:name="_Toc315425229"/>
      <w:bookmarkStart w:id="120" w:name="_Toc323463270"/>
      <w:bookmarkStart w:id="121" w:name="_Toc322207350"/>
    </w:p>
    <w:p>
      <w:pPr>
        <w:pStyle w:val="35"/>
        <w:spacing w:line="440" w:lineRule="exact"/>
        <w:ind w:firstLine="56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f)考试项目区域外及模拟连续急弯山区路、模拟隧道、模拟高速公路、模拟湿滑路面、模拟雨（雾）天考试项目内的交通标志、标线按照GB 5768.2、GB 5768.3要求设置</w:t>
      </w:r>
      <w:bookmarkEnd w:id="112"/>
      <w:bookmarkEnd w:id="113"/>
      <w:bookmarkEnd w:id="114"/>
      <w:bookmarkEnd w:id="115"/>
      <w:bookmarkEnd w:id="116"/>
      <w:r>
        <w:rPr>
          <w:rFonts w:hint="eastAsia" w:asciiTheme="minorEastAsia" w:hAnsiTheme="minorEastAsia" w:eastAsiaTheme="minorEastAsia" w:cstheme="minorEastAsia"/>
          <w:snapToGrid w:val="0"/>
          <w:color w:val="000000"/>
          <w:spacing w:val="-1"/>
          <w:kern w:val="0"/>
          <w:sz w:val="24"/>
          <w:szCs w:val="24"/>
          <w:lang w:val="en-US" w:eastAsia="en-US" w:bidi="ar-SA"/>
        </w:rPr>
        <w:t>。</w:t>
      </w:r>
    </w:p>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17"/>
    <w:bookmarkEnd w:id="118"/>
    <w:bookmarkEnd w:id="119"/>
    <w:bookmarkEnd w:id="120"/>
    <w:bookmarkEnd w:id="121"/>
    <w:p>
      <w:pPr>
        <w:pStyle w:val="34"/>
        <w:spacing w:beforeLines="0" w:afterLines="0"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bookmarkStart w:id="122" w:name="_Toc106081333"/>
      <w:bookmarkStart w:id="123" w:name="_Toc136665896"/>
      <w:bookmarkStart w:id="124" w:name="_Toc131149684"/>
      <w:bookmarkStart w:id="125" w:name="_Toc112833125"/>
      <w:bookmarkStart w:id="126" w:name="_Toc231543535"/>
      <w:bookmarkStart w:id="127" w:name="_Toc136363777"/>
      <w:bookmarkStart w:id="128" w:name="_Toc187464592"/>
      <w:bookmarkStart w:id="129" w:name="_Toc111031823"/>
      <w:bookmarkStart w:id="130" w:name="_Toc209108825"/>
      <w:bookmarkStart w:id="131" w:name="_Toc187463694"/>
      <w:bookmarkStart w:id="132" w:name="_Toc125253162"/>
      <w:bookmarkStart w:id="133" w:name="_Toc187464905"/>
      <w:bookmarkStart w:id="134" w:name="_Toc179371667"/>
      <w:bookmarkStart w:id="135" w:name="_Toc136418894"/>
      <w:bookmarkStart w:id="136" w:name="_Toc230773344"/>
      <w:bookmarkStart w:id="137" w:name="_Toc135036645"/>
      <w:bookmarkStart w:id="138" w:name="_Toc106089514"/>
      <w:bookmarkStart w:id="139" w:name="_Toc131149433"/>
      <w:bookmarkStart w:id="140" w:name="_Toc179370758"/>
      <w:bookmarkStart w:id="141" w:name="_Toc139884679"/>
      <w:bookmarkStart w:id="142" w:name="_Toc180635523"/>
      <w:bookmarkStart w:id="143" w:name="_Toc137030366"/>
      <w:bookmarkStart w:id="144" w:name="_Toc106694517"/>
      <w:bookmarkStart w:id="145" w:name="_Toc106092751"/>
      <w:bookmarkStart w:id="146" w:name="_Toc139884941"/>
      <w:bookmarkStart w:id="147" w:name="_Toc125252678"/>
      <w:bookmarkStart w:id="148" w:name="_Toc231005845"/>
      <w:bookmarkStart w:id="149" w:name="_Toc136662537"/>
      <w:bookmarkStart w:id="150" w:name="_Toc323463107"/>
      <w:bookmarkStart w:id="151" w:name="_Toc137025197"/>
      <w:bookmarkStart w:id="152" w:name="_Toc112832993"/>
      <w:bookmarkStart w:id="153" w:name="_Toc311039337"/>
      <w:bookmarkStart w:id="154" w:name="_Toc187465009"/>
      <w:bookmarkStart w:id="155" w:name="_Toc137030220"/>
      <w:bookmarkStart w:id="156" w:name="_Toc106098130"/>
      <w:bookmarkStart w:id="157" w:name="_Toc230430235"/>
      <w:bookmarkStart w:id="158" w:name="_Toc109446852"/>
      <w:bookmarkStart w:id="159" w:name="_Toc187030206"/>
      <w:bookmarkStart w:id="160" w:name="_Toc230773436"/>
      <w:bookmarkStart w:id="161" w:name="_Toc187464697"/>
      <w:bookmarkStart w:id="162" w:name="_Toc137528436"/>
      <w:bookmarkStart w:id="163" w:name="_Toc187025591"/>
      <w:bookmarkStart w:id="164" w:name="_Toc136660651"/>
      <w:bookmarkStart w:id="165" w:name="_Toc140216200"/>
      <w:bookmarkStart w:id="166" w:name="_Toc132172761"/>
      <w:bookmarkStart w:id="167" w:name="_Toc131149591"/>
      <w:bookmarkStart w:id="168" w:name="_Toc137030126"/>
      <w:bookmarkStart w:id="169" w:name="_Toc232409722"/>
      <w:bookmarkStart w:id="170" w:name="_Toc136363683"/>
      <w:bookmarkStart w:id="171" w:name="_Toc139887083"/>
      <w:bookmarkStart w:id="172" w:name="_Toc136665801"/>
      <w:bookmarkStart w:id="173" w:name="_Toc180635419"/>
      <w:bookmarkStart w:id="174" w:name="_Toc125174996"/>
      <w:bookmarkStart w:id="175" w:name="_Toc137025032"/>
      <w:bookmarkStart w:id="176" w:name="_Toc106089786"/>
      <w:bookmarkStart w:id="177" w:name="_Toc137529629"/>
      <w:bookmarkStart w:id="178" w:name="_Toc112833339"/>
      <w:bookmarkStart w:id="179" w:name="_Toc112832831"/>
      <w:bookmarkStart w:id="180" w:name="_Toc187465347"/>
      <w:bookmarkStart w:id="181" w:name="_Toc187030430"/>
      <w:bookmarkStart w:id="182" w:name="_Toc187027014"/>
      <w:bookmarkStart w:id="183" w:name="_Toc106102301"/>
      <w:bookmarkStart w:id="184" w:name="_Toc187465114"/>
      <w:bookmarkStart w:id="185" w:name="_Toc230773391"/>
      <w:bookmarkStart w:id="186" w:name="_Toc187464801"/>
      <w:bookmarkStart w:id="187" w:name="_Toc106090618"/>
      <w:bookmarkStart w:id="188" w:name="_Toc125252947"/>
      <w:bookmarkStart w:id="189" w:name="_Toc125172674"/>
      <w:bookmarkStart w:id="190" w:name="_Toc136363538"/>
      <w:bookmarkStart w:id="191" w:name="_Toc137021283"/>
      <w:bookmarkStart w:id="192" w:name="_Toc131323445"/>
      <w:bookmarkStart w:id="193" w:name="_Toc181253633"/>
      <w:bookmarkStart w:id="194" w:name="_Toc187030321"/>
      <w:bookmarkStart w:id="195" w:name="_Toc136665705"/>
      <w:bookmarkStart w:id="196" w:name="_Toc136048627"/>
      <w:bookmarkStart w:id="197" w:name="_Toc136665608"/>
      <w:bookmarkStart w:id="198" w:name="_Toc139885270"/>
      <w:bookmarkStart w:id="199" w:name="_Toc133897983"/>
      <w:bookmarkStart w:id="200" w:name="_Toc139885175"/>
      <w:bookmarkStart w:id="201" w:name="_Toc112833211"/>
      <w:bookmarkStart w:id="202" w:name="_Toc186874623"/>
      <w:bookmarkStart w:id="203" w:name="_Toc126918253"/>
      <w:bookmarkStart w:id="204" w:name="_Toc187025743"/>
      <w:bookmarkStart w:id="205" w:name="_Toc106090102"/>
      <w:bookmarkStart w:id="206" w:name="_Toc137026000"/>
      <w:bookmarkStart w:id="207" w:name="_Toc137025550"/>
      <w:bookmarkStart w:id="208" w:name="_Toc140218415"/>
      <w:r>
        <w:rPr>
          <w:rFonts w:hint="eastAsia" w:asciiTheme="minorEastAsia" w:hAnsiTheme="minorEastAsia" w:eastAsiaTheme="minorEastAsia" w:cstheme="minorEastAsia"/>
          <w:snapToGrid w:val="0"/>
          <w:color w:val="000000"/>
          <w:spacing w:val="-1"/>
          <w:kern w:val="0"/>
          <w:sz w:val="24"/>
          <w:szCs w:val="24"/>
          <w:lang w:val="en-US" w:eastAsia="en-US" w:bidi="ar-SA"/>
        </w:rPr>
        <w:t xml:space="preserve">4、考试项目设置 </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w:t>
      </w:r>
      <w:bookmarkStart w:id="209" w:name="_Toc323463120"/>
      <w:bookmarkStart w:id="210" w:name="_Toc322207055"/>
      <w:bookmarkStart w:id="211" w:name="_Toc317578188"/>
      <w:bookmarkStart w:id="212" w:name="_Toc315424906"/>
      <w:bookmarkStart w:id="213" w:name="_Toc323462069"/>
      <w:r>
        <w:rPr>
          <w:rFonts w:hint="eastAsia" w:asciiTheme="minorEastAsia" w:hAnsiTheme="minorEastAsia" w:eastAsiaTheme="minorEastAsia" w:cstheme="minorEastAsia"/>
          <w:snapToGrid w:val="0"/>
          <w:color w:val="000000"/>
          <w:spacing w:val="-1"/>
          <w:kern w:val="0"/>
          <w:sz w:val="24"/>
          <w:szCs w:val="24"/>
          <w:lang w:val="en-US" w:eastAsia="en-US" w:bidi="ar-SA"/>
        </w:rPr>
        <w:drawing>
          <wp:anchor distT="0" distB="0" distL="114300" distR="114300" simplePos="0" relativeHeight="251660288" behindDoc="0" locked="0" layoutInCell="1" allowOverlap="1">
            <wp:simplePos x="0" y="0"/>
            <wp:positionH relativeFrom="column">
              <wp:posOffset>439420</wp:posOffset>
            </wp:positionH>
            <wp:positionV relativeFrom="paragraph">
              <wp:posOffset>474345</wp:posOffset>
            </wp:positionV>
            <wp:extent cx="5016500" cy="2755900"/>
            <wp:effectExtent l="0" t="0" r="12700" b="6350"/>
            <wp:wrapTopAndBottom/>
            <wp:docPr id="3" name="倒车入库.jpg"/>
            <wp:cNvGraphicFramePr/>
            <a:graphic xmlns:a="http://schemas.openxmlformats.org/drawingml/2006/main">
              <a:graphicData uri="http://schemas.openxmlformats.org/drawingml/2006/picture">
                <pic:pic xmlns:pic="http://schemas.openxmlformats.org/drawingml/2006/picture">
                  <pic:nvPicPr>
                    <pic:cNvPr id="3" name="倒车入库.jpg"/>
                    <pic:cNvPicPr/>
                  </pic:nvPicPr>
                  <pic:blipFill>
                    <a:blip r:embed="rId18"/>
                    <a:stretch>
                      <a:fillRect/>
                    </a:stretch>
                  </pic:blipFill>
                  <pic:spPr>
                    <a:xfrm>
                      <a:off x="0" y="0"/>
                      <a:ext cx="5016500" cy="2755900"/>
                    </a:xfrm>
                    <a:prstGeom prst="rect">
                      <a:avLst/>
                    </a:prstGeom>
                    <a:noFill/>
                    <a:ln>
                      <a:noFill/>
                    </a:ln>
                  </pic:spPr>
                </pic:pic>
              </a:graphicData>
            </a:graphic>
          </wp:anchor>
        </w:drawing>
      </w:r>
      <w:r>
        <w:rPr>
          <w:rFonts w:hint="eastAsia" w:asciiTheme="minorEastAsia" w:hAnsiTheme="minorEastAsia" w:eastAsiaTheme="minorEastAsia" w:cstheme="minorEastAsia"/>
          <w:snapToGrid w:val="0"/>
          <w:color w:val="000000"/>
          <w:spacing w:val="-1"/>
          <w:kern w:val="0"/>
          <w:sz w:val="24"/>
          <w:szCs w:val="24"/>
          <w:lang w:val="en-US" w:eastAsia="en-US" w:bidi="ar-SA"/>
        </w:rPr>
        <w:t>倒车入库项目图形应按图2设置</w:t>
      </w:r>
      <w:bookmarkEnd w:id="209"/>
      <w:bookmarkEnd w:id="210"/>
      <w:bookmarkEnd w:id="211"/>
      <w:bookmarkEnd w:id="212"/>
      <w:bookmarkEnd w:id="213"/>
      <w:bookmarkStart w:id="214" w:name="_Toc323463121"/>
      <w:bookmarkStart w:id="215" w:name="_Toc322207056"/>
      <w:bookmarkStart w:id="216" w:name="_Toc317578189"/>
      <w:bookmarkStart w:id="217" w:name="_Toc323462070"/>
      <w:bookmarkStart w:id="218" w:name="_Toc315424907"/>
      <w:r>
        <w:rPr>
          <w:rFonts w:hint="eastAsia" w:asciiTheme="minorEastAsia" w:hAnsiTheme="minorEastAsia" w:eastAsiaTheme="minorEastAsia" w:cstheme="minorEastAsia"/>
          <w:snapToGrid w:val="0"/>
          <w:color w:val="000000"/>
          <w:spacing w:val="-1"/>
          <w:kern w:val="0"/>
          <w:sz w:val="24"/>
          <w:szCs w:val="24"/>
          <w:lang w:val="en-US" w:eastAsia="en-US" w:bidi="ar-SA"/>
        </w:rPr>
        <w:t>，项目尺寸应符合表3规定，车道控制线外侧净空取值应大于或等于1.0 m。</w:t>
      </w:r>
    </w:p>
    <w:bookmarkEnd w:id="214"/>
    <w:bookmarkEnd w:id="215"/>
    <w:bookmarkEnd w:id="216"/>
    <w:bookmarkEnd w:id="217"/>
    <w:bookmarkEnd w:id="218"/>
    <w:p>
      <w:pPr>
        <w:spacing w:line="440" w:lineRule="exac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 xml:space="preserve">    标引序号说明：</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l ——库长；</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b1 ——库宽；</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b2 ——车道宽；</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d ——库位与控制线的距离。</w:t>
      </w:r>
    </w:p>
    <w:p>
      <w:pPr>
        <w:pStyle w:val="36"/>
        <w:numPr>
          <w:ilvl w:val="0"/>
          <w:numId w:val="0"/>
        </w:numPr>
        <w:spacing w:beforeLines="0" w:afterLines="0"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图2 倒车入库项目图形</w:t>
      </w:r>
    </w:p>
    <w:p>
      <w:pPr>
        <w:pStyle w:val="38"/>
        <w:spacing w:beforeLines="0" w:afterLines="0" w:line="440" w:lineRule="exact"/>
        <w:ind w:firstLine="1904" w:firstLineChars="800"/>
        <w:jc w:val="both"/>
        <w:rPr>
          <w:rFonts w:hint="eastAsia" w:asciiTheme="minorEastAsia" w:hAnsiTheme="minorEastAsia" w:eastAsiaTheme="minorEastAsia" w:cstheme="minorEastAsia"/>
          <w:snapToGrid w:val="0"/>
          <w:color w:val="000000"/>
          <w:spacing w:val="-1"/>
          <w:kern w:val="0"/>
          <w:sz w:val="24"/>
          <w:szCs w:val="24"/>
          <w:lang w:val="en-US" w:eastAsia="en-US" w:bidi="ar-SA"/>
        </w:rPr>
      </w:pPr>
    </w:p>
    <w:p>
      <w:pPr>
        <w:pStyle w:val="38"/>
        <w:spacing w:beforeLines="0" w:afterLines="0" w:line="440" w:lineRule="exact"/>
        <w:ind w:firstLine="1904" w:firstLineChars="800"/>
        <w:jc w:val="both"/>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表3倒车入库项目尺寸</w:t>
      </w:r>
    </w:p>
    <w:p>
      <w:pPr>
        <w:pStyle w:val="35"/>
        <w:spacing w:line="440" w:lineRule="exact"/>
        <w:ind w:firstLine="560"/>
        <w:jc w:val="right"/>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 xml:space="preserve">        单位为米</w:t>
      </w:r>
    </w:p>
    <w:tbl>
      <w:tblPr>
        <w:tblStyle w:val="17"/>
        <w:tblW w:w="0" w:type="auto"/>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1897"/>
        <w:gridCol w:w="1897"/>
        <w:gridCol w:w="1897"/>
        <w:gridCol w:w="18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71" w:type="dxa"/>
            <w:tcBorders>
              <w:top w:val="single" w:color="auto" w:sz="8"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标引序号</w:t>
            </w:r>
          </w:p>
        </w:tc>
        <w:tc>
          <w:tcPr>
            <w:tcW w:w="1897" w:type="dxa"/>
            <w:tcBorders>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l</w:t>
            </w:r>
          </w:p>
        </w:tc>
        <w:tc>
          <w:tcPr>
            <w:tcW w:w="1897" w:type="dxa"/>
            <w:tcBorders>
              <w:left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b1</w:t>
            </w:r>
          </w:p>
        </w:tc>
        <w:tc>
          <w:tcPr>
            <w:tcW w:w="1897" w:type="dxa"/>
            <w:tcBorders>
              <w:left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b2</w:t>
            </w:r>
          </w:p>
        </w:tc>
        <w:tc>
          <w:tcPr>
            <w:tcW w:w="1898" w:type="dxa"/>
            <w:tcBorders>
              <w:lef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71" w:type="dxa"/>
            <w:tcBorders>
              <w:top w:val="single" w:color="auto" w:sz="4"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小型载客汽车</w:t>
            </w:r>
          </w:p>
        </w:tc>
        <w:tc>
          <w:tcPr>
            <w:tcW w:w="1897" w:type="dxa"/>
            <w:tcBorders>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车长加0.7</w:t>
            </w:r>
          </w:p>
        </w:tc>
        <w:tc>
          <w:tcPr>
            <w:tcW w:w="1897" w:type="dxa"/>
            <w:tcBorders>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2.3</w:t>
            </w:r>
          </w:p>
        </w:tc>
        <w:tc>
          <w:tcPr>
            <w:tcW w:w="1897" w:type="dxa"/>
            <w:tcBorders>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6.7</w:t>
            </w:r>
          </w:p>
        </w:tc>
        <w:tc>
          <w:tcPr>
            <w:tcW w:w="1898" w:type="dxa"/>
            <w:tcBorders>
              <w:left w:val="single" w:color="auto" w:sz="4" w:space="0"/>
              <w:bottom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71" w:type="dxa"/>
            <w:tcBorders>
              <w:top w:val="single" w:color="auto" w:sz="4"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轻型载货汽车</w:t>
            </w:r>
          </w:p>
        </w:tc>
        <w:tc>
          <w:tcPr>
            <w:tcW w:w="1897" w:type="dxa"/>
            <w:tcBorders>
              <w:top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车长加0.7</w:t>
            </w:r>
          </w:p>
        </w:tc>
        <w:tc>
          <w:tcPr>
            <w:tcW w:w="18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2.4</w:t>
            </w:r>
          </w:p>
        </w:tc>
        <w:tc>
          <w:tcPr>
            <w:tcW w:w="18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7.5</w:t>
            </w:r>
          </w:p>
        </w:tc>
        <w:tc>
          <w:tcPr>
            <w:tcW w:w="1898" w:type="dxa"/>
            <w:tcBorders>
              <w:top w:val="single" w:color="auto" w:sz="4" w:space="0"/>
              <w:left w:val="single" w:color="auto" w:sz="4" w:space="0"/>
              <w:bottom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71" w:type="dxa"/>
            <w:tcBorders>
              <w:top w:val="single" w:color="auto" w:sz="4"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低速载货汽车</w:t>
            </w:r>
          </w:p>
        </w:tc>
        <w:tc>
          <w:tcPr>
            <w:tcW w:w="1897" w:type="dxa"/>
            <w:tcBorders>
              <w:top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车长加0.7</w:t>
            </w:r>
          </w:p>
        </w:tc>
        <w:tc>
          <w:tcPr>
            <w:tcW w:w="18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车宽加0.6</w:t>
            </w:r>
          </w:p>
        </w:tc>
        <w:tc>
          <w:tcPr>
            <w:tcW w:w="18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1.5倍车长</w:t>
            </w:r>
          </w:p>
        </w:tc>
        <w:tc>
          <w:tcPr>
            <w:tcW w:w="1898" w:type="dxa"/>
            <w:tcBorders>
              <w:top w:val="single" w:color="auto" w:sz="4" w:space="0"/>
              <w:left w:val="single" w:color="auto" w:sz="4" w:space="0"/>
              <w:bottom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1.5倍车长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71" w:type="dxa"/>
            <w:tcBorders>
              <w:top w:val="single" w:color="auto" w:sz="4" w:space="0"/>
              <w:bottom w:val="single" w:color="auto" w:sz="8"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允许偏差</w:t>
            </w:r>
          </w:p>
        </w:tc>
        <w:tc>
          <w:tcPr>
            <w:tcW w:w="1897" w:type="dxa"/>
            <w:tcBorders>
              <w:top w:val="single" w:color="auto" w:sz="4" w:space="0"/>
              <w:right w:val="single" w:color="auto" w:sz="4"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±0.10</w:t>
            </w:r>
          </w:p>
        </w:tc>
        <w:tc>
          <w:tcPr>
            <w:tcW w:w="1897" w:type="dxa"/>
            <w:tcBorders>
              <w:top w:val="single" w:color="auto" w:sz="4" w:space="0"/>
              <w:left w:val="single" w:color="auto" w:sz="4" w:space="0"/>
              <w:right w:val="single" w:color="auto" w:sz="4"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±0.05</w:t>
            </w:r>
          </w:p>
        </w:tc>
        <w:tc>
          <w:tcPr>
            <w:tcW w:w="1897" w:type="dxa"/>
            <w:tcBorders>
              <w:top w:val="single" w:color="auto" w:sz="4" w:space="0"/>
              <w:left w:val="single" w:color="auto" w:sz="4" w:space="0"/>
              <w:right w:val="single" w:color="auto" w:sz="4"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±0.10</w:t>
            </w:r>
          </w:p>
        </w:tc>
        <w:tc>
          <w:tcPr>
            <w:tcW w:w="1898" w:type="dxa"/>
            <w:tcBorders>
              <w:top w:val="single" w:color="auto" w:sz="4" w:space="0"/>
              <w:lef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±0.10</w:t>
            </w:r>
          </w:p>
        </w:tc>
      </w:tr>
    </w:tbl>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bookmarkStart w:id="219" w:name="_Toc311039343"/>
      <w:bookmarkStart w:id="220" w:name="_Toc323463129"/>
      <w:r>
        <w:rPr>
          <w:rFonts w:hint="eastAsia" w:asciiTheme="minorEastAsia" w:hAnsiTheme="minorEastAsia" w:eastAsiaTheme="minorEastAsia" w:cstheme="minorEastAsia"/>
          <w:snapToGrid w:val="0"/>
          <w:color w:val="000000"/>
          <w:spacing w:val="-1"/>
          <w:kern w:val="0"/>
          <w:sz w:val="24"/>
          <w:szCs w:val="24"/>
          <w:lang w:val="en-US" w:eastAsia="en-US" w:bidi="ar-SA"/>
        </w:rPr>
        <w:t>（2）桩考</w:t>
      </w:r>
    </w:p>
    <w:bookmarkEnd w:id="219"/>
    <w:bookmarkEnd w:id="220"/>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bookmarkStart w:id="221" w:name="_Toc322207065"/>
      <w:bookmarkStart w:id="222" w:name="_Toc315424938"/>
      <w:bookmarkStart w:id="223" w:name="_Toc323462079"/>
      <w:bookmarkStart w:id="224" w:name="_Toc323463130"/>
      <w:bookmarkStart w:id="225" w:name="_Toc317578219"/>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begin"/>
      </w:r>
      <w:r>
        <w:rPr>
          <w:rFonts w:hint="eastAsia" w:asciiTheme="minorEastAsia" w:hAnsiTheme="minorEastAsia" w:eastAsiaTheme="minorEastAsia" w:cstheme="minorEastAsia"/>
          <w:snapToGrid w:val="0"/>
          <w:color w:val="000000"/>
          <w:spacing w:val="-1"/>
          <w:kern w:val="0"/>
          <w:sz w:val="24"/>
          <w:szCs w:val="24"/>
          <w:lang w:val="en-US" w:eastAsia="en-US" w:bidi="ar-SA"/>
        </w:rPr>
        <w:instrText xml:space="preserve"> = 1 \* GB3 \* MERGEFORMAT </w:instrTex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separate"/>
      </w:r>
      <w:r>
        <w:rPr>
          <w:rFonts w:hint="eastAsia" w:asciiTheme="minorEastAsia" w:hAnsiTheme="minorEastAsia" w:eastAsiaTheme="minorEastAsia" w:cstheme="minorEastAsia"/>
          <w:snapToGrid w:val="0"/>
          <w:color w:val="000000"/>
          <w:spacing w:val="-1"/>
          <w:kern w:val="0"/>
          <w:sz w:val="24"/>
          <w:szCs w:val="24"/>
          <w:lang w:val="en-US" w:eastAsia="en-US" w:bidi="ar-SA"/>
        </w:rPr>
        <w:t>①</w: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end"/>
      </w:r>
      <w:r>
        <w:rPr>
          <w:rFonts w:hint="eastAsia" w:asciiTheme="minorEastAsia" w:hAnsiTheme="minorEastAsia" w:eastAsiaTheme="minorEastAsia" w:cstheme="minorEastAsia"/>
          <w:snapToGrid w:val="0"/>
          <w:color w:val="000000"/>
          <w:spacing w:val="-1"/>
          <w:kern w:val="0"/>
          <w:sz w:val="24"/>
          <w:szCs w:val="24"/>
          <w:lang w:val="en-US" w:eastAsia="en-US" w:bidi="ar-SA"/>
        </w:rPr>
        <w:t>大型客车、城市公交车、中型客车、大型货车</w:t>
      </w:r>
    </w:p>
    <w:p>
      <w:pPr>
        <w:pStyle w:val="36"/>
        <w:numPr>
          <w:ilvl w:val="0"/>
          <w:numId w:val="0"/>
        </w:numPr>
        <w:spacing w:beforeLines="0" w:afterLines="0" w:line="440" w:lineRule="exact"/>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drawing>
          <wp:anchor distT="0" distB="0" distL="114300" distR="114300" simplePos="0" relativeHeight="251661312" behindDoc="0" locked="0" layoutInCell="1" allowOverlap="1">
            <wp:simplePos x="0" y="0"/>
            <wp:positionH relativeFrom="column">
              <wp:posOffset>655320</wp:posOffset>
            </wp:positionH>
            <wp:positionV relativeFrom="paragraph">
              <wp:posOffset>440690</wp:posOffset>
            </wp:positionV>
            <wp:extent cx="4279900" cy="3244850"/>
            <wp:effectExtent l="0" t="0" r="6350" b="0"/>
            <wp:wrapTopAndBottom/>
            <wp:docPr id="5" name="A1桩考.jpg"/>
            <wp:cNvGraphicFramePr/>
            <a:graphic xmlns:a="http://schemas.openxmlformats.org/drawingml/2006/main">
              <a:graphicData uri="http://schemas.openxmlformats.org/drawingml/2006/picture">
                <pic:pic xmlns:pic="http://schemas.openxmlformats.org/drawingml/2006/picture">
                  <pic:nvPicPr>
                    <pic:cNvPr id="5" name="A1桩考.jpg"/>
                    <pic:cNvPicPr/>
                  </pic:nvPicPr>
                  <pic:blipFill>
                    <a:blip r:embed="rId19"/>
                    <a:srcRect l="882" t="-3099" b="-2478"/>
                    <a:stretch>
                      <a:fillRect/>
                    </a:stretch>
                  </pic:blipFill>
                  <pic:spPr>
                    <a:xfrm>
                      <a:off x="0" y="0"/>
                      <a:ext cx="4279900" cy="3244850"/>
                    </a:xfrm>
                    <a:prstGeom prst="rect">
                      <a:avLst/>
                    </a:prstGeom>
                    <a:noFill/>
                    <a:ln>
                      <a:noFill/>
                    </a:ln>
                  </pic:spPr>
                </pic:pic>
              </a:graphicData>
            </a:graphic>
          </wp:anchor>
        </w:drawing>
      </w:r>
      <w:r>
        <w:rPr>
          <w:rFonts w:hint="eastAsia" w:asciiTheme="minorEastAsia" w:hAnsiTheme="minorEastAsia" w:eastAsiaTheme="minorEastAsia" w:cstheme="minorEastAsia"/>
          <w:snapToGrid w:val="0"/>
          <w:color w:val="000000"/>
          <w:spacing w:val="-1"/>
          <w:kern w:val="0"/>
          <w:sz w:val="24"/>
          <w:szCs w:val="24"/>
          <w:lang w:val="en-US" w:eastAsia="en-US" w:bidi="ar-SA"/>
        </w:rPr>
        <w:t xml:space="preserve">    大型客车、城市公交车、中型客车、大型货车桩考项目图形及设施应按图3设置，项目尺寸应符合表4规定。</w:t>
      </w:r>
      <w:bookmarkEnd w:id="221"/>
      <w:bookmarkEnd w:id="222"/>
      <w:bookmarkEnd w:id="223"/>
      <w:bookmarkEnd w:id="224"/>
      <w:bookmarkEnd w:id="225"/>
    </w:p>
    <w:p>
      <w:pPr>
        <w:spacing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bookmarkStart w:id="226" w:name="_Toc317578228"/>
      <w:bookmarkStart w:id="227" w:name="_Toc315424947"/>
      <w:bookmarkStart w:id="228" w:name="_Toc322207074"/>
      <w:bookmarkStart w:id="229" w:name="_Toc323462091"/>
      <w:bookmarkStart w:id="230" w:name="_Toc323463142"/>
      <w:r>
        <w:rPr>
          <w:rFonts w:hint="eastAsia" w:asciiTheme="minorEastAsia" w:hAnsiTheme="minorEastAsia" w:eastAsiaTheme="minorEastAsia" w:cstheme="minorEastAsia"/>
          <w:snapToGrid w:val="0"/>
          <w:color w:val="000000"/>
          <w:spacing w:val="-1"/>
          <w:kern w:val="0"/>
          <w:sz w:val="24"/>
          <w:szCs w:val="24"/>
          <w:lang w:val="en-US" w:eastAsia="zh-CN" w:bidi="ar-SA"/>
        </w:rPr>
        <w:t>标引序号说明：</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l ——库长；</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b1 ——库宽；</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b2 ——车道宽；</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d ——库位与起点线或停止线的距离；</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○——桩杆。</w:t>
      </w:r>
    </w:p>
    <w:p>
      <w:pPr>
        <w:adjustRightInd w:val="0"/>
        <w:snapToGrid w:val="0"/>
        <w:spacing w:line="440" w:lineRule="exac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图3 大型客车、城市公交车、中型客车、大型货车桩考</w:t>
      </w:r>
      <w:bookmarkEnd w:id="226"/>
      <w:bookmarkEnd w:id="227"/>
      <w:bookmarkEnd w:id="228"/>
      <w:r>
        <w:rPr>
          <w:rFonts w:hint="eastAsia" w:asciiTheme="minorEastAsia" w:hAnsiTheme="minorEastAsia" w:eastAsiaTheme="minorEastAsia" w:cstheme="minorEastAsia"/>
          <w:snapToGrid w:val="0"/>
          <w:color w:val="000000"/>
          <w:spacing w:val="-1"/>
          <w:kern w:val="0"/>
          <w:sz w:val="24"/>
          <w:szCs w:val="24"/>
          <w:lang w:val="en-US" w:eastAsia="zh-CN" w:bidi="ar-SA"/>
        </w:rPr>
        <w:t>项目图形</w:t>
      </w:r>
      <w:bookmarkEnd w:id="229"/>
      <w:bookmarkEnd w:id="230"/>
      <w:r>
        <w:rPr>
          <w:rFonts w:hint="eastAsia" w:asciiTheme="minorEastAsia" w:hAnsiTheme="minorEastAsia" w:eastAsiaTheme="minorEastAsia" w:cstheme="minorEastAsia"/>
          <w:snapToGrid w:val="0"/>
          <w:color w:val="000000"/>
          <w:spacing w:val="-1"/>
          <w:kern w:val="0"/>
          <w:sz w:val="24"/>
          <w:szCs w:val="24"/>
          <w:lang w:val="en-US" w:eastAsia="zh-CN" w:bidi="ar-SA"/>
        </w:rPr>
        <w:t>及设施</w:t>
      </w:r>
    </w:p>
    <w:p>
      <w:pPr>
        <w:pStyle w:val="38"/>
        <w:adjustRightInd w:val="0"/>
        <w:snapToGrid w:val="0"/>
        <w:spacing w:beforeLines="0" w:afterLines="0" w:line="440" w:lineRule="exact"/>
        <w:jc w:val="both"/>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表4大型客车、城市公交车、中型客车、大型货车桩考项目尺寸</w:t>
      </w:r>
    </w:p>
    <w:p>
      <w:pPr>
        <w:pStyle w:val="35"/>
        <w:adjustRightInd w:val="0"/>
        <w:snapToGrid w:val="0"/>
        <w:spacing w:line="440" w:lineRule="exact"/>
        <w:ind w:firstLine="560"/>
        <w:jc w:val="right"/>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单位为米</w:t>
      </w:r>
    </w:p>
    <w:tbl>
      <w:tblPr>
        <w:tblStyle w:val="17"/>
        <w:tblpPr w:leftFromText="180" w:rightFromText="180" w:vertAnchor="text" w:horzAnchor="page" w:tblpX="1888" w:tblpY="475"/>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1512"/>
        <w:gridCol w:w="1512"/>
        <w:gridCol w:w="1512"/>
        <w:gridCol w:w="15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2491" w:type="dxa"/>
            <w:tcBorders>
              <w:top w:val="single" w:color="auto" w:sz="8"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标引序号</w:t>
            </w:r>
          </w:p>
        </w:tc>
        <w:tc>
          <w:tcPr>
            <w:tcW w:w="1512" w:type="dxa"/>
            <w:tcBorders>
              <w:lef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l</w:t>
            </w:r>
          </w:p>
        </w:tc>
        <w:tc>
          <w:tcPr>
            <w:tcW w:w="1512"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b1</w:t>
            </w:r>
          </w:p>
        </w:tc>
        <w:tc>
          <w:tcPr>
            <w:tcW w:w="1512"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b2</w:t>
            </w:r>
          </w:p>
        </w:tc>
        <w:tc>
          <w:tcPr>
            <w:tcW w:w="1513"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2491" w:type="dxa"/>
            <w:tcBorders>
              <w:top w:val="single" w:color="auto" w:sz="4" w:space="0"/>
              <w:bottom w:val="single" w:color="auto" w:sz="4" w:space="0"/>
              <w:right w:val="single" w:color="auto" w:sz="8"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大型载客汽车、重型载货汽车</w:t>
            </w:r>
          </w:p>
        </w:tc>
        <w:tc>
          <w:tcPr>
            <w:tcW w:w="1512" w:type="dxa"/>
            <w:tcBorders>
              <w:left w:val="single" w:color="auto" w:sz="8"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18.0</w:t>
            </w:r>
          </w:p>
        </w:tc>
        <w:tc>
          <w:tcPr>
            <w:tcW w:w="1512"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3.2</w:t>
            </w:r>
          </w:p>
        </w:tc>
        <w:tc>
          <w:tcPr>
            <w:tcW w:w="1512"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 xml:space="preserve">13.5 </w:t>
            </w:r>
          </w:p>
        </w:tc>
        <w:tc>
          <w:tcPr>
            <w:tcW w:w="1513"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 xml:space="preserve">13.5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2491" w:type="dxa"/>
            <w:tcBorders>
              <w:top w:val="single" w:color="auto" w:sz="4" w:space="0"/>
              <w:bottom w:val="single" w:color="auto" w:sz="4" w:space="0"/>
              <w:right w:val="single" w:color="auto" w:sz="8" w:space="0"/>
            </w:tcBorders>
            <w:noWrap w:val="0"/>
            <w:vAlign w:val="center"/>
          </w:tcPr>
          <w:p>
            <w:pPr>
              <w:pStyle w:val="32"/>
              <w:spacing w:beforeLines="0" w:afterLines="0" w:line="440" w:lineRule="exact"/>
              <w:ind w:left="0"/>
              <w:jc w:val="center"/>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中型载客汽车</w:t>
            </w:r>
          </w:p>
        </w:tc>
        <w:tc>
          <w:tcPr>
            <w:tcW w:w="1512" w:type="dxa"/>
            <w:tcBorders>
              <w:lef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2倍车长</w:t>
            </w:r>
          </w:p>
        </w:tc>
        <w:tc>
          <w:tcPr>
            <w:tcW w:w="1512"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车宽加0.7</w:t>
            </w:r>
          </w:p>
        </w:tc>
        <w:tc>
          <w:tcPr>
            <w:tcW w:w="1512"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1.5倍车长</w:t>
            </w:r>
          </w:p>
        </w:tc>
        <w:tc>
          <w:tcPr>
            <w:tcW w:w="1513"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1.5倍车长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2491" w:type="dxa"/>
            <w:tcBorders>
              <w:top w:val="single" w:color="auto" w:sz="4" w:space="0"/>
              <w:bottom w:val="single" w:color="auto" w:sz="8" w:space="0"/>
              <w:right w:val="single" w:color="auto" w:sz="8"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允许偏差</w:t>
            </w:r>
          </w:p>
        </w:tc>
        <w:tc>
          <w:tcPr>
            <w:tcW w:w="1512" w:type="dxa"/>
            <w:tcBorders>
              <w:left w:val="single" w:color="auto" w:sz="8"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±0.10</w:t>
            </w:r>
          </w:p>
        </w:tc>
        <w:tc>
          <w:tcPr>
            <w:tcW w:w="1512"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±0.05</w:t>
            </w:r>
          </w:p>
        </w:tc>
        <w:tc>
          <w:tcPr>
            <w:tcW w:w="1512"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±0.10</w:t>
            </w:r>
          </w:p>
        </w:tc>
        <w:tc>
          <w:tcPr>
            <w:tcW w:w="1513"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±0.10</w:t>
            </w:r>
          </w:p>
        </w:tc>
      </w:tr>
    </w:tbl>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bookmarkStart w:id="231" w:name="_Toc323463143"/>
      <w:bookmarkStart w:id="232" w:name="_Toc323462092"/>
      <w:bookmarkStart w:id="233" w:name="_Toc322207076"/>
      <w:bookmarkStart w:id="234" w:name="_Toc317578230"/>
      <w:bookmarkStart w:id="235" w:name="_Toc315424949"/>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begin"/>
      </w:r>
      <w:r>
        <w:rPr>
          <w:rFonts w:hint="eastAsia" w:asciiTheme="minorEastAsia" w:hAnsiTheme="minorEastAsia" w:eastAsiaTheme="minorEastAsia" w:cstheme="minorEastAsia"/>
          <w:snapToGrid w:val="0"/>
          <w:color w:val="000000"/>
          <w:spacing w:val="-1"/>
          <w:kern w:val="0"/>
          <w:sz w:val="24"/>
          <w:szCs w:val="24"/>
          <w:lang w:val="en-US" w:eastAsia="en-US" w:bidi="ar-SA"/>
        </w:rPr>
        <w:instrText xml:space="preserve"> = 2 \* GB3 \* MERGEFORMAT </w:instrTex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separate"/>
      </w:r>
      <w:r>
        <w:rPr>
          <w:rFonts w:hint="eastAsia" w:asciiTheme="minorEastAsia" w:hAnsiTheme="minorEastAsia" w:eastAsiaTheme="minorEastAsia" w:cstheme="minorEastAsia"/>
          <w:snapToGrid w:val="0"/>
          <w:color w:val="000000"/>
          <w:spacing w:val="-1"/>
          <w:kern w:val="0"/>
          <w:sz w:val="24"/>
          <w:szCs w:val="24"/>
          <w:lang w:val="en-US" w:eastAsia="en-US" w:bidi="ar-SA"/>
        </w:rPr>
        <w:t>②</w: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end"/>
      </w:r>
      <w:r>
        <w:rPr>
          <w:rFonts w:hint="eastAsia" w:asciiTheme="minorEastAsia" w:hAnsiTheme="minorEastAsia" w:eastAsiaTheme="minorEastAsia" w:cstheme="minorEastAsia"/>
          <w:snapToGrid w:val="0"/>
          <w:color w:val="000000"/>
          <w:spacing w:val="-1"/>
          <w:kern w:val="0"/>
          <w:sz w:val="24"/>
          <w:szCs w:val="24"/>
          <w:lang w:val="en-US" w:eastAsia="en-US" w:bidi="ar-SA"/>
        </w:rPr>
        <w:t>重型牵引挂车</w:t>
      </w:r>
    </w:p>
    <w:bookmarkEnd w:id="231"/>
    <w:bookmarkEnd w:id="232"/>
    <w:p>
      <w:pPr>
        <w:pStyle w:val="32"/>
        <w:spacing w:beforeLines="0" w:afterLines="0" w:line="440" w:lineRule="exact"/>
        <w:ind w:left="0"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bookmarkStart w:id="236" w:name="_Toc323463144"/>
      <w:bookmarkStart w:id="237" w:name="_Toc323462093"/>
      <w:r>
        <w:rPr>
          <w:rFonts w:hint="eastAsia" w:asciiTheme="minorEastAsia" w:hAnsiTheme="minorEastAsia" w:eastAsiaTheme="minorEastAsia" w:cstheme="minorEastAsia"/>
          <w:snapToGrid w:val="0"/>
          <w:color w:val="000000"/>
          <w:spacing w:val="-1"/>
          <w:kern w:val="0"/>
          <w:sz w:val="24"/>
          <w:szCs w:val="24"/>
          <w:lang w:val="en-US" w:eastAsia="en-US" w:bidi="ar-SA"/>
        </w:rPr>
        <w:t>重型牵引挂车桩考项目图形</w:t>
      </w:r>
      <w:bookmarkEnd w:id="233"/>
      <w:bookmarkEnd w:id="234"/>
      <w:bookmarkEnd w:id="235"/>
      <w:bookmarkEnd w:id="236"/>
      <w:bookmarkEnd w:id="237"/>
      <w:r>
        <w:rPr>
          <w:rFonts w:hint="eastAsia" w:asciiTheme="minorEastAsia" w:hAnsiTheme="minorEastAsia" w:eastAsiaTheme="minorEastAsia" w:cstheme="minorEastAsia"/>
          <w:snapToGrid w:val="0"/>
          <w:color w:val="000000"/>
          <w:spacing w:val="-1"/>
          <w:kern w:val="0"/>
          <w:sz w:val="24"/>
          <w:szCs w:val="24"/>
          <w:lang w:val="en-US" w:eastAsia="en-US" w:bidi="ar-SA"/>
        </w:rPr>
        <w:t>及设施应按图4设置，项目尺寸应符合表5规定。</w:t>
      </w:r>
    </w:p>
    <w:p>
      <w:pPr>
        <w:pStyle w:val="32"/>
        <w:spacing w:beforeLines="0" w:afterLines="0" w:line="440" w:lineRule="exact"/>
        <w:ind w:left="0"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p>
      <w:pPr>
        <w:spacing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drawing>
          <wp:anchor distT="0" distB="0" distL="114300" distR="114300" simplePos="0" relativeHeight="251662336" behindDoc="0" locked="0" layoutInCell="1" allowOverlap="1">
            <wp:simplePos x="0" y="0"/>
            <wp:positionH relativeFrom="column">
              <wp:posOffset>274320</wp:posOffset>
            </wp:positionH>
            <wp:positionV relativeFrom="paragraph">
              <wp:posOffset>0</wp:posOffset>
            </wp:positionV>
            <wp:extent cx="5454650" cy="2000250"/>
            <wp:effectExtent l="0" t="0" r="12700" b="0"/>
            <wp:wrapTopAndBottom/>
            <wp:docPr id="4" name="A2桩考.jpg"/>
            <wp:cNvGraphicFramePr/>
            <a:graphic xmlns:a="http://schemas.openxmlformats.org/drawingml/2006/main">
              <a:graphicData uri="http://schemas.openxmlformats.org/drawingml/2006/picture">
                <pic:pic xmlns:pic="http://schemas.openxmlformats.org/drawingml/2006/picture">
                  <pic:nvPicPr>
                    <pic:cNvPr id="4" name="A2桩考.jpg"/>
                    <pic:cNvPicPr/>
                  </pic:nvPicPr>
                  <pic:blipFill>
                    <a:blip r:embed="rId20"/>
                    <a:srcRect t="19841" r="578" b="17659"/>
                    <a:stretch>
                      <a:fillRect/>
                    </a:stretch>
                  </pic:blipFill>
                  <pic:spPr>
                    <a:xfrm>
                      <a:off x="0" y="0"/>
                      <a:ext cx="5454650" cy="2000250"/>
                    </a:xfrm>
                    <a:prstGeom prst="rect">
                      <a:avLst/>
                    </a:prstGeom>
                    <a:noFill/>
                    <a:ln>
                      <a:noFill/>
                    </a:ln>
                  </pic:spPr>
                </pic:pic>
              </a:graphicData>
            </a:graphic>
          </wp:anchor>
        </w:drawing>
      </w:r>
      <w:r>
        <w:rPr>
          <w:rFonts w:hint="eastAsia" w:asciiTheme="minorEastAsia" w:hAnsiTheme="minorEastAsia" w:eastAsiaTheme="minorEastAsia" w:cstheme="minorEastAsia"/>
          <w:snapToGrid w:val="0"/>
          <w:color w:val="000000"/>
          <w:spacing w:val="-1"/>
          <w:kern w:val="0"/>
          <w:sz w:val="24"/>
          <w:szCs w:val="24"/>
          <w:lang w:val="en-US" w:eastAsia="zh-CN" w:bidi="ar-SA"/>
        </w:rPr>
        <w:t>标引序号说明：</w:t>
      </w:r>
    </w:p>
    <w:p>
      <w:pPr>
        <w:spacing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l ——库长；</w:t>
      </w:r>
    </w:p>
    <w:p>
      <w:pPr>
        <w:spacing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b1 ——库宽；</w:t>
      </w:r>
    </w:p>
    <w:p>
      <w:pPr>
        <w:spacing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b2 ——车道宽；</w:t>
      </w:r>
    </w:p>
    <w:p>
      <w:pPr>
        <w:spacing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d ——库位间距；</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bookmarkStart w:id="238" w:name="_Toc315424957"/>
      <w:bookmarkStart w:id="239" w:name="_Toc317578238"/>
      <w:bookmarkStart w:id="240" w:name="_Toc322207083"/>
      <w:bookmarkStart w:id="241" w:name="_Toc323463154"/>
      <w:bookmarkStart w:id="242" w:name="_Toc323462103"/>
      <w:r>
        <w:rPr>
          <w:rFonts w:hint="eastAsia" w:asciiTheme="minorEastAsia" w:hAnsiTheme="minorEastAsia" w:eastAsiaTheme="minorEastAsia" w:cstheme="minorEastAsia"/>
          <w:snapToGrid w:val="0"/>
          <w:color w:val="000000"/>
          <w:spacing w:val="-1"/>
          <w:kern w:val="0"/>
          <w:sz w:val="24"/>
          <w:szCs w:val="24"/>
          <w:lang w:val="en-US" w:eastAsia="zh-CN" w:bidi="ar-SA"/>
        </w:rPr>
        <w:t>○——桩杆。</w:t>
      </w:r>
    </w:p>
    <w:p>
      <w:pPr>
        <w:adjustRightInd w:val="0"/>
        <w:snapToGrid w:val="0"/>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图4 重型牵引挂车桩考</w:t>
      </w:r>
      <w:bookmarkEnd w:id="238"/>
      <w:bookmarkEnd w:id="239"/>
      <w:bookmarkEnd w:id="240"/>
      <w:r>
        <w:rPr>
          <w:rFonts w:hint="eastAsia" w:asciiTheme="minorEastAsia" w:hAnsiTheme="minorEastAsia" w:eastAsiaTheme="minorEastAsia" w:cstheme="minorEastAsia"/>
          <w:snapToGrid w:val="0"/>
          <w:color w:val="000000"/>
          <w:spacing w:val="-1"/>
          <w:kern w:val="0"/>
          <w:sz w:val="24"/>
          <w:szCs w:val="24"/>
          <w:lang w:val="en-US" w:eastAsia="zh-CN" w:bidi="ar-SA"/>
        </w:rPr>
        <w:t>项目图形</w:t>
      </w:r>
      <w:bookmarkEnd w:id="241"/>
      <w:bookmarkEnd w:id="242"/>
      <w:r>
        <w:rPr>
          <w:rFonts w:hint="eastAsia" w:asciiTheme="minorEastAsia" w:hAnsiTheme="minorEastAsia" w:eastAsiaTheme="minorEastAsia" w:cstheme="minorEastAsia"/>
          <w:snapToGrid w:val="0"/>
          <w:color w:val="000000"/>
          <w:spacing w:val="-1"/>
          <w:kern w:val="0"/>
          <w:sz w:val="24"/>
          <w:szCs w:val="24"/>
          <w:lang w:val="en-US" w:eastAsia="zh-CN" w:bidi="ar-SA"/>
        </w:rPr>
        <w:t>及设施</w:t>
      </w:r>
    </w:p>
    <w:p>
      <w:pPr>
        <w:pStyle w:val="38"/>
        <w:adjustRightInd w:val="0"/>
        <w:snapToGrid w:val="0"/>
        <w:spacing w:beforeLines="0" w:afterLines="0" w:line="440" w:lineRule="exact"/>
        <w:ind w:firstLine="1190" w:firstLineChars="500"/>
        <w:jc w:val="both"/>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表5  重型牵引挂车桩考项目尺寸</w:t>
      </w:r>
    </w:p>
    <w:p>
      <w:pPr>
        <w:pStyle w:val="38"/>
        <w:spacing w:beforeLines="0" w:afterLines="0" w:line="440" w:lineRule="exact"/>
        <w:jc w:val="right"/>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单位为米</w:t>
      </w:r>
    </w:p>
    <w:tbl>
      <w:tblPr>
        <w:tblStyle w:val="17"/>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848"/>
        <w:gridCol w:w="1847"/>
        <w:gridCol w:w="1848"/>
        <w:gridCol w:w="18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47" w:type="dxa"/>
            <w:tcBorders>
              <w:top w:val="single" w:color="auto" w:sz="8"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标引序号</w:t>
            </w:r>
          </w:p>
        </w:tc>
        <w:tc>
          <w:tcPr>
            <w:tcW w:w="1848" w:type="dxa"/>
            <w:tcBorders>
              <w:top w:val="single" w:color="auto" w:sz="8" w:space="0"/>
              <w:left w:val="single" w:color="auto" w:sz="8" w:space="0"/>
              <w:bottom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l</w:t>
            </w:r>
          </w:p>
        </w:tc>
        <w:tc>
          <w:tcPr>
            <w:tcW w:w="1847" w:type="dxa"/>
            <w:tcBorders>
              <w:top w:val="single" w:color="auto" w:sz="8" w:space="0"/>
              <w:bottom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b1</w:t>
            </w:r>
          </w:p>
        </w:tc>
        <w:tc>
          <w:tcPr>
            <w:tcW w:w="1848" w:type="dxa"/>
            <w:tcBorders>
              <w:top w:val="single" w:color="auto" w:sz="8" w:space="0"/>
              <w:bottom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b2</w:t>
            </w:r>
          </w:p>
        </w:tc>
        <w:tc>
          <w:tcPr>
            <w:tcW w:w="1848" w:type="dxa"/>
            <w:tcBorders>
              <w:top w:val="single" w:color="auto" w:sz="8" w:space="0"/>
              <w:bottom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47" w:type="dxa"/>
            <w:tcBorders>
              <w:top w:val="single" w:color="auto" w:sz="4"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半挂汽车列车</w:t>
            </w:r>
          </w:p>
        </w:tc>
        <w:tc>
          <w:tcPr>
            <w:tcW w:w="1848" w:type="dxa"/>
            <w:tcBorders>
              <w:top w:val="single" w:color="auto" w:sz="4" w:space="0"/>
              <w:left w:val="single" w:color="auto" w:sz="8" w:space="0"/>
              <w:bottom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 xml:space="preserve">整车长加1.0 </w:t>
            </w:r>
          </w:p>
        </w:tc>
        <w:tc>
          <w:tcPr>
            <w:tcW w:w="1847" w:type="dxa"/>
            <w:tcBorders>
              <w:top w:val="single" w:color="auto" w:sz="4" w:space="0"/>
              <w:bottom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1.5倍车宽</w:t>
            </w:r>
          </w:p>
        </w:tc>
        <w:tc>
          <w:tcPr>
            <w:tcW w:w="1848" w:type="dxa"/>
            <w:tcBorders>
              <w:top w:val="single" w:color="auto" w:sz="4" w:space="0"/>
              <w:bottom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3倍车宽</w:t>
            </w:r>
          </w:p>
        </w:tc>
        <w:tc>
          <w:tcPr>
            <w:tcW w:w="1848" w:type="dxa"/>
            <w:tcBorders>
              <w:top w:val="single" w:color="auto" w:sz="4" w:space="0"/>
              <w:bottom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2倍车长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47" w:type="dxa"/>
            <w:tcBorders>
              <w:top w:val="single" w:color="auto" w:sz="4" w:space="0"/>
              <w:bottom w:val="single" w:color="auto" w:sz="8"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允许偏差</w:t>
            </w:r>
          </w:p>
        </w:tc>
        <w:tc>
          <w:tcPr>
            <w:tcW w:w="1848" w:type="dxa"/>
            <w:tcBorders>
              <w:top w:val="single" w:color="auto" w:sz="4" w:space="0"/>
              <w:left w:val="single" w:color="auto" w:sz="8" w:space="0"/>
              <w:bottom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±0.10</w:t>
            </w:r>
          </w:p>
        </w:tc>
        <w:tc>
          <w:tcPr>
            <w:tcW w:w="1847" w:type="dxa"/>
            <w:tcBorders>
              <w:top w:val="single" w:color="auto" w:sz="4" w:space="0"/>
              <w:bottom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±0.05</w:t>
            </w:r>
          </w:p>
        </w:tc>
        <w:tc>
          <w:tcPr>
            <w:tcW w:w="1848" w:type="dxa"/>
            <w:tcBorders>
              <w:top w:val="single" w:color="auto" w:sz="4" w:space="0"/>
              <w:bottom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±0.10</w:t>
            </w:r>
          </w:p>
        </w:tc>
        <w:tc>
          <w:tcPr>
            <w:tcW w:w="1848" w:type="dxa"/>
            <w:tcBorders>
              <w:top w:val="single" w:color="auto" w:sz="4" w:space="0"/>
              <w:bottom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±0.10</w:t>
            </w:r>
          </w:p>
        </w:tc>
      </w:tr>
    </w:tbl>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bookmarkStart w:id="243" w:name="_Toc323463155"/>
      <w:bookmarkStart w:id="244" w:name="_Toc322207084"/>
      <w:bookmarkStart w:id="245" w:name="_Toc315424958"/>
      <w:bookmarkStart w:id="246" w:name="_Toc323462104"/>
      <w:bookmarkStart w:id="247" w:name="_Toc317578239"/>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begin"/>
      </w:r>
      <w:r>
        <w:rPr>
          <w:rFonts w:hint="eastAsia" w:asciiTheme="minorEastAsia" w:hAnsiTheme="minorEastAsia" w:eastAsiaTheme="minorEastAsia" w:cstheme="minorEastAsia"/>
          <w:snapToGrid w:val="0"/>
          <w:color w:val="000000"/>
          <w:spacing w:val="-1"/>
          <w:kern w:val="0"/>
          <w:sz w:val="24"/>
          <w:szCs w:val="24"/>
          <w:lang w:val="en-US" w:eastAsia="en-US" w:bidi="ar-SA"/>
        </w:rPr>
        <w:instrText xml:space="preserve"> = 3 \* GB3 \* MERGEFORMAT </w:instrTex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separate"/>
      </w:r>
      <w:r>
        <w:rPr>
          <w:rFonts w:hint="eastAsia" w:asciiTheme="minorEastAsia" w:hAnsiTheme="minorEastAsia" w:eastAsiaTheme="minorEastAsia" w:cstheme="minorEastAsia"/>
          <w:snapToGrid w:val="0"/>
          <w:color w:val="000000"/>
          <w:spacing w:val="-1"/>
          <w:kern w:val="0"/>
          <w:sz w:val="24"/>
          <w:szCs w:val="24"/>
          <w:lang w:val="en-US" w:eastAsia="en-US" w:bidi="ar-SA"/>
        </w:rPr>
        <w:t>③</w: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end"/>
      </w:r>
      <w:r>
        <w:rPr>
          <w:rFonts w:hint="eastAsia" w:asciiTheme="minorEastAsia" w:hAnsiTheme="minorEastAsia" w:eastAsiaTheme="minorEastAsia" w:cstheme="minorEastAsia"/>
          <w:snapToGrid w:val="0"/>
          <w:color w:val="000000"/>
          <w:spacing w:val="-1"/>
          <w:kern w:val="0"/>
          <w:sz w:val="24"/>
          <w:szCs w:val="24"/>
          <w:lang w:val="en-US" w:eastAsia="en-US" w:bidi="ar-SA"/>
        </w:rPr>
        <w:t>轻型牵引挂车</w:t>
      </w:r>
    </w:p>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drawing>
          <wp:anchor distT="0" distB="0" distL="114300" distR="114300" simplePos="0" relativeHeight="251663360" behindDoc="0" locked="0" layoutInCell="1" allowOverlap="1">
            <wp:simplePos x="0" y="0"/>
            <wp:positionH relativeFrom="column">
              <wp:posOffset>750570</wp:posOffset>
            </wp:positionH>
            <wp:positionV relativeFrom="paragraph">
              <wp:posOffset>323850</wp:posOffset>
            </wp:positionV>
            <wp:extent cx="4425950" cy="3098800"/>
            <wp:effectExtent l="0" t="0" r="12700" b="6350"/>
            <wp:wrapTopAndBottom/>
            <wp:docPr id="6" name="C6桩考.jpg"/>
            <wp:cNvGraphicFramePr/>
            <a:graphic xmlns:a="http://schemas.openxmlformats.org/drawingml/2006/main">
              <a:graphicData uri="http://schemas.openxmlformats.org/drawingml/2006/picture">
                <pic:pic xmlns:pic="http://schemas.openxmlformats.org/drawingml/2006/picture">
                  <pic:nvPicPr>
                    <pic:cNvPr id="6" name="C6桩考.jpg"/>
                    <pic:cNvPicPr/>
                  </pic:nvPicPr>
                  <pic:blipFill>
                    <a:blip r:embed="rId21"/>
                    <a:srcRect l="7986" r="11343" b="3174"/>
                    <a:stretch>
                      <a:fillRect/>
                    </a:stretch>
                  </pic:blipFill>
                  <pic:spPr>
                    <a:xfrm>
                      <a:off x="0" y="0"/>
                      <a:ext cx="4425950" cy="3098800"/>
                    </a:xfrm>
                    <a:prstGeom prst="rect">
                      <a:avLst/>
                    </a:prstGeom>
                    <a:noFill/>
                    <a:ln>
                      <a:noFill/>
                    </a:ln>
                  </pic:spPr>
                </pic:pic>
              </a:graphicData>
            </a:graphic>
          </wp:anchor>
        </w:drawing>
      </w:r>
      <w:r>
        <w:rPr>
          <w:rFonts w:hint="eastAsia" w:asciiTheme="minorEastAsia" w:hAnsiTheme="minorEastAsia" w:eastAsiaTheme="minorEastAsia" w:cstheme="minorEastAsia"/>
          <w:snapToGrid w:val="0"/>
          <w:color w:val="000000"/>
          <w:spacing w:val="-1"/>
          <w:kern w:val="0"/>
          <w:sz w:val="24"/>
          <w:szCs w:val="24"/>
          <w:lang w:val="en-US" w:eastAsia="en-US" w:bidi="ar-SA"/>
        </w:rPr>
        <w:t>轻型牵引挂车桩考项目图形及设施应按图5设置，项目尺寸应符合表6规定。</w:t>
      </w:r>
    </w:p>
    <w:p>
      <w:pPr>
        <w:spacing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标引序号说明：</w:t>
      </w:r>
    </w:p>
    <w:p>
      <w:pPr>
        <w:spacing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l ——库长；</w:t>
      </w:r>
    </w:p>
    <w:p>
      <w:pPr>
        <w:spacing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b1 ——库宽；</w:t>
      </w:r>
    </w:p>
    <w:p>
      <w:pPr>
        <w:spacing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b2 ——车道宽；</w:t>
      </w:r>
    </w:p>
    <w:p>
      <w:pPr>
        <w:spacing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d ——库位与起点线或停止线的距离；</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○——桩杆。</w:t>
      </w:r>
    </w:p>
    <w:p>
      <w:pPr>
        <w:adjustRightInd w:val="0"/>
        <w:snapToGrid w:val="0"/>
        <w:spacing w:line="440" w:lineRule="exact"/>
        <w:ind w:firstLine="952" w:firstLineChars="4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图5 轻型牵引挂车项目图形及设施</w:t>
      </w:r>
    </w:p>
    <w:p>
      <w:pPr>
        <w:pStyle w:val="38"/>
        <w:adjustRightInd w:val="0"/>
        <w:snapToGrid w:val="0"/>
        <w:spacing w:beforeLines="0" w:afterLines="0" w:line="440" w:lineRule="exact"/>
        <w:ind w:firstLine="1428" w:firstLineChars="600"/>
        <w:jc w:val="both"/>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表6轻型牵引挂车桩考项目尺寸</w:t>
      </w:r>
    </w:p>
    <w:p>
      <w:pPr>
        <w:pStyle w:val="35"/>
        <w:spacing w:line="440" w:lineRule="exact"/>
        <w:ind w:firstLine="560"/>
        <w:jc w:val="right"/>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单位为米</w:t>
      </w:r>
    </w:p>
    <w:tbl>
      <w:tblPr>
        <w:tblStyle w:val="17"/>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1871"/>
        <w:gridCol w:w="1871"/>
        <w:gridCol w:w="1871"/>
        <w:gridCol w:w="18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71" w:type="dxa"/>
            <w:tcBorders>
              <w:top w:val="single" w:color="auto" w:sz="8"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标引序号</w:t>
            </w:r>
          </w:p>
        </w:tc>
        <w:tc>
          <w:tcPr>
            <w:tcW w:w="1871" w:type="dxa"/>
            <w:tcBorders>
              <w:lef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l</w:t>
            </w:r>
          </w:p>
        </w:tc>
        <w:tc>
          <w:tcPr>
            <w:tcW w:w="1871"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b1</w:t>
            </w:r>
          </w:p>
        </w:tc>
        <w:tc>
          <w:tcPr>
            <w:tcW w:w="1871"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b2</w:t>
            </w:r>
          </w:p>
        </w:tc>
        <w:tc>
          <w:tcPr>
            <w:tcW w:w="1873"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71" w:type="dxa"/>
            <w:tcBorders>
              <w:top w:val="single" w:color="auto" w:sz="4" w:space="0"/>
              <w:bottom w:val="single" w:color="auto" w:sz="4" w:space="0"/>
              <w:right w:val="single" w:color="auto" w:sz="8"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轻型牵引挂车</w:t>
            </w:r>
          </w:p>
        </w:tc>
        <w:tc>
          <w:tcPr>
            <w:tcW w:w="1871" w:type="dxa"/>
            <w:tcBorders>
              <w:lef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18.0</w:t>
            </w:r>
          </w:p>
        </w:tc>
        <w:tc>
          <w:tcPr>
            <w:tcW w:w="1871"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3.2</w:t>
            </w:r>
          </w:p>
        </w:tc>
        <w:tc>
          <w:tcPr>
            <w:tcW w:w="1871"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13.5</w:t>
            </w:r>
          </w:p>
        </w:tc>
        <w:tc>
          <w:tcPr>
            <w:tcW w:w="1873"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71" w:type="dxa"/>
            <w:tcBorders>
              <w:top w:val="single" w:color="auto" w:sz="4" w:space="0"/>
              <w:bottom w:val="single" w:color="auto" w:sz="8"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允许偏差</w:t>
            </w:r>
          </w:p>
        </w:tc>
        <w:tc>
          <w:tcPr>
            <w:tcW w:w="1871" w:type="dxa"/>
            <w:tcBorders>
              <w:lef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±0.10</w:t>
            </w:r>
          </w:p>
        </w:tc>
        <w:tc>
          <w:tcPr>
            <w:tcW w:w="1871"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±0.05</w:t>
            </w:r>
          </w:p>
        </w:tc>
        <w:tc>
          <w:tcPr>
            <w:tcW w:w="1871"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±0.10</w:t>
            </w:r>
          </w:p>
        </w:tc>
        <w:tc>
          <w:tcPr>
            <w:tcW w:w="1873"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±0.10</w:t>
            </w:r>
          </w:p>
        </w:tc>
      </w:tr>
      <w:bookmarkEnd w:id="243"/>
      <w:bookmarkEnd w:id="244"/>
      <w:bookmarkEnd w:id="245"/>
      <w:bookmarkEnd w:id="246"/>
      <w:bookmarkEnd w:id="247"/>
    </w:tbl>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bookmarkStart w:id="248" w:name="_Toc311039345"/>
      <w:bookmarkStart w:id="249" w:name="_Toc323463184"/>
      <w:bookmarkStart w:id="250" w:name="_Toc323463173"/>
      <w:bookmarkStart w:id="251" w:name="_Toc311039344"/>
      <w:r>
        <w:rPr>
          <w:rFonts w:hint="eastAsia" w:asciiTheme="minorEastAsia" w:hAnsiTheme="minorEastAsia" w:eastAsiaTheme="minorEastAsia" w:cstheme="minorEastAsia"/>
          <w:snapToGrid w:val="0"/>
          <w:color w:val="000000"/>
          <w:spacing w:val="-1"/>
          <w:kern w:val="0"/>
          <w:sz w:val="24"/>
          <w:szCs w:val="24"/>
          <w:lang w:val="en-US" w:eastAsia="en-US" w:bidi="ar-SA"/>
        </w:rPr>
        <w:t>（3）侧方停车</w:t>
      </w:r>
    </w:p>
    <w:bookmarkEnd w:id="248"/>
    <w:bookmarkEnd w:id="249"/>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bookmarkStart w:id="252" w:name="_Toc322207116"/>
      <w:bookmarkStart w:id="253" w:name="_Toc317578273"/>
      <w:bookmarkStart w:id="254" w:name="_Toc315424991"/>
      <w:bookmarkStart w:id="255" w:name="_Toc323463185"/>
      <w:bookmarkStart w:id="256" w:name="_Toc323462134"/>
      <w:r>
        <w:rPr>
          <w:rFonts w:hint="eastAsia" w:asciiTheme="minorEastAsia" w:hAnsiTheme="minorEastAsia" w:eastAsiaTheme="minorEastAsia" w:cstheme="minorEastAsia"/>
          <w:snapToGrid w:val="0"/>
          <w:color w:val="000000"/>
          <w:spacing w:val="-1"/>
          <w:kern w:val="0"/>
          <w:sz w:val="24"/>
          <w:szCs w:val="24"/>
          <w:lang w:val="en-US" w:eastAsia="en-US" w:bidi="ar-SA"/>
        </w:rPr>
        <w:drawing>
          <wp:anchor distT="0" distB="0" distL="114300" distR="114300" simplePos="0" relativeHeight="251664384" behindDoc="0" locked="0" layoutInCell="1" allowOverlap="1">
            <wp:simplePos x="0" y="0"/>
            <wp:positionH relativeFrom="column">
              <wp:posOffset>315595</wp:posOffset>
            </wp:positionH>
            <wp:positionV relativeFrom="paragraph">
              <wp:posOffset>290830</wp:posOffset>
            </wp:positionV>
            <wp:extent cx="5244465" cy="1517650"/>
            <wp:effectExtent l="0" t="0" r="13335" b="6350"/>
            <wp:wrapTopAndBottom/>
            <wp:docPr id="9" name="侧方停车.jpg"/>
            <wp:cNvGraphicFramePr/>
            <a:graphic xmlns:a="http://schemas.openxmlformats.org/drawingml/2006/main">
              <a:graphicData uri="http://schemas.openxmlformats.org/drawingml/2006/picture">
                <pic:pic xmlns:pic="http://schemas.openxmlformats.org/drawingml/2006/picture">
                  <pic:nvPicPr>
                    <pic:cNvPr id="9" name="侧方停车.jpg"/>
                    <pic:cNvPicPr/>
                  </pic:nvPicPr>
                  <pic:blipFill>
                    <a:blip r:embed="rId22"/>
                    <a:srcRect l="-2" t="24008" r="1968" b="24008"/>
                    <a:stretch>
                      <a:fillRect/>
                    </a:stretch>
                  </pic:blipFill>
                  <pic:spPr>
                    <a:xfrm>
                      <a:off x="0" y="0"/>
                      <a:ext cx="5244465" cy="1517650"/>
                    </a:xfrm>
                    <a:prstGeom prst="rect">
                      <a:avLst/>
                    </a:prstGeom>
                    <a:noFill/>
                    <a:ln>
                      <a:noFill/>
                    </a:ln>
                  </pic:spPr>
                </pic:pic>
              </a:graphicData>
            </a:graphic>
          </wp:anchor>
        </w:drawing>
      </w:r>
      <w:r>
        <w:rPr>
          <w:rFonts w:hint="eastAsia" w:asciiTheme="minorEastAsia" w:hAnsiTheme="minorEastAsia" w:eastAsiaTheme="minorEastAsia" w:cstheme="minorEastAsia"/>
          <w:snapToGrid w:val="0"/>
          <w:color w:val="000000"/>
          <w:spacing w:val="-1"/>
          <w:kern w:val="0"/>
          <w:sz w:val="24"/>
          <w:szCs w:val="24"/>
          <w:lang w:val="en-US" w:eastAsia="zh-CN" w:bidi="ar-SA"/>
        </w:rPr>
        <w:t>侧方停车项目图形应按图8设置，项目尺寸应符合表9规定。</w:t>
      </w:r>
      <w:bookmarkEnd w:id="252"/>
      <w:bookmarkEnd w:id="253"/>
      <w:bookmarkEnd w:id="254"/>
      <w:bookmarkEnd w:id="255"/>
      <w:bookmarkEnd w:id="256"/>
    </w:p>
    <w:p>
      <w:pPr>
        <w:spacing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bookmarkStart w:id="257" w:name="_Toc322207124"/>
      <w:bookmarkStart w:id="258" w:name="_Toc317578281"/>
      <w:bookmarkStart w:id="259" w:name="_Toc315424999"/>
      <w:bookmarkStart w:id="260" w:name="_Toc323462141"/>
      <w:bookmarkStart w:id="261" w:name="_Toc323463192"/>
      <w:r>
        <w:rPr>
          <w:rFonts w:hint="eastAsia" w:asciiTheme="minorEastAsia" w:hAnsiTheme="minorEastAsia" w:eastAsiaTheme="minorEastAsia" w:cstheme="minorEastAsia"/>
          <w:snapToGrid w:val="0"/>
          <w:color w:val="000000"/>
          <w:spacing w:val="-1"/>
          <w:kern w:val="0"/>
          <w:sz w:val="24"/>
          <w:szCs w:val="24"/>
          <w:lang w:val="en-US" w:eastAsia="zh-CN" w:bidi="ar-SA"/>
        </w:rPr>
        <w:t>标引序号说明：</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l1 ——库长；</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l2 ——库前道路边缘线长；</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l3 ——库后道路边缘线长；</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b1 ——库宽；</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b2 ——车道宽。</w:t>
      </w:r>
    </w:p>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图8 侧方停车</w:t>
      </w:r>
      <w:bookmarkEnd w:id="257"/>
      <w:bookmarkEnd w:id="258"/>
      <w:bookmarkEnd w:id="259"/>
      <w:r>
        <w:rPr>
          <w:rFonts w:hint="eastAsia" w:asciiTheme="minorEastAsia" w:hAnsiTheme="minorEastAsia" w:eastAsiaTheme="minorEastAsia" w:cstheme="minorEastAsia"/>
          <w:snapToGrid w:val="0"/>
          <w:color w:val="000000"/>
          <w:spacing w:val="-1"/>
          <w:kern w:val="0"/>
          <w:sz w:val="24"/>
          <w:szCs w:val="24"/>
          <w:lang w:val="en-US" w:eastAsia="zh-CN" w:bidi="ar-SA"/>
        </w:rPr>
        <w:t>项目图形</w:t>
      </w:r>
      <w:bookmarkEnd w:id="260"/>
      <w:bookmarkEnd w:id="261"/>
    </w:p>
    <w:p>
      <w:pPr>
        <w:pStyle w:val="38"/>
        <w:spacing w:beforeLines="0" w:afterLines="0" w:line="440" w:lineRule="exact"/>
        <w:ind w:firstLine="2142" w:firstLineChars="900"/>
        <w:jc w:val="both"/>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表7侧方停车项目尺寸</w:t>
      </w:r>
    </w:p>
    <w:p>
      <w:pPr>
        <w:pStyle w:val="35"/>
        <w:spacing w:line="440" w:lineRule="exact"/>
        <w:ind w:firstLine="560"/>
        <w:jc w:val="right"/>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单位为米</w:t>
      </w:r>
    </w:p>
    <w:tbl>
      <w:tblPr>
        <w:tblStyle w:val="17"/>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545"/>
        <w:gridCol w:w="1287"/>
        <w:gridCol w:w="1545"/>
        <w:gridCol w:w="1288"/>
        <w:gridCol w:w="10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1826" w:type="dxa"/>
            <w:tcBorders>
              <w:top w:val="single" w:color="auto" w:sz="8"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标引序号</w:t>
            </w:r>
          </w:p>
        </w:tc>
        <w:tc>
          <w:tcPr>
            <w:tcW w:w="1545" w:type="dxa"/>
            <w:tcBorders>
              <w:lef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l1</w:t>
            </w:r>
          </w:p>
        </w:tc>
        <w:tc>
          <w:tcPr>
            <w:tcW w:w="1287"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b1</w:t>
            </w:r>
          </w:p>
        </w:tc>
        <w:tc>
          <w:tcPr>
            <w:tcW w:w="1545"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b2</w:t>
            </w:r>
          </w:p>
        </w:tc>
        <w:tc>
          <w:tcPr>
            <w:tcW w:w="1288"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l2</w:t>
            </w:r>
          </w:p>
        </w:tc>
        <w:tc>
          <w:tcPr>
            <w:tcW w:w="1009"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l3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826" w:type="dxa"/>
            <w:tcBorders>
              <w:top w:val="single" w:color="auto" w:sz="4"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大型载客汽车</w:t>
            </w:r>
          </w:p>
        </w:tc>
        <w:tc>
          <w:tcPr>
            <w:tcW w:w="1545" w:type="dxa"/>
            <w:tcBorders>
              <w:lef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14.0</w:t>
            </w:r>
          </w:p>
        </w:tc>
        <w:tc>
          <w:tcPr>
            <w:tcW w:w="1287"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3.3</w:t>
            </w:r>
          </w:p>
        </w:tc>
        <w:tc>
          <w:tcPr>
            <w:tcW w:w="1545"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4.5</w:t>
            </w:r>
          </w:p>
        </w:tc>
        <w:tc>
          <w:tcPr>
            <w:tcW w:w="1288"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≥9.0</w:t>
            </w:r>
          </w:p>
        </w:tc>
        <w:tc>
          <w:tcPr>
            <w:tcW w:w="1009"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4" w:hRule="atLeast"/>
        </w:trPr>
        <w:tc>
          <w:tcPr>
            <w:tcW w:w="1826" w:type="dxa"/>
            <w:tcBorders>
              <w:top w:val="single" w:color="auto" w:sz="4" w:space="0"/>
              <w:bottom w:val="single" w:color="auto" w:sz="4" w:space="0"/>
              <w:right w:val="single" w:color="auto" w:sz="8" w:space="0"/>
            </w:tcBorders>
            <w:noWrap w:val="0"/>
            <w:vAlign w:val="center"/>
          </w:tcPr>
          <w:p>
            <w:pPr>
              <w:pStyle w:val="32"/>
              <w:spacing w:beforeLines="0" w:afterLines="0" w:line="440" w:lineRule="exact"/>
              <w:ind w:left="0"/>
              <w:jc w:val="center"/>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半挂汽车列车</w:t>
            </w:r>
          </w:p>
        </w:tc>
        <w:tc>
          <w:tcPr>
            <w:tcW w:w="1545" w:type="dxa"/>
            <w:tcBorders>
              <w:left w:val="single" w:color="auto" w:sz="8"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1.5倍车长</w:t>
            </w:r>
          </w:p>
        </w:tc>
        <w:tc>
          <w:tcPr>
            <w:tcW w:w="1287"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车宽加0.8</w:t>
            </w:r>
          </w:p>
        </w:tc>
        <w:tc>
          <w:tcPr>
            <w:tcW w:w="1545"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1.5倍车宽加0.8</w:t>
            </w:r>
          </w:p>
        </w:tc>
        <w:tc>
          <w:tcPr>
            <w:tcW w:w="1288"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≥1倍车长</w:t>
            </w:r>
          </w:p>
        </w:tc>
        <w:tc>
          <w:tcPr>
            <w:tcW w:w="1009"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8" w:hRule="atLeast"/>
        </w:trPr>
        <w:tc>
          <w:tcPr>
            <w:tcW w:w="1826" w:type="dxa"/>
            <w:tcBorders>
              <w:top w:val="single" w:color="auto" w:sz="4" w:space="0"/>
              <w:bottom w:val="single" w:color="auto" w:sz="4" w:space="0"/>
              <w:right w:val="single" w:color="auto" w:sz="8" w:space="0"/>
            </w:tcBorders>
            <w:noWrap w:val="0"/>
            <w:vAlign w:val="center"/>
          </w:tcPr>
          <w:p>
            <w:pPr>
              <w:pStyle w:val="32"/>
              <w:spacing w:beforeLines="0" w:afterLines="0" w:line="440" w:lineRule="exact"/>
              <w:ind w:left="0"/>
              <w:jc w:val="center"/>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重型载货汽车</w:t>
            </w:r>
          </w:p>
        </w:tc>
        <w:tc>
          <w:tcPr>
            <w:tcW w:w="1545" w:type="dxa"/>
            <w:tcBorders>
              <w:left w:val="single" w:color="auto" w:sz="8"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15.0</w:t>
            </w:r>
          </w:p>
        </w:tc>
        <w:tc>
          <w:tcPr>
            <w:tcW w:w="1287"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3.3</w:t>
            </w:r>
          </w:p>
        </w:tc>
        <w:tc>
          <w:tcPr>
            <w:tcW w:w="1545"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4.5</w:t>
            </w:r>
          </w:p>
        </w:tc>
        <w:tc>
          <w:tcPr>
            <w:tcW w:w="1288"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≥9.0</w:t>
            </w:r>
          </w:p>
        </w:tc>
        <w:tc>
          <w:tcPr>
            <w:tcW w:w="1009"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826" w:type="dxa"/>
            <w:tcBorders>
              <w:top w:val="single" w:color="auto" w:sz="4"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中型载客汽车</w:t>
            </w:r>
          </w:p>
        </w:tc>
        <w:tc>
          <w:tcPr>
            <w:tcW w:w="1545" w:type="dxa"/>
            <w:tcBorders>
              <w:left w:val="single" w:color="auto" w:sz="8"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1.5倍车长</w:t>
            </w:r>
          </w:p>
        </w:tc>
        <w:tc>
          <w:tcPr>
            <w:tcW w:w="1287"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车宽加0.8</w:t>
            </w:r>
          </w:p>
        </w:tc>
        <w:tc>
          <w:tcPr>
            <w:tcW w:w="1545"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1.5倍车宽加0.8</w:t>
            </w:r>
          </w:p>
        </w:tc>
        <w:tc>
          <w:tcPr>
            <w:tcW w:w="1288"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≥1倍车长</w:t>
            </w:r>
          </w:p>
        </w:tc>
        <w:tc>
          <w:tcPr>
            <w:tcW w:w="1009"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826" w:type="dxa"/>
            <w:tcBorders>
              <w:top w:val="single" w:color="auto" w:sz="4"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小型载客汽车</w:t>
            </w:r>
          </w:p>
        </w:tc>
        <w:tc>
          <w:tcPr>
            <w:tcW w:w="1545" w:type="dxa"/>
            <w:tcBorders>
              <w:lef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1.5倍车长加1.0</w:t>
            </w:r>
          </w:p>
        </w:tc>
        <w:tc>
          <w:tcPr>
            <w:tcW w:w="1287"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2.5</w:t>
            </w:r>
          </w:p>
        </w:tc>
        <w:tc>
          <w:tcPr>
            <w:tcW w:w="1545"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3.4</w:t>
            </w:r>
          </w:p>
        </w:tc>
        <w:tc>
          <w:tcPr>
            <w:tcW w:w="1288"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≥4.5</w:t>
            </w:r>
          </w:p>
        </w:tc>
        <w:tc>
          <w:tcPr>
            <w:tcW w:w="1009"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826" w:type="dxa"/>
            <w:tcBorders>
              <w:top w:val="single" w:color="auto" w:sz="4"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轻型载货汽车</w:t>
            </w:r>
          </w:p>
        </w:tc>
        <w:tc>
          <w:tcPr>
            <w:tcW w:w="1545" w:type="dxa"/>
            <w:tcBorders>
              <w:lef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1.5倍车长加1.0</w:t>
            </w:r>
          </w:p>
        </w:tc>
        <w:tc>
          <w:tcPr>
            <w:tcW w:w="1287"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2.6</w:t>
            </w:r>
          </w:p>
        </w:tc>
        <w:tc>
          <w:tcPr>
            <w:tcW w:w="1545"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3.5</w:t>
            </w:r>
          </w:p>
        </w:tc>
        <w:tc>
          <w:tcPr>
            <w:tcW w:w="1288"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≥5.0</w:t>
            </w:r>
          </w:p>
        </w:tc>
        <w:tc>
          <w:tcPr>
            <w:tcW w:w="1009"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826" w:type="dxa"/>
            <w:tcBorders>
              <w:top w:val="single" w:color="auto" w:sz="4"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低速载货汽车</w:t>
            </w:r>
          </w:p>
        </w:tc>
        <w:tc>
          <w:tcPr>
            <w:tcW w:w="1545" w:type="dxa"/>
            <w:tcBorders>
              <w:lef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1.5倍车长</w:t>
            </w:r>
          </w:p>
        </w:tc>
        <w:tc>
          <w:tcPr>
            <w:tcW w:w="1287"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车宽加0.8</w:t>
            </w:r>
          </w:p>
        </w:tc>
        <w:tc>
          <w:tcPr>
            <w:tcW w:w="1545"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1.5倍车宽加0.8</w:t>
            </w:r>
          </w:p>
        </w:tc>
        <w:tc>
          <w:tcPr>
            <w:tcW w:w="1288"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≥1倍车长</w:t>
            </w:r>
          </w:p>
        </w:tc>
        <w:tc>
          <w:tcPr>
            <w:tcW w:w="1009"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826" w:type="dxa"/>
            <w:tcBorders>
              <w:top w:val="single" w:color="auto" w:sz="4" w:space="0"/>
              <w:bottom w:val="single" w:color="auto" w:sz="8"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允许偏差</w:t>
            </w:r>
          </w:p>
        </w:tc>
        <w:tc>
          <w:tcPr>
            <w:tcW w:w="1545" w:type="dxa"/>
            <w:tcBorders>
              <w:lef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±0.10</w:t>
            </w:r>
          </w:p>
        </w:tc>
        <w:tc>
          <w:tcPr>
            <w:tcW w:w="1287"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±0.05</w:t>
            </w:r>
          </w:p>
        </w:tc>
        <w:tc>
          <w:tcPr>
            <w:tcW w:w="1545"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±0.05</w:t>
            </w:r>
          </w:p>
        </w:tc>
        <w:tc>
          <w:tcPr>
            <w:tcW w:w="1288"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p>
        </w:tc>
        <w:tc>
          <w:tcPr>
            <w:tcW w:w="1009"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p>
        </w:tc>
      </w:tr>
    </w:tbl>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（4）坡道定点停车和起步</w:t>
      </w:r>
    </w:p>
    <w:bookmarkEnd w:id="250"/>
    <w:bookmarkEnd w:id="251"/>
    <w:p>
      <w:pPr>
        <w:pStyle w:val="35"/>
        <w:spacing w:line="440" w:lineRule="exact"/>
        <w:ind w:firstLine="416" w:firstLineChars="175"/>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bookmarkStart w:id="262" w:name="_Toc317578259"/>
      <w:bookmarkStart w:id="263" w:name="_Toc315424978"/>
      <w:bookmarkStart w:id="264" w:name="_Toc323463174"/>
      <w:bookmarkStart w:id="265" w:name="_Toc323462123"/>
      <w:bookmarkStart w:id="266" w:name="_Toc322207103"/>
      <w:r>
        <w:rPr>
          <w:rFonts w:hint="eastAsia" w:asciiTheme="minorEastAsia" w:hAnsiTheme="minorEastAsia" w:eastAsiaTheme="minorEastAsia" w:cstheme="minorEastAsia"/>
          <w:snapToGrid w:val="0"/>
          <w:color w:val="000000"/>
          <w:spacing w:val="-1"/>
          <w:kern w:val="0"/>
          <w:sz w:val="24"/>
          <w:szCs w:val="24"/>
          <w:lang w:val="en-US" w:eastAsia="en-US" w:bidi="ar-SA"/>
        </w:rPr>
        <w:drawing>
          <wp:anchor distT="0" distB="0" distL="114300" distR="114300" simplePos="0" relativeHeight="251672576" behindDoc="0" locked="0" layoutInCell="1" allowOverlap="1">
            <wp:simplePos x="0" y="0"/>
            <wp:positionH relativeFrom="column">
              <wp:posOffset>142240</wp:posOffset>
            </wp:positionH>
            <wp:positionV relativeFrom="paragraph">
              <wp:posOffset>542925</wp:posOffset>
            </wp:positionV>
            <wp:extent cx="5607050" cy="2751455"/>
            <wp:effectExtent l="0" t="0" r="12700" b="10795"/>
            <wp:wrapSquare wrapText="bothSides"/>
            <wp:docPr id="8" name="坡起.jpg"/>
            <wp:cNvGraphicFramePr/>
            <a:graphic xmlns:a="http://schemas.openxmlformats.org/drawingml/2006/main">
              <a:graphicData uri="http://schemas.openxmlformats.org/drawingml/2006/picture">
                <pic:pic xmlns:pic="http://schemas.openxmlformats.org/drawingml/2006/picture">
                  <pic:nvPicPr>
                    <pic:cNvPr id="8" name="坡起.jpg"/>
                    <pic:cNvPicPr/>
                  </pic:nvPicPr>
                  <pic:blipFill>
                    <a:blip r:embed="rId23"/>
                    <a:srcRect t="9703" b="11052"/>
                    <a:stretch>
                      <a:fillRect/>
                    </a:stretch>
                  </pic:blipFill>
                  <pic:spPr>
                    <a:xfrm>
                      <a:off x="0" y="0"/>
                      <a:ext cx="5607050" cy="2751455"/>
                    </a:xfrm>
                    <a:prstGeom prst="rect">
                      <a:avLst/>
                    </a:prstGeom>
                    <a:noFill/>
                    <a:ln>
                      <a:noFill/>
                    </a:ln>
                  </pic:spPr>
                </pic:pic>
              </a:graphicData>
            </a:graphic>
          </wp:anchor>
        </w:drawing>
      </w:r>
      <w:r>
        <w:rPr>
          <w:rFonts w:hint="eastAsia" w:asciiTheme="minorEastAsia" w:hAnsiTheme="minorEastAsia" w:eastAsiaTheme="minorEastAsia" w:cstheme="minorEastAsia"/>
          <w:snapToGrid w:val="0"/>
          <w:color w:val="000000"/>
          <w:spacing w:val="-1"/>
          <w:kern w:val="0"/>
          <w:sz w:val="24"/>
          <w:szCs w:val="24"/>
          <w:lang w:val="en-US" w:eastAsia="en-US" w:bidi="ar-SA"/>
        </w:rPr>
        <w:t>坡道定点停车和起步项目图形及设施应按图9设置，项目尺寸应符合表8规定。</w:t>
      </w:r>
      <w:bookmarkEnd w:id="262"/>
      <w:bookmarkEnd w:id="263"/>
      <w:bookmarkEnd w:id="264"/>
      <w:bookmarkEnd w:id="265"/>
      <w:bookmarkEnd w:id="266"/>
      <w:bookmarkStart w:id="267" w:name="_Toc315424979"/>
      <w:bookmarkStart w:id="268" w:name="_Toc317578260"/>
      <w:r>
        <w:rPr>
          <w:rFonts w:hint="eastAsia" w:asciiTheme="minorEastAsia" w:hAnsiTheme="minorEastAsia" w:eastAsiaTheme="minorEastAsia" w:cstheme="minorEastAsia"/>
          <w:snapToGrid w:val="0"/>
          <w:color w:val="000000"/>
          <w:spacing w:val="-1"/>
          <w:kern w:val="0"/>
          <w:sz w:val="24"/>
          <w:szCs w:val="24"/>
          <w:lang w:val="en-US" w:eastAsia="en-US" w:bidi="ar-SA"/>
        </w:rPr>
        <w:t>停车桩杆线应设置在坡顶缓坡以下。</w:t>
      </w:r>
      <w:bookmarkEnd w:id="267"/>
      <w:bookmarkEnd w:id="268"/>
    </w:p>
    <w:p>
      <w:pPr>
        <w:spacing w:line="440" w:lineRule="exac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a）截面图                             b）俯视图</w:t>
      </w:r>
    </w:p>
    <w:p>
      <w:pPr>
        <w:spacing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标引序号说明：</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l 1 ——坡道长；</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l 2 ——停车桩杆线与坡底距离；</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 xml:space="preserve">b1 ——车道宽； </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b2 ——停车桩杆线线宽；</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d  ——停车控制线到停车桩杆线边缘距离；</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i ——坡度；</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bookmarkStart w:id="269" w:name="_Toc322207111"/>
      <w:bookmarkStart w:id="270" w:name="_Toc317578268"/>
      <w:bookmarkStart w:id="271" w:name="_Toc315424986"/>
      <w:r>
        <w:rPr>
          <w:rFonts w:hint="eastAsia" w:asciiTheme="minorEastAsia" w:hAnsiTheme="minorEastAsia" w:eastAsiaTheme="minorEastAsia" w:cstheme="minorEastAsia"/>
          <w:snapToGrid w:val="0"/>
          <w:color w:val="000000"/>
          <w:spacing w:val="-1"/>
          <w:kern w:val="0"/>
          <w:sz w:val="24"/>
          <w:szCs w:val="24"/>
          <w:lang w:val="en-US" w:eastAsia="zh-CN" w:bidi="ar-SA"/>
        </w:rPr>
        <w:t>r ——竖曲线半径</w:t>
      </w:r>
      <w:bookmarkEnd w:id="269"/>
      <w:bookmarkEnd w:id="270"/>
      <w:bookmarkEnd w:id="271"/>
      <w:r>
        <w:rPr>
          <w:rFonts w:hint="eastAsia" w:asciiTheme="minorEastAsia" w:hAnsiTheme="minorEastAsia" w:eastAsiaTheme="minorEastAsia" w:cstheme="minorEastAsia"/>
          <w:snapToGrid w:val="0"/>
          <w:color w:val="000000"/>
          <w:spacing w:val="-1"/>
          <w:kern w:val="0"/>
          <w:sz w:val="24"/>
          <w:szCs w:val="24"/>
          <w:lang w:val="en-US" w:eastAsia="zh-CN" w:bidi="ar-SA"/>
        </w:rPr>
        <w:t>；</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○——桩杆。</w:t>
      </w:r>
    </w:p>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bookmarkStart w:id="272" w:name="_Toc323462130"/>
      <w:bookmarkStart w:id="273" w:name="_Toc323463181"/>
      <w:bookmarkStart w:id="274" w:name="_Toc322207112"/>
      <w:bookmarkStart w:id="275" w:name="_Toc317578269"/>
      <w:bookmarkStart w:id="276" w:name="_Toc315424987"/>
      <w:r>
        <w:rPr>
          <w:rFonts w:hint="eastAsia" w:asciiTheme="minorEastAsia" w:hAnsiTheme="minorEastAsia" w:eastAsiaTheme="minorEastAsia" w:cstheme="minorEastAsia"/>
          <w:snapToGrid w:val="0"/>
          <w:color w:val="000000"/>
          <w:spacing w:val="-1"/>
          <w:kern w:val="0"/>
          <w:sz w:val="24"/>
          <w:szCs w:val="24"/>
          <w:lang w:val="en-US" w:eastAsia="zh-CN" w:bidi="ar-SA"/>
        </w:rPr>
        <w:t>图9  坡道定点停车和起步项目图形</w:t>
      </w:r>
      <w:bookmarkEnd w:id="272"/>
      <w:bookmarkEnd w:id="273"/>
      <w:bookmarkEnd w:id="274"/>
      <w:bookmarkEnd w:id="275"/>
      <w:bookmarkEnd w:id="276"/>
      <w:r>
        <w:rPr>
          <w:rFonts w:hint="eastAsia" w:asciiTheme="minorEastAsia" w:hAnsiTheme="minorEastAsia" w:eastAsiaTheme="minorEastAsia" w:cstheme="minorEastAsia"/>
          <w:snapToGrid w:val="0"/>
          <w:color w:val="000000"/>
          <w:spacing w:val="-1"/>
          <w:kern w:val="0"/>
          <w:sz w:val="24"/>
          <w:szCs w:val="24"/>
          <w:lang w:val="en-US" w:eastAsia="zh-CN" w:bidi="ar-SA"/>
        </w:rPr>
        <w:t>及设施</w:t>
      </w:r>
    </w:p>
    <w:p>
      <w:pPr>
        <w:pStyle w:val="38"/>
        <w:spacing w:beforeLines="0" w:afterLines="0" w:line="440" w:lineRule="exact"/>
        <w:ind w:firstLine="1190" w:firstLineChars="500"/>
        <w:jc w:val="both"/>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表8  坡道定点停车和起步项目尺寸</w:t>
      </w:r>
    </w:p>
    <w:tbl>
      <w:tblPr>
        <w:tblStyle w:val="17"/>
        <w:tblpPr w:leftFromText="180" w:rightFromText="180" w:vertAnchor="text" w:horzAnchor="page" w:tblpX="1888" w:tblpY="619"/>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774"/>
        <w:gridCol w:w="773"/>
        <w:gridCol w:w="774"/>
        <w:gridCol w:w="773"/>
        <w:gridCol w:w="774"/>
        <w:gridCol w:w="773"/>
        <w:gridCol w:w="7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2802" w:type="dxa"/>
            <w:tcBorders>
              <w:top w:val="single" w:color="auto" w:sz="8"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标引序号</w:t>
            </w:r>
          </w:p>
        </w:tc>
        <w:tc>
          <w:tcPr>
            <w:tcW w:w="774"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r</w:t>
            </w:r>
          </w:p>
        </w:tc>
        <w:tc>
          <w:tcPr>
            <w:tcW w:w="773"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l1</w:t>
            </w:r>
          </w:p>
        </w:tc>
        <w:tc>
          <w:tcPr>
            <w:tcW w:w="774"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b1</w:t>
            </w:r>
          </w:p>
        </w:tc>
        <w:tc>
          <w:tcPr>
            <w:tcW w:w="773"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l 2</w:t>
            </w:r>
          </w:p>
        </w:tc>
        <w:tc>
          <w:tcPr>
            <w:tcW w:w="774"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b2</w:t>
            </w:r>
          </w:p>
        </w:tc>
        <w:tc>
          <w:tcPr>
            <w:tcW w:w="773"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d</w:t>
            </w:r>
          </w:p>
        </w:tc>
        <w:tc>
          <w:tcPr>
            <w:tcW w:w="777"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2802" w:type="dxa"/>
            <w:tcBorders>
              <w:top w:val="single" w:color="auto" w:sz="4"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大型载客汽车、半挂汽车列车、中型载客汽车、重型载货汽车</w:t>
            </w:r>
          </w:p>
        </w:tc>
        <w:tc>
          <w:tcPr>
            <w:tcW w:w="7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≥30</w:t>
            </w:r>
          </w:p>
        </w:tc>
        <w:tc>
          <w:tcPr>
            <w:tcW w:w="7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≥30</w:t>
            </w:r>
          </w:p>
        </w:tc>
        <w:tc>
          <w:tcPr>
            <w:tcW w:w="7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≥3.5</w:t>
            </w:r>
          </w:p>
        </w:tc>
        <w:tc>
          <w:tcPr>
            <w:tcW w:w="773" w:type="dxa"/>
            <w:vMerge w:val="restart"/>
            <w:tcBorders>
              <w:top w:val="single" w:color="auto" w:sz="4" w:space="0"/>
              <w:left w:val="single" w:color="auto" w:sz="4" w:space="0"/>
              <w:right w:val="single" w:color="auto" w:sz="4"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≥1.5倍车长</w:t>
            </w:r>
          </w:p>
        </w:tc>
        <w:tc>
          <w:tcPr>
            <w:tcW w:w="774" w:type="dxa"/>
            <w:vMerge w:val="restart"/>
            <w:tcBorders>
              <w:top w:val="single" w:color="auto" w:sz="4" w:space="0"/>
              <w:left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0.3</w:t>
            </w:r>
          </w:p>
        </w:tc>
        <w:tc>
          <w:tcPr>
            <w:tcW w:w="773" w:type="dxa"/>
            <w:vMerge w:val="restart"/>
            <w:tcBorders>
              <w:top w:val="single" w:color="auto" w:sz="4" w:space="0"/>
              <w:left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0.5</w:t>
            </w:r>
          </w:p>
        </w:tc>
        <w:tc>
          <w:tcPr>
            <w:tcW w:w="777" w:type="dxa"/>
            <w:vMerge w:val="restart"/>
            <w:tcBorders>
              <w:top w:val="single" w:color="auto" w:sz="4" w:space="0"/>
              <w:left w:val="single" w:color="auto" w:sz="4" w:space="0"/>
              <w:right w:val="single" w:color="auto" w:sz="8"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2802" w:type="dxa"/>
            <w:tcBorders>
              <w:top w:val="single" w:color="auto" w:sz="4"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小型载客汽车、轻型载货汽车、低速载货汽车、三轮汽车</w:t>
            </w:r>
          </w:p>
        </w:tc>
        <w:tc>
          <w:tcPr>
            <w:tcW w:w="7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≥20</w:t>
            </w:r>
          </w:p>
        </w:tc>
        <w:tc>
          <w:tcPr>
            <w:tcW w:w="7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≥20</w:t>
            </w:r>
          </w:p>
        </w:tc>
        <w:tc>
          <w:tcPr>
            <w:tcW w:w="7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≥3.2</w:t>
            </w:r>
          </w:p>
        </w:tc>
        <w:tc>
          <w:tcPr>
            <w:tcW w:w="773" w:type="dxa"/>
            <w:vMerge w:val="continue"/>
            <w:tcBorders>
              <w:left w:val="single" w:color="auto" w:sz="4" w:space="0"/>
              <w:right w:val="single" w:color="auto" w:sz="4"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p>
        </w:tc>
        <w:tc>
          <w:tcPr>
            <w:tcW w:w="774" w:type="dxa"/>
            <w:vMerge w:val="continue"/>
            <w:tcBorders>
              <w:left w:val="single" w:color="auto" w:sz="4" w:space="0"/>
              <w:right w:val="single" w:color="auto" w:sz="4"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p>
        </w:tc>
        <w:tc>
          <w:tcPr>
            <w:tcW w:w="773" w:type="dxa"/>
            <w:vMerge w:val="continue"/>
            <w:tcBorders>
              <w:left w:val="single" w:color="auto" w:sz="4" w:space="0"/>
              <w:right w:val="single" w:color="auto" w:sz="4"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p>
        </w:tc>
        <w:tc>
          <w:tcPr>
            <w:tcW w:w="777" w:type="dxa"/>
            <w:vMerge w:val="continue"/>
            <w:tcBorders>
              <w:left w:val="single" w:color="auto" w:sz="4" w:space="0"/>
              <w:right w:val="single" w:color="auto" w:sz="8"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2802" w:type="dxa"/>
            <w:tcBorders>
              <w:top w:val="single" w:color="auto" w:sz="4"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正三轮摩托车、侧三轮摩托车、普通二轮摩托车、轻便摩托车</w:t>
            </w:r>
          </w:p>
        </w:tc>
        <w:tc>
          <w:tcPr>
            <w:tcW w:w="7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≥8.0</w:t>
            </w:r>
          </w:p>
        </w:tc>
        <w:tc>
          <w:tcPr>
            <w:tcW w:w="7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≥8.0</w:t>
            </w:r>
          </w:p>
        </w:tc>
        <w:tc>
          <w:tcPr>
            <w:tcW w:w="77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≥1.5</w:t>
            </w:r>
          </w:p>
        </w:tc>
        <w:tc>
          <w:tcPr>
            <w:tcW w:w="773" w:type="dxa"/>
            <w:vMerge w:val="continue"/>
            <w:tcBorders>
              <w:left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tc>
        <w:tc>
          <w:tcPr>
            <w:tcW w:w="774" w:type="dxa"/>
            <w:vMerge w:val="continue"/>
            <w:tcBorders>
              <w:left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tc>
        <w:tc>
          <w:tcPr>
            <w:tcW w:w="773" w:type="dxa"/>
            <w:vMerge w:val="continue"/>
            <w:tcBorders>
              <w:left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tc>
        <w:tc>
          <w:tcPr>
            <w:tcW w:w="777" w:type="dxa"/>
            <w:vMerge w:val="continue"/>
            <w:tcBorders>
              <w:left w:val="single" w:color="auto" w:sz="4"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2802" w:type="dxa"/>
            <w:tcBorders>
              <w:top w:val="single" w:color="auto" w:sz="4" w:space="0"/>
              <w:bottom w:val="single" w:color="auto" w:sz="8"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允许偏差</w:t>
            </w:r>
          </w:p>
        </w:tc>
        <w:tc>
          <w:tcPr>
            <w:tcW w:w="774" w:type="dxa"/>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p>
        </w:tc>
        <w:tc>
          <w:tcPr>
            <w:tcW w:w="773" w:type="dxa"/>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p>
        </w:tc>
        <w:tc>
          <w:tcPr>
            <w:tcW w:w="774" w:type="dxa"/>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p>
        </w:tc>
        <w:tc>
          <w:tcPr>
            <w:tcW w:w="773" w:type="dxa"/>
            <w:tcBorders>
              <w:left w:val="single" w:color="auto" w:sz="4" w:space="0"/>
              <w:bottom w:val="single" w:color="auto" w:sz="8"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p>
        </w:tc>
        <w:tc>
          <w:tcPr>
            <w:tcW w:w="774" w:type="dxa"/>
            <w:tcBorders>
              <w:left w:val="single" w:color="auto" w:sz="4" w:space="0"/>
              <w:bottom w:val="single" w:color="auto" w:sz="8"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0.01</w:t>
            </w:r>
          </w:p>
        </w:tc>
        <w:tc>
          <w:tcPr>
            <w:tcW w:w="773" w:type="dxa"/>
            <w:tcBorders>
              <w:left w:val="single" w:color="auto" w:sz="4" w:space="0"/>
              <w:bottom w:val="single" w:color="auto" w:sz="8"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0.02</w:t>
            </w:r>
          </w:p>
        </w:tc>
        <w:tc>
          <w:tcPr>
            <w:tcW w:w="777" w:type="dxa"/>
            <w:tcBorders>
              <w:top w:val="single" w:color="auto" w:sz="4" w:space="0"/>
              <w:left w:val="single" w:color="auto" w:sz="4" w:space="0"/>
              <w:bottom w:val="single" w:color="auto" w:sz="8"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w:t>
            </w:r>
          </w:p>
        </w:tc>
      </w:tr>
    </w:tbl>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bookmarkStart w:id="277" w:name="_Toc323463205"/>
      <w:bookmarkStart w:id="278" w:name="_Toc311039347"/>
      <w:r>
        <w:rPr>
          <w:rFonts w:hint="eastAsia" w:asciiTheme="minorEastAsia" w:hAnsiTheme="minorEastAsia" w:eastAsiaTheme="minorEastAsia" w:cstheme="minorEastAsia"/>
          <w:snapToGrid w:val="0"/>
          <w:color w:val="000000"/>
          <w:spacing w:val="-1"/>
          <w:kern w:val="0"/>
          <w:sz w:val="24"/>
          <w:szCs w:val="24"/>
          <w:lang w:val="en-US" w:eastAsia="en-US" w:bidi="ar-SA"/>
        </w:rPr>
        <w:t>（5）曲线行驶</w:t>
      </w:r>
    </w:p>
    <w:bookmarkEnd w:id="277"/>
    <w:bookmarkEnd w:id="278"/>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bookmarkStart w:id="279" w:name="_Toc323462155"/>
      <w:bookmarkStart w:id="280" w:name="_Toc317578359"/>
      <w:bookmarkStart w:id="281" w:name="_Toc315425077"/>
      <w:bookmarkStart w:id="282" w:name="_Toc322207202"/>
      <w:bookmarkStart w:id="283" w:name="_Toc323463206"/>
      <w:r>
        <w:rPr>
          <w:rFonts w:hint="eastAsia" w:asciiTheme="minorEastAsia" w:hAnsiTheme="minorEastAsia" w:eastAsiaTheme="minorEastAsia" w:cstheme="minorEastAsia"/>
          <w:snapToGrid w:val="0"/>
          <w:color w:val="000000"/>
          <w:spacing w:val="-1"/>
          <w:kern w:val="0"/>
          <w:sz w:val="24"/>
          <w:szCs w:val="24"/>
          <w:lang w:val="en-US" w:eastAsia="en-US" w:bidi="ar-SA"/>
        </w:rPr>
        <w:drawing>
          <wp:anchor distT="0" distB="0" distL="114300" distR="114300" simplePos="0" relativeHeight="251671552" behindDoc="0" locked="0" layoutInCell="1" allowOverlap="1">
            <wp:simplePos x="0" y="0"/>
            <wp:positionH relativeFrom="column">
              <wp:posOffset>401320</wp:posOffset>
            </wp:positionH>
            <wp:positionV relativeFrom="paragraph">
              <wp:posOffset>239395</wp:posOffset>
            </wp:positionV>
            <wp:extent cx="4873625" cy="2346325"/>
            <wp:effectExtent l="0" t="0" r="3175" b="15875"/>
            <wp:wrapTopAndBottom/>
            <wp:docPr id="13" name="微信图片_20220316152550.jpg"/>
            <wp:cNvGraphicFramePr/>
            <a:graphic xmlns:a="http://schemas.openxmlformats.org/drawingml/2006/main">
              <a:graphicData uri="http://schemas.openxmlformats.org/drawingml/2006/picture">
                <pic:pic xmlns:pic="http://schemas.openxmlformats.org/drawingml/2006/picture">
                  <pic:nvPicPr>
                    <pic:cNvPr id="13" name="微信图片_20220316152550.jpg"/>
                    <pic:cNvPicPr/>
                  </pic:nvPicPr>
                  <pic:blipFill>
                    <a:blip r:embed="rId24"/>
                    <a:stretch>
                      <a:fillRect/>
                    </a:stretch>
                  </pic:blipFill>
                  <pic:spPr>
                    <a:xfrm>
                      <a:off x="0" y="0"/>
                      <a:ext cx="4873625" cy="2346325"/>
                    </a:xfrm>
                    <a:prstGeom prst="rect">
                      <a:avLst/>
                    </a:prstGeom>
                    <a:noFill/>
                    <a:ln>
                      <a:noFill/>
                    </a:ln>
                  </pic:spPr>
                </pic:pic>
              </a:graphicData>
            </a:graphic>
          </wp:anchor>
        </w:drawing>
      </w:r>
      <w:r>
        <w:rPr>
          <w:rFonts w:hint="eastAsia" w:asciiTheme="minorEastAsia" w:hAnsiTheme="minorEastAsia" w:eastAsiaTheme="minorEastAsia" w:cstheme="minorEastAsia"/>
          <w:snapToGrid w:val="0"/>
          <w:color w:val="000000"/>
          <w:spacing w:val="-1"/>
          <w:kern w:val="0"/>
          <w:sz w:val="24"/>
          <w:szCs w:val="24"/>
          <w:lang w:val="en-US" w:eastAsia="zh-CN" w:bidi="ar-SA"/>
        </w:rPr>
        <w:t>曲线行驶项目图形应按图10设置，项目尺寸应符合表9规定。</w:t>
      </w:r>
      <w:bookmarkEnd w:id="279"/>
      <w:bookmarkEnd w:id="280"/>
      <w:bookmarkEnd w:id="281"/>
      <w:bookmarkEnd w:id="282"/>
      <w:bookmarkEnd w:id="283"/>
      <w:bookmarkStart w:id="284" w:name="_Toc317578367"/>
      <w:bookmarkStart w:id="285" w:name="_Toc315425085"/>
      <w:bookmarkStart w:id="286" w:name="_Toc322207210"/>
      <w:bookmarkStart w:id="287" w:name="_Toc323463212"/>
      <w:bookmarkStart w:id="288" w:name="_Toc323462161"/>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标引序号说明：</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r ——半径；</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 ——路宽。</w:t>
      </w:r>
    </w:p>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图10 曲线行驶项目</w:t>
      </w:r>
      <w:bookmarkEnd w:id="284"/>
      <w:bookmarkEnd w:id="285"/>
      <w:bookmarkEnd w:id="286"/>
      <w:r>
        <w:rPr>
          <w:rFonts w:hint="eastAsia" w:asciiTheme="minorEastAsia" w:hAnsiTheme="minorEastAsia" w:eastAsiaTheme="minorEastAsia" w:cstheme="minorEastAsia"/>
          <w:snapToGrid w:val="0"/>
          <w:color w:val="000000"/>
          <w:spacing w:val="-1"/>
          <w:kern w:val="0"/>
          <w:sz w:val="24"/>
          <w:szCs w:val="24"/>
          <w:lang w:val="en-US" w:eastAsia="zh-CN" w:bidi="ar-SA"/>
        </w:rPr>
        <w:t>图形</w:t>
      </w:r>
      <w:bookmarkEnd w:id="287"/>
      <w:bookmarkEnd w:id="288"/>
    </w:p>
    <w:p>
      <w:pPr>
        <w:pStyle w:val="38"/>
        <w:spacing w:beforeLines="0" w:afterLines="0" w:line="440" w:lineRule="exact"/>
        <w:ind w:firstLine="1904" w:firstLineChars="800"/>
        <w:jc w:val="both"/>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表9  曲线行驶项目尺寸</w:t>
      </w:r>
    </w:p>
    <w:p>
      <w:pPr>
        <w:pStyle w:val="35"/>
        <w:spacing w:line="440" w:lineRule="exact"/>
        <w:ind w:firstLine="560"/>
        <w:jc w:val="right"/>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单位为米</w:t>
      </w:r>
    </w:p>
    <w:tbl>
      <w:tblPr>
        <w:tblStyle w:val="17"/>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3129"/>
        <w:gridCol w:w="31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29" w:type="dxa"/>
            <w:tcBorders>
              <w:top w:val="single" w:color="auto" w:sz="8" w:space="0"/>
              <w:bottom w:val="single" w:color="auto" w:sz="4" w:space="0"/>
              <w:righ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标引序号</w:t>
            </w:r>
          </w:p>
        </w:tc>
        <w:tc>
          <w:tcPr>
            <w:tcW w:w="3129" w:type="dxa"/>
            <w:tcBorders>
              <w:lef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r</w:t>
            </w:r>
          </w:p>
        </w:tc>
        <w:tc>
          <w:tcPr>
            <w:tcW w:w="3129"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29" w:type="dxa"/>
            <w:tcBorders>
              <w:top w:val="single" w:color="auto" w:sz="4" w:space="0"/>
              <w:bottom w:val="single" w:color="auto" w:sz="4" w:space="0"/>
              <w:righ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 xml:space="preserve">大型载客汽车、重型载货汽车  </w:t>
            </w:r>
          </w:p>
        </w:tc>
        <w:tc>
          <w:tcPr>
            <w:tcW w:w="3129" w:type="dxa"/>
            <w:tcBorders>
              <w:left w:val="single" w:color="auto" w:sz="8" w:space="0"/>
            </w:tcBorders>
            <w:noWrap w:val="0"/>
            <w:vAlign w:val="center"/>
          </w:tcPr>
          <w:p>
            <w:pPr>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12.0</w:t>
            </w:r>
          </w:p>
        </w:tc>
        <w:tc>
          <w:tcPr>
            <w:tcW w:w="3129"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29" w:type="dxa"/>
            <w:tcBorders>
              <w:top w:val="single" w:color="auto" w:sz="4"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半挂汽车列车</w:t>
            </w:r>
          </w:p>
        </w:tc>
        <w:tc>
          <w:tcPr>
            <w:tcW w:w="3129" w:type="dxa"/>
            <w:tcBorders>
              <w:lef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12.0</w:t>
            </w:r>
          </w:p>
        </w:tc>
        <w:tc>
          <w:tcPr>
            <w:tcW w:w="3129"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29" w:type="dxa"/>
            <w:tcBorders>
              <w:top w:val="single" w:color="auto" w:sz="4" w:space="0"/>
              <w:bottom w:val="single" w:color="auto" w:sz="4" w:space="0"/>
              <w:righ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中型载客汽车、低速载货汽车</w:t>
            </w:r>
          </w:p>
        </w:tc>
        <w:tc>
          <w:tcPr>
            <w:tcW w:w="3129" w:type="dxa"/>
            <w:tcBorders>
              <w:lef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9.5</w:t>
            </w:r>
          </w:p>
        </w:tc>
        <w:tc>
          <w:tcPr>
            <w:tcW w:w="3129"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29" w:type="dxa"/>
            <w:tcBorders>
              <w:top w:val="single" w:color="auto" w:sz="4" w:space="0"/>
              <w:bottom w:val="single" w:color="auto" w:sz="4" w:space="0"/>
              <w:righ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轻型牵引挂车</w:t>
            </w:r>
          </w:p>
        </w:tc>
        <w:tc>
          <w:tcPr>
            <w:tcW w:w="3129" w:type="dxa"/>
            <w:tcBorders>
              <w:lef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12.15</w:t>
            </w:r>
          </w:p>
        </w:tc>
        <w:tc>
          <w:tcPr>
            <w:tcW w:w="3129"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4.3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29" w:type="dxa"/>
            <w:tcBorders>
              <w:top w:val="single" w:color="auto" w:sz="4" w:space="0"/>
              <w:bottom w:val="single" w:color="auto" w:sz="4" w:space="0"/>
              <w:righ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小型载客汽车、轻型载货汽车</w:t>
            </w:r>
          </w:p>
        </w:tc>
        <w:tc>
          <w:tcPr>
            <w:tcW w:w="3129" w:type="dxa"/>
            <w:tcBorders>
              <w:lef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7.5</w:t>
            </w:r>
          </w:p>
        </w:tc>
        <w:tc>
          <w:tcPr>
            <w:tcW w:w="3129"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29" w:type="dxa"/>
            <w:tcBorders>
              <w:top w:val="single" w:color="auto" w:sz="4" w:space="0"/>
              <w:bottom w:val="single" w:color="auto" w:sz="8" w:space="0"/>
              <w:righ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允许偏差</w:t>
            </w:r>
          </w:p>
        </w:tc>
        <w:tc>
          <w:tcPr>
            <w:tcW w:w="3129" w:type="dxa"/>
            <w:tcBorders>
              <w:lef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w:t>
            </w:r>
          </w:p>
        </w:tc>
        <w:tc>
          <w:tcPr>
            <w:tcW w:w="3129"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±0.05</w:t>
            </w:r>
          </w:p>
        </w:tc>
      </w:tr>
    </w:tbl>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bookmarkStart w:id="289" w:name="_Toc311039348"/>
      <w:bookmarkStart w:id="290" w:name="_Toc323463213"/>
      <w:r>
        <w:rPr>
          <w:rFonts w:hint="eastAsia" w:asciiTheme="minorEastAsia" w:hAnsiTheme="minorEastAsia" w:eastAsiaTheme="minorEastAsia" w:cstheme="minorEastAsia"/>
          <w:snapToGrid w:val="0"/>
          <w:color w:val="000000"/>
          <w:spacing w:val="-1"/>
          <w:kern w:val="0"/>
          <w:sz w:val="24"/>
          <w:szCs w:val="24"/>
          <w:lang w:val="en-US" w:eastAsia="en-US" w:bidi="ar-SA"/>
        </w:rPr>
        <w:t>（6）直角转弯</w:t>
      </w:r>
    </w:p>
    <w:p>
      <w:pPr>
        <w:pStyle w:val="35"/>
        <w:spacing w:line="440" w:lineRule="exact"/>
        <w:ind w:firstLine="56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直角转弯项目图形应按图11设置，项目尺寸应符合表10规定。</w:t>
      </w:r>
    </w:p>
    <w:bookmarkEnd w:id="289"/>
    <w:bookmarkEnd w:id="290"/>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bookmarkStart w:id="291" w:name="_Toc322207244"/>
      <w:bookmarkStart w:id="292" w:name="_Toc323462163"/>
      <w:bookmarkStart w:id="293" w:name="_Toc323463214"/>
      <w:bookmarkStart w:id="294" w:name="_Toc315425120"/>
      <w:bookmarkStart w:id="295" w:name="_Toc317578401"/>
      <w:bookmarkStart w:id="296" w:name="_Toc315425125"/>
      <w:bookmarkStart w:id="297" w:name="_Toc317578408"/>
      <w:bookmarkStart w:id="298" w:name="_Toc322207249"/>
      <w:bookmarkStart w:id="299" w:name="_Toc323462167"/>
      <w:bookmarkStart w:id="300" w:name="_Toc323463218"/>
      <w:r>
        <w:rPr>
          <w:rFonts w:hint="eastAsia" w:asciiTheme="minorEastAsia" w:hAnsiTheme="minorEastAsia" w:eastAsiaTheme="minorEastAsia" w:cstheme="minorEastAsia"/>
          <w:snapToGrid w:val="0"/>
          <w:color w:val="000000"/>
          <w:spacing w:val="-1"/>
          <w:kern w:val="0"/>
          <w:sz w:val="24"/>
          <w:szCs w:val="24"/>
          <w:lang w:val="en-US" w:eastAsia="en-US" w:bidi="ar-SA"/>
        </w:rPr>
        <w:drawing>
          <wp:anchor distT="0" distB="0" distL="114300" distR="114300" simplePos="0" relativeHeight="251665408" behindDoc="0" locked="0" layoutInCell="1" allowOverlap="1">
            <wp:simplePos x="0" y="0"/>
            <wp:positionH relativeFrom="column">
              <wp:posOffset>941070</wp:posOffset>
            </wp:positionH>
            <wp:positionV relativeFrom="paragraph">
              <wp:posOffset>120650</wp:posOffset>
            </wp:positionV>
            <wp:extent cx="3638550" cy="2755900"/>
            <wp:effectExtent l="0" t="0" r="0" b="6350"/>
            <wp:wrapTopAndBottom/>
            <wp:docPr id="10" name="直角转弯.jpg"/>
            <wp:cNvGraphicFramePr/>
            <a:graphic xmlns:a="http://schemas.openxmlformats.org/drawingml/2006/main">
              <a:graphicData uri="http://schemas.openxmlformats.org/drawingml/2006/picture">
                <pic:pic xmlns:pic="http://schemas.openxmlformats.org/drawingml/2006/picture">
                  <pic:nvPicPr>
                    <pic:cNvPr id="10" name="直角转弯.jpg"/>
                    <pic:cNvPicPr/>
                  </pic:nvPicPr>
                  <pic:blipFill>
                    <a:blip r:embed="rId25"/>
                    <a:srcRect t="1666" b="2"/>
                    <a:stretch>
                      <a:fillRect/>
                    </a:stretch>
                  </pic:blipFill>
                  <pic:spPr>
                    <a:xfrm>
                      <a:off x="0" y="0"/>
                      <a:ext cx="3638550" cy="2755900"/>
                    </a:xfrm>
                    <a:prstGeom prst="rect">
                      <a:avLst/>
                    </a:prstGeom>
                    <a:noFill/>
                    <a:ln>
                      <a:noFill/>
                    </a:ln>
                  </pic:spPr>
                </pic:pic>
              </a:graphicData>
            </a:graphic>
          </wp:anchor>
        </w:drawing>
      </w:r>
      <w:bookmarkEnd w:id="291"/>
      <w:bookmarkEnd w:id="292"/>
      <w:bookmarkEnd w:id="293"/>
      <w:bookmarkEnd w:id="294"/>
      <w:bookmarkEnd w:id="295"/>
      <w:r>
        <w:rPr>
          <w:rFonts w:hint="eastAsia" w:asciiTheme="minorEastAsia" w:hAnsiTheme="minorEastAsia" w:eastAsiaTheme="minorEastAsia" w:cstheme="minorEastAsia"/>
          <w:snapToGrid w:val="0"/>
          <w:color w:val="000000"/>
          <w:spacing w:val="-1"/>
          <w:kern w:val="0"/>
          <w:sz w:val="24"/>
          <w:szCs w:val="24"/>
          <w:lang w:val="en-US" w:eastAsia="zh-CN" w:bidi="ar-SA"/>
        </w:rPr>
        <w:t>标引序号说明：</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l ——路长；</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 ——路宽。</w:t>
      </w:r>
    </w:p>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图11 直角转弯</w:t>
      </w:r>
      <w:bookmarkEnd w:id="296"/>
      <w:bookmarkEnd w:id="297"/>
      <w:bookmarkEnd w:id="298"/>
      <w:r>
        <w:rPr>
          <w:rFonts w:hint="eastAsia" w:asciiTheme="minorEastAsia" w:hAnsiTheme="minorEastAsia" w:eastAsiaTheme="minorEastAsia" w:cstheme="minorEastAsia"/>
          <w:snapToGrid w:val="0"/>
          <w:color w:val="000000"/>
          <w:spacing w:val="-1"/>
          <w:kern w:val="0"/>
          <w:sz w:val="24"/>
          <w:szCs w:val="24"/>
          <w:lang w:val="en-US" w:eastAsia="zh-CN" w:bidi="ar-SA"/>
        </w:rPr>
        <w:t>项目图形</w:t>
      </w:r>
      <w:bookmarkEnd w:id="299"/>
      <w:bookmarkEnd w:id="300"/>
    </w:p>
    <w:p>
      <w:pPr>
        <w:pStyle w:val="38"/>
        <w:spacing w:beforeLines="0" w:afterLines="0" w:line="440" w:lineRule="exact"/>
        <w:ind w:firstLine="1904" w:firstLineChars="800"/>
        <w:jc w:val="both"/>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表10  直角转弯项目尺寸</w:t>
      </w:r>
    </w:p>
    <w:p>
      <w:pPr>
        <w:pStyle w:val="35"/>
        <w:spacing w:line="440" w:lineRule="exact"/>
        <w:ind w:firstLine="560"/>
        <w:jc w:val="right"/>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单位为米</w:t>
      </w:r>
    </w:p>
    <w:tbl>
      <w:tblPr>
        <w:tblStyle w:val="17"/>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2694"/>
        <w:gridCol w:w="26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2693" w:type="dxa"/>
            <w:tcBorders>
              <w:top w:val="single" w:color="auto" w:sz="8" w:space="0"/>
              <w:bottom w:val="single" w:color="auto" w:sz="4" w:space="0"/>
              <w:righ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bookmarkStart w:id="301" w:name="_Toc323463193"/>
            <w:bookmarkStart w:id="302" w:name="_Toc311039346"/>
            <w:bookmarkStart w:id="303" w:name="_Toc323463219"/>
            <w:bookmarkStart w:id="304" w:name="_Toc311039349"/>
            <w:r>
              <w:rPr>
                <w:rFonts w:hint="eastAsia" w:asciiTheme="minorEastAsia" w:hAnsiTheme="minorEastAsia" w:eastAsiaTheme="minorEastAsia" w:cstheme="minorEastAsia"/>
                <w:snapToGrid w:val="0"/>
                <w:color w:val="000000"/>
                <w:spacing w:val="-1"/>
                <w:kern w:val="0"/>
                <w:sz w:val="24"/>
                <w:szCs w:val="24"/>
                <w:lang w:val="en-US" w:eastAsia="en-US" w:bidi="ar-SA"/>
              </w:rPr>
              <w:t>标引序号</w:t>
            </w:r>
          </w:p>
        </w:tc>
        <w:tc>
          <w:tcPr>
            <w:tcW w:w="2694" w:type="dxa"/>
            <w:tcBorders>
              <w:lef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l</w:t>
            </w:r>
          </w:p>
        </w:tc>
        <w:tc>
          <w:tcPr>
            <w:tcW w:w="2693"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2693" w:type="dxa"/>
            <w:tcBorders>
              <w:top w:val="single" w:color="auto" w:sz="4" w:space="0"/>
              <w:bottom w:val="single" w:color="auto" w:sz="4" w:space="0"/>
              <w:righ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 xml:space="preserve">大型载客汽车  </w:t>
            </w:r>
          </w:p>
        </w:tc>
        <w:tc>
          <w:tcPr>
            <w:tcW w:w="2694" w:type="dxa"/>
            <w:tcBorders>
              <w:left w:val="single" w:color="auto" w:sz="8" w:space="0"/>
            </w:tcBorders>
            <w:noWrap w:val="0"/>
            <w:vAlign w:val="center"/>
          </w:tcPr>
          <w:p>
            <w:pPr>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≥1.5倍车长</w:t>
            </w:r>
          </w:p>
        </w:tc>
        <w:tc>
          <w:tcPr>
            <w:tcW w:w="2693"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轴距加0.5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2693" w:type="dxa"/>
            <w:tcBorders>
              <w:top w:val="single" w:color="auto" w:sz="4"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半挂汽车列车</w:t>
            </w:r>
          </w:p>
        </w:tc>
        <w:tc>
          <w:tcPr>
            <w:tcW w:w="2694" w:type="dxa"/>
            <w:tcBorders>
              <w:lef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≥1.5倍车长</w:t>
            </w:r>
          </w:p>
        </w:tc>
        <w:tc>
          <w:tcPr>
            <w:tcW w:w="2693"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前轴距加4.0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2693" w:type="dxa"/>
            <w:tcBorders>
              <w:top w:val="single" w:color="auto" w:sz="4" w:space="0"/>
              <w:bottom w:val="single" w:color="auto" w:sz="4" w:space="0"/>
              <w:righ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中型载客汽车</w:t>
            </w:r>
          </w:p>
        </w:tc>
        <w:tc>
          <w:tcPr>
            <w:tcW w:w="2694" w:type="dxa"/>
            <w:tcBorders>
              <w:lef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≥1.5倍车长</w:t>
            </w:r>
          </w:p>
        </w:tc>
        <w:tc>
          <w:tcPr>
            <w:tcW w:w="2693"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轴距加0.8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2693" w:type="dxa"/>
            <w:tcBorders>
              <w:top w:val="single" w:color="auto" w:sz="4" w:space="0"/>
              <w:bottom w:val="single" w:color="auto" w:sz="4" w:space="0"/>
              <w:righ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重型载货汽车、轻型牵引挂车</w:t>
            </w:r>
          </w:p>
        </w:tc>
        <w:tc>
          <w:tcPr>
            <w:tcW w:w="2694" w:type="dxa"/>
            <w:tcBorders>
              <w:lef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≥13.5</w:t>
            </w:r>
          </w:p>
        </w:tc>
        <w:tc>
          <w:tcPr>
            <w:tcW w:w="2693"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5.7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2693" w:type="dxa"/>
            <w:tcBorders>
              <w:top w:val="single" w:color="auto" w:sz="4" w:space="0"/>
              <w:bottom w:val="single" w:color="auto" w:sz="4" w:space="0"/>
              <w:righ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 xml:space="preserve">小型载客汽车 </w:t>
            </w:r>
          </w:p>
        </w:tc>
        <w:tc>
          <w:tcPr>
            <w:tcW w:w="2694" w:type="dxa"/>
            <w:tcBorders>
              <w:lef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≥6.8</w:t>
            </w:r>
          </w:p>
        </w:tc>
        <w:tc>
          <w:tcPr>
            <w:tcW w:w="2693"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2693" w:type="dxa"/>
            <w:tcBorders>
              <w:top w:val="single" w:color="auto" w:sz="4" w:space="0"/>
              <w:bottom w:val="single" w:color="auto" w:sz="4" w:space="0"/>
              <w:righ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轻型载货汽车</w:t>
            </w:r>
          </w:p>
        </w:tc>
        <w:tc>
          <w:tcPr>
            <w:tcW w:w="2694" w:type="dxa"/>
            <w:tcBorders>
              <w:lef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≥7.5</w:t>
            </w:r>
          </w:p>
        </w:tc>
        <w:tc>
          <w:tcPr>
            <w:tcW w:w="2693"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2693" w:type="dxa"/>
            <w:tcBorders>
              <w:top w:val="single" w:color="auto" w:sz="4" w:space="0"/>
              <w:bottom w:val="single" w:color="auto" w:sz="4" w:space="0"/>
              <w:righ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低速载货汽车</w:t>
            </w:r>
          </w:p>
        </w:tc>
        <w:tc>
          <w:tcPr>
            <w:tcW w:w="2694" w:type="dxa"/>
            <w:tcBorders>
              <w:lef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≥1.5倍车长</w:t>
            </w:r>
          </w:p>
        </w:tc>
        <w:tc>
          <w:tcPr>
            <w:tcW w:w="2693" w:type="dxa"/>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轴距加1.0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2693" w:type="dxa"/>
            <w:tcBorders>
              <w:top w:val="single" w:color="auto" w:sz="4" w:space="0"/>
              <w:bottom w:val="single" w:color="auto" w:sz="8" w:space="0"/>
              <w:righ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允许偏差</w:t>
            </w:r>
          </w:p>
        </w:tc>
        <w:tc>
          <w:tcPr>
            <w:tcW w:w="2694" w:type="dxa"/>
            <w:tcBorders>
              <w:left w:val="single" w:color="auto" w:sz="8" w:space="0"/>
            </w:tcBorders>
            <w:noWrap w:val="0"/>
            <w:vAlign w:val="center"/>
          </w:tcPr>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p>
        </w:tc>
        <w:tc>
          <w:tcPr>
            <w:tcW w:w="2693"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±0.05</w:t>
            </w:r>
          </w:p>
        </w:tc>
      </w:tr>
    </w:tbl>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（7）通过单边桥</w:t>
      </w:r>
      <w:bookmarkEnd w:id="301"/>
      <w:bookmarkEnd w:id="302"/>
      <w:bookmarkStart w:id="305" w:name="_Toc323463194"/>
      <w:bookmarkStart w:id="306" w:name="_Toc323462143"/>
      <w:bookmarkStart w:id="307" w:name="_Toc315425028"/>
      <w:bookmarkStart w:id="308" w:name="_Toc322207153"/>
      <w:bookmarkStart w:id="309" w:name="_Toc317578310"/>
      <w:r>
        <w:rPr>
          <w:rFonts w:hint="eastAsia" w:asciiTheme="minorEastAsia" w:hAnsiTheme="minorEastAsia" w:eastAsiaTheme="minorEastAsia" w:cstheme="minorEastAsia"/>
          <w:snapToGrid w:val="0"/>
          <w:color w:val="000000"/>
          <w:spacing w:val="-1"/>
          <w:kern w:val="0"/>
          <w:sz w:val="24"/>
          <w:szCs w:val="24"/>
          <w:lang w:val="en-US" w:eastAsia="en-US" w:bidi="ar-SA"/>
        </w:rPr>
        <w:drawing>
          <wp:anchor distT="0" distB="0" distL="114300" distR="114300" simplePos="0" relativeHeight="251666432" behindDoc="0" locked="0" layoutInCell="1" allowOverlap="1">
            <wp:simplePos x="0" y="0"/>
            <wp:positionH relativeFrom="column">
              <wp:posOffset>189230</wp:posOffset>
            </wp:positionH>
            <wp:positionV relativeFrom="paragraph">
              <wp:posOffset>388620</wp:posOffset>
            </wp:positionV>
            <wp:extent cx="5448300" cy="996950"/>
            <wp:effectExtent l="0" t="0" r="0" b="12700"/>
            <wp:wrapTopAndBottom/>
            <wp:docPr id="17" name="大车单边桥.jpg"/>
            <wp:cNvGraphicFramePr/>
            <a:graphic xmlns:a="http://schemas.openxmlformats.org/drawingml/2006/main">
              <a:graphicData uri="http://schemas.openxmlformats.org/drawingml/2006/picture">
                <pic:pic xmlns:pic="http://schemas.openxmlformats.org/drawingml/2006/picture">
                  <pic:nvPicPr>
                    <pic:cNvPr id="17" name="大车单边桥.jpg"/>
                    <pic:cNvPicPr/>
                  </pic:nvPicPr>
                  <pic:blipFill>
                    <a:blip r:embed="rId26"/>
                    <a:srcRect l="694" t="11508" b="57341"/>
                    <a:stretch>
                      <a:fillRect/>
                    </a:stretch>
                  </pic:blipFill>
                  <pic:spPr>
                    <a:xfrm>
                      <a:off x="0" y="0"/>
                      <a:ext cx="5448300" cy="996950"/>
                    </a:xfrm>
                    <a:prstGeom prst="rect">
                      <a:avLst/>
                    </a:prstGeom>
                    <a:noFill/>
                    <a:ln>
                      <a:noFill/>
                    </a:ln>
                  </pic:spPr>
                </pic:pic>
              </a:graphicData>
            </a:graphic>
          </wp:anchor>
        </w:drawing>
      </w:r>
      <w:bookmarkEnd w:id="305"/>
      <w:bookmarkEnd w:id="306"/>
      <w:bookmarkEnd w:id="307"/>
      <w:bookmarkEnd w:id="308"/>
      <w:bookmarkEnd w:id="309"/>
      <w:bookmarkStart w:id="310" w:name="_Toc322207154"/>
      <w:bookmarkStart w:id="311" w:name="_Toc323462144"/>
      <w:bookmarkStart w:id="312" w:name="_Toc323463195"/>
      <w:bookmarkStart w:id="313" w:name="_Toc317578311"/>
      <w:bookmarkStart w:id="314" w:name="_Toc315425029"/>
      <w:r>
        <w:rPr>
          <w:rFonts w:hint="eastAsia" w:asciiTheme="minorEastAsia" w:hAnsiTheme="minorEastAsia" w:eastAsiaTheme="minorEastAsia" w:cstheme="minorEastAsia"/>
          <w:snapToGrid w:val="0"/>
          <w:color w:val="000000"/>
          <w:spacing w:val="-1"/>
          <w:kern w:val="0"/>
          <w:sz w:val="24"/>
          <w:szCs w:val="24"/>
          <w:lang w:val="en-US" w:eastAsia="en-US" w:bidi="ar-SA"/>
        </w:rPr>
        <w:t>项目图形及设施应按图12设置, 项目尺寸应符合表11规定。桥面直角应进行倒角处理。</w:t>
      </w:r>
    </w:p>
    <w:p>
      <w:pPr>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a）俯视图</w:t>
      </w:r>
    </w:p>
    <w:p>
      <w:pPr>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drawing>
          <wp:anchor distT="0" distB="0" distL="114300" distR="114300" simplePos="0" relativeHeight="251667456" behindDoc="0" locked="0" layoutInCell="1" allowOverlap="1">
            <wp:simplePos x="0" y="0"/>
            <wp:positionH relativeFrom="column">
              <wp:posOffset>731520</wp:posOffset>
            </wp:positionH>
            <wp:positionV relativeFrom="paragraph">
              <wp:posOffset>0</wp:posOffset>
            </wp:positionV>
            <wp:extent cx="4578350" cy="850900"/>
            <wp:effectExtent l="0" t="0" r="12700" b="0"/>
            <wp:wrapTopAndBottom/>
            <wp:docPr id="11" name="图片 12"/>
            <wp:cNvGraphicFramePr/>
            <a:graphic xmlns:a="http://schemas.openxmlformats.org/drawingml/2006/main">
              <a:graphicData uri="http://schemas.openxmlformats.org/drawingml/2006/picture">
                <pic:pic xmlns:pic="http://schemas.openxmlformats.org/drawingml/2006/picture">
                  <pic:nvPicPr>
                    <pic:cNvPr id="11" name="图片 12"/>
                    <pic:cNvPicPr/>
                  </pic:nvPicPr>
                  <pic:blipFill>
                    <a:blip r:embed="rId27"/>
                    <a:srcRect b="-7199"/>
                    <a:stretch>
                      <a:fillRect/>
                    </a:stretch>
                  </pic:blipFill>
                  <pic:spPr>
                    <a:xfrm>
                      <a:off x="0" y="0"/>
                      <a:ext cx="4578350" cy="850900"/>
                    </a:xfrm>
                    <a:prstGeom prst="rect">
                      <a:avLst/>
                    </a:prstGeom>
                    <a:noFill/>
                    <a:ln>
                      <a:noFill/>
                    </a:ln>
                  </pic:spPr>
                </pic:pic>
              </a:graphicData>
            </a:graphic>
          </wp:anchor>
        </w:drawing>
      </w:r>
      <w:r>
        <w:rPr>
          <w:rFonts w:hint="eastAsia" w:asciiTheme="minorEastAsia" w:hAnsiTheme="minorEastAsia" w:eastAsiaTheme="minorEastAsia" w:cstheme="minorEastAsia"/>
          <w:snapToGrid w:val="0"/>
          <w:color w:val="000000"/>
          <w:spacing w:val="-1"/>
          <w:kern w:val="0"/>
          <w:sz w:val="24"/>
          <w:szCs w:val="24"/>
          <w:lang w:val="en-US" w:eastAsia="zh-CN" w:bidi="ar-SA"/>
        </w:rPr>
        <w:t xml:space="preserve">        b）桥体纵向截面图                           c）桥体横向截面图</w:t>
      </w:r>
    </w:p>
    <w:bookmarkEnd w:id="310"/>
    <w:bookmarkEnd w:id="311"/>
    <w:bookmarkEnd w:id="312"/>
    <w:bookmarkEnd w:id="313"/>
    <w:bookmarkEnd w:id="314"/>
    <w:p>
      <w:pPr>
        <w:spacing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bookmarkStart w:id="315" w:name="_Toc315425039"/>
      <w:bookmarkStart w:id="316" w:name="_Toc317578321"/>
      <w:bookmarkStart w:id="317" w:name="_Toc322207164"/>
      <w:bookmarkStart w:id="318" w:name="_Toc323462153"/>
      <w:bookmarkStart w:id="319" w:name="_Toc323463204"/>
      <w:r>
        <w:rPr>
          <w:rFonts w:hint="eastAsia" w:asciiTheme="minorEastAsia" w:hAnsiTheme="minorEastAsia" w:eastAsiaTheme="minorEastAsia" w:cstheme="minorEastAsia"/>
          <w:snapToGrid w:val="0"/>
          <w:color w:val="000000"/>
          <w:spacing w:val="-1"/>
          <w:kern w:val="0"/>
          <w:sz w:val="24"/>
          <w:szCs w:val="24"/>
          <w:lang w:val="en-US" w:eastAsia="zh-CN" w:bidi="ar-SA"/>
        </w:rPr>
        <w:t>标引序号说明：</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d1 ——纵向间距；</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d2 ——错位间距；</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l1 ——桥面长；</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l2 ——斜坡长；</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 xml:space="preserve">b1 ——路宽； </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b2 ——桥面宽；</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h ——桥高。</w:t>
      </w:r>
    </w:p>
    <w:p>
      <w:pPr>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图12 通过单边桥</w:t>
      </w:r>
      <w:bookmarkEnd w:id="315"/>
      <w:bookmarkEnd w:id="316"/>
      <w:bookmarkEnd w:id="317"/>
      <w:r>
        <w:rPr>
          <w:rFonts w:hint="eastAsia" w:asciiTheme="minorEastAsia" w:hAnsiTheme="minorEastAsia" w:eastAsiaTheme="minorEastAsia" w:cstheme="minorEastAsia"/>
          <w:snapToGrid w:val="0"/>
          <w:color w:val="000000"/>
          <w:spacing w:val="-1"/>
          <w:kern w:val="0"/>
          <w:sz w:val="24"/>
          <w:szCs w:val="24"/>
          <w:lang w:val="en-US" w:eastAsia="zh-CN" w:bidi="ar-SA"/>
        </w:rPr>
        <w:t>项目图形</w:t>
      </w:r>
      <w:bookmarkEnd w:id="318"/>
      <w:bookmarkEnd w:id="319"/>
      <w:r>
        <w:rPr>
          <w:rFonts w:hint="eastAsia" w:asciiTheme="minorEastAsia" w:hAnsiTheme="minorEastAsia" w:eastAsiaTheme="minorEastAsia" w:cstheme="minorEastAsia"/>
          <w:snapToGrid w:val="0"/>
          <w:color w:val="000000"/>
          <w:spacing w:val="-1"/>
          <w:kern w:val="0"/>
          <w:sz w:val="24"/>
          <w:szCs w:val="24"/>
          <w:lang w:val="en-US" w:eastAsia="zh-CN" w:bidi="ar-SA"/>
        </w:rPr>
        <w:t>及设施</w:t>
      </w:r>
    </w:p>
    <w:p>
      <w:pPr>
        <w:pStyle w:val="38"/>
        <w:spacing w:beforeLines="0" w:afterLines="0" w:line="440" w:lineRule="exact"/>
        <w:ind w:firstLine="1666" w:firstLineChars="700"/>
        <w:jc w:val="both"/>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表11通过单边桥项目尺寸</w:t>
      </w:r>
    </w:p>
    <w:p>
      <w:pPr>
        <w:pStyle w:val="35"/>
        <w:spacing w:line="440" w:lineRule="exact"/>
        <w:ind w:firstLine="560"/>
        <w:jc w:val="right"/>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单位为米</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1196"/>
        <w:gridCol w:w="1197"/>
        <w:gridCol w:w="698"/>
        <w:gridCol w:w="698"/>
        <w:gridCol w:w="700"/>
        <w:gridCol w:w="698"/>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14" w:type="dxa"/>
            <w:tcBorders>
              <w:top w:val="single" w:color="auto" w:sz="8" w:space="0"/>
              <w:left w:val="single" w:color="auto" w:sz="8"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标引序号</w:t>
            </w:r>
          </w:p>
        </w:tc>
        <w:tc>
          <w:tcPr>
            <w:tcW w:w="1196"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d1</w:t>
            </w:r>
          </w:p>
        </w:tc>
        <w:tc>
          <w:tcPr>
            <w:tcW w:w="1197"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d2</w:t>
            </w:r>
          </w:p>
        </w:tc>
        <w:tc>
          <w:tcPr>
            <w:tcW w:w="698"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b1</w:t>
            </w:r>
          </w:p>
        </w:tc>
        <w:tc>
          <w:tcPr>
            <w:tcW w:w="698"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h</w:t>
            </w:r>
          </w:p>
        </w:tc>
        <w:tc>
          <w:tcPr>
            <w:tcW w:w="700"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b2</w:t>
            </w:r>
          </w:p>
        </w:tc>
        <w:tc>
          <w:tcPr>
            <w:tcW w:w="698"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l1</w:t>
            </w:r>
          </w:p>
        </w:tc>
        <w:tc>
          <w:tcPr>
            <w:tcW w:w="699"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l2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2414" w:type="dxa"/>
            <w:tcBorders>
              <w:top w:val="single" w:color="auto" w:sz="4" w:space="0"/>
              <w:left w:val="single" w:color="auto" w:sz="8"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大型载客汽车</w:t>
            </w:r>
          </w:p>
        </w:tc>
        <w:tc>
          <w:tcPr>
            <w:tcW w:w="119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2.5倍轴距</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前轮距加1.0</w:t>
            </w:r>
          </w:p>
        </w:tc>
        <w:tc>
          <w:tcPr>
            <w:tcW w:w="698" w:type="dxa"/>
            <w:vMerge w:val="restart"/>
            <w:tcBorders>
              <w:top w:val="single" w:color="auto" w:sz="4" w:space="0"/>
              <w:left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≥4.5</w:t>
            </w:r>
          </w:p>
        </w:tc>
        <w:tc>
          <w:tcPr>
            <w:tcW w:w="698" w:type="dxa"/>
            <w:vMerge w:val="restart"/>
            <w:tcBorders>
              <w:top w:val="single" w:color="auto" w:sz="4" w:space="0"/>
              <w:left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0.07～0.12</w:t>
            </w:r>
          </w:p>
        </w:tc>
        <w:tc>
          <w:tcPr>
            <w:tcW w:w="700" w:type="dxa"/>
            <w:vMerge w:val="restart"/>
            <w:tcBorders>
              <w:top w:val="single" w:color="auto" w:sz="4" w:space="0"/>
              <w:left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0.2</w:t>
            </w:r>
          </w:p>
        </w:tc>
        <w:tc>
          <w:tcPr>
            <w:tcW w:w="698" w:type="dxa"/>
            <w:vMerge w:val="restart"/>
            <w:tcBorders>
              <w:left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1.5倍轴距</w:t>
            </w:r>
          </w:p>
        </w:tc>
        <w:tc>
          <w:tcPr>
            <w:tcW w:w="699" w:type="dxa"/>
            <w:vMerge w:val="restart"/>
            <w:tcBorders>
              <w:left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2414" w:type="dxa"/>
            <w:tcBorders>
              <w:top w:val="single" w:color="auto" w:sz="4" w:space="0"/>
              <w:left w:val="single" w:color="auto" w:sz="8"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半挂汽车列车</w:t>
            </w:r>
          </w:p>
        </w:tc>
        <w:tc>
          <w:tcPr>
            <w:tcW w:w="119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2倍轴距</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前轮距加1.0</w:t>
            </w:r>
          </w:p>
        </w:tc>
        <w:tc>
          <w:tcPr>
            <w:tcW w:w="698" w:type="dxa"/>
            <w:vMerge w:val="continue"/>
            <w:tcBorders>
              <w:left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tc>
        <w:tc>
          <w:tcPr>
            <w:tcW w:w="698" w:type="dxa"/>
            <w:vMerge w:val="continue"/>
            <w:tcBorders>
              <w:top w:val="single" w:color="auto" w:sz="4" w:space="0"/>
              <w:left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tc>
        <w:tc>
          <w:tcPr>
            <w:tcW w:w="700" w:type="dxa"/>
            <w:vMerge w:val="continue"/>
            <w:tcBorders>
              <w:top w:val="single" w:color="auto" w:sz="4" w:space="0"/>
              <w:left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tc>
        <w:tc>
          <w:tcPr>
            <w:tcW w:w="698" w:type="dxa"/>
            <w:vMerge w:val="continue"/>
            <w:tcBorders>
              <w:left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tc>
        <w:tc>
          <w:tcPr>
            <w:tcW w:w="699" w:type="dxa"/>
            <w:vMerge w:val="continue"/>
            <w:tcBorders>
              <w:left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2414" w:type="dxa"/>
            <w:tcBorders>
              <w:top w:val="single" w:color="auto" w:sz="4" w:space="0"/>
              <w:left w:val="single" w:color="auto" w:sz="8"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中型载客汽车</w:t>
            </w:r>
          </w:p>
        </w:tc>
        <w:tc>
          <w:tcPr>
            <w:tcW w:w="119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2.5倍轴距</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前轮距加1.0</w:t>
            </w:r>
          </w:p>
        </w:tc>
        <w:tc>
          <w:tcPr>
            <w:tcW w:w="698" w:type="dxa"/>
            <w:vMerge w:val="continue"/>
            <w:tcBorders>
              <w:left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tc>
        <w:tc>
          <w:tcPr>
            <w:tcW w:w="698"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p>
        </w:tc>
        <w:tc>
          <w:tcPr>
            <w:tcW w:w="700"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tc>
        <w:tc>
          <w:tcPr>
            <w:tcW w:w="698"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tc>
        <w:tc>
          <w:tcPr>
            <w:tcW w:w="699" w:type="dxa"/>
            <w:vMerge w:val="continue"/>
            <w:tcBorders>
              <w:left w:val="single" w:color="auto" w:sz="4"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2414" w:type="dxa"/>
            <w:tcBorders>
              <w:top w:val="single" w:color="auto" w:sz="4" w:space="0"/>
              <w:left w:val="single" w:color="auto" w:sz="8"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重型载货汽车</w:t>
            </w:r>
          </w:p>
        </w:tc>
        <w:tc>
          <w:tcPr>
            <w:tcW w:w="1196" w:type="dxa"/>
            <w:tcBorders>
              <w:top w:val="single" w:color="auto" w:sz="4" w:space="0"/>
              <w:left w:val="single" w:color="auto" w:sz="8"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2.5倍轴距</w:t>
            </w:r>
          </w:p>
        </w:tc>
        <w:tc>
          <w:tcPr>
            <w:tcW w:w="1197" w:type="dxa"/>
            <w:tcBorders>
              <w:top w:val="single" w:color="auto" w:sz="4" w:space="0"/>
              <w:left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前轮距加1.0</w:t>
            </w:r>
          </w:p>
        </w:tc>
        <w:tc>
          <w:tcPr>
            <w:tcW w:w="698" w:type="dxa"/>
            <w:vMerge w:val="continue"/>
            <w:tcBorders>
              <w:left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tc>
        <w:tc>
          <w:tcPr>
            <w:tcW w:w="698"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p>
        </w:tc>
        <w:tc>
          <w:tcPr>
            <w:tcW w:w="700"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tc>
        <w:tc>
          <w:tcPr>
            <w:tcW w:w="698"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tc>
        <w:tc>
          <w:tcPr>
            <w:tcW w:w="699" w:type="dxa"/>
            <w:vMerge w:val="continue"/>
            <w:tcBorders>
              <w:left w:val="single" w:color="auto" w:sz="4"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414" w:type="dxa"/>
            <w:tcBorders>
              <w:top w:val="single" w:color="auto" w:sz="4" w:space="0"/>
              <w:left w:val="single" w:color="auto" w:sz="8" w:space="0"/>
              <w:bottom w:val="single" w:color="auto" w:sz="8"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允许偏差</w:t>
            </w:r>
          </w:p>
        </w:tc>
        <w:tc>
          <w:tcPr>
            <w:tcW w:w="1196" w:type="dxa"/>
            <w:tcBorders>
              <w:top w:val="single" w:color="auto" w:sz="4" w:space="0"/>
              <w:left w:val="single" w:color="auto" w:sz="8" w:space="0"/>
              <w:bottom w:val="single" w:color="auto" w:sz="8" w:space="0"/>
              <w:right w:val="single" w:color="auto" w:sz="4"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±0.10</w:t>
            </w:r>
          </w:p>
        </w:tc>
        <w:tc>
          <w:tcPr>
            <w:tcW w:w="1197" w:type="dxa"/>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±0.05</w:t>
            </w:r>
          </w:p>
        </w:tc>
        <w:tc>
          <w:tcPr>
            <w:tcW w:w="698" w:type="dxa"/>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p>
        </w:tc>
        <w:tc>
          <w:tcPr>
            <w:tcW w:w="698" w:type="dxa"/>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p>
        </w:tc>
        <w:tc>
          <w:tcPr>
            <w:tcW w:w="700" w:type="dxa"/>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±0.01</w:t>
            </w:r>
          </w:p>
        </w:tc>
        <w:tc>
          <w:tcPr>
            <w:tcW w:w="698" w:type="dxa"/>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±0.10</w:t>
            </w:r>
          </w:p>
        </w:tc>
        <w:tc>
          <w:tcPr>
            <w:tcW w:w="699" w:type="dxa"/>
            <w:tcBorders>
              <w:top w:val="single" w:color="auto" w:sz="4" w:space="0"/>
              <w:left w:val="single" w:color="auto" w:sz="4" w:space="0"/>
              <w:bottom w:val="single" w:color="auto" w:sz="8"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p>
        </w:tc>
      </w:tr>
    </w:tbl>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（8）通过限宽门</w:t>
      </w:r>
      <w:bookmarkEnd w:id="303"/>
      <w:bookmarkEnd w:id="304"/>
      <w:bookmarkStart w:id="320" w:name="_Toc323462169"/>
      <w:bookmarkStart w:id="321" w:name="_Toc315425155"/>
      <w:bookmarkStart w:id="322" w:name="_Toc323463220"/>
      <w:bookmarkStart w:id="323" w:name="_Toc322207279"/>
      <w:bookmarkStart w:id="324" w:name="_Toc317578438"/>
      <w:r>
        <w:rPr>
          <w:rFonts w:hint="eastAsia" w:asciiTheme="minorEastAsia" w:hAnsiTheme="minorEastAsia" w:eastAsiaTheme="minorEastAsia" w:cstheme="minorEastAsia"/>
          <w:snapToGrid w:val="0"/>
          <w:color w:val="000000"/>
          <w:spacing w:val="-1"/>
          <w:kern w:val="0"/>
          <w:sz w:val="24"/>
          <w:szCs w:val="24"/>
          <w:lang w:val="en-US" w:eastAsia="en-US" w:bidi="ar-SA"/>
        </w:rPr>
        <w:drawing>
          <wp:anchor distT="0" distB="0" distL="114300" distR="114300" simplePos="0" relativeHeight="251668480" behindDoc="0" locked="0" layoutInCell="1" allowOverlap="1">
            <wp:simplePos x="0" y="0"/>
            <wp:positionH relativeFrom="column">
              <wp:posOffset>306070</wp:posOffset>
            </wp:positionH>
            <wp:positionV relativeFrom="paragraph">
              <wp:posOffset>250190</wp:posOffset>
            </wp:positionV>
            <wp:extent cx="5378450" cy="1308100"/>
            <wp:effectExtent l="0" t="0" r="12700" b="6350"/>
            <wp:wrapTopAndBottom/>
            <wp:docPr id="12" name="限宽门.jpg"/>
            <wp:cNvGraphicFramePr/>
            <a:graphic xmlns:a="http://schemas.openxmlformats.org/drawingml/2006/main">
              <a:graphicData uri="http://schemas.openxmlformats.org/drawingml/2006/picture">
                <pic:pic xmlns:pic="http://schemas.openxmlformats.org/drawingml/2006/picture">
                  <pic:nvPicPr>
                    <pic:cNvPr id="12" name="限宽门.jpg"/>
                    <pic:cNvPicPr/>
                  </pic:nvPicPr>
                  <pic:blipFill>
                    <a:blip r:embed="rId28"/>
                    <a:srcRect l="-2" t="30157" r="1968" b="28969"/>
                    <a:stretch>
                      <a:fillRect/>
                    </a:stretch>
                  </pic:blipFill>
                  <pic:spPr>
                    <a:xfrm>
                      <a:off x="0" y="0"/>
                      <a:ext cx="5378450" cy="1308100"/>
                    </a:xfrm>
                    <a:prstGeom prst="rect">
                      <a:avLst/>
                    </a:prstGeom>
                    <a:noFill/>
                    <a:ln>
                      <a:noFill/>
                    </a:ln>
                  </pic:spPr>
                </pic:pic>
              </a:graphicData>
            </a:graphic>
          </wp:anchor>
        </w:drawing>
      </w:r>
      <w:r>
        <w:rPr>
          <w:rFonts w:hint="eastAsia" w:asciiTheme="minorEastAsia" w:hAnsiTheme="minorEastAsia" w:eastAsiaTheme="minorEastAsia" w:cstheme="minorEastAsia"/>
          <w:snapToGrid w:val="0"/>
          <w:color w:val="000000"/>
          <w:spacing w:val="-1"/>
          <w:kern w:val="0"/>
          <w:sz w:val="24"/>
          <w:szCs w:val="24"/>
          <w:lang w:val="en-US" w:eastAsia="en-US" w:bidi="ar-SA"/>
        </w:rPr>
        <w:t>通过限宽门项目图形及设施</w:t>
      </w:r>
      <w:bookmarkEnd w:id="320"/>
      <w:bookmarkEnd w:id="321"/>
      <w:bookmarkEnd w:id="322"/>
      <w:bookmarkEnd w:id="323"/>
      <w:bookmarkEnd w:id="324"/>
      <w:r>
        <w:rPr>
          <w:rFonts w:hint="eastAsia" w:asciiTheme="minorEastAsia" w:hAnsiTheme="minorEastAsia" w:eastAsiaTheme="minorEastAsia" w:cstheme="minorEastAsia"/>
          <w:snapToGrid w:val="0"/>
          <w:color w:val="000000"/>
          <w:spacing w:val="-1"/>
          <w:kern w:val="0"/>
          <w:sz w:val="24"/>
          <w:szCs w:val="24"/>
          <w:lang w:val="en-US" w:eastAsia="en-US" w:bidi="ar-SA"/>
        </w:rPr>
        <w:t>应按图14设置,项目尺寸应符合表13规定。</w:t>
      </w:r>
    </w:p>
    <w:p>
      <w:pPr>
        <w:spacing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标引序号说明：</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b1 ——路宽；</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b2 ——门宽；</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d ——门间距；</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○——桩杆。</w:t>
      </w:r>
    </w:p>
    <w:p>
      <w:pPr>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bookmarkStart w:id="325" w:name="_Toc315425164"/>
      <w:bookmarkStart w:id="326" w:name="_Toc317578447"/>
      <w:bookmarkStart w:id="327" w:name="_Toc322207288"/>
      <w:bookmarkStart w:id="328" w:name="_Toc323462177"/>
      <w:bookmarkStart w:id="329" w:name="_Toc323463228"/>
      <w:r>
        <w:rPr>
          <w:rFonts w:hint="eastAsia" w:asciiTheme="minorEastAsia" w:hAnsiTheme="minorEastAsia" w:eastAsiaTheme="minorEastAsia" w:cstheme="minorEastAsia"/>
          <w:snapToGrid w:val="0"/>
          <w:color w:val="000000"/>
          <w:spacing w:val="-1"/>
          <w:kern w:val="0"/>
          <w:sz w:val="24"/>
          <w:szCs w:val="24"/>
          <w:lang w:val="en-US" w:eastAsia="zh-CN" w:bidi="ar-SA"/>
        </w:rPr>
        <w:t>图14 通过限宽门项目</w:t>
      </w:r>
      <w:bookmarkEnd w:id="325"/>
      <w:bookmarkEnd w:id="326"/>
      <w:bookmarkEnd w:id="327"/>
      <w:r>
        <w:rPr>
          <w:rFonts w:hint="eastAsia" w:asciiTheme="minorEastAsia" w:hAnsiTheme="minorEastAsia" w:eastAsiaTheme="minorEastAsia" w:cstheme="minorEastAsia"/>
          <w:snapToGrid w:val="0"/>
          <w:color w:val="000000"/>
          <w:spacing w:val="-1"/>
          <w:kern w:val="0"/>
          <w:sz w:val="24"/>
          <w:szCs w:val="24"/>
          <w:lang w:val="en-US" w:eastAsia="zh-CN" w:bidi="ar-SA"/>
        </w:rPr>
        <w:t>图形</w:t>
      </w:r>
      <w:bookmarkEnd w:id="328"/>
      <w:bookmarkEnd w:id="329"/>
      <w:r>
        <w:rPr>
          <w:rFonts w:hint="eastAsia" w:asciiTheme="minorEastAsia" w:hAnsiTheme="minorEastAsia" w:eastAsiaTheme="minorEastAsia" w:cstheme="minorEastAsia"/>
          <w:snapToGrid w:val="0"/>
          <w:color w:val="000000"/>
          <w:spacing w:val="-1"/>
          <w:kern w:val="0"/>
          <w:sz w:val="24"/>
          <w:szCs w:val="24"/>
          <w:lang w:val="en-US" w:eastAsia="zh-CN" w:bidi="ar-SA"/>
        </w:rPr>
        <w:t>及设施</w:t>
      </w:r>
    </w:p>
    <w:p>
      <w:pPr>
        <w:pStyle w:val="38"/>
        <w:spacing w:beforeLines="0" w:afterLines="0" w:line="440" w:lineRule="exact"/>
        <w:ind w:firstLine="1666" w:firstLineChars="700"/>
        <w:jc w:val="both"/>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表13  通过限宽门项目尺寸</w:t>
      </w:r>
    </w:p>
    <w:p>
      <w:pPr>
        <w:pStyle w:val="35"/>
        <w:spacing w:line="440" w:lineRule="exact"/>
        <w:ind w:firstLine="560"/>
        <w:jc w:val="right"/>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单位为米</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0"/>
        <w:gridCol w:w="1793"/>
        <w:gridCol w:w="1793"/>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2780" w:type="dxa"/>
            <w:tcBorders>
              <w:top w:val="single" w:color="auto" w:sz="8" w:space="0"/>
              <w:left w:val="single" w:color="auto" w:sz="8"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标引序号</w:t>
            </w:r>
          </w:p>
        </w:tc>
        <w:tc>
          <w:tcPr>
            <w:tcW w:w="1793"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l</w:t>
            </w:r>
          </w:p>
        </w:tc>
        <w:tc>
          <w:tcPr>
            <w:tcW w:w="1793"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b1</w:t>
            </w:r>
          </w:p>
        </w:tc>
        <w:tc>
          <w:tcPr>
            <w:tcW w:w="1794"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2780" w:type="dxa"/>
            <w:tcBorders>
              <w:top w:val="single" w:color="auto" w:sz="4" w:space="0"/>
              <w:left w:val="single" w:color="auto" w:sz="8"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大型载客汽车、重型载货汽车</w:t>
            </w:r>
          </w:p>
        </w:tc>
        <w:tc>
          <w:tcPr>
            <w:tcW w:w="1793"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27.0</w:t>
            </w:r>
          </w:p>
        </w:tc>
        <w:tc>
          <w:tcPr>
            <w:tcW w:w="17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3.2</w:t>
            </w:r>
          </w:p>
        </w:tc>
        <w:tc>
          <w:tcPr>
            <w:tcW w:w="1794" w:type="dxa"/>
            <w:vMerge w:val="restart"/>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2780" w:type="dxa"/>
            <w:tcBorders>
              <w:top w:val="single" w:color="auto" w:sz="4" w:space="0"/>
              <w:left w:val="single" w:color="auto" w:sz="8"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半挂汽车列车、中型载客汽车</w:t>
            </w:r>
          </w:p>
        </w:tc>
        <w:tc>
          <w:tcPr>
            <w:tcW w:w="1793"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3倍车长</w:t>
            </w:r>
          </w:p>
        </w:tc>
        <w:tc>
          <w:tcPr>
            <w:tcW w:w="17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车宽加0.7</w:t>
            </w:r>
          </w:p>
        </w:tc>
        <w:tc>
          <w:tcPr>
            <w:tcW w:w="1794" w:type="dxa"/>
            <w:vMerge w:val="continue"/>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2780" w:type="dxa"/>
            <w:tcBorders>
              <w:top w:val="single" w:color="auto" w:sz="4" w:space="0"/>
              <w:left w:val="single" w:color="auto" w:sz="8" w:space="0"/>
              <w:bottom w:val="single" w:color="auto" w:sz="8"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允许偏差</w:t>
            </w:r>
          </w:p>
        </w:tc>
        <w:tc>
          <w:tcPr>
            <w:tcW w:w="1793" w:type="dxa"/>
            <w:tcBorders>
              <w:top w:val="single" w:color="auto" w:sz="4" w:space="0"/>
              <w:left w:val="single" w:color="auto" w:sz="8" w:space="0"/>
              <w:bottom w:val="single" w:color="auto" w:sz="8"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1.0</w:t>
            </w:r>
          </w:p>
        </w:tc>
        <w:tc>
          <w:tcPr>
            <w:tcW w:w="1793" w:type="dxa"/>
            <w:tcBorders>
              <w:top w:val="single" w:color="auto" w:sz="4" w:space="0"/>
              <w:left w:val="single" w:color="auto" w:sz="4" w:space="0"/>
              <w:bottom w:val="single" w:color="auto" w:sz="8" w:space="0"/>
              <w:right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±0.05</w:t>
            </w:r>
          </w:p>
        </w:tc>
        <w:tc>
          <w:tcPr>
            <w:tcW w:w="1794" w:type="dxa"/>
            <w:tcBorders>
              <w:top w:val="single" w:color="auto" w:sz="4" w:space="0"/>
              <w:left w:val="single" w:color="auto" w:sz="4" w:space="0"/>
              <w:bottom w:val="single" w:color="auto" w:sz="8" w:space="0"/>
              <w:right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±0.05</w:t>
            </w:r>
          </w:p>
        </w:tc>
      </w:tr>
    </w:tbl>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bookmarkStart w:id="330" w:name="_Toc311039353"/>
      <w:bookmarkStart w:id="331" w:name="_Toc323463244"/>
      <w:r>
        <w:rPr>
          <w:rFonts w:hint="eastAsia" w:asciiTheme="minorEastAsia" w:hAnsiTheme="minorEastAsia" w:eastAsiaTheme="minorEastAsia" w:cstheme="minorEastAsia"/>
          <w:snapToGrid w:val="0"/>
          <w:color w:val="000000"/>
          <w:spacing w:val="-1"/>
          <w:kern w:val="0"/>
          <w:sz w:val="24"/>
          <w:szCs w:val="24"/>
          <w:lang w:val="en-US" w:eastAsia="en-US" w:bidi="ar-SA"/>
        </w:rPr>
        <w:t>（9）窄路掉头</w:t>
      </w:r>
    </w:p>
    <w:p>
      <w:pPr>
        <w:pStyle w:val="35"/>
        <w:spacing w:line="440" w:lineRule="exact"/>
        <w:ind w:firstLine="56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窄路掉头图形应按图15设置，项目尺寸应符合表14规定。其中，车头驶抵方向侧向净空取值大于或等于2 m，车尾倒车方向侧向净空取值大于或等于4 m。</w:t>
      </w:r>
    </w:p>
    <w:bookmarkEnd w:id="330"/>
    <w:bookmarkEnd w:id="331"/>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bookmarkStart w:id="332" w:name="_Toc322207325"/>
      <w:bookmarkStart w:id="333" w:name="_Toc315425203"/>
      <w:bookmarkStart w:id="334" w:name="_Toc317578486"/>
      <w:bookmarkStart w:id="335" w:name="_Toc323462194"/>
      <w:bookmarkStart w:id="336" w:name="_Toc323463245"/>
      <w:r>
        <w:rPr>
          <w:rFonts w:hint="eastAsia" w:asciiTheme="minorEastAsia" w:hAnsiTheme="minorEastAsia" w:eastAsiaTheme="minorEastAsia" w:cstheme="minorEastAsia"/>
          <w:snapToGrid w:val="0"/>
          <w:color w:val="000000"/>
          <w:spacing w:val="-1"/>
          <w:kern w:val="0"/>
          <w:sz w:val="24"/>
          <w:szCs w:val="24"/>
          <w:lang w:val="en-US" w:eastAsia="en-US" w:bidi="ar-SA"/>
        </w:rPr>
        <w:drawing>
          <wp:anchor distT="0" distB="0" distL="114300" distR="114300" simplePos="0" relativeHeight="251669504" behindDoc="0" locked="0" layoutInCell="1" allowOverlap="1">
            <wp:simplePos x="0" y="0"/>
            <wp:positionH relativeFrom="column">
              <wp:posOffset>807720</wp:posOffset>
            </wp:positionH>
            <wp:positionV relativeFrom="paragraph">
              <wp:posOffset>0</wp:posOffset>
            </wp:positionV>
            <wp:extent cx="4425950" cy="2101850"/>
            <wp:effectExtent l="0" t="0" r="12700" b="12700"/>
            <wp:wrapTopAndBottom/>
            <wp:docPr id="7" name="窄路掉头.jpg"/>
            <wp:cNvGraphicFramePr/>
            <a:graphic xmlns:a="http://schemas.openxmlformats.org/drawingml/2006/main">
              <a:graphicData uri="http://schemas.openxmlformats.org/drawingml/2006/picture">
                <pic:pic xmlns:pic="http://schemas.openxmlformats.org/drawingml/2006/picture">
                  <pic:nvPicPr>
                    <pic:cNvPr id="7" name="窄路掉头.jpg"/>
                    <pic:cNvPicPr/>
                  </pic:nvPicPr>
                  <pic:blipFill>
                    <a:blip r:embed="rId29"/>
                    <a:srcRect l="2084" t="8333" r="2779" b="8929"/>
                    <a:stretch>
                      <a:fillRect/>
                    </a:stretch>
                  </pic:blipFill>
                  <pic:spPr>
                    <a:xfrm>
                      <a:off x="0" y="0"/>
                      <a:ext cx="4425950" cy="2101850"/>
                    </a:xfrm>
                    <a:prstGeom prst="rect">
                      <a:avLst/>
                    </a:prstGeom>
                    <a:noFill/>
                    <a:ln>
                      <a:noFill/>
                    </a:ln>
                  </pic:spPr>
                </pic:pic>
              </a:graphicData>
            </a:graphic>
          </wp:anchor>
        </w:drawing>
      </w:r>
      <w:bookmarkEnd w:id="332"/>
      <w:bookmarkEnd w:id="333"/>
      <w:bookmarkEnd w:id="334"/>
      <w:bookmarkEnd w:id="335"/>
      <w:bookmarkEnd w:id="336"/>
      <w:r>
        <w:rPr>
          <w:rFonts w:hint="eastAsia" w:asciiTheme="minorEastAsia" w:hAnsiTheme="minorEastAsia" w:eastAsiaTheme="minorEastAsia" w:cstheme="minorEastAsia"/>
          <w:snapToGrid w:val="0"/>
          <w:color w:val="000000"/>
          <w:spacing w:val="-1"/>
          <w:kern w:val="0"/>
          <w:sz w:val="24"/>
          <w:szCs w:val="24"/>
          <w:lang w:val="en-US" w:eastAsia="zh-CN" w:bidi="ar-SA"/>
        </w:rPr>
        <w:t>标引序号说明：</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l ——路长；</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 ——路宽。</w:t>
      </w:r>
    </w:p>
    <w:p>
      <w:pPr>
        <w:spacing w:line="440" w:lineRule="exact"/>
        <w:ind w:firstLine="1190" w:firstLineChars="5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图15  窄路掉头项目图形</w:t>
      </w:r>
    </w:p>
    <w:p>
      <w:pPr>
        <w:pStyle w:val="38"/>
        <w:spacing w:beforeLines="0" w:afterLines="0" w:line="440" w:lineRule="exact"/>
        <w:ind w:firstLine="1428" w:firstLineChars="600"/>
        <w:jc w:val="both"/>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表14  窄路掉头项目尺寸</w:t>
      </w:r>
    </w:p>
    <w:p>
      <w:pPr>
        <w:pStyle w:val="35"/>
        <w:spacing w:line="440" w:lineRule="exact"/>
        <w:ind w:firstLine="560"/>
        <w:jc w:val="right"/>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单位为米</w:t>
      </w:r>
    </w:p>
    <w:tbl>
      <w:tblPr>
        <w:tblStyle w:val="17"/>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1205"/>
        <w:gridCol w:w="1205"/>
        <w:gridCol w:w="1160"/>
        <w:gridCol w:w="1162"/>
        <w:gridCol w:w="1164"/>
        <w:gridCol w:w="11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1158" w:type="dxa"/>
            <w:vMerge w:val="restart"/>
            <w:tcBorders>
              <w:top w:val="single" w:color="auto" w:sz="8" w:space="0"/>
              <w:bottom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标引序号</w:t>
            </w:r>
          </w:p>
        </w:tc>
        <w:tc>
          <w:tcPr>
            <w:tcW w:w="2410" w:type="dxa"/>
            <w:gridSpan w:val="2"/>
            <w:tcBorders>
              <w:bottom w:val="single" w:color="auto" w:sz="4"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大型载客汽车</w:t>
            </w:r>
          </w:p>
        </w:tc>
        <w:tc>
          <w:tcPr>
            <w:tcW w:w="1160" w:type="dxa"/>
            <w:vMerge w:val="restart"/>
            <w:tcBorders>
              <w:top w:val="single" w:color="auto" w:sz="8" w:space="0"/>
              <w:bottom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半挂汽车列车</w:t>
            </w:r>
          </w:p>
        </w:tc>
        <w:tc>
          <w:tcPr>
            <w:tcW w:w="1162" w:type="dxa"/>
            <w:vMerge w:val="restart"/>
            <w:tcBorders>
              <w:top w:val="single" w:color="auto" w:sz="8" w:space="0"/>
              <w:bottom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中型载客客车</w:t>
            </w:r>
          </w:p>
        </w:tc>
        <w:tc>
          <w:tcPr>
            <w:tcW w:w="1164" w:type="dxa"/>
            <w:vMerge w:val="restart"/>
            <w:tcBorders>
              <w:top w:val="single" w:color="auto" w:sz="8" w:space="0"/>
              <w:bottom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重型载货汽车</w:t>
            </w:r>
          </w:p>
        </w:tc>
        <w:tc>
          <w:tcPr>
            <w:tcW w:w="1166" w:type="dxa"/>
            <w:vMerge w:val="restart"/>
            <w:tcBorders>
              <w:top w:val="single" w:color="auto" w:sz="8" w:space="0"/>
              <w:bottom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允许偏差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1158" w:type="dxa"/>
            <w:vMerge w:val="continue"/>
            <w:tcBorders>
              <w:top w:val="single" w:color="auto" w:sz="4" w:space="0"/>
              <w:bottom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tc>
        <w:tc>
          <w:tcPr>
            <w:tcW w:w="1205" w:type="dxa"/>
            <w:tcBorders>
              <w:top w:val="single" w:color="auto" w:sz="4" w:space="0"/>
              <w:bottom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轴距＜4.5</w:t>
            </w:r>
          </w:p>
        </w:tc>
        <w:tc>
          <w:tcPr>
            <w:tcW w:w="1205" w:type="dxa"/>
            <w:tcBorders>
              <w:top w:val="single" w:color="auto" w:sz="4" w:space="0"/>
              <w:bottom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轴距≥4.5</w:t>
            </w:r>
          </w:p>
        </w:tc>
        <w:tc>
          <w:tcPr>
            <w:tcW w:w="1160" w:type="dxa"/>
            <w:vMerge w:val="continue"/>
            <w:tcBorders>
              <w:top w:val="single" w:color="auto" w:sz="4" w:space="0"/>
              <w:bottom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tc>
        <w:tc>
          <w:tcPr>
            <w:tcW w:w="1162" w:type="dxa"/>
            <w:vMerge w:val="continue"/>
            <w:tcBorders>
              <w:top w:val="single" w:color="auto" w:sz="4" w:space="0"/>
              <w:bottom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tc>
        <w:tc>
          <w:tcPr>
            <w:tcW w:w="1164" w:type="dxa"/>
            <w:vMerge w:val="continue"/>
            <w:tcBorders>
              <w:top w:val="single" w:color="auto" w:sz="4" w:space="0"/>
              <w:bottom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tc>
        <w:tc>
          <w:tcPr>
            <w:tcW w:w="1166" w:type="dxa"/>
            <w:vMerge w:val="continue"/>
            <w:tcBorders>
              <w:top w:val="single" w:color="auto" w:sz="4" w:space="0"/>
              <w:bottom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1158" w:type="dxa"/>
            <w:tcBorders>
              <w:top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l</w:t>
            </w:r>
          </w:p>
        </w:tc>
        <w:tc>
          <w:tcPr>
            <w:tcW w:w="1205" w:type="dxa"/>
            <w:tcBorders>
              <w:top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≥20</w:t>
            </w:r>
          </w:p>
        </w:tc>
        <w:tc>
          <w:tcPr>
            <w:tcW w:w="1205" w:type="dxa"/>
            <w:tcBorders>
              <w:top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≥20</w:t>
            </w:r>
          </w:p>
        </w:tc>
        <w:tc>
          <w:tcPr>
            <w:tcW w:w="1160" w:type="dxa"/>
            <w:tcBorders>
              <w:top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≥30</w:t>
            </w:r>
          </w:p>
        </w:tc>
        <w:tc>
          <w:tcPr>
            <w:tcW w:w="1162" w:type="dxa"/>
            <w:tcBorders>
              <w:top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≥20</w:t>
            </w:r>
          </w:p>
        </w:tc>
        <w:tc>
          <w:tcPr>
            <w:tcW w:w="1164" w:type="dxa"/>
            <w:tcBorders>
              <w:top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≥20</w:t>
            </w:r>
          </w:p>
        </w:tc>
        <w:tc>
          <w:tcPr>
            <w:tcW w:w="1166" w:type="dxa"/>
            <w:tcBorders>
              <w:top w:val="single" w:color="auto" w:sz="8" w:space="0"/>
            </w:tcBorders>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1158"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b</w:t>
            </w:r>
          </w:p>
        </w:tc>
        <w:tc>
          <w:tcPr>
            <w:tcW w:w="1205"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9.0</w:t>
            </w:r>
          </w:p>
        </w:tc>
        <w:tc>
          <w:tcPr>
            <w:tcW w:w="1205" w:type="dxa"/>
            <w:noWrap w:val="0"/>
            <w:vAlign w:val="center"/>
          </w:tcPr>
          <w:p>
            <w:pPr>
              <w:adjustRightInd w:val="0"/>
              <w:snapToGrid w:val="0"/>
              <w:spacing w:line="440" w:lineRule="exact"/>
              <w:jc w:val="center"/>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10.0</w:t>
            </w:r>
          </w:p>
        </w:tc>
        <w:tc>
          <w:tcPr>
            <w:tcW w:w="1160"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14.0</w:t>
            </w:r>
          </w:p>
        </w:tc>
        <w:tc>
          <w:tcPr>
            <w:tcW w:w="1162"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9.0</w:t>
            </w:r>
          </w:p>
        </w:tc>
        <w:tc>
          <w:tcPr>
            <w:tcW w:w="1164"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10.0</w:t>
            </w:r>
          </w:p>
        </w:tc>
        <w:tc>
          <w:tcPr>
            <w:tcW w:w="1166" w:type="dxa"/>
            <w:noWrap w:val="0"/>
            <w:vAlign w:val="center"/>
          </w:tcPr>
          <w:p>
            <w:pPr>
              <w:adjustRightInd w:val="0"/>
              <w:snapToGrid w:val="0"/>
              <w:spacing w:line="440" w:lineRule="exact"/>
              <w:jc w:val="center"/>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±0.10</w:t>
            </w:r>
          </w:p>
        </w:tc>
      </w:tr>
    </w:tbl>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bookmarkStart w:id="337" w:name="_Toc323463252"/>
      <w:bookmarkStart w:id="338" w:name="_Toc311039354"/>
      <w:bookmarkStart w:id="339" w:name="_Toc323463248"/>
      <w:r>
        <w:rPr>
          <w:rFonts w:hint="eastAsia" w:asciiTheme="minorEastAsia" w:hAnsiTheme="minorEastAsia" w:eastAsiaTheme="minorEastAsia" w:cstheme="minorEastAsia"/>
          <w:snapToGrid w:val="0"/>
          <w:color w:val="000000"/>
          <w:spacing w:val="-1"/>
          <w:kern w:val="0"/>
          <w:sz w:val="24"/>
          <w:szCs w:val="24"/>
          <w:lang w:val="en-US" w:eastAsia="en-US" w:bidi="ar-SA"/>
        </w:rPr>
        <w:t>（10）</w:t>
      </w:r>
      <w:bookmarkEnd w:id="337"/>
      <w:bookmarkStart w:id="340" w:name="_Toc322207339"/>
      <w:bookmarkStart w:id="341" w:name="_Toc323463258"/>
      <w:bookmarkStart w:id="342" w:name="_Toc323462207"/>
      <w:bookmarkStart w:id="343" w:name="_Toc315425118"/>
      <w:bookmarkStart w:id="344" w:name="_Toc317578500"/>
      <w:r>
        <w:rPr>
          <w:rFonts w:hint="eastAsia" w:asciiTheme="minorEastAsia" w:hAnsiTheme="minorEastAsia" w:eastAsiaTheme="minorEastAsia" w:cstheme="minorEastAsia"/>
          <w:snapToGrid w:val="0"/>
          <w:color w:val="000000"/>
          <w:spacing w:val="-1"/>
          <w:kern w:val="0"/>
          <w:sz w:val="24"/>
          <w:szCs w:val="24"/>
          <w:lang w:val="en-US" w:eastAsia="en-US" w:bidi="ar-SA"/>
        </w:rPr>
        <w:t>模拟连续急弯山区路项目设置要求如下：</w:t>
      </w:r>
    </w:p>
    <w:p>
      <w:pPr>
        <w:numPr>
          <w:ilvl w:val="0"/>
          <w:numId w:val="11"/>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图形应按图16设置；</w:t>
      </w:r>
    </w:p>
    <w:p>
      <w:pPr>
        <w:numPr>
          <w:ilvl w:val="0"/>
          <w:numId w:val="11"/>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路段应至少包括一个左弯和一个右弯；</w:t>
      </w:r>
    </w:p>
    <w:p>
      <w:pPr>
        <w:numPr>
          <w:ilvl w:val="0"/>
          <w:numId w:val="11"/>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两个弯道间设置直线路段时，路段长应小于30m；</w:t>
      </w:r>
    </w:p>
    <w:p>
      <w:pPr>
        <w:numPr>
          <w:ilvl w:val="0"/>
          <w:numId w:val="11"/>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弯道外缘弧长取值应大于或等于1/3圆周，半径取值应在40 m～60 m之间；</w:t>
      </w:r>
    </w:p>
    <w:p>
      <w:pPr>
        <w:numPr>
          <w:ilvl w:val="0"/>
          <w:numId w:val="11"/>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同一弯道内上坡、下坡应连续，纵坡坡度应在3%～5%之间；</w:t>
      </w:r>
    </w:p>
    <w:p>
      <w:pPr>
        <w:numPr>
          <w:ilvl w:val="0"/>
          <w:numId w:val="11"/>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直线路宽应不小于7m，弯道路宽应不小于9m，弯道应进行加宽和超高；</w:t>
      </w:r>
    </w:p>
    <w:p>
      <w:pPr>
        <w:numPr>
          <w:ilvl w:val="0"/>
          <w:numId w:val="11"/>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路段应设置限速标志和警告标志；</w:t>
      </w:r>
    </w:p>
    <w:p>
      <w:pPr>
        <w:numPr>
          <w:ilvl w:val="0"/>
          <w:numId w:val="11"/>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直线段中心线应为黄色单虚线，弯道段中心线应为黄色单实线；</w:t>
      </w:r>
    </w:p>
    <w:p>
      <w:pPr>
        <w:numPr>
          <w:ilvl w:val="0"/>
          <w:numId w:val="11"/>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drawing>
          <wp:anchor distT="0" distB="0" distL="114300" distR="114300" simplePos="0" relativeHeight="251670528" behindDoc="0" locked="0" layoutInCell="1" allowOverlap="1">
            <wp:simplePos x="0" y="0"/>
            <wp:positionH relativeFrom="column">
              <wp:posOffset>312420</wp:posOffset>
            </wp:positionH>
            <wp:positionV relativeFrom="paragraph">
              <wp:posOffset>274955</wp:posOffset>
            </wp:positionV>
            <wp:extent cx="5086350" cy="1968500"/>
            <wp:effectExtent l="0" t="0" r="0" b="12700"/>
            <wp:wrapTopAndBottom/>
            <wp:docPr id="15" name="连续山区急弯.jpg"/>
            <wp:cNvGraphicFramePr/>
            <a:graphic xmlns:a="http://schemas.openxmlformats.org/drawingml/2006/main">
              <a:graphicData uri="http://schemas.openxmlformats.org/drawingml/2006/picture">
                <pic:pic xmlns:pic="http://schemas.openxmlformats.org/drawingml/2006/picture">
                  <pic:nvPicPr>
                    <pic:cNvPr id="15" name="连续山区急弯.jpg"/>
                    <pic:cNvPicPr/>
                  </pic:nvPicPr>
                  <pic:blipFill>
                    <a:blip r:embed="rId30"/>
                    <a:srcRect l="4630" t="22421" r="2663" b="16071"/>
                    <a:stretch>
                      <a:fillRect/>
                    </a:stretch>
                  </pic:blipFill>
                  <pic:spPr>
                    <a:xfrm>
                      <a:off x="0" y="0"/>
                      <a:ext cx="5086350" cy="1968500"/>
                    </a:xfrm>
                    <a:prstGeom prst="rect">
                      <a:avLst/>
                    </a:prstGeom>
                    <a:noFill/>
                    <a:ln>
                      <a:noFill/>
                    </a:ln>
                  </pic:spPr>
                </pic:pic>
              </a:graphicData>
            </a:graphic>
          </wp:anchor>
        </w:drawing>
      </w:r>
      <w:r>
        <w:rPr>
          <w:rFonts w:hint="eastAsia" w:asciiTheme="minorEastAsia" w:hAnsiTheme="minorEastAsia" w:eastAsiaTheme="minorEastAsia" w:cstheme="minorEastAsia"/>
          <w:snapToGrid w:val="0"/>
          <w:color w:val="000000"/>
          <w:spacing w:val="-1"/>
          <w:kern w:val="0"/>
          <w:sz w:val="24"/>
          <w:szCs w:val="24"/>
          <w:lang w:val="en-US" w:eastAsia="zh-CN" w:bidi="ar-SA"/>
        </w:rPr>
        <w:t>第一个弯道入口前应设置引路。</w:t>
      </w:r>
    </w:p>
    <w:bookmarkEnd w:id="340"/>
    <w:bookmarkEnd w:id="341"/>
    <w:bookmarkEnd w:id="342"/>
    <w:bookmarkEnd w:id="343"/>
    <w:bookmarkEnd w:id="344"/>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标引序号说明：</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b1 ——直线路宽；</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b2 ——弯道路宽；</w:t>
      </w:r>
    </w:p>
    <w:p>
      <w:pPr>
        <w:spacing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l ——弯道间距。</w:t>
      </w:r>
    </w:p>
    <w:p>
      <w:pPr>
        <w:pStyle w:val="39"/>
        <w:spacing w:beforeLines="0" w:afterLines="0" w:line="440" w:lineRule="exact"/>
        <w:ind w:left="0" w:firstLine="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图16 模拟连续急弯山区路项目图形</w:t>
      </w:r>
    </w:p>
    <w:bookmarkEnd w:id="338"/>
    <w:bookmarkEnd w:id="339"/>
    <w:p>
      <w:pPr>
        <w:pStyle w:val="35"/>
        <w:spacing w:line="440" w:lineRule="exact"/>
        <w:ind w:firstLine="560"/>
        <w:rPr>
          <w:rFonts w:hint="eastAsia" w:asciiTheme="minorEastAsia" w:hAnsiTheme="minorEastAsia" w:eastAsiaTheme="minorEastAsia" w:cstheme="minorEastAsia"/>
          <w:snapToGrid w:val="0"/>
          <w:color w:val="000000"/>
          <w:spacing w:val="-1"/>
          <w:kern w:val="0"/>
          <w:sz w:val="24"/>
          <w:szCs w:val="24"/>
          <w:lang w:val="en-US" w:eastAsia="en-US" w:bidi="ar-SA"/>
        </w:rPr>
      </w:pPr>
      <w:bookmarkStart w:id="345" w:name="_Toc323463249"/>
      <w:bookmarkStart w:id="346" w:name="_Toc323462198"/>
      <w:bookmarkStart w:id="347" w:name="_Toc315425207"/>
      <w:bookmarkStart w:id="348" w:name="_Toc322207329"/>
      <w:r>
        <w:rPr>
          <w:rFonts w:hint="eastAsia" w:asciiTheme="minorEastAsia" w:hAnsiTheme="minorEastAsia" w:eastAsiaTheme="minorEastAsia" w:cstheme="minorEastAsia"/>
          <w:snapToGrid w:val="0"/>
          <w:color w:val="000000"/>
          <w:spacing w:val="-1"/>
          <w:kern w:val="0"/>
          <w:sz w:val="24"/>
          <w:szCs w:val="24"/>
          <w:lang w:val="en-US" w:eastAsia="en-US" w:bidi="ar-SA"/>
        </w:rPr>
        <w:t>（11）模拟隧道应符合以下要求：</w:t>
      </w:r>
    </w:p>
    <w:p>
      <w:pPr>
        <w:numPr>
          <w:ilvl w:val="0"/>
          <w:numId w:val="12"/>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由行车道、侧向及上方遮光设施组成；</w:t>
      </w:r>
    </w:p>
    <w:p>
      <w:pPr>
        <w:numPr>
          <w:ilvl w:val="0"/>
          <w:numId w:val="12"/>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隧道内净空取值符合6.2.7.6h）的要求；</w:t>
      </w:r>
    </w:p>
    <w:p>
      <w:pPr>
        <w:numPr>
          <w:ilvl w:val="0"/>
          <w:numId w:val="12"/>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入口设置前照灯使用和鸣笛标志；</w:t>
      </w:r>
    </w:p>
    <w:p>
      <w:pPr>
        <w:numPr>
          <w:ilvl w:val="0"/>
          <w:numId w:val="12"/>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内部无照明，晴朗日间最暗处的光照度小于50 lx</w:t>
      </w:r>
      <w:bookmarkEnd w:id="345"/>
      <w:bookmarkEnd w:id="346"/>
      <w:bookmarkEnd w:id="347"/>
      <w:bookmarkEnd w:id="348"/>
      <w:r>
        <w:rPr>
          <w:rFonts w:hint="eastAsia" w:asciiTheme="minorEastAsia" w:hAnsiTheme="minorEastAsia" w:eastAsiaTheme="minorEastAsia" w:cstheme="minorEastAsia"/>
          <w:snapToGrid w:val="0"/>
          <w:color w:val="000000"/>
          <w:spacing w:val="-1"/>
          <w:kern w:val="0"/>
          <w:sz w:val="24"/>
          <w:szCs w:val="24"/>
          <w:lang w:val="en-US" w:eastAsia="zh-CN" w:bidi="ar-SA"/>
        </w:rPr>
        <w:t>；</w:t>
      </w:r>
      <w:bookmarkStart w:id="349" w:name="_Toc317578491"/>
      <w:bookmarkStart w:id="350" w:name="_Toc322207330"/>
      <w:bookmarkStart w:id="351" w:name="_Toc315425208"/>
      <w:bookmarkStart w:id="352" w:name="_Toc323463250"/>
      <w:bookmarkStart w:id="353" w:name="_Toc323462199"/>
    </w:p>
    <w:p>
      <w:pPr>
        <w:numPr>
          <w:ilvl w:val="0"/>
          <w:numId w:val="12"/>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隧道为直道时，行车道长度大于或等于100 m</w:t>
      </w:r>
      <w:bookmarkStart w:id="354" w:name="_Toc317578492"/>
      <w:bookmarkStart w:id="355" w:name="_Toc322207331"/>
      <w:bookmarkStart w:id="356" w:name="_Toc315425209"/>
      <w:r>
        <w:rPr>
          <w:rFonts w:hint="eastAsia" w:asciiTheme="minorEastAsia" w:hAnsiTheme="minorEastAsia" w:eastAsiaTheme="minorEastAsia" w:cstheme="minorEastAsia"/>
          <w:snapToGrid w:val="0"/>
          <w:color w:val="000000"/>
          <w:spacing w:val="-1"/>
          <w:kern w:val="0"/>
          <w:sz w:val="24"/>
          <w:szCs w:val="24"/>
          <w:lang w:val="en-US" w:eastAsia="zh-CN" w:bidi="ar-SA"/>
        </w:rPr>
        <w:t>；隧道为弯道时，半径大于或等于30 m，行车道长度大于或等于60 m</w:t>
      </w:r>
      <w:bookmarkEnd w:id="349"/>
      <w:bookmarkEnd w:id="350"/>
      <w:bookmarkEnd w:id="351"/>
      <w:bookmarkEnd w:id="352"/>
      <w:bookmarkEnd w:id="353"/>
      <w:bookmarkEnd w:id="354"/>
      <w:bookmarkEnd w:id="355"/>
      <w:bookmarkEnd w:id="356"/>
      <w:bookmarkStart w:id="357" w:name="_Toc323463251"/>
      <w:bookmarkStart w:id="358" w:name="_Toc323462200"/>
      <w:bookmarkStart w:id="359" w:name="_Toc322207332"/>
      <w:bookmarkStart w:id="360" w:name="_Toc317578493"/>
      <w:bookmarkStart w:id="361" w:name="_Toc315425210"/>
      <w:r>
        <w:rPr>
          <w:rFonts w:hint="eastAsia" w:asciiTheme="minorEastAsia" w:hAnsiTheme="minorEastAsia" w:eastAsiaTheme="minorEastAsia" w:cstheme="minorEastAsia"/>
          <w:snapToGrid w:val="0"/>
          <w:color w:val="000000"/>
          <w:spacing w:val="-1"/>
          <w:kern w:val="0"/>
          <w:sz w:val="24"/>
          <w:szCs w:val="24"/>
          <w:lang w:val="en-US" w:eastAsia="zh-CN" w:bidi="ar-SA"/>
        </w:rPr>
        <w:t>。</w:t>
      </w:r>
      <w:bookmarkEnd w:id="357"/>
      <w:bookmarkEnd w:id="358"/>
      <w:bookmarkEnd w:id="359"/>
      <w:bookmarkEnd w:id="360"/>
      <w:bookmarkEnd w:id="361"/>
    </w:p>
    <w:p>
      <w:pPr>
        <w:pStyle w:val="35"/>
        <w:spacing w:line="440" w:lineRule="exact"/>
        <w:ind w:firstLine="560"/>
        <w:rPr>
          <w:rFonts w:hint="eastAsia" w:asciiTheme="minorEastAsia" w:hAnsiTheme="minorEastAsia" w:eastAsiaTheme="minorEastAsia" w:cstheme="minorEastAsia"/>
          <w:snapToGrid w:val="0"/>
          <w:color w:val="000000"/>
          <w:spacing w:val="-1"/>
          <w:kern w:val="0"/>
          <w:sz w:val="24"/>
          <w:szCs w:val="24"/>
          <w:lang w:val="en-US" w:eastAsia="en-US" w:bidi="ar-SA"/>
        </w:rPr>
      </w:pPr>
      <w:bookmarkStart w:id="362" w:name="_Toc323463261"/>
      <w:bookmarkStart w:id="363" w:name="_Toc317578503"/>
      <w:bookmarkStart w:id="364" w:name="_Toc322207342"/>
      <w:bookmarkStart w:id="365" w:name="_Toc315425212"/>
      <w:r>
        <w:rPr>
          <w:rFonts w:hint="eastAsia" w:asciiTheme="minorEastAsia" w:hAnsiTheme="minorEastAsia" w:eastAsiaTheme="minorEastAsia" w:cstheme="minorEastAsia"/>
          <w:snapToGrid w:val="0"/>
          <w:color w:val="000000"/>
          <w:spacing w:val="-1"/>
          <w:kern w:val="0"/>
          <w:sz w:val="24"/>
          <w:szCs w:val="24"/>
          <w:lang w:val="en-US" w:eastAsia="en-US" w:bidi="ar-SA"/>
        </w:rPr>
        <w:t xml:space="preserve">（12）模拟高速公路应符合以下要求： </w:t>
      </w:r>
    </w:p>
    <w:p>
      <w:pPr>
        <w:numPr>
          <w:ilvl w:val="0"/>
          <w:numId w:val="13"/>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路段长大于或等于400 m，至少设置两条同向车道，有条件的设置应急车道；</w:t>
      </w:r>
    </w:p>
    <w:p>
      <w:pPr>
        <w:numPr>
          <w:ilvl w:val="0"/>
          <w:numId w:val="13"/>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包括入口路段、主线路段和出口路段三部分，路面工程及设施符合JTG D80要求；</w:t>
      </w:r>
    </w:p>
    <w:p>
      <w:pPr>
        <w:numPr>
          <w:ilvl w:val="0"/>
          <w:numId w:val="13"/>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入口路段长大于100m，按照GB 5768.3施划入口标线；</w:t>
      </w:r>
    </w:p>
    <w:p>
      <w:pPr>
        <w:numPr>
          <w:ilvl w:val="0"/>
          <w:numId w:val="13"/>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主线路段长大于100m，按照GB 5768.2、GB 5768.3设置分道限速标志、地面限速标记等；</w:t>
      </w:r>
    </w:p>
    <w:p>
      <w:pPr>
        <w:numPr>
          <w:ilvl w:val="0"/>
          <w:numId w:val="13"/>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出口路段长大于100m，按照GB 5768.2、GB 5768.3设置出口预告标志、出口指示标志、出口限速或出口匝道限速标志等；</w:t>
      </w:r>
    </w:p>
    <w:p>
      <w:pPr>
        <w:numPr>
          <w:ilvl w:val="0"/>
          <w:numId w:val="13"/>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主路设置有弯道时，弯道内缘半径不小于200 m。</w:t>
      </w:r>
      <w:bookmarkEnd w:id="362"/>
      <w:bookmarkEnd w:id="363"/>
      <w:bookmarkEnd w:id="364"/>
      <w:bookmarkEnd w:id="365"/>
    </w:p>
    <w:p>
      <w:pPr>
        <w:pStyle w:val="35"/>
        <w:spacing w:line="440" w:lineRule="exact"/>
        <w:ind w:firstLine="560"/>
        <w:rPr>
          <w:rFonts w:hint="eastAsia" w:asciiTheme="minorEastAsia" w:hAnsiTheme="minorEastAsia" w:eastAsiaTheme="minorEastAsia" w:cstheme="minorEastAsia"/>
          <w:snapToGrid w:val="0"/>
          <w:color w:val="000000"/>
          <w:spacing w:val="-1"/>
          <w:kern w:val="0"/>
          <w:sz w:val="24"/>
          <w:szCs w:val="24"/>
          <w:lang w:val="en-US" w:eastAsia="en-US" w:bidi="ar-SA"/>
        </w:rPr>
      </w:pPr>
      <w:bookmarkStart w:id="366" w:name="_Toc317578506"/>
      <w:bookmarkStart w:id="367" w:name="_Toc315425214"/>
      <w:bookmarkStart w:id="368" w:name="_Toc323463264"/>
      <w:bookmarkStart w:id="369" w:name="_Toc322207344"/>
      <w:bookmarkStart w:id="370" w:name="_Toc323462213"/>
      <w:bookmarkStart w:id="371" w:name="_Toc323463263"/>
      <w:bookmarkStart w:id="372" w:name="_Toc311039356"/>
      <w:r>
        <w:rPr>
          <w:rFonts w:hint="eastAsia" w:asciiTheme="minorEastAsia" w:hAnsiTheme="minorEastAsia" w:eastAsiaTheme="minorEastAsia" w:cstheme="minorEastAsia"/>
          <w:snapToGrid w:val="0"/>
          <w:color w:val="000000"/>
          <w:spacing w:val="-1"/>
          <w:kern w:val="0"/>
          <w:sz w:val="24"/>
          <w:szCs w:val="24"/>
          <w:lang w:val="en-US" w:eastAsia="en-US" w:bidi="ar-SA"/>
        </w:rPr>
        <w:t>（13）模拟湿滑路面</w:t>
      </w:r>
      <w:bookmarkEnd w:id="366"/>
      <w:bookmarkEnd w:id="367"/>
      <w:bookmarkStart w:id="373" w:name="_Toc317578516"/>
      <w:bookmarkStart w:id="374" w:name="_Toc315425224"/>
      <w:r>
        <w:rPr>
          <w:rFonts w:hint="eastAsia" w:asciiTheme="minorEastAsia" w:hAnsiTheme="minorEastAsia" w:eastAsiaTheme="minorEastAsia" w:cstheme="minorEastAsia"/>
          <w:snapToGrid w:val="0"/>
          <w:color w:val="000000"/>
          <w:spacing w:val="-1"/>
          <w:kern w:val="0"/>
          <w:sz w:val="24"/>
          <w:szCs w:val="24"/>
          <w:lang w:val="en-US" w:eastAsia="en-US" w:bidi="ar-SA"/>
        </w:rPr>
        <w:t>的路面附着系数应小于或等于0.3，长度应大于或等于30 m，宽度应大于或等于4.0 m；道路外侧应设置对车辆无损的安全防护设施。</w:t>
      </w:r>
      <w:bookmarkEnd w:id="368"/>
      <w:bookmarkEnd w:id="369"/>
      <w:bookmarkEnd w:id="370"/>
      <w:bookmarkEnd w:id="373"/>
      <w:bookmarkEnd w:id="374"/>
    </w:p>
    <w:bookmarkEnd w:id="371"/>
    <w:bookmarkEnd w:id="372"/>
    <w:p>
      <w:pPr>
        <w:autoSpaceDE w:val="0"/>
        <w:autoSpaceDN w:val="0"/>
        <w:adjustRightInd w:val="0"/>
        <w:snapToGrid w:val="0"/>
        <w:spacing w:line="440" w:lineRule="exact"/>
        <w:ind w:firstLine="476" w:firstLineChars="200"/>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bookmarkStart w:id="375" w:name="_Toc317578517"/>
      <w:bookmarkStart w:id="376" w:name="_Toc323462214"/>
      <w:bookmarkStart w:id="377" w:name="_Toc322207345"/>
      <w:bookmarkStart w:id="378" w:name="_Toc315425225"/>
      <w:bookmarkStart w:id="379" w:name="_Toc323463265"/>
      <w:r>
        <w:rPr>
          <w:rFonts w:hint="eastAsia" w:asciiTheme="minorEastAsia" w:hAnsiTheme="minorEastAsia" w:eastAsiaTheme="minorEastAsia" w:cstheme="minorEastAsia"/>
          <w:snapToGrid w:val="0"/>
          <w:color w:val="000000"/>
          <w:spacing w:val="-1"/>
          <w:kern w:val="0"/>
          <w:sz w:val="24"/>
          <w:szCs w:val="24"/>
          <w:lang w:val="en-US" w:eastAsia="zh-CN" w:bidi="ar-SA"/>
        </w:rPr>
        <w:t>（14）模拟雨天的应能达到中雨效果</w:t>
      </w:r>
      <w:bookmarkEnd w:id="375"/>
      <w:bookmarkEnd w:id="376"/>
      <w:bookmarkEnd w:id="377"/>
      <w:bookmarkEnd w:id="378"/>
      <w:bookmarkEnd w:id="379"/>
      <w:r>
        <w:rPr>
          <w:rFonts w:hint="eastAsia" w:asciiTheme="minorEastAsia" w:hAnsiTheme="minorEastAsia" w:eastAsiaTheme="minorEastAsia" w:cstheme="minorEastAsia"/>
          <w:snapToGrid w:val="0"/>
          <w:color w:val="000000"/>
          <w:spacing w:val="-1"/>
          <w:kern w:val="0"/>
          <w:sz w:val="24"/>
          <w:szCs w:val="24"/>
          <w:lang w:val="en-US" w:eastAsia="zh-CN" w:bidi="ar-SA"/>
        </w:rPr>
        <w:t>，模拟雾天的能达到中雾效果。</w:t>
      </w:r>
    </w:p>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Pr>
        <w:spacing w:line="440" w:lineRule="exact"/>
        <w:ind w:firstLine="238" w:firstLineChars="1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5、考试车辆要求</w:t>
      </w:r>
    </w:p>
    <w:p>
      <w:pPr>
        <w:spacing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（1）除中型客车、轻型牵引挂车外的考试车每种同车型配置不少于2辆（应为同一车辆品牌型号）；小型汽车科目二考场同车型的考试线路不少于2条，考试车辆应不少于8辆。</w:t>
      </w:r>
    </w:p>
    <w:p>
      <w:pPr>
        <w:numPr>
          <w:ilvl w:val="0"/>
          <w:numId w:val="0"/>
        </w:numPr>
        <w:spacing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（2）考试车辆应安装符合GA/T 1028.3的要求的考试系统和音视频监控系统。</w:t>
      </w:r>
    </w:p>
    <w:p>
      <w:pPr>
        <w:spacing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（3）考试车辆不应安装除视镜之外的间接视野装置。</w:t>
      </w:r>
    </w:p>
    <w:p>
      <w:pPr>
        <w:spacing w:line="440" w:lineRule="exact"/>
        <w:rPr>
          <w:rFonts w:hint="eastAsia" w:asciiTheme="minorEastAsia" w:hAnsiTheme="minorEastAsia" w:eastAsiaTheme="minorEastAsia" w:cstheme="minorEastAsia"/>
          <w:b/>
          <w:bCs/>
          <w:snapToGrid w:val="0"/>
          <w:color w:val="000000"/>
          <w:spacing w:val="-1"/>
          <w:kern w:val="0"/>
          <w:sz w:val="24"/>
          <w:szCs w:val="24"/>
          <w:lang w:val="en-US" w:eastAsia="zh-CN" w:bidi="ar-SA"/>
        </w:rPr>
      </w:pPr>
    </w:p>
    <w:p>
      <w:pPr>
        <w:spacing w:line="440" w:lineRule="exac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b/>
          <w:bCs/>
          <w:snapToGrid w:val="0"/>
          <w:color w:val="000000"/>
          <w:spacing w:val="-1"/>
          <w:kern w:val="0"/>
          <w:sz w:val="24"/>
          <w:szCs w:val="24"/>
          <w:lang w:val="en-US" w:eastAsia="zh-CN" w:bidi="ar-SA"/>
        </w:rPr>
        <w:t>第三标段：</w:t>
      </w:r>
    </w:p>
    <w:p>
      <w:pPr>
        <w:spacing w:line="440" w:lineRule="exac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科目三道路驾驶技能考场要求(可为大中小型客货车考场或小型汽车考场）：</w:t>
      </w:r>
    </w:p>
    <w:p>
      <w:pPr>
        <w:pStyle w:val="34"/>
        <w:spacing w:beforeLines="0" w:afterLines="0" w:line="440" w:lineRule="exact"/>
        <w:ind w:firstLine="476" w:firstLineChars="200"/>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1、场地设置要求</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（1）场地组成应设置休息区、候考区、考试路段、控制中心、机房等功能性场所，配套设置公共卫生设施、公共服务区、停车区等服务性场所。</w:t>
      </w:r>
    </w:p>
    <w:p>
      <w:pPr>
        <w:pStyle w:val="32"/>
        <w:spacing w:beforeLines="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（2）休息区面积不低于200平方米，候考区面积不低于80平方米，应配备以下设备、设施：</w:t>
      </w:r>
    </w:p>
    <w:p>
      <w:pPr>
        <w:autoSpaceDE w:val="0"/>
        <w:autoSpaceDN w:val="0"/>
        <w:adjustRightInd w:val="0"/>
        <w:snapToGrid w:val="0"/>
        <w:spacing w:line="440" w:lineRule="exact"/>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a)考生自助签到设备；</w:t>
      </w:r>
    </w:p>
    <w:p>
      <w:pPr>
        <w:autoSpaceDE w:val="0"/>
        <w:autoSpaceDN w:val="0"/>
        <w:adjustRightInd w:val="0"/>
        <w:snapToGrid w:val="0"/>
        <w:spacing w:line="440" w:lineRule="exact"/>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b)考试组织动态信息公告设备；</w:t>
      </w:r>
    </w:p>
    <w:p>
      <w:pPr>
        <w:autoSpaceDE w:val="0"/>
        <w:autoSpaceDN w:val="0"/>
        <w:adjustRightInd w:val="0"/>
        <w:snapToGrid w:val="0"/>
        <w:spacing w:line="440" w:lineRule="exact"/>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c)用于安全管理的视频监控设备；</w:t>
      </w:r>
    </w:p>
    <w:p>
      <w:pPr>
        <w:autoSpaceDE w:val="0"/>
        <w:autoSpaceDN w:val="0"/>
        <w:adjustRightInd w:val="0"/>
        <w:snapToGrid w:val="0"/>
        <w:spacing w:line="440" w:lineRule="exact"/>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d)用于播放交通安全宣传片的设备；</w:t>
      </w:r>
    </w:p>
    <w:p>
      <w:pPr>
        <w:autoSpaceDE w:val="0"/>
        <w:autoSpaceDN w:val="0"/>
        <w:adjustRightInd w:val="0"/>
        <w:snapToGrid w:val="0"/>
        <w:spacing w:line="440" w:lineRule="exact"/>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e)数量足够的休息座椅及饮用水、储物等便民服务设施；</w:t>
      </w:r>
    </w:p>
    <w:p>
      <w:pPr>
        <w:autoSpaceDE w:val="0"/>
        <w:autoSpaceDN w:val="0"/>
        <w:adjustRightInd w:val="0"/>
        <w:snapToGrid w:val="0"/>
        <w:spacing w:line="440" w:lineRule="exact"/>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f)封闭管理的，设置紧急出口或应急通道。</w:t>
      </w:r>
    </w:p>
    <w:p>
      <w:pPr>
        <w:autoSpaceDE w:val="0"/>
        <w:autoSpaceDN w:val="0"/>
        <w:adjustRightInd w:val="0"/>
        <w:snapToGrid w:val="0"/>
        <w:spacing w:line="440" w:lineRule="exact"/>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g)省级公安机关交通管理部门规定的其他要求。</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（3）考试路段</w:t>
      </w:r>
    </w:p>
    <w:p>
      <w:pPr>
        <w:pStyle w:val="37"/>
        <w:numPr>
          <w:ilvl w:val="0"/>
          <w:numId w:val="0"/>
        </w:numPr>
        <w:spacing w:before="0" w:beforeLines="0" w:after="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begin"/>
      </w:r>
      <w:r>
        <w:rPr>
          <w:rFonts w:hint="eastAsia" w:asciiTheme="minorEastAsia" w:hAnsiTheme="minorEastAsia" w:eastAsiaTheme="minorEastAsia" w:cstheme="minorEastAsia"/>
          <w:snapToGrid w:val="0"/>
          <w:color w:val="000000"/>
          <w:spacing w:val="-1"/>
          <w:kern w:val="0"/>
          <w:sz w:val="24"/>
          <w:szCs w:val="24"/>
          <w:lang w:val="en-US" w:eastAsia="en-US" w:bidi="ar-SA"/>
        </w:rPr>
        <w:instrText xml:space="preserve"> = 1 \* GB3 \* MERGEFORMAT </w:instrTex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separate"/>
      </w:r>
      <w:r>
        <w:rPr>
          <w:rFonts w:hint="eastAsia" w:asciiTheme="minorEastAsia" w:hAnsiTheme="minorEastAsia" w:eastAsiaTheme="minorEastAsia" w:cstheme="minorEastAsia"/>
          <w:snapToGrid w:val="0"/>
          <w:color w:val="000000"/>
          <w:spacing w:val="-1"/>
          <w:kern w:val="0"/>
          <w:sz w:val="24"/>
          <w:szCs w:val="24"/>
          <w:lang w:val="en-US" w:eastAsia="en-US" w:bidi="ar-SA"/>
        </w:rPr>
        <w:t>①</w: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end"/>
      </w:r>
      <w:r>
        <w:rPr>
          <w:rFonts w:hint="eastAsia" w:asciiTheme="minorEastAsia" w:hAnsiTheme="minorEastAsia" w:eastAsiaTheme="minorEastAsia" w:cstheme="minorEastAsia"/>
          <w:snapToGrid w:val="0"/>
          <w:color w:val="000000"/>
          <w:spacing w:val="-1"/>
          <w:kern w:val="0"/>
          <w:sz w:val="24"/>
          <w:szCs w:val="24"/>
          <w:lang w:val="en-US" w:eastAsia="en-US" w:bidi="ar-SA"/>
        </w:rPr>
        <w:t>路段要求</w:t>
      </w:r>
    </w:p>
    <w:p>
      <w:pPr>
        <w:numPr>
          <w:ilvl w:val="0"/>
          <w:numId w:val="0"/>
        </w:numPr>
        <w:autoSpaceDE w:val="0"/>
        <w:autoSpaceDN w:val="0"/>
        <w:spacing w:line="440" w:lineRule="exact"/>
        <w:ind w:left="-360" w:leftChars="0" w:firstLine="238" w:firstLineChars="100"/>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bookmarkStart w:id="380" w:name="_Toc197514940"/>
      <w:bookmarkStart w:id="381" w:name="_Toc197516911"/>
      <w:bookmarkStart w:id="382" w:name="_Toc197575216"/>
      <w:bookmarkStart w:id="383" w:name="_Toc197515198"/>
      <w:r>
        <w:rPr>
          <w:rFonts w:hint="eastAsia" w:asciiTheme="minorEastAsia" w:hAnsiTheme="minorEastAsia" w:eastAsiaTheme="minorEastAsia" w:cstheme="minorEastAsia"/>
          <w:snapToGrid w:val="0"/>
          <w:color w:val="000000"/>
          <w:spacing w:val="-1"/>
          <w:kern w:val="0"/>
          <w:sz w:val="24"/>
          <w:szCs w:val="24"/>
          <w:lang w:val="en-US" w:eastAsia="zh-CN" w:bidi="ar-SA"/>
        </w:rPr>
        <w:t>a)设置在混合交通道路上，社会机动车辆单向流量不少于60辆/小时；</w:t>
      </w:r>
    </w:p>
    <w:p>
      <w:pPr>
        <w:numPr>
          <w:ilvl w:val="0"/>
          <w:numId w:val="0"/>
        </w:numPr>
        <w:autoSpaceDE w:val="0"/>
        <w:autoSpaceDN w:val="0"/>
        <w:spacing w:line="440" w:lineRule="exact"/>
        <w:ind w:left="-360" w:leftChars="0" w:firstLine="238" w:firstLineChars="100"/>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b)大中型客货车考试路段长度大于或等于8 km，小型汽车考试路段总长度大于或等于4 km；</w:t>
      </w:r>
    </w:p>
    <w:p>
      <w:pPr>
        <w:numPr>
          <w:ilvl w:val="0"/>
          <w:numId w:val="0"/>
        </w:numPr>
        <w:autoSpaceDE w:val="0"/>
        <w:autoSpaceDN w:val="0"/>
        <w:spacing w:line="440" w:lineRule="exact"/>
        <w:ind w:left="-360" w:leftChars="0" w:firstLine="238" w:firstLineChars="100"/>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c)具有满足设置变更车道、超车、直线行驶等项目的路段；</w:t>
      </w:r>
    </w:p>
    <w:p>
      <w:pPr>
        <w:numPr>
          <w:ilvl w:val="0"/>
          <w:numId w:val="0"/>
        </w:numPr>
        <w:autoSpaceDE w:val="0"/>
        <w:autoSpaceDN w:val="0"/>
        <w:spacing w:line="440" w:lineRule="exact"/>
        <w:ind w:left="-360" w:leftChars="0" w:firstLine="238" w:firstLineChars="100"/>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d)具有满足设置直行、右转、左转的平面交叉口；</w:t>
      </w:r>
    </w:p>
    <w:p>
      <w:pPr>
        <w:numPr>
          <w:ilvl w:val="0"/>
          <w:numId w:val="0"/>
        </w:numPr>
        <w:autoSpaceDE w:val="0"/>
        <w:autoSpaceDN w:val="0"/>
        <w:spacing w:line="440" w:lineRule="exact"/>
        <w:ind w:left="-360" w:leftChars="0" w:firstLine="238" w:firstLineChars="100"/>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e)具有满足设置掉头项目的路口或路段；</w:t>
      </w:r>
    </w:p>
    <w:p>
      <w:pPr>
        <w:numPr>
          <w:ilvl w:val="0"/>
          <w:numId w:val="0"/>
        </w:numPr>
        <w:autoSpaceDE w:val="0"/>
        <w:autoSpaceDN w:val="0"/>
        <w:spacing w:line="440" w:lineRule="exact"/>
        <w:ind w:left="-360" w:leftChars="0" w:firstLine="238" w:firstLineChars="100"/>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f)具有路段人行横道线、学校区域或模拟学校区域、公共汽车站或模拟公共汽车站等；</w:t>
      </w:r>
    </w:p>
    <w:p>
      <w:pPr>
        <w:numPr>
          <w:ilvl w:val="0"/>
          <w:numId w:val="0"/>
        </w:numPr>
        <w:autoSpaceDE w:val="0"/>
        <w:autoSpaceDN w:val="0"/>
        <w:spacing w:line="440" w:lineRule="exact"/>
        <w:ind w:left="-360" w:leftChars="0" w:firstLine="238" w:firstLineChars="100"/>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g)路段施划必要的交通标线、设置必要的交通标志，具有危险路段时设置符合JTG D81规定的路侧护栏等安全防护设施；</w:t>
      </w:r>
    </w:p>
    <w:p>
      <w:pPr>
        <w:numPr>
          <w:ilvl w:val="0"/>
          <w:numId w:val="0"/>
        </w:numPr>
        <w:autoSpaceDE w:val="0"/>
        <w:autoSpaceDN w:val="0"/>
        <w:spacing w:line="440" w:lineRule="exact"/>
        <w:ind w:left="-360" w:leftChars="0" w:firstLine="238" w:firstLineChars="100"/>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h)起点和终点设置指示标志，通往考试路段的道路上设置考试路段警告标志；</w:t>
      </w:r>
    </w:p>
    <w:p>
      <w:pPr>
        <w:numPr>
          <w:ilvl w:val="0"/>
          <w:numId w:val="0"/>
        </w:numPr>
        <w:autoSpaceDE w:val="0"/>
        <w:autoSpaceDN w:val="0"/>
        <w:spacing w:line="440" w:lineRule="exact"/>
        <w:ind w:left="-360" w:leftChars="0" w:firstLine="238" w:firstLineChars="100"/>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i）城市道路的交通标志符合GB 51038要求，其他道路的交通标志符合GB 5768.2要求；</w:t>
      </w:r>
    </w:p>
    <w:p>
      <w:pPr>
        <w:numPr>
          <w:ilvl w:val="0"/>
          <w:numId w:val="0"/>
        </w:numPr>
        <w:autoSpaceDE w:val="0"/>
        <w:autoSpaceDN w:val="0"/>
        <w:spacing w:line="440" w:lineRule="exact"/>
        <w:ind w:left="-360" w:leftChars="0" w:firstLine="238" w:firstLineChars="100"/>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j）城市道路的交通标线符合GB 51038要求，其他道路的交通标线符合GB 5768.3要求；</w:t>
      </w:r>
    </w:p>
    <w:p>
      <w:pPr>
        <w:numPr>
          <w:ilvl w:val="0"/>
          <w:numId w:val="0"/>
        </w:numPr>
        <w:autoSpaceDE w:val="0"/>
        <w:autoSpaceDN w:val="0"/>
        <w:spacing w:line="440" w:lineRule="exact"/>
        <w:ind w:left="-360" w:leftChars="0" w:firstLine="238" w:firstLineChars="100"/>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K)路段其他交通设施等符合相关标准规范要求；</w:t>
      </w:r>
    </w:p>
    <w:p>
      <w:pPr>
        <w:numPr>
          <w:ilvl w:val="0"/>
          <w:numId w:val="0"/>
        </w:numPr>
        <w:autoSpaceDE w:val="0"/>
        <w:autoSpaceDN w:val="0"/>
        <w:spacing w:line="440" w:lineRule="exact"/>
        <w:ind w:left="-360" w:leftChars="0" w:firstLine="238" w:firstLineChars="100"/>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l)除f）、h）款规定的标志外，路段未设置考试项目名称标志或其他仅用于考试的标志或标线。</w:t>
      </w:r>
    </w:p>
    <w:bookmarkEnd w:id="380"/>
    <w:bookmarkEnd w:id="381"/>
    <w:bookmarkEnd w:id="382"/>
    <w:bookmarkEnd w:id="383"/>
    <w:p>
      <w:pPr>
        <w:pStyle w:val="36"/>
        <w:numPr>
          <w:ilvl w:val="0"/>
          <w:numId w:val="0"/>
        </w:numPr>
        <w:spacing w:beforeLines="0" w:afterLines="0" w:line="440" w:lineRule="exact"/>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begin"/>
      </w:r>
      <w:r>
        <w:rPr>
          <w:rFonts w:hint="eastAsia" w:asciiTheme="minorEastAsia" w:hAnsiTheme="minorEastAsia" w:eastAsiaTheme="minorEastAsia" w:cstheme="minorEastAsia"/>
          <w:snapToGrid w:val="0"/>
          <w:color w:val="000000"/>
          <w:spacing w:val="-1"/>
          <w:kern w:val="0"/>
          <w:sz w:val="24"/>
          <w:szCs w:val="24"/>
          <w:lang w:val="en-US" w:eastAsia="en-US" w:bidi="ar-SA"/>
        </w:rPr>
        <w:instrText xml:space="preserve"> = 2 \* GB3 \* MERGEFORMAT </w:instrTex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separate"/>
      </w:r>
      <w:r>
        <w:rPr>
          <w:rFonts w:hint="eastAsia" w:asciiTheme="minorEastAsia" w:hAnsiTheme="minorEastAsia" w:eastAsiaTheme="minorEastAsia" w:cstheme="minorEastAsia"/>
          <w:snapToGrid w:val="0"/>
          <w:color w:val="000000"/>
          <w:spacing w:val="-1"/>
          <w:kern w:val="0"/>
          <w:sz w:val="24"/>
          <w:szCs w:val="24"/>
          <w:lang w:val="en-US" w:eastAsia="en-US" w:bidi="ar-SA"/>
        </w:rPr>
        <w:t>②</w:t>
      </w:r>
      <w:r>
        <w:rPr>
          <w:rFonts w:hint="eastAsia" w:asciiTheme="minorEastAsia" w:hAnsiTheme="minorEastAsia" w:eastAsiaTheme="minorEastAsia" w:cstheme="minorEastAsia"/>
          <w:snapToGrid w:val="0"/>
          <w:color w:val="000000"/>
          <w:spacing w:val="-1"/>
          <w:kern w:val="0"/>
          <w:sz w:val="24"/>
          <w:szCs w:val="24"/>
          <w:lang w:val="en-US" w:eastAsia="en-US" w:bidi="ar-SA"/>
        </w:rPr>
        <w:fldChar w:fldCharType="end"/>
      </w:r>
      <w:r>
        <w:rPr>
          <w:rFonts w:hint="eastAsia" w:asciiTheme="minorEastAsia" w:hAnsiTheme="minorEastAsia" w:eastAsiaTheme="minorEastAsia" w:cstheme="minorEastAsia"/>
          <w:snapToGrid w:val="0"/>
          <w:color w:val="000000"/>
          <w:spacing w:val="-1"/>
          <w:kern w:val="0"/>
          <w:sz w:val="24"/>
          <w:szCs w:val="24"/>
          <w:lang w:val="en-US" w:eastAsia="en-US" w:bidi="ar-SA"/>
        </w:rPr>
        <w:t>在考试路段上设置的考试路线应符合以下要求：</w:t>
      </w:r>
    </w:p>
    <w:p>
      <w:pPr>
        <w:numPr>
          <w:ilvl w:val="0"/>
          <w:numId w:val="0"/>
        </w:numPr>
        <w:autoSpaceDE w:val="0"/>
        <w:autoSpaceDN w:val="0"/>
        <w:spacing w:line="440" w:lineRule="exact"/>
        <w:ind w:left="-360" w:leftChars="0" w:firstLine="238" w:firstLineChars="100"/>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a)大中型客货车考试路线不少于2条，每条考试路线长度大于或等于10 km；</w:t>
      </w:r>
    </w:p>
    <w:p>
      <w:pPr>
        <w:numPr>
          <w:ilvl w:val="0"/>
          <w:numId w:val="0"/>
        </w:numPr>
        <w:autoSpaceDE w:val="0"/>
        <w:autoSpaceDN w:val="0"/>
        <w:spacing w:line="440" w:lineRule="exact"/>
        <w:ind w:left="-360" w:leftChars="0" w:firstLine="238" w:firstLineChars="100"/>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b)小型汽车的考试路线不少于3条，每条考试路线长度大于或等于3 km；</w:t>
      </w:r>
    </w:p>
    <w:p>
      <w:pPr>
        <w:numPr>
          <w:ilvl w:val="0"/>
          <w:numId w:val="0"/>
        </w:numPr>
        <w:autoSpaceDE w:val="0"/>
        <w:autoSpaceDN w:val="0"/>
        <w:spacing w:line="440" w:lineRule="exact"/>
        <w:ind w:left="-360" w:leftChars="0" w:firstLine="238" w:firstLineChars="100"/>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c)考试项目设置与考试路段标志、标线等交通设施匹配；</w:t>
      </w:r>
    </w:p>
    <w:p>
      <w:pPr>
        <w:numPr>
          <w:ilvl w:val="0"/>
          <w:numId w:val="0"/>
        </w:numPr>
        <w:autoSpaceDE w:val="0"/>
        <w:autoSpaceDN w:val="0"/>
        <w:spacing w:line="440" w:lineRule="exact"/>
        <w:ind w:left="-360" w:leftChars="0" w:firstLine="238" w:firstLineChars="100"/>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d)直行通过路口、路口左转弯、路口右转弯、掉头、通过学校区域、通过人行横道、通过公共汽车站、会车、变更车道、超车、直线行驶、加减挡操作设置在混合交通道路上；</w:t>
      </w:r>
    </w:p>
    <w:p>
      <w:pPr>
        <w:numPr>
          <w:ilvl w:val="0"/>
          <w:numId w:val="0"/>
        </w:numPr>
        <w:autoSpaceDE w:val="0"/>
        <w:autoSpaceDN w:val="0"/>
        <w:spacing w:line="440" w:lineRule="exact"/>
        <w:ind w:left="-360" w:leftChars="0" w:firstLine="238" w:firstLineChars="100"/>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e)每条考试路线完整设置所有考试项目；</w:t>
      </w:r>
    </w:p>
    <w:p>
      <w:pPr>
        <w:numPr>
          <w:ilvl w:val="0"/>
          <w:numId w:val="0"/>
        </w:numPr>
        <w:autoSpaceDE w:val="0"/>
        <w:autoSpaceDN w:val="0"/>
        <w:spacing w:line="440" w:lineRule="exact"/>
        <w:ind w:left="-360" w:leftChars="0" w:firstLine="238" w:firstLineChars="100"/>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f)有实际设施时不重复设置模拟项目，模拟项目间或模拟项目与其他设施间的间隔大于30 m；</w:t>
      </w:r>
    </w:p>
    <w:p>
      <w:pPr>
        <w:numPr>
          <w:ilvl w:val="0"/>
          <w:numId w:val="0"/>
        </w:numPr>
        <w:autoSpaceDE w:val="0"/>
        <w:autoSpaceDN w:val="0"/>
        <w:spacing w:line="440" w:lineRule="exact"/>
        <w:ind w:left="-360" w:leftChars="0" w:firstLine="238" w:firstLineChars="100"/>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g)采用差分定位方式进行评判的，对考试路线模型进行测绘，模型测绘及记录参见附录B。</w:t>
      </w:r>
    </w:p>
    <w:p>
      <w:pPr>
        <w:pStyle w:val="33"/>
        <w:spacing w:before="0" w:beforeLines="0" w:after="0" w:afterLines="0" w:line="440" w:lineRule="exact"/>
        <w:ind w:left="0"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（4）控制中心应配备以下设备：</w:t>
      </w:r>
    </w:p>
    <w:p>
      <w:pPr>
        <w:numPr>
          <w:ilvl w:val="0"/>
          <w:numId w:val="14"/>
        </w:numPr>
        <w:autoSpaceDE w:val="0"/>
        <w:autoSpaceDN w:val="0"/>
        <w:adjustRightInd w:val="0"/>
        <w:snapToGrid w:val="0"/>
        <w:spacing w:line="440" w:lineRule="exact"/>
        <w:ind w:left="0" w:hanging="322"/>
        <w:jc w:val="both"/>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门禁；</w:t>
      </w:r>
    </w:p>
    <w:p>
      <w:pPr>
        <w:numPr>
          <w:ilvl w:val="0"/>
          <w:numId w:val="14"/>
        </w:numPr>
        <w:autoSpaceDE w:val="0"/>
        <w:autoSpaceDN w:val="0"/>
        <w:adjustRightInd w:val="0"/>
        <w:snapToGrid w:val="0"/>
        <w:spacing w:line="440" w:lineRule="exact"/>
        <w:ind w:left="0" w:hanging="322"/>
        <w:jc w:val="both"/>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考试车辆驾驶室视频监控、运行前方视频监控以及候考区视频监控的显示设备，以上音视频监控应接入上级监控中心，支持远程查询或调取视频监控设备的监控画面，音视频监控资料存储空间不少于3年；；</w:t>
      </w:r>
    </w:p>
    <w:p>
      <w:pPr>
        <w:numPr>
          <w:ilvl w:val="0"/>
          <w:numId w:val="14"/>
        </w:numPr>
        <w:autoSpaceDE w:val="0"/>
        <w:autoSpaceDN w:val="0"/>
        <w:adjustRightInd w:val="0"/>
        <w:snapToGrid w:val="0"/>
        <w:spacing w:line="440" w:lineRule="exact"/>
        <w:ind w:left="0" w:hanging="322"/>
        <w:jc w:val="both"/>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用于考试过程管理和信息显示的计算机；</w:t>
      </w:r>
    </w:p>
    <w:p>
      <w:pPr>
        <w:numPr>
          <w:ilvl w:val="0"/>
          <w:numId w:val="14"/>
        </w:numPr>
        <w:autoSpaceDE w:val="0"/>
        <w:autoSpaceDN w:val="0"/>
        <w:adjustRightInd w:val="0"/>
        <w:snapToGrid w:val="0"/>
        <w:spacing w:line="440" w:lineRule="exact"/>
        <w:ind w:left="0" w:hanging="322"/>
        <w:jc w:val="both"/>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显示所有考试车辆实时位置的电子地图的显示设备；</w:t>
      </w:r>
    </w:p>
    <w:p>
      <w:pPr>
        <w:numPr>
          <w:ilvl w:val="0"/>
          <w:numId w:val="14"/>
        </w:numPr>
        <w:autoSpaceDE w:val="0"/>
        <w:autoSpaceDN w:val="0"/>
        <w:adjustRightInd w:val="0"/>
        <w:snapToGrid w:val="0"/>
        <w:spacing w:line="440" w:lineRule="exact"/>
        <w:ind w:left="0" w:hanging="322"/>
        <w:jc w:val="both"/>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监控控制中心的视频设备；</w:t>
      </w:r>
    </w:p>
    <w:p>
      <w:pPr>
        <w:numPr>
          <w:ilvl w:val="0"/>
          <w:numId w:val="14"/>
        </w:numPr>
        <w:autoSpaceDE w:val="0"/>
        <w:autoSpaceDN w:val="0"/>
        <w:adjustRightInd w:val="0"/>
        <w:snapToGrid w:val="0"/>
        <w:spacing w:line="440" w:lineRule="exact"/>
        <w:ind w:left="0" w:hanging="322"/>
        <w:jc w:val="both"/>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消防设备、设施。</w:t>
      </w:r>
    </w:p>
    <w:p>
      <w:pPr>
        <w:pStyle w:val="33"/>
        <w:spacing w:before="0" w:beforeLines="0" w:after="0" w:afterLines="0" w:line="440" w:lineRule="exact"/>
        <w:ind w:left="0" w:leftChars="0" w:firstLine="0" w:firstLineChars="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（5）机房设置独立出入口，具备独立管理条件；配备监控机房入口或内部的视频设备；内部温、湿度受控，地面铺设防静电地板。</w:t>
      </w:r>
    </w:p>
    <w:p>
      <w:pPr>
        <w:pStyle w:val="34"/>
        <w:spacing w:beforeLines="0" w:afterLines="0" w:line="440" w:lineRule="exact"/>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2、场地设施要求</w:t>
      </w:r>
    </w:p>
    <w:p>
      <w:pPr>
        <w:pStyle w:val="35"/>
        <w:spacing w:line="440" w:lineRule="exact"/>
        <w:ind w:left="0" w:leftChars="0" w:firstLine="0" w:firstLineChars="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（1）场地应设置供电设施、网络设施、信息公告设施等。</w:t>
      </w:r>
    </w:p>
    <w:p>
      <w:pPr>
        <w:pStyle w:val="33"/>
        <w:spacing w:before="0" w:beforeLines="0" w:after="0" w:afterLines="0" w:line="440" w:lineRule="exact"/>
        <w:ind w:left="0" w:leftChars="0" w:firstLine="0" w:firstLineChars="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（2）供电设施</w:t>
      </w:r>
    </w:p>
    <w:p>
      <w:pPr>
        <w:pStyle w:val="35"/>
        <w:spacing w:line="440" w:lineRule="exact"/>
        <w:ind w:firstLine="560"/>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主供电端应安装过载、漏电、短路等保护装置和防雷装置，应</w:t>
      </w:r>
      <w:r>
        <w:rPr>
          <w:rFonts w:hint="eastAsia" w:asciiTheme="minorEastAsia" w:hAnsiTheme="minorEastAsia" w:eastAsiaTheme="minorEastAsia" w:cstheme="minorEastAsia"/>
          <w:snapToGrid w:val="0"/>
          <w:color w:val="000000"/>
          <w:spacing w:val="-1"/>
          <w:kern w:val="0"/>
          <w:sz w:val="24"/>
          <w:szCs w:val="24"/>
          <w:lang w:val="en-US" w:eastAsia="en-US" w:bidi="ar-SA"/>
        </w:rPr>
        <w:tab/>
      </w:r>
      <w:r>
        <w:rPr>
          <w:rFonts w:hint="eastAsia" w:asciiTheme="minorEastAsia" w:hAnsiTheme="minorEastAsia" w:eastAsiaTheme="minorEastAsia" w:cstheme="minorEastAsia"/>
          <w:snapToGrid w:val="0"/>
          <w:color w:val="000000"/>
          <w:spacing w:val="-1"/>
          <w:kern w:val="0"/>
          <w:sz w:val="24"/>
          <w:szCs w:val="24"/>
          <w:lang w:val="en-US" w:eastAsia="en-US" w:bidi="ar-SA"/>
        </w:rPr>
        <w:t>配备不间断备用电源保证停电后网络设备、</w:t>
      </w:r>
    </w:p>
    <w:p>
      <w:pPr>
        <w:pStyle w:val="35"/>
        <w:spacing w:line="440" w:lineRule="exact"/>
        <w:ind w:firstLine="560"/>
        <w:jc w:val="left"/>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音视频监控等设备正常工作至正在进行考试的考生完成考试。</w:t>
      </w:r>
    </w:p>
    <w:p>
      <w:pPr>
        <w:pStyle w:val="33"/>
        <w:spacing w:before="0" w:beforeLines="0" w:after="0" w:afterLines="0" w:line="440" w:lineRule="exact"/>
        <w:ind w:left="0" w:leftChars="0" w:firstLine="0" w:firstLineChars="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（3）网络设施应满足以下要求：</w:t>
      </w:r>
    </w:p>
    <w:p>
      <w:pPr>
        <w:numPr>
          <w:ilvl w:val="0"/>
          <w:numId w:val="15"/>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满足采集评判软件与后台管理软件及参数设置软件间信息接收、存贮、处理、交换、传输要求；</w:t>
      </w:r>
    </w:p>
    <w:p>
      <w:pPr>
        <w:numPr>
          <w:ilvl w:val="0"/>
          <w:numId w:val="15"/>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满足语音、图像等监控信息的传输和存储要求，能实时查看或调取视频监控设备的监控画面；</w:t>
      </w:r>
    </w:p>
    <w:p>
      <w:pPr>
        <w:numPr>
          <w:ilvl w:val="0"/>
          <w:numId w:val="15"/>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防雷设计符合GB 50343要求；</w:t>
      </w:r>
    </w:p>
    <w:p>
      <w:pPr>
        <w:numPr>
          <w:ilvl w:val="0"/>
          <w:numId w:val="15"/>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网络设备及网线标识清晰、规范；</w:t>
      </w:r>
    </w:p>
    <w:p>
      <w:pPr>
        <w:numPr>
          <w:ilvl w:val="0"/>
          <w:numId w:val="15"/>
        </w:numPr>
        <w:autoSpaceDE w:val="0"/>
        <w:autoSpaceDN w:val="0"/>
        <w:adjustRightInd w:val="0"/>
        <w:snapToGrid w:val="0"/>
        <w:spacing w:line="440" w:lineRule="exact"/>
        <w:ind w:left="0" w:hanging="322"/>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同时有两套以上网络系统时，不同网络间设置物理隔离。</w:t>
      </w:r>
    </w:p>
    <w:p>
      <w:pPr>
        <w:pStyle w:val="33"/>
        <w:spacing w:before="0" w:beforeLines="0" w:after="0" w:afterLines="0" w:line="440" w:lineRule="exact"/>
        <w:ind w:left="0" w:leftChars="0" w:firstLine="0" w:firstLineChars="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（4）场地的信息公告设施应满足以下要求：</w:t>
      </w:r>
    </w:p>
    <w:p>
      <w:pPr>
        <w:numPr>
          <w:ilvl w:val="0"/>
          <w:numId w:val="16"/>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场地公共服务区设置播放覆盖随车考试人员的考试车内监控实时视频的设备等；</w:t>
      </w:r>
    </w:p>
    <w:p>
      <w:pPr>
        <w:numPr>
          <w:ilvl w:val="0"/>
          <w:numId w:val="16"/>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场地或候考区入口设置考试流程图及对应管理设施的分布图；</w:t>
      </w:r>
    </w:p>
    <w:p>
      <w:pPr>
        <w:numPr>
          <w:ilvl w:val="0"/>
          <w:numId w:val="16"/>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候考区设置考试项目操作要求及评判标准、考试路段、考试注意事项、考试员考试工作纪律、收费标准等公告设备设施；</w:t>
      </w:r>
    </w:p>
    <w:p>
      <w:pPr>
        <w:numPr>
          <w:ilvl w:val="0"/>
          <w:numId w:val="16"/>
        </w:numPr>
        <w:autoSpaceDE w:val="0"/>
        <w:autoSpaceDN w:val="0"/>
        <w:adjustRightInd w:val="0"/>
        <w:snapToGrid w:val="0"/>
        <w:spacing w:line="440" w:lineRule="exact"/>
        <w:ind w:left="0" w:hanging="318"/>
        <w:textAlignment w:val="bottom"/>
        <w:outlineLvl w:val="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设置公告当日考试员及工作人员姓名、照片、举报投诉电话等的设施。</w:t>
      </w:r>
    </w:p>
    <w:p>
      <w:pPr>
        <w:pStyle w:val="34"/>
        <w:numPr>
          <w:ilvl w:val="1"/>
          <w:numId w:val="0"/>
        </w:numPr>
        <w:spacing w:beforeLines="0" w:afterLines="0" w:line="440" w:lineRule="exact"/>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3、考试车辆要求</w:t>
      </w:r>
    </w:p>
    <w:p>
      <w:pPr>
        <w:pStyle w:val="34"/>
        <w:numPr>
          <w:ilvl w:val="1"/>
          <w:numId w:val="0"/>
        </w:numPr>
        <w:spacing w:beforeLines="0" w:afterLines="0" w:line="440" w:lineRule="exact"/>
        <w:outlineLvl w:val="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（1）小型车辆（Ｃ1、Ｃ2）科目三道路驾驶技能考试车不少于10辆,大中型客货车（A1、A2、A3、B1、B2）考场，除中型客车外，每种考试车同车型配置不少于2辆（应为同一车辆品牌型号）。</w:t>
      </w:r>
    </w:p>
    <w:p>
      <w:pPr>
        <w:pStyle w:val="35"/>
        <w:spacing w:line="440" w:lineRule="exact"/>
        <w:ind w:left="0" w:leftChars="0" w:firstLine="0" w:firstLineChars="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（2）考试车辆应安装符合GA/T 1028.3的要求的考试系统和音视频监控系统。</w:t>
      </w:r>
    </w:p>
    <w:p>
      <w:pPr>
        <w:pStyle w:val="35"/>
        <w:spacing w:line="440" w:lineRule="exact"/>
        <w:ind w:left="0" w:leftChars="0" w:firstLine="0" w:firstLineChars="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（3）考试车辆应安装卫星定位系统。用于大型货车、城市公交车准驾车型科目三道路驾驶技能考试的车辆，安装的反光标识、尾部标志板应符合相关标准要求，并安装灯箱等发光装置。</w:t>
      </w:r>
    </w:p>
    <w:p>
      <w:pPr>
        <w:pStyle w:val="35"/>
        <w:spacing w:line="440" w:lineRule="exact"/>
        <w:ind w:left="0" w:leftChars="0" w:firstLine="0" w:firstLineChars="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4）考试车辆应安装供考试员使用的副制动踏板和外后视镜装置，小型汽车、小型自动挡汽车准驾车型考试车辆还应安装供考试员使用的内后视镜；使用计算机考试系统进行评判的，通过副制动踏板触发制动时应先触发计算机考试系统传感器。</w:t>
      </w:r>
    </w:p>
    <w:p>
      <w:pPr>
        <w:pStyle w:val="35"/>
        <w:spacing w:line="440" w:lineRule="exact"/>
        <w:ind w:left="0" w:leftChars="0" w:firstLine="0" w:firstLineChars="0"/>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（5）考试车辆应安装车载音视频监控设备和卫星定位系统，音视频监控设备应符合GA/T 1028.4的要求。</w:t>
      </w:r>
    </w:p>
    <w:p>
      <w:pPr>
        <w:pStyle w:val="40"/>
        <w:widowControl w:val="0"/>
        <w:spacing w:before="0" w:beforeAutospacing="0" w:after="0" w:afterAutospacing="0" w:line="440" w:lineRule="exact"/>
        <w:ind w:firstLine="476" w:firstLineChars="200"/>
        <w:rPr>
          <w:rFonts w:hint="eastAsia" w:asciiTheme="minorEastAsia" w:hAnsiTheme="minorEastAsia" w:eastAsiaTheme="minorEastAsia" w:cstheme="minorEastAsia"/>
          <w:color w:val="FF0000"/>
          <w:spacing w:val="-1"/>
          <w:sz w:val="24"/>
          <w:szCs w:val="24"/>
          <w:lang w:eastAsia="zh-CN"/>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项目概述</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napToGrid w:val="0"/>
          <w:color w:val="000000"/>
          <w:spacing w:val="-1"/>
          <w:kern w:val="0"/>
          <w:sz w:val="24"/>
          <w:szCs w:val="24"/>
          <w:lang w:val="en-US" w:eastAsia="zh-CN" w:bidi="ar-SA"/>
        </w:rPr>
        <w:t>目前南阳市有自建考场1处，可承担科目一及小型汽车、小型自动挡汽车科目二考试工作，全市无自建的轻型牵引挂车科目二考场、小型汽车及小型自动挡汽车科目三道路驾驶技能考场及大中型客货车科目二、科目三道路驾驶技能考场，考场服务远不能满足群众考试需求。现通过公开招标选择定点社会考场服务，第一标段道路交通安全法律、法规和相关知识考场（以下简称“科目一考场”），第二标段场地驾驶技能考场（以下简称“科目二考场”），第三标段道路驾驶技能考场（以下简称“科目三道路考场”），服务期限为1年</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其中科目一考场服务根据《机动车驾驶证业务工作规范》（公交管[2022]73号）、《河南省机动车驾驶人考场管理规定》（豫公交办〔2022〕283号）等要求：公安机关交通管理部门应当自行建设驾驶理论考场。在采购人驾驶理论考场建成使用后，采购人可随时终止第一标段科目一考场购买服务，使用费用据实结算)。</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核心产品</w:t>
      </w:r>
      <w:r>
        <w:rPr>
          <w:rFonts w:hint="eastAsia" w:asciiTheme="minorEastAsia" w:hAnsiTheme="minorEastAsia" w:eastAsiaTheme="minorEastAsia" w:cstheme="minorEastAsia"/>
          <w:spacing w:val="-1"/>
          <w:sz w:val="24"/>
          <w:szCs w:val="24"/>
          <w:lang w:val="en-US" w:eastAsia="zh-CN"/>
        </w:rPr>
        <w:t>:</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关于核心产品本项目/包不适用。</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4"/>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4"/>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4"/>
        <w:rPr>
          <w:rFonts w:hint="eastAsia"/>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rPr>
          <w:rFonts w:hint="eastAsia"/>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1、投标人须明确参与本项目各标段的用地情况、计算机考台、拟投入考试车辆及人员配备情况。</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2、第一标段投标人须在投标文件中提供考场建设情况、所用设备的清单目录（需附相关照片或图片）。</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3、第二标段、第三标段投标人须在投标文件中提供考试场地初步设计文件（包括技术方案、设计图纸、项目功能指标计算、主要设备材料清单和工程概算等四项内容及施工图设计），且科目二考场还需提供测绘单位出具用于考试的场地面积测绘材料。</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4、第二标段、第三标段投标人须承诺按照《机动车驾驶证申领和使用规定》（公安部第162号令）、《机动车驾驶证业务工作规范》（公交管[2022]73号）、《机动车驾驶人考试内容和方法》（GA1026-2022）、《机动车驾驶人考试系统通用技术条件》（GA/T1028-2022）、《机动车驾驶人考试场地及其设施设置规范》（GA1029-2022）、《河南省机动车驾驶人考场管理规定》（豫公交办〔2022〕283号）和河南省公安厅交通管理局、南阳市公安局交通管理支队等要求在合同签订之日起90日内自费完成相应标段考场建设，安装使用经公安部交通管理科学研究所验收合格、公示备案的智能评判考试系统，并承诺提供由检测单位出具的所建房屋安全检测证明或房屋竣工验收备案表、消防安全证明材料等，且需通过南阳市公安局交通管理支队初检，在河南省公安厅交警总队验收备案后服从南阳市公安局交通管理支队的管理使用。</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78" w:firstLineChars="200"/>
        <w:textAlignment w:val="baseline"/>
        <w:rPr>
          <w:rFonts w:hint="eastAsia" w:asciiTheme="minorEastAsia" w:hAnsiTheme="minorEastAsia" w:eastAsiaTheme="minorEastAsia" w:cstheme="minorEastAsia"/>
          <w:b/>
          <w:bCs/>
          <w:snapToGrid w:val="0"/>
          <w:color w:val="000000"/>
          <w:spacing w:val="-1"/>
          <w:kern w:val="0"/>
          <w:sz w:val="24"/>
          <w:szCs w:val="24"/>
          <w:lang w:val="en-US" w:eastAsia="zh-CN" w:bidi="ar-SA"/>
        </w:rPr>
      </w:pPr>
      <w:r>
        <w:rPr>
          <w:rFonts w:hint="eastAsia" w:asciiTheme="minorEastAsia" w:hAnsiTheme="minorEastAsia" w:eastAsiaTheme="minorEastAsia" w:cstheme="minorEastAsia"/>
          <w:b/>
          <w:bCs/>
          <w:snapToGrid w:val="0"/>
          <w:color w:val="000000"/>
          <w:spacing w:val="-1"/>
          <w:kern w:val="0"/>
          <w:sz w:val="24"/>
          <w:szCs w:val="24"/>
          <w:lang w:val="en-US" w:eastAsia="zh-CN" w:bidi="ar-SA"/>
        </w:rPr>
        <w:t>5、投标人须分标段提供本项目考场服务的总体方案、投入人员的岗位分配、服务及质量承诺等。</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6、本项目机动车驾驶人定点社会考场服务质量要严格按照国家标准和采购人要求，须达到采购人满意。</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7、合同的签订：中标人应在收到南阳市政府采购中心签发的《中标通知书》后及时和采购人联系签订合同，合同生效自提供的考试服务场地通过河南省公安厅交警总队验收备案之日起。</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8、付款方式：服务期限完成后按照实际使用时限一次性付清。</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textAlignment w:val="baseline"/>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9、考场使用最高限价：第一标段每年使用费最高限价为壹万捌仟捌佰元整，第二标段每年使用费最高限价为贰万捌仟贰佰元整，第三标段每年使用费为肆万柒仟元整。</w:t>
      </w:r>
    </w:p>
    <w:p>
      <w:pPr>
        <w:pStyle w:val="22"/>
        <w:rPr>
          <w:rFonts w:hint="eastAsia"/>
          <w:color w:val="FF0000"/>
          <w:lang w:val="en-US" w:eastAsia="zh-CN"/>
        </w:rPr>
      </w:pPr>
    </w:p>
    <w:p>
      <w:pPr>
        <w:pStyle w:val="22"/>
        <w:rPr>
          <w:rFonts w:hint="eastAsia"/>
          <w:lang w:val="en-US" w:eastAsia="zh-CN"/>
        </w:rPr>
      </w:pPr>
    </w:p>
    <w:p>
      <w:pPr>
        <w:pStyle w:val="2"/>
        <w:keepNext w:val="0"/>
        <w:keepLines w:val="0"/>
        <w:pageBreakBefore w:val="0"/>
        <w:numPr>
          <w:ilvl w:val="0"/>
          <w:numId w:val="0"/>
        </w:numPr>
        <w:kinsoku/>
        <w:wordWrap w:val="0"/>
        <w:overflowPunct/>
        <w:topLinePunct w:val="0"/>
        <w:bidi w:val="0"/>
        <w:spacing w:before="352" w:line="690" w:lineRule="exact"/>
        <w:ind w:firstLine="2506" w:firstLineChars="700"/>
        <w:jc w:val="both"/>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24"/>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pPr>
              <w:pStyle w:val="24"/>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rPr>
              <w:t>□货物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pPr>
              <w:pStyle w:val="24"/>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pPr>
              <w:pStyle w:val="24"/>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24"/>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24"/>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pPr>
              <w:pStyle w:val="24"/>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24"/>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pPr>
              <w:pStyle w:val="24"/>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24"/>
              <w:keepNext w:val="0"/>
              <w:keepLines w:val="0"/>
              <w:pageBreakBefore w:val="0"/>
              <w:widowControl/>
              <w:numPr>
                <w:ilvl w:val="0"/>
                <w:numId w:val="17"/>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其他未列明行业   </w:t>
            </w:r>
          </w:p>
          <w:p>
            <w:pPr>
              <w:pStyle w:val="24"/>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24"/>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pPr>
              <w:pStyle w:val="24"/>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pPr>
              <w:pStyle w:val="24"/>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pPr>
              <w:pStyle w:val="24"/>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156.98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2024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8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2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2024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8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2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color w:val="auto"/>
                <w:spacing w:val="-15"/>
                <w:sz w:val="24"/>
                <w:szCs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本项目不适用核心产品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pPr>
              <w:pStyle w:val="24"/>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p>
            <w:pPr>
              <w:pStyle w:val="24"/>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采购人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p>
            <w:pPr>
              <w:pStyle w:val="24"/>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13"/>
                <w:sz w:val="24"/>
                <w:szCs w:val="24"/>
                <w:lang w:val="en-US" w:eastAsia="zh-CN"/>
              </w:rPr>
              <w:t>收费标准：</w:t>
            </w:r>
          </w:p>
        </w:tc>
      </w:tr>
    </w:tbl>
    <w:p>
      <w:pPr>
        <w:pStyle w:val="2"/>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pPr>
        <w:pStyle w:val="2"/>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u w:val="none"/>
          <w:lang w:val="en-US" w:eastAsia="zh-CN"/>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156.98  </w:t>
      </w:r>
      <w:r>
        <w:rPr>
          <w:rFonts w:hint="eastAsia" w:asciiTheme="minorEastAsia" w:hAnsiTheme="minorEastAsia" w:eastAsiaTheme="minorEastAsia" w:cstheme="minorEastAsia"/>
          <w:spacing w:val="7"/>
          <w:sz w:val="24"/>
          <w:szCs w:val="24"/>
          <w:u w:val="none"/>
          <w:lang w:val="en-US" w:eastAsia="zh-CN"/>
        </w:rPr>
        <w:t>万元</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驾驶人考场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pPr>
        <w:pStyle w:val="22"/>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pPr>
        <w:pStyle w:val="4"/>
        <w:rPr>
          <w:rFonts w:hint="eastAsia"/>
        </w:rPr>
      </w:pPr>
    </w:p>
    <w:p>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pPr>
        <w:pStyle w:val="4"/>
        <w:rPr>
          <w:rFonts w:hint="eastAsia"/>
          <w:lang w:val="en-US"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both"/>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pPr>
        <w:pStyle w:val="2"/>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pPr>
        <w:pStyle w:val="22"/>
        <w:rPr>
          <w:rFonts w:hint="eastAsia"/>
          <w:lang w:val="en-US" w:eastAsia="zh-CN"/>
        </w:rPr>
      </w:pPr>
    </w:p>
    <w:p>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3"/>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pPr>
              <w:pStyle w:val="24"/>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pPr>
              <w:pStyle w:val="24"/>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pPr>
              <w:numPr>
                <w:ilvl w:val="0"/>
                <w:numId w:val="18"/>
              </w:numPr>
              <w:rPr>
                <w:rFonts w:hint="eastAsia"/>
              </w:rPr>
            </w:pPr>
            <w:r>
              <w:rPr>
                <w:rFonts w:hint="eastAsia"/>
              </w:rPr>
              <w:t>注册于中华人民共和国境内，具有独立承担民事责任能力；</w:t>
            </w:r>
          </w:p>
          <w:p>
            <w:pPr>
              <w:rPr>
                <w:rFonts w:hint="eastAsia"/>
              </w:rPr>
            </w:pPr>
            <w:r>
              <w:rPr>
                <w:rFonts w:hint="eastAsia"/>
              </w:rPr>
              <w:t>2.具有良好的商业信誉和健全的财务会计制度；</w:t>
            </w:r>
          </w:p>
          <w:p>
            <w:pPr>
              <w:rPr>
                <w:rFonts w:hint="eastAsia"/>
              </w:rPr>
            </w:pPr>
            <w:r>
              <w:rPr>
                <w:rFonts w:hint="eastAsia"/>
              </w:rPr>
              <w:t>3.具有履行合同所必需的设备和专业技术能力；</w:t>
            </w:r>
          </w:p>
          <w:p>
            <w:pPr>
              <w:rPr>
                <w:rFonts w:hint="eastAsia"/>
              </w:rPr>
            </w:pPr>
            <w:r>
              <w:rPr>
                <w:rFonts w:hint="eastAsia"/>
              </w:rPr>
              <w:t>4.有依法缴纳税收和社会保障资金的良好记录；</w:t>
            </w:r>
          </w:p>
          <w:p>
            <w:pPr>
              <w:rPr>
                <w:rFonts w:hint="eastAsia"/>
              </w:rPr>
            </w:pPr>
            <w:r>
              <w:rPr>
                <w:rFonts w:hint="eastAsia"/>
              </w:rPr>
              <w:t>5.参加政府采购活动前三年内，在经营活动中没有重大违法记录；</w:t>
            </w:r>
          </w:p>
          <w:p>
            <w:pPr>
              <w:rPr>
                <w:rFonts w:hint="eastAsia"/>
              </w:rPr>
            </w:pPr>
            <w:r>
              <w:rPr>
                <w:rFonts w:hint="eastAsia"/>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rPr>
                <w:rFonts w:hint="eastAsia"/>
              </w:rPr>
            </w:pPr>
            <w:r>
              <w:rPr>
                <w:rFonts w:hint="eastAsia"/>
              </w:rPr>
              <w:t>7.遵守国家有关法律、法规、规章。</w:t>
            </w:r>
          </w:p>
          <w:p>
            <w:pPr>
              <w:rPr>
                <w:rFonts w:hint="eastAsia"/>
              </w:rPr>
            </w:pPr>
            <w:r>
              <w:rPr>
                <w:rFonts w:hint="eastAsia"/>
                <w:lang w:val="en-US" w:eastAsia="zh-CN"/>
              </w:rPr>
              <w:t>8.</w:t>
            </w:r>
            <w:r>
              <w:rPr>
                <w:rFonts w:hint="eastAsia"/>
              </w:rPr>
              <w:t>第一标段投标人须提供该标段考试服务经历的证明，且须提供所建房屋安全检测证明(附检测单位资质证明)或房屋竣工验收备案表、消防部门出具的考场经消防检查合格证明或消防检查意见书;第二标段、第三标段投标人须提供消防合格证明或消防检查意见书或者规划建设许可证明;第三标段投标人还须提供具有管辖权的行政管理部门出具的小型汽车、小型自动挡汽车考试路段不少于4公里的审批文件,若拟同时承担大中型客货车考试服务的还须提供大中型客货车考试路段不少于8公里的审批文件</w:t>
            </w:r>
          </w:p>
          <w:p>
            <w:pPr>
              <w:rPr>
                <w:rFonts w:hint="default"/>
                <w:lang w:val="en-US" w:eastAsia="zh-CN"/>
              </w:rPr>
            </w:pPr>
            <w:r>
              <w:rPr>
                <w:rFonts w:hint="eastAsia"/>
                <w:lang w:val="en-US" w:eastAsia="zh-CN"/>
              </w:rPr>
              <w:t>9.本项目专门面向中小企业采购，供应商须提交服务企业中小企业声明函。</w:t>
            </w:r>
          </w:p>
          <w:p>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p>
        </w:tc>
        <w:tc>
          <w:tcPr>
            <w:tcW w:w="2967" w:type="dxa"/>
            <w:vAlign w:val="top"/>
          </w:tcPr>
          <w:p>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pPr>
              <w:pStyle w:val="24"/>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pPr>
              <w:pStyle w:val="24"/>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pPr>
              <w:pStyle w:val="24"/>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pPr>
              <w:pStyle w:val="24"/>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pPr>
              <w:pStyle w:val="24"/>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pPr>
              <w:pStyle w:val="24"/>
              <w:keepNext w:val="0"/>
              <w:keepLines w:val="0"/>
              <w:pageBreakBefore w:val="0"/>
              <w:kinsoku/>
              <w:wordWrap w:val="0"/>
              <w:overflowPunct/>
              <w:topLinePunct w:val="0"/>
              <w:bidi w:val="0"/>
              <w:spacing w:before="20" w:line="236" w:lineRule="auto"/>
              <w:ind w:right="102"/>
              <w:jc w:val="both"/>
              <w:rPr>
                <w:rFonts w:hint="eastAsia" w:asciiTheme="minorEastAsia" w:hAnsiTheme="minorEastAsia" w:eastAsiaTheme="minorEastAsia" w:cstheme="minorEastAsia"/>
                <w:sz w:val="24"/>
                <w:szCs w:val="24"/>
              </w:rPr>
            </w:pPr>
          </w:p>
        </w:tc>
        <w:tc>
          <w:tcPr>
            <w:tcW w:w="2967" w:type="dxa"/>
            <w:vAlign w:val="top"/>
          </w:tcPr>
          <w:p>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pPr>
              <w:pStyle w:val="24"/>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pPr>
              <w:pStyle w:val="24"/>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是否满足招标文件的实质性要求。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pPr>
        <w:pStyle w:val="2"/>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3"/>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4"/>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pPr>
              <w:pStyle w:val="24"/>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pPr>
              <w:pStyle w:val="24"/>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pPr>
              <w:pStyle w:val="24"/>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4"/>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pPr>
              <w:pStyle w:val="24"/>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4"/>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pPr>
              <w:pStyle w:val="24"/>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w:t>
            </w:r>
          </w:p>
        </w:tc>
        <w:tc>
          <w:tcPr>
            <w:tcW w:w="5791" w:type="dxa"/>
            <w:vAlign w:val="top"/>
          </w:tcPr>
          <w:p>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pPr>
              <w:pStyle w:val="24"/>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pPr>
              <w:pStyle w:val="24"/>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pPr>
              <w:pStyle w:val="24"/>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pPr>
              <w:pStyle w:val="24"/>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pPr>
              <w:pStyle w:val="24"/>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pPr>
              <w:pStyle w:val="2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pPr>
              <w:pStyle w:val="2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pPr>
              <w:pStyle w:val="2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pPr>
              <w:pStyle w:val="24"/>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pPr>
              <w:pStyle w:val="24"/>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pPr>
              <w:pStyle w:val="24"/>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pPr>
              <w:pStyle w:val="24"/>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pPr>
              <w:pStyle w:val="24"/>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pPr>
              <w:pStyle w:val="24"/>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p>
    <w:p>
      <w:pPr>
        <w:pStyle w:val="2"/>
        <w:keepNext w:val="0"/>
        <w:keepLines w:val="0"/>
        <w:pageBreakBefore w:val="0"/>
        <w:widowControl/>
        <w:numPr>
          <w:ilvl w:val="0"/>
          <w:numId w:val="18"/>
        </w:numPr>
        <w:kinsoku/>
        <w:wordWrap w:val="0"/>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技术审查</w:t>
      </w:r>
    </w:p>
    <w:p>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审查内容包括:每标段投标人提供的各标段用地情况、计算机考台、拟投入考试车辆及人员配备情况、第一标段投标人提供的考场建设情况、所用设备的清单目录(需附相关照片或图片)第二标段、第三标段投标人提供的考试场地初步设计文件(包括技术方案、设计图纸、项目功能指标计算、主要设备材料清单和工程概算等四项内容及施工图设计)、第二标段投标人提供的测绘单位出具用于考试的场地面积测绘材料、投标人分标段提供的本项目各标段考场服务的总体方案、投入人员的岗位分配、服务及质量承诺等是否符合招标要求。</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.投标人的排名按得分顺序从高到低排列;得分相同的，按优惠率从高到低顺序排列;得分且投标优惠率相同的，按技术指标优劣顺序排列。</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auto"/>
          <w:spacing w:val="2"/>
          <w:kern w:val="0"/>
          <w:position w:val="17"/>
          <w:sz w:val="24"/>
          <w:szCs w:val="24"/>
          <w:lang w:val="en-US" w:eastAsia="zh-CN" w:bidi="ar-SA"/>
        </w:rPr>
        <w:t xml:space="preserve">4.1 </w:t>
      </w:r>
      <w:r>
        <w:rPr>
          <w:rFonts w:hint="eastAsia" w:asciiTheme="minorEastAsia" w:hAnsiTheme="minorEastAsia" w:eastAsiaTheme="minorEastAsia" w:cstheme="minorEastAsia"/>
          <w:b/>
          <w:bCs/>
          <w:snapToGrid w:val="0"/>
          <w:color w:val="auto"/>
          <w:spacing w:val="2"/>
          <w:kern w:val="0"/>
          <w:position w:val="17"/>
          <w:sz w:val="24"/>
          <w:szCs w:val="24"/>
          <w:lang w:val="en-US" w:eastAsia="en-US" w:bidi="ar-SA"/>
        </w:rPr>
        <w:t>评标委员会要对评分汇总情况进行复核，特别是对排名第一的、报价最低的、投标文件被认定为无效的情形进行重点复核。</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 xml:space="preserve">2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评标委员会将根据各投标人的</w:t>
      </w:r>
      <w:r>
        <w:rPr>
          <w:rFonts w:hint="eastAsia" w:asciiTheme="minorEastAsia" w:hAnsiTheme="minorEastAsia" w:eastAsiaTheme="minorEastAsia" w:cstheme="minorEastAsia"/>
          <w:snapToGrid w:val="0"/>
          <w:color w:val="000000" w:themeColor="text1"/>
          <w:spacing w:val="2"/>
          <w:kern w:val="0"/>
          <w:position w:val="17"/>
          <w:sz w:val="24"/>
          <w:szCs w:val="24"/>
          <w:lang w:val="en-US" w:eastAsia="zh-CN" w:bidi="ar-SA"/>
          <w14:textFill>
            <w14:solidFill>
              <w14:schemeClr w14:val="tx1"/>
            </w14:solidFill>
          </w14:textFill>
        </w:rPr>
        <w:t>综合评分结果</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进行</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评标排序，依次推荐本项目（各采购包）的中标候选人，起草并签署评标报告。评标报告中标候选人排名顺序交南阳市公安局交通管理支队审定后公布入围定点社会考场服务单位名单。</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pStyle w:val="2"/>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（一）第一标段评分标准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1、投标报价。满分10分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满足招标文件要求且投标优惠率最高的投标报价为评标基准价，其价格分为满分。其余各投标人的投标报价得分=投标报价÷评标基准价×10分。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2、考试场地及设施。满分50分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评标委员会根据投标人提供的考场面积进行打分。科目一考场用于考试的场地面积＜150㎡，不得分；150㎡≤科目一考场用于考试的场地面积＜170㎡，得2分；170㎡≤科目一考场用于考试的场地面积＜200㎡，得4分；200㎡≤科目一考场用于考试的场地面积，得5分；每个考位面积&gt;2㎡的加2分；本项满分7分（以测绘单位出具的考试场地面积测绘材料、照片及其他资料为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评标委员会根据投标人提供的考试用计算机数量进行打分。考台数量＜60台不得分，60台≤考位计算机数量＜80台，得3分；80台≤考位计算机数量＜100台的，得5分；100台≤考位计算机数量，得7分；本项满分7分（提供购买发票或现场实景照片）；</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考生考试用计算机安装IE9及以上版本浏览器,IP地址保持固定、同一考场内保持唯一,考试区局域网带宽大于1000Mbps的得3分；考生考试用计算机禁用USB、光驱、软驱等设备,计算机上应未开启远程桌面服务，未安装与考试无关的软件，加装无妨碍观察考生答题操作的挡板的得3分；（提供照片及相关资料，未提供或提供不全不得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（4）评标委员会根据考场规模及配套设施综合情况进行打分。本项计分以供应商提供考试场地及配套设施实景图像等相关证明资料为准，未能提供上述资料的不得分；本项满分30分； </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①配备应急电源，设置紧急出口或应急通道得3分，提供照片及相关资料；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②停车区设置规范，标志标线齐全得3分，提供照片及相关资料；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③配备考试随机排队待考系统、人脸识别闸机、网络交换机、门禁系统、安检门、手持金属探测仪，有与考场有效隔离的候考区、休息区得3分，提供照片及相关资料；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④休息区安装供候考人员等候的座椅，提供饮水机、急救包、免费存包柜、公共卫生设施等便民服务设施得3分，提供照片及相关资料；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⑤消防设施完善，有灭火器、消防栓等消防设施和各种消防标志，并且消防制度完备得3分，提供照片及相关部门出具的消防合格证明资料；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⑥安装交通安全宣传设施设备和考场音视频实时播放设备屏幕；设置考试须知、考试流程、考试项目、评判标准和考试员照片、警号、考试工作纪律、举报投诉电话等公示栏得3分，提供照片及相关资料；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⑦配备考场内考试视频三年、考生考试过程音视频三年存储设备的得3分，提供购买发票和使用说明书及照片；</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⑧考试区配备屏蔽和干扰作弊的设备（应同时屏蔽所有无线通讯信号）得3分，提供购买发票或现场实景照片，并提供产品说明；</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⑨休息区面积≥200㎡，候考区域面积≥80㎡得3分，提供照片及相关资料、测绘单位出具的考试场地面积测绘材料；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⑩设置独立机房（应包含监控设备、门禁系统、空调等）得3分，提供照片及相关资料。</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3、考场管理人员和工作人员配备，满分6分。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（1）设置咨询导办服务岗，配备1名急救人员和2名保安人员得2分。以供应商投入人员岗位分配情况表、劳动合同为准，未能提供的不得分；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考场配备服务人员4人及以上，人员构成合理，配备系统维护、门禁管理、秩序管理等岗位，专业齐全、职责任务明确并符合规范要求得2分；以供应商投入人员岗位分配情况表、劳动合同为准，未能提供的不得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（3）考场工作人员统一着装，持证上岗得2分。提供工作照片。</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4、考场服务的总体方案、服务及质量承诺等，满分27分。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（1）考场服务的总体方案：</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体系完善，流程科学合理，内容针对性强，整体方案切实可行得9-10分；方案完整，流程设置合理，有一定针对性得5-8分；方案缺乏实操性，经过完善也能满足项目需求得2-4分；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（2）服务及质量承诺：</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承诺详尽、切实可行、针对性强，承诺考试设备、系统等考试相关设施及时保养、维护，能够及时投入使用，有违约承诺，得9-10分；内容完整、有一定针对性，承诺考试设备、系统等考试相关设施及时保养、维护，能够及时投入使用，有违约承诺，得5-8分；内容缺乏针对性，可行性较差，得2-4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（3）设施先进、新技术应用保证措施：</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考务设施先进性强、新技术应用保证措施详尽、切实可行，有效的提高服务质量得6-7分；考务设施比较先进、新技术应用保证措施完善、有一定针对性，能够改善服务质量，得3-5分；考务设施齐全、新技术应用保证措施不够周详，缺乏针对性，得1-2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5、综合实力。满分7分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（1）投标文件符合招标文件所有条款，标书制作规范最多得5分；若投标文件与招标文件要求有偏离，但不影响到实质性响应，评委会根据情况扣1-2分；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（2）信用评价，满分2分。根据《南阳市政府采购信用评价实施办法》，投标人登录“南阳市政府采购信用管理系统”打印并提交《南阳市政府采购供应商信用记录表》，诚信评价为三星级的加 1 分，四星级的加 2 分，其他不得分。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（二）第二标段评分标准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1、投标报价。满分10分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满足招标文件要求且投标优惠率最高的投标报价为评标基准价，其价格分为满分。其余各投标人的投标报价得分=投标报价÷评标基准价×10分。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2、考试车辆、考试场地及设施。满分57分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（1）具备大中型客货车中一种考试车型车辆的，得2分，每增加大中型客货车中一种考试车型增加2分，最高不超过10分；以供应商提供响应承诺、效果图、相关资料等为准，未能提供的不得分；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（2）考试车辆＞15辆的，得6分，10辆＜考试车辆≤15辆的，得4分，8辆≤考试车辆≤10辆的，得2分；本项满分6分；以供应商提供响应承诺、效果图、相关资料等为准，未能提供的不得分；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（3）评标委员会根据考场规模及配套设施综合情况进行打分。满分41分； </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①配备应急电源，设置紧急出口或应急通道；停车区规划合理的，提供考试场地及配套设施规划布局图、效果图并文字说明，描述完整详尽、设置规范、科学合理、配备设施齐全得6-7分；提供考试场地及配套设施规划布局图、效果图并文字说明，描述完整、符合采购人要求得3-5分；提供考试场地及配套设施规划布局图、效果图、文字说明描述不够完整得1-2分；以供应商提供响应承诺、效果图、相关资料等为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②配备考试随机排队待考系统、人脸识别闸机、网络交换机、门禁系统、安检门、手持金属探测仪、手电筒，并具有显示待考情况的设备供学员掌握待考信息，有与考场有效隔离的休息区、候考区、考试区和监控室；配备考场内考试视频三年、考生考试过程音视频三年存储设备的，系统配备齐全，休息区、候考区、考试区和监控室布局科学合理、显示设备和存储设备先进、有效提高考务效率、提升服务质量，得6-7分；系统配置完备、有休息区、候考区、考试区和监控室，显示设备和存储设备能够满足采购人要求，得3-5分；设施设备不完备或描述不周全，缺乏针对性，得1-2分；以供应商提供响应承诺、效果图、相关资料等为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③安装交通安全宣传设施设备和考场音视频实时播放设备屏幕；设置考试须知、考试流程、考试项目、评判标准和考试员照片、警号、考试工作纪律、举报投诉电话等公示栏的，设施配备齐全、屏幕清晰度高、规格适当，公示栏内容布局合理、有利于考生高效、全面的了解考务安排，得6-7分；设施配备齐全、屏幕清晰、规格适当，公示栏内容满足采购人要求，得3-5分；设施设备不完备或描述不周全，缺乏可行性，得1-2分；以供应商提供响应承诺、效果图、相关资料等为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④休息区安装供候考人员等候的座椅，提供饮水机、急救包、免费存包柜、公共卫生设施等便民服务设施的，休息区设施配备齐全、便民服务设施人性化，设置规范、科学合理，包括但不限于上述要求的，得6-7分；休息区设施配备能够满足采购人要求，得3-5分；休息区设施设备不完备或描述不周全，缺乏针对性，得1-2分；以供应商提供响应承诺、效果图、相关资料等为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⑤消防设施完善，有灭火器、消防栓等消防设施和各种消防标志，并且消防制度完备的，消防设施配备完整、消防标志清晰等，设置规范、科学合理、配备设施齐全，得6-7分；消防设施和各种消防标志能够满足采购人要求，得3-5分；设施设备不完备或描述不周全，缺乏针对性，得1-2分；以供应商提供响应承诺、效果图、相关资料等为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⑥休息区面积＞200㎡，候考区域面积＞80㎡的，得3分；提供相关部门出具的测绘资料或设计图纸；</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⑦考场设置独立机房（包含监控设备、门禁系统、空调等）的得3分，以供应商提供响应承诺、效果图、相关资料等为准；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3、考场管理人员和工作人员配备，满分10分。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（1）考场设置咨询导办服务岗，配备1名急救人员和2名保安人员得2分。以供应商投入人员岗位分配情况表为准，未能提供的不得分；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考场配备服务人员10人及以上，人员构成合理，配备系统维护、秩序管理、车辆维修人员、引车员、讲解员、技术员等岗位，专业齐全、职责任务明确并符合规范要求得5-6分；考场配备服务人员8人至9人，人员构成合理，配备系统维护、秩序管理、车辆维修人员、引车员、讲解员、技术员等岗位，专业齐全、职责任务明确并符合规范要求得3-4分；考场配备服务人员5人至7人，人员构成合理，配备系统维护、秩序管理、车辆维修人员、引车员、讲解员、技术员等岗位，专业齐全、职责任务明确并符合规范要求得1-2分；配备人员低于5人不得分；以供应商投入人员岗位分配情况表为准，未能提供的不得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（3）考场工作人员统一着装，持证上岗得2分。提供响应承诺或工作照片。</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4、考场服务的总体方案、服务及质量承诺等，满分16分。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（1）考场服务的总体方案：</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体系完善，流程科学合理，内容针对性强，整体方案切实可行得5-6分；方案完整，流程设置合理，有一定针对性得3-4分；方案缺乏实操性，经过完善也能满足项目需求得1-2分；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（2）服务及质量承诺：</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承诺详尽、切实可行、针对性强，承诺考试设备、系统等考试相关设施及时保养、维护，能够及时投入使用，有违约承诺，得4-5分；内容完整、有一定针对性，承诺考试设备、系统等考试相关设施及时保养、维护，能够及时投入使用，有违约承诺，得2-3分；内容缺乏针对性，可行性较差，得1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（3）设施先进、新技术应用保证措施：</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考务设施先进性强、新技术应用保证措施详尽、切实可行，有效的提高服务质量得4-5分；考务设施比较先进、新技术应用保证措施完善、有一定针对性，能够改善服务质量，得2-3分；考务设施齐全、新技术应用保证措施不够周详，缺乏针对性，得1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5、综合实力。满分7分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（1）投标文件符合招标文件所有条款，标书制作规范最多得5分；若投标文件与招标文件要求有偏离，但不影响到实质性响应，评委会根据情况扣1-2分；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（2）信用评价，满分2分。根据《南阳市政府采购信用评价实施办法》，投标人登录“南阳市政府采购信用管理系统”打印并提交《南阳市政府采购供应商信用记录表》，诚信评价为三星级的加 1 分，四星级的加 2 分，其他不得分。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（三）第三标段评分标准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1、投标报价。满分10分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满足招标文件要求且投标优惠率最高的投标报价为评标基准价，其价格分为满分。其余各投标人的投标报价得分=投标报价÷评标基准价×10分。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2、考试车辆、考试场地及设施。满分57分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（1）具备大中型客货车中一种考试车型车辆的，得2分，每增加大中型客货车中一种考试车型增加2分，最高不超过10分；以供应商提供响应承诺、效果图、相关资料等为准，未能提供的不得分；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（2）考试车辆＞20辆的，得6分，15辆＜考试车辆≤20辆的，得4分，10辆≤考试车辆≤15辆的，得2分；本项满分6分；以供应商提供响应承诺、效果图、相关资料等为准，未能提供的不得分；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（3）评标委员会根据考场规模及配套设施综合情况进行打分。满分41分； </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①配备应急电源，设置紧急出口或应急通道,停车区设置、标志标线；提供考试场地及配套设施实景图像并文字说明或规划布局图、效果图并文字说明，描述完整详尽、设置规范、科学合理、配备设施齐全得6-7分；提供考试场地及配套设施实景图像并文字说明或规划布局图、效果图并文字说明，描述完整、符合采购人要求得3-5分；提供考试场地及配套设施图像并文字说明，描述不够完整得1-2分；以供应商提供响应承诺、效果图、相关资料等为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②配备考试随机排队待考系统、门禁系统，并具有显示待考情况的设备供学员掌握待考信息，有与考场有效隔离的候考室和监控室；配备符合相关规定的考试音视频三年存储设备的，系统配备齐全，候考区、和监控室布局科学合理、显示设备和存储设备先进、有效提高考务效率、提升服务质量，得6-7分；系统配置完备、有候考区和监控室，显示设备和存储设备能够满足采购人要求，得3-5分；设施设备不完备或描述不周全，缺乏针对性，得1-2分；以供应商提供响应承诺、效果图、相关资料等为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③安装交通安全宣传设施设备和考场音视频实时播放设备屏幕；设置考试须知、考试流程、考试项目、评判标准和考试员照片、警号、考试工作纪律、举报投诉电话等公示栏的，设施配备齐全、屏幕清晰度高、规格适当，公示栏内容布局合理、有利于考生高效、全面的了解考务安排，得6-7分；设施配备齐全、屏幕清晰、规格适当，公示栏内容满足采购人要求，得3-5分；设施设备不完备或描述不周全，缺乏可行性，得1-2分；以供应商提供响应承诺、效果图、相关资料等为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④休息区安装供候考人员等候的座椅，提供饮水机、急救包、免费存包柜、公共卫生设施等便民服务设施的，休息区设施配备齐全、便民服务设施人性化，设置规范、科学合理，包括但不限于上述要求的，得6-7分；休息区设施配备能够满足采购人要求，得3-5分；休息区设施设备不完备或描述不周全，缺乏针对性，得1-2分；以供应商提供响应承诺、效果图、相关资料等为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⑤消防设施完善，有灭火器、消防栓等消防设施和各种消防标志，并且消防制度完备的，消防设施配备完整、消防标志清晰等，设置规范、科学合理、配备设施齐全，得6-7分；消防设施和各种消防标志能够满足采购人要求，得3-5分；设施设备不完备或描述不周全，缺乏针对性，得1-2分；以供应商提供响应承诺、效果图、相关资料等为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⑥休息区面积＞200㎡，候考区域面积＞80㎡的，得3分；提供相关部门出具的测绘资料或设计图纸；</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⑦考场设置独立机房（包含监控设备、门禁系统、空调等）的得3分，以供应商提供响应承诺、效果图、相关资料等为准；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3、考场管理人员和工作人员配备，满分10分。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（1）考场设置咨询导办服务岗，配备1名急救人员和2名保安人员得2分。以供应商投入人员岗位分配情况表为准，未能提供的不得分；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考场配备服务人员40人及以上，人员构成合理，配备系统维护、秩序管理、车辆维修人员、引车员、讲解员、技术员等岗位，专业齐全、职责任务明确并符合规范要求得6分；考场配备服务人员25人至39人，人员构成合理，配备系统维护、秩序管理、车辆维修人员、引车员、讲解员、技术员等岗位，专业齐全、职责任务明确并符合规范要求得5分；考场配备服务人员15人至24人，人员构成合理，配备系统维护、秩序管理、车辆维修人员、引车员、讲解员、技术员等岗位，专业齐全、职责任务明确并符合规范要求得4分；配备人员10人至14人，人员构成合理，配备系统维护、秩序管理、车辆维修人员、引车员、讲解员、技术员等岗位，专业齐全、职责任务明确并符合规范要求，得3分；配备人员低于10人不得分；以供应商投入人员岗位分配情况表为准，未能提供的不得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（3）考场工作人员统一着装，持证上岗得2分。提供响应承诺或工作照片。</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4、考场服务的总体方案、服务及质量承诺等，满分16分。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（1）考场服务的总体方案：</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体系完善，流程科学合理，内容针对性强，整体方案切实可行得5-6分；方案完整，流程设置合理，有一定针对性得3-4分；方案缺乏实操性，经过完善也能满足项目需求得1-2分；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（2）服务及质量承诺：</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承诺详尽、切实可行、针对性强，承诺考试设备、系统等考试相关设施及时保养、维护，能够及时投入使用，有违约承诺，得4-5分；内容完整、有一定针对性，承诺考试设备、系统等考试相关设施及时保养、维护，能够及时投入使用，有违约承诺，得2-3分；内容缺乏针对性，可行性较差，得1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（3）设施先进、新技术应用保证措施：</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考务设施先进性强、新技术应用保证措施详尽、切实可行，有效的提高服务质量得4-5分；考务设施比较先进、新技术应用保证措施完善、有一定针对性，能够改善服务质量，得2-3分；考务设施齐全、新技术应用保证措施不够周详，缺乏针对性，得1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5、综合实力。满分7分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（1）投标文件符合招标文件所有条款，标书制作规范最多得5分；若投标文件与招标文件要求有偏离，但不影响到实质性响应，评委会根据情况扣1-2分；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（2）信用评价，满分2分。根据《南阳市政府采购信用评价实施办法》，投标人登录“南阳市政府采购信用管理系统”打印并提交《南阳市政府采购供应商信用记录表》，诚信评价为三星级的加 1 分，四星级的加 2 分，其他不得分。</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szCs w:val="21"/>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中标人被正式确定后，将在“河南省政府采购网”和“南阳市公共资源交易中心网”上公告中标结果，同时向中标人发出《中标通知书》。</w:t>
      </w:r>
    </w:p>
    <w:p>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或电子营业执照应用平台”向中标人发出电子《中标通知书》后，中标供应商可登录南阳市公共资源交易平台会员系统或电子营业执照应用平台，自行打印加盖电子签章的《中标通知书》。</w:t>
      </w:r>
    </w:p>
    <w:p>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pPr>
        <w:pStyle w:val="22"/>
        <w:keepNext w:val="0"/>
        <w:keepLines w:val="0"/>
        <w:pageBreakBefore w:val="0"/>
        <w:kinsoku/>
        <w:wordWrap w:val="0"/>
        <w:overflowPunct/>
        <w:topLinePunct w:val="0"/>
        <w:bidi w:val="0"/>
        <w:jc w:val="both"/>
        <w:rPr>
          <w:rFonts w:hint="eastAsia"/>
          <w:lang w:val="en-US" w:eastAsia="zh-CN"/>
        </w:rPr>
        <w:sectPr>
          <w:footerReference r:id="rId7" w:type="default"/>
          <w:pgSz w:w="11907" w:h="16840"/>
          <w:pgMar w:top="1440" w:right="1800" w:bottom="1440" w:left="1800" w:header="878" w:footer="886" w:gutter="0"/>
          <w:pgNumType w:fmt="decimal" w:start="1"/>
          <w:cols w:space="720" w:num="1"/>
        </w:sectPr>
      </w:pPr>
    </w:p>
    <w:p>
      <w:pPr>
        <w:pStyle w:val="2"/>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pPr>
        <w:pStyle w:val="22"/>
        <w:jc w:val="both"/>
        <w:rPr>
          <w:rFonts w:hint="eastAsia"/>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4</w:t>
      </w:r>
      <w:r>
        <w:rPr>
          <w:rFonts w:hint="eastAsia" w:asciiTheme="minorEastAsia" w:hAnsiTheme="minorEastAsia" w:eastAsiaTheme="minorEastAsia" w:cstheme="minorEastAsia"/>
          <w:spacing w:val="-13"/>
          <w:sz w:val="24"/>
          <w:szCs w:val="24"/>
        </w:rPr>
        <w:t>.政府采购合同设定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付款支付方式的，</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0%；对于中小企业，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0%。</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pPr>
        <w:pStyle w:val="2"/>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2"/>
        <w:keepNext w:val="0"/>
        <w:keepLines w:val="0"/>
        <w:pageBreakBefore w:val="0"/>
        <w:kinsoku/>
        <w:wordWrap w:val="0"/>
        <w:overflowPunct/>
        <w:topLinePunct w:val="0"/>
        <w:bidi w:val="0"/>
        <w:spacing w:before="353" w:line="219" w:lineRule="auto"/>
        <w:ind w:firstLine="2506" w:firstLineChars="700"/>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pPr>
        <w:pStyle w:val="2"/>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pPr>
        <w:pStyle w:val="2"/>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w:t>
      </w:r>
    </w:p>
    <w:p>
      <w:pPr>
        <w:keepNext w:val="0"/>
        <w:keepLines w:val="0"/>
        <w:pageBreakBefore w:val="0"/>
        <w:kinsoku/>
        <w:wordWrap w:val="0"/>
        <w:overflowPunct/>
        <w:topLinePunct w:val="0"/>
        <w:bidi w:val="0"/>
        <w:spacing w:line="360" w:lineRule="auto"/>
        <w:ind w:firstLine="576" w:firstLineChars="200"/>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7"/>
        <w:tblW w:w="8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1998"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807"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1998"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807"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998"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807"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trPr>
        <w:tc>
          <w:tcPr>
            <w:tcW w:w="1998"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807"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综合优惠率：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998"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6807"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998"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6807"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998"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807" w:type="dxa"/>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注：“开标一览表”报优惠率。优惠率报小数点形式（如：优惠率10%，报优惠率0.1）</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pPr>
        <w:pStyle w:val="16"/>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0" w:type="default"/>
          <w:footerReference r:id="rId11"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31"/>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pPr>
        <w:keepNext w:val="0"/>
        <w:keepLines w:val="0"/>
        <w:pageBreakBefore w:val="0"/>
        <w:numPr>
          <w:ilvl w:val="0"/>
          <w:numId w:val="19"/>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pPr>
        <w:keepNext w:val="0"/>
        <w:keepLines w:val="0"/>
        <w:pageBreakBefore w:val="0"/>
        <w:numPr>
          <w:ilvl w:val="0"/>
          <w:numId w:val="0"/>
        </w:numPr>
        <w:kinsoku/>
        <w:wordWrap w:val="0"/>
        <w:overflowPunct/>
        <w:topLinePunct w:val="0"/>
        <w:bidi w:val="0"/>
        <w:spacing w:line="360" w:lineRule="auto"/>
        <w:ind w:leftChars="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pPr>
        <w:keepNext w:val="0"/>
        <w:keepLines w:val="0"/>
        <w:pageBreakBefore w:val="0"/>
        <w:numPr>
          <w:ilvl w:val="0"/>
          <w:numId w:val="0"/>
        </w:numPr>
        <w:kinsoku/>
        <w:wordWrap w:val="0"/>
        <w:overflowPunct/>
        <w:topLinePunct w:val="0"/>
        <w:bidi w:val="0"/>
        <w:spacing w:line="360" w:lineRule="auto"/>
        <w:ind w:leftChars="0"/>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12.</w:t>
      </w:r>
      <w:r>
        <w:rPr>
          <w:rFonts w:hint="eastAsia" w:ascii="宋体" w:hAnsi="宋体" w:eastAsia="宋体" w:cs="宋体"/>
          <w:sz w:val="24"/>
          <w:szCs w:val="24"/>
        </w:rPr>
        <w:t>第一标段投标人须提供该标段考试服务经历的证明，且须提供所建房屋安全检测证明(附检测单位资质证明)或房屋竣工验收备案表、消防部门出具的考场经消防检查合格证明或消防检查意见书;第二标段、第三标段投标人须提供消防合格证明或消防检查意见书或者规划建设许可证明;第三标段投标人还须提供具有管辖权的行政管理部门出具的小型汽车、小型自动挡汽车考试路段不少于4公里的审批文件,若拟同时承担大中型客货车考试服务的还须提供大中型客货车考试路段不少于8公里的审批文件</w:t>
      </w:r>
      <w:r>
        <w:rPr>
          <w:rFonts w:hint="eastAsia" w:ascii="宋体" w:hAnsi="宋体" w:eastAsia="宋体" w:cs="宋体"/>
          <w:sz w:val="24"/>
          <w:szCs w:val="24"/>
          <w:lang w:eastAsia="zh-CN"/>
        </w:rPr>
        <w:t>。</w:t>
      </w: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13.其他资格证明</w:t>
      </w: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pPr>
        <w:pStyle w:val="2"/>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二、商务技术文件格式</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12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，商务技术文件第1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10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pPr>
        <w:keepNext w:val="0"/>
        <w:keepLines w:val="0"/>
        <w:pageBreakBefore w:val="0"/>
        <w:kinsoku/>
        <w:wordWrap w:val="0"/>
        <w:overflowPunct/>
        <w:topLinePunct w:val="0"/>
        <w:bidi w:val="0"/>
        <w:spacing w:line="360" w:lineRule="auto"/>
        <w:ind w:firstLine="604" w:firstLineChars="252"/>
        <w:jc w:val="both"/>
        <w:rPr>
          <w:rFonts w:hint="default" w:asciiTheme="minorEastAsia" w:hAnsiTheme="minorEastAsia" w:eastAsiaTheme="minorEastAsia" w:cstheme="minorEastAsia"/>
          <w:b w:val="0"/>
          <w:bCs w:val="0"/>
          <w:sz w:val="24"/>
          <w:szCs w:val="24"/>
          <w:lang w:val="en-US" w:eastAsia="zh-CN"/>
        </w:rPr>
        <w:sectPr>
          <w:headerReference r:id="rId12" w:type="default"/>
          <w:footerReference r:id="rId13"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日</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2、每个标段投标人提供各标段的用地情况、计算机考台、拟投入考试车辆及人员配备情况</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3、第一标段投标人在投标文件中提供考场建设情况、所用设备的</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清单目录(需附相关照片或图片)</w:t>
      </w:r>
    </w:p>
    <w:p>
      <w:pPr>
        <w:keepNext w:val="0"/>
        <w:keepLines w:val="0"/>
        <w:pageBreakBefore w:val="0"/>
        <w:numPr>
          <w:ilvl w:val="0"/>
          <w:numId w:val="2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第二标段、第三标段投标人提供考试场地初步设计文件(包括技术方案、设计图纸、项目功能指标计算、主要设备材料清单和工程概算等四项内容及施工图设计)，且科目二考场还需提供测绘单位出具用于考试的场地面积测绘材料</w:t>
      </w:r>
    </w:p>
    <w:p>
      <w:pPr>
        <w:keepNext w:val="0"/>
        <w:keepLines w:val="0"/>
        <w:pageBreakBefore w:val="0"/>
        <w:numPr>
          <w:ilvl w:val="0"/>
          <w:numId w:val="2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第二标段、第三标段投标人提供对本项目商务要求第四项的承诺书</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6、投标人分标段提供本项目各标段考场服务的总体方案、投入人员的岗位分配、服务及质量承诺等</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lang w:eastAsia="zh-CN"/>
        </w:rPr>
        <w:t>商务偏差表格式</w:t>
      </w:r>
    </w:p>
    <w:p>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Arial" w:cs="Arial"/>
          <w:b/>
          <w:snapToGrid w:val="0"/>
          <w:color w:val="000000"/>
          <w:kern w:val="0"/>
          <w:sz w:val="24"/>
          <w:szCs w:val="24"/>
          <w:lang w:val="en-US" w:eastAsia="zh-CN" w:bidi="ar-SA"/>
        </w:rPr>
      </w:pPr>
      <w:r>
        <w:rPr>
          <w:rFonts w:hint="eastAsia" w:eastAsia="Arial" w:cs="Arial"/>
          <w:b/>
          <w:snapToGrid w:val="0"/>
          <w:color w:val="000000"/>
          <w:kern w:val="0"/>
          <w:sz w:val="24"/>
          <w:szCs w:val="24"/>
          <w:lang w:val="en-US" w:eastAsia="zh-CN" w:bidi="ar-SA"/>
        </w:rPr>
        <w:t>8</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中小企业声明函（工程、服务）格式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9.招标文件要求的其它材料及投标人认为有必要提供的材料</w:t>
      </w:r>
    </w:p>
    <w:sectPr>
      <w:headerReference r:id="rId14" w:type="default"/>
      <w:footerReference r:id="rId15"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B201E"/>
    <w:multiLevelType w:val="singleLevel"/>
    <w:tmpl w:val="BBEB201E"/>
    <w:lvl w:ilvl="0" w:tentative="0">
      <w:start w:val="1"/>
      <w:numFmt w:val="chineseCounting"/>
      <w:suff w:val="nothing"/>
      <w:lvlText w:val="%1、"/>
      <w:lvlJc w:val="left"/>
      <w:rPr>
        <w:rFonts w:hint="eastAsia"/>
      </w:rPr>
    </w:lvl>
  </w:abstractNum>
  <w:abstractNum w:abstractNumId="1">
    <w:nsid w:val="D62AAA2C"/>
    <w:multiLevelType w:val="singleLevel"/>
    <w:tmpl w:val="D62AAA2C"/>
    <w:lvl w:ilvl="0" w:tentative="0">
      <w:start w:val="4"/>
      <w:numFmt w:val="decimal"/>
      <w:suff w:val="nothing"/>
      <w:lvlText w:val="%1、"/>
      <w:lvlJc w:val="left"/>
    </w:lvl>
  </w:abstractNum>
  <w:abstractNum w:abstractNumId="2">
    <w:nsid w:val="F5AC19C2"/>
    <w:multiLevelType w:val="singleLevel"/>
    <w:tmpl w:val="F5AC19C2"/>
    <w:lvl w:ilvl="0" w:tentative="0">
      <w:start w:val="1"/>
      <w:numFmt w:val="decimal"/>
      <w:lvlText w:val="%1."/>
      <w:lvlJc w:val="left"/>
      <w:pPr>
        <w:tabs>
          <w:tab w:val="left" w:pos="312"/>
        </w:tabs>
      </w:pPr>
    </w:lvl>
  </w:abstractNum>
  <w:abstractNum w:abstractNumId="3">
    <w:nsid w:val="F62EFBE0"/>
    <w:multiLevelType w:val="singleLevel"/>
    <w:tmpl w:val="F62EFBE0"/>
    <w:lvl w:ilvl="0" w:tentative="0">
      <w:start w:val="9"/>
      <w:numFmt w:val="decimal"/>
      <w:lvlText w:val="%1."/>
      <w:lvlJc w:val="left"/>
      <w:pPr>
        <w:tabs>
          <w:tab w:val="left" w:pos="312"/>
        </w:tabs>
      </w:pPr>
    </w:lvl>
  </w:abstractNum>
  <w:abstractNum w:abstractNumId="4">
    <w:nsid w:val="01787AD5"/>
    <w:multiLevelType w:val="multilevel"/>
    <w:tmpl w:val="01787AD5"/>
    <w:lvl w:ilvl="0" w:tentative="0">
      <w:start w:val="1"/>
      <w:numFmt w:val="lowerLetter"/>
      <w:lvlText w:val="%1)"/>
      <w:lvlJc w:val="left"/>
      <w:pPr>
        <w:ind w:left="105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2692BB5"/>
    <w:multiLevelType w:val="multilevel"/>
    <w:tmpl w:val="02692BB5"/>
    <w:lvl w:ilvl="0" w:tentative="0">
      <w:start w:val="1"/>
      <w:numFmt w:val="lowerLetter"/>
      <w:lvlText w:val="%1)"/>
      <w:lvlJc w:val="left"/>
      <w:pPr>
        <w:ind w:left="105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ADB203C"/>
    <w:multiLevelType w:val="multilevel"/>
    <w:tmpl w:val="0ADB203C"/>
    <w:lvl w:ilvl="0" w:tentative="0">
      <w:start w:val="1"/>
      <w:numFmt w:val="lowerLetter"/>
      <w:lvlText w:val="%1)"/>
      <w:lvlJc w:val="left"/>
      <w:pPr>
        <w:ind w:left="105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2D942FB"/>
    <w:multiLevelType w:val="multilevel"/>
    <w:tmpl w:val="12D942FB"/>
    <w:lvl w:ilvl="0" w:tentative="0">
      <w:start w:val="1"/>
      <w:numFmt w:val="lowerLetter"/>
      <w:lvlText w:val="%1)"/>
      <w:lvlJc w:val="left"/>
      <w:pPr>
        <w:ind w:left="105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41A60EE"/>
    <w:multiLevelType w:val="multilevel"/>
    <w:tmpl w:val="141A60EE"/>
    <w:lvl w:ilvl="0" w:tentative="0">
      <w:start w:val="1"/>
      <w:numFmt w:val="lowerLetter"/>
      <w:lvlText w:val="%1)"/>
      <w:lvlJc w:val="left"/>
      <w:pPr>
        <w:ind w:left="105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4937AD"/>
    <w:multiLevelType w:val="multilevel"/>
    <w:tmpl w:val="2B4937AD"/>
    <w:lvl w:ilvl="0" w:tentative="0">
      <w:start w:val="1"/>
      <w:numFmt w:val="lowerLetter"/>
      <w:lvlText w:val="%1)"/>
      <w:lvlJc w:val="left"/>
      <w:pPr>
        <w:ind w:left="105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77115FE"/>
    <w:multiLevelType w:val="multilevel"/>
    <w:tmpl w:val="377115FE"/>
    <w:lvl w:ilvl="0" w:tentative="0">
      <w:start w:val="1"/>
      <w:numFmt w:val="lowerLetter"/>
      <w:lvlText w:val="%1)"/>
      <w:lvlJc w:val="left"/>
      <w:pPr>
        <w:ind w:left="105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CAF51E1"/>
    <w:multiLevelType w:val="multilevel"/>
    <w:tmpl w:val="3CAF51E1"/>
    <w:lvl w:ilvl="0" w:tentative="0">
      <w:start w:val="1"/>
      <w:numFmt w:val="lowerLetter"/>
      <w:lvlText w:val="%1)"/>
      <w:lvlJc w:val="left"/>
      <w:pPr>
        <w:ind w:left="105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1DF4970"/>
    <w:multiLevelType w:val="multilevel"/>
    <w:tmpl w:val="41DF4970"/>
    <w:lvl w:ilvl="0" w:tentative="0">
      <w:start w:val="1"/>
      <w:numFmt w:val="lowerLetter"/>
      <w:lvlText w:val="%1)"/>
      <w:lvlJc w:val="left"/>
      <w:pPr>
        <w:ind w:left="105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B2D372C"/>
    <w:multiLevelType w:val="multilevel"/>
    <w:tmpl w:val="4B2D372C"/>
    <w:lvl w:ilvl="0" w:tentative="0">
      <w:start w:val="1"/>
      <w:numFmt w:val="lowerLetter"/>
      <w:lvlText w:val="%1)"/>
      <w:lvlJc w:val="left"/>
      <w:pPr>
        <w:ind w:left="105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D7BE5FA"/>
    <w:multiLevelType w:val="singleLevel"/>
    <w:tmpl w:val="5D7BE5FA"/>
    <w:lvl w:ilvl="0" w:tentative="0">
      <w:start w:val="1"/>
      <w:numFmt w:val="decimal"/>
      <w:suff w:val="nothing"/>
      <w:lvlText w:val="%1、"/>
      <w:lvlJc w:val="left"/>
    </w:lvl>
  </w:abstractNum>
  <w:abstractNum w:abstractNumId="15">
    <w:nsid w:val="625471E5"/>
    <w:multiLevelType w:val="multilevel"/>
    <w:tmpl w:val="625471E5"/>
    <w:lvl w:ilvl="0" w:tentative="0">
      <w:start w:val="1"/>
      <w:numFmt w:val="lowerLetter"/>
      <w:lvlText w:val="%1)"/>
      <w:lvlJc w:val="left"/>
      <w:pPr>
        <w:ind w:left="105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AC72ACA"/>
    <w:multiLevelType w:val="multilevel"/>
    <w:tmpl w:val="6AC72ACA"/>
    <w:lvl w:ilvl="0" w:tentative="0">
      <w:start w:val="1"/>
      <w:numFmt w:val="lowerLetter"/>
      <w:lvlText w:val="%1)"/>
      <w:lvlJc w:val="left"/>
      <w:pPr>
        <w:ind w:left="105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81052B4"/>
    <w:multiLevelType w:val="multilevel"/>
    <w:tmpl w:val="781052B4"/>
    <w:lvl w:ilvl="0" w:tentative="0">
      <w:start w:val="1"/>
      <w:numFmt w:val="lowerLetter"/>
      <w:lvlText w:val="%1)"/>
      <w:lvlJc w:val="left"/>
      <w:pPr>
        <w:ind w:left="105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95C22C3"/>
    <w:multiLevelType w:val="multilevel"/>
    <w:tmpl w:val="795C22C3"/>
    <w:lvl w:ilvl="0" w:tentative="0">
      <w:start w:val="1"/>
      <w:numFmt w:val="lowerLetter"/>
      <w:lvlText w:val="%1)"/>
      <w:lvlJc w:val="left"/>
      <w:pPr>
        <w:ind w:left="105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F373E40"/>
    <w:multiLevelType w:val="multilevel"/>
    <w:tmpl w:val="7F373E40"/>
    <w:lvl w:ilvl="0" w:tentative="0">
      <w:start w:val="1"/>
      <w:numFmt w:val="lowerLetter"/>
      <w:lvlText w:val="%1)"/>
      <w:lvlJc w:val="left"/>
      <w:pPr>
        <w:ind w:left="105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12"/>
  </w:num>
  <w:num w:numId="4">
    <w:abstractNumId w:val="15"/>
  </w:num>
  <w:num w:numId="5">
    <w:abstractNumId w:val="11"/>
  </w:num>
  <w:num w:numId="6">
    <w:abstractNumId w:val="8"/>
  </w:num>
  <w:num w:numId="7">
    <w:abstractNumId w:val="18"/>
  </w:num>
  <w:num w:numId="8">
    <w:abstractNumId w:val="13"/>
  </w:num>
  <w:num w:numId="9">
    <w:abstractNumId w:val="9"/>
  </w:num>
  <w:num w:numId="10">
    <w:abstractNumId w:val="16"/>
  </w:num>
  <w:num w:numId="11">
    <w:abstractNumId w:val="6"/>
  </w:num>
  <w:num w:numId="12">
    <w:abstractNumId w:val="19"/>
  </w:num>
  <w:num w:numId="13">
    <w:abstractNumId w:val="17"/>
  </w:num>
  <w:num w:numId="14">
    <w:abstractNumId w:val="5"/>
  </w:num>
  <w:num w:numId="15">
    <w:abstractNumId w:val="10"/>
  </w:num>
  <w:num w:numId="16">
    <w:abstractNumId w:val="7"/>
  </w:num>
  <w:num w:numId="17">
    <w:abstractNumId w:val="14"/>
  </w:num>
  <w:num w:numId="18">
    <w:abstractNumId w:val="2"/>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96273C"/>
    <w:rsid w:val="00D24FF0"/>
    <w:rsid w:val="014E35A1"/>
    <w:rsid w:val="01C02D71"/>
    <w:rsid w:val="023E759B"/>
    <w:rsid w:val="027730B6"/>
    <w:rsid w:val="02FA03F5"/>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B145AD"/>
    <w:rsid w:val="11533890"/>
    <w:rsid w:val="115A7068"/>
    <w:rsid w:val="117D2D56"/>
    <w:rsid w:val="11B43A6A"/>
    <w:rsid w:val="11B5429E"/>
    <w:rsid w:val="122675E2"/>
    <w:rsid w:val="12417927"/>
    <w:rsid w:val="126E021D"/>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E40DE4"/>
    <w:rsid w:val="16F45CE8"/>
    <w:rsid w:val="16FC049F"/>
    <w:rsid w:val="174C193E"/>
    <w:rsid w:val="179B0D80"/>
    <w:rsid w:val="17B27393"/>
    <w:rsid w:val="17E20058"/>
    <w:rsid w:val="183C5229"/>
    <w:rsid w:val="183D23CB"/>
    <w:rsid w:val="18510AEB"/>
    <w:rsid w:val="18610CDC"/>
    <w:rsid w:val="19161B44"/>
    <w:rsid w:val="19D46BD3"/>
    <w:rsid w:val="19E260C0"/>
    <w:rsid w:val="1A464AA0"/>
    <w:rsid w:val="1A6B22E0"/>
    <w:rsid w:val="1AAC0209"/>
    <w:rsid w:val="1AC47924"/>
    <w:rsid w:val="1AF57E02"/>
    <w:rsid w:val="1B4F168F"/>
    <w:rsid w:val="1B6F0841"/>
    <w:rsid w:val="1D391455"/>
    <w:rsid w:val="1D72498F"/>
    <w:rsid w:val="1D9D7C75"/>
    <w:rsid w:val="1E0754FF"/>
    <w:rsid w:val="1E2712E1"/>
    <w:rsid w:val="1E301BDE"/>
    <w:rsid w:val="1E7249AF"/>
    <w:rsid w:val="1F8737CC"/>
    <w:rsid w:val="1FE61854"/>
    <w:rsid w:val="1FF31541"/>
    <w:rsid w:val="20F10837"/>
    <w:rsid w:val="210939CE"/>
    <w:rsid w:val="212D6A29"/>
    <w:rsid w:val="217E2260"/>
    <w:rsid w:val="21DC7625"/>
    <w:rsid w:val="21E33D7D"/>
    <w:rsid w:val="22937C80"/>
    <w:rsid w:val="22E737AC"/>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EF7E63"/>
    <w:rsid w:val="27F6032D"/>
    <w:rsid w:val="28F42A6A"/>
    <w:rsid w:val="2944096C"/>
    <w:rsid w:val="29462E99"/>
    <w:rsid w:val="29C94933"/>
    <w:rsid w:val="29EF5E58"/>
    <w:rsid w:val="2A5E573D"/>
    <w:rsid w:val="2A870159"/>
    <w:rsid w:val="2ABA04F6"/>
    <w:rsid w:val="2AD7512C"/>
    <w:rsid w:val="2B296C36"/>
    <w:rsid w:val="2B32017A"/>
    <w:rsid w:val="2B4C1378"/>
    <w:rsid w:val="2BD35370"/>
    <w:rsid w:val="2CB368C6"/>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21A2D12"/>
    <w:rsid w:val="32230959"/>
    <w:rsid w:val="3322495F"/>
    <w:rsid w:val="337450B5"/>
    <w:rsid w:val="344C700B"/>
    <w:rsid w:val="34C22FEC"/>
    <w:rsid w:val="34EB0670"/>
    <w:rsid w:val="34F86C33"/>
    <w:rsid w:val="357D65D2"/>
    <w:rsid w:val="36266C69"/>
    <w:rsid w:val="36B765C5"/>
    <w:rsid w:val="374E72FE"/>
    <w:rsid w:val="37512649"/>
    <w:rsid w:val="37C036A0"/>
    <w:rsid w:val="37D664EB"/>
    <w:rsid w:val="37E776C2"/>
    <w:rsid w:val="383C09C6"/>
    <w:rsid w:val="38704382"/>
    <w:rsid w:val="388B2F38"/>
    <w:rsid w:val="399D1B1E"/>
    <w:rsid w:val="3A046503"/>
    <w:rsid w:val="3AF75C8A"/>
    <w:rsid w:val="3B35724B"/>
    <w:rsid w:val="3BB63ADA"/>
    <w:rsid w:val="3BDC4EDA"/>
    <w:rsid w:val="3C37498E"/>
    <w:rsid w:val="3C860462"/>
    <w:rsid w:val="3C94450B"/>
    <w:rsid w:val="3CD83A9C"/>
    <w:rsid w:val="3D051AB3"/>
    <w:rsid w:val="3D13022E"/>
    <w:rsid w:val="3D9C0E9C"/>
    <w:rsid w:val="3DDE7B24"/>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884B35"/>
    <w:rsid w:val="423849B8"/>
    <w:rsid w:val="435F746A"/>
    <w:rsid w:val="4372309F"/>
    <w:rsid w:val="44093E52"/>
    <w:rsid w:val="444E5D13"/>
    <w:rsid w:val="446F3136"/>
    <w:rsid w:val="44790C24"/>
    <w:rsid w:val="44A50405"/>
    <w:rsid w:val="453A628D"/>
    <w:rsid w:val="45CF0C25"/>
    <w:rsid w:val="45DD7715"/>
    <w:rsid w:val="47503B46"/>
    <w:rsid w:val="47C562E2"/>
    <w:rsid w:val="47C81344"/>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7A34EC"/>
    <w:rsid w:val="4E861641"/>
    <w:rsid w:val="4EF462BB"/>
    <w:rsid w:val="4F4077B9"/>
    <w:rsid w:val="4FAB04B3"/>
    <w:rsid w:val="4FB426AD"/>
    <w:rsid w:val="4FEE2DC9"/>
    <w:rsid w:val="51346287"/>
    <w:rsid w:val="51850890"/>
    <w:rsid w:val="519F1DA4"/>
    <w:rsid w:val="520E355E"/>
    <w:rsid w:val="525210BA"/>
    <w:rsid w:val="52A90328"/>
    <w:rsid w:val="52DC3333"/>
    <w:rsid w:val="53036690"/>
    <w:rsid w:val="53376A7B"/>
    <w:rsid w:val="537441A1"/>
    <w:rsid w:val="53B1020C"/>
    <w:rsid w:val="54065481"/>
    <w:rsid w:val="557169CF"/>
    <w:rsid w:val="557D5D2A"/>
    <w:rsid w:val="55A41C2D"/>
    <w:rsid w:val="56682D63"/>
    <w:rsid w:val="56905D0D"/>
    <w:rsid w:val="56FB4C08"/>
    <w:rsid w:val="574153BB"/>
    <w:rsid w:val="589A668A"/>
    <w:rsid w:val="58AC00F0"/>
    <w:rsid w:val="58C46E3D"/>
    <w:rsid w:val="58D971B2"/>
    <w:rsid w:val="59042C0B"/>
    <w:rsid w:val="59272568"/>
    <w:rsid w:val="59576FB6"/>
    <w:rsid w:val="597D6A3E"/>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1C17E3"/>
    <w:rsid w:val="618C2692"/>
    <w:rsid w:val="622D31D4"/>
    <w:rsid w:val="62A74B0A"/>
    <w:rsid w:val="62E015B0"/>
    <w:rsid w:val="63510510"/>
    <w:rsid w:val="6353706B"/>
    <w:rsid w:val="639D4CC6"/>
    <w:rsid w:val="63C8425C"/>
    <w:rsid w:val="642053CC"/>
    <w:rsid w:val="646A5DEF"/>
    <w:rsid w:val="646F5EF6"/>
    <w:rsid w:val="653667D3"/>
    <w:rsid w:val="65785E0F"/>
    <w:rsid w:val="658A75F4"/>
    <w:rsid w:val="65CF7A95"/>
    <w:rsid w:val="66A23F66"/>
    <w:rsid w:val="672526A7"/>
    <w:rsid w:val="680D3662"/>
    <w:rsid w:val="68222C97"/>
    <w:rsid w:val="68333F9A"/>
    <w:rsid w:val="683858D3"/>
    <w:rsid w:val="68645FE7"/>
    <w:rsid w:val="69413090"/>
    <w:rsid w:val="69855FCD"/>
    <w:rsid w:val="69BC17E8"/>
    <w:rsid w:val="69DD77FF"/>
    <w:rsid w:val="6AE37CE3"/>
    <w:rsid w:val="6B0625EA"/>
    <w:rsid w:val="6B5442BA"/>
    <w:rsid w:val="6C593408"/>
    <w:rsid w:val="6C68544B"/>
    <w:rsid w:val="6C785167"/>
    <w:rsid w:val="6D0715D4"/>
    <w:rsid w:val="6DDB2C74"/>
    <w:rsid w:val="6E0E0C0F"/>
    <w:rsid w:val="6E7533B5"/>
    <w:rsid w:val="6E8E7670"/>
    <w:rsid w:val="6EEB0447"/>
    <w:rsid w:val="6EF05B5D"/>
    <w:rsid w:val="6FAF3250"/>
    <w:rsid w:val="6FC71762"/>
    <w:rsid w:val="70312E6C"/>
    <w:rsid w:val="703F6560"/>
    <w:rsid w:val="70725ED5"/>
    <w:rsid w:val="70B362F9"/>
    <w:rsid w:val="71653340"/>
    <w:rsid w:val="71F347D3"/>
    <w:rsid w:val="71FC098F"/>
    <w:rsid w:val="72415D05"/>
    <w:rsid w:val="7296241B"/>
    <w:rsid w:val="732A300A"/>
    <w:rsid w:val="73803FEB"/>
    <w:rsid w:val="73CE2CA8"/>
    <w:rsid w:val="743A4414"/>
    <w:rsid w:val="747F7695"/>
    <w:rsid w:val="748C5DD6"/>
    <w:rsid w:val="754A398B"/>
    <w:rsid w:val="75857AA3"/>
    <w:rsid w:val="758D5DE2"/>
    <w:rsid w:val="75943299"/>
    <w:rsid w:val="76017BAF"/>
    <w:rsid w:val="767A5F36"/>
    <w:rsid w:val="76837B47"/>
    <w:rsid w:val="76B97261"/>
    <w:rsid w:val="772D4414"/>
    <w:rsid w:val="7744228A"/>
    <w:rsid w:val="781E668F"/>
    <w:rsid w:val="788C166D"/>
    <w:rsid w:val="78AC0934"/>
    <w:rsid w:val="78BD4DDD"/>
    <w:rsid w:val="78E700F4"/>
    <w:rsid w:val="78EE7B24"/>
    <w:rsid w:val="7907377A"/>
    <w:rsid w:val="792E7F96"/>
    <w:rsid w:val="793B1352"/>
    <w:rsid w:val="79AB21E7"/>
    <w:rsid w:val="79CC501C"/>
    <w:rsid w:val="79F12DE4"/>
    <w:rsid w:val="7B0E17E2"/>
    <w:rsid w:val="7B3E48AE"/>
    <w:rsid w:val="7C6203C7"/>
    <w:rsid w:val="7CB47DAA"/>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cs="宋体"/>
      <w:sz w:val="31"/>
      <w:szCs w:val="31"/>
      <w:lang w:val="en-US" w:eastAsia="en-US" w:bidi="ar-SA"/>
    </w:rPr>
  </w:style>
  <w:style w:type="paragraph" w:styleId="6">
    <w:name w:val="annotation text"/>
    <w:basedOn w:val="1"/>
    <w:qFormat/>
    <w:uiPriority w:val="0"/>
    <w:pPr>
      <w:jc w:val="left"/>
    </w:pPr>
  </w:style>
  <w:style w:type="paragraph" w:styleId="7">
    <w:name w:val="Body Text Indent"/>
    <w:basedOn w:val="1"/>
    <w:qFormat/>
    <w:uiPriority w:val="99"/>
    <w:pPr>
      <w:spacing w:after="120" w:afterLines="0"/>
      <w:ind w:left="420" w:leftChars="200"/>
    </w:pPr>
    <w:rPr>
      <w:kern w:val="2"/>
      <w:sz w:val="21"/>
      <w:lang w:eastAsia="zh-CN" w:bidi="ar-SA"/>
    </w:rPr>
  </w:style>
  <w:style w:type="paragraph" w:styleId="8">
    <w:name w:val="Plain Text"/>
    <w:basedOn w:val="1"/>
    <w:qFormat/>
    <w:uiPriority w:val="0"/>
    <w:rPr>
      <w:rFonts w:ascii="宋体" w:hAnsi="Courier New" w:cs="Courier New"/>
      <w:szCs w:val="21"/>
    </w:rPr>
  </w:style>
  <w:style w:type="paragraph" w:styleId="9">
    <w:name w:val="Date"/>
    <w:basedOn w:val="1"/>
    <w:next w:val="1"/>
    <w:qFormat/>
    <w:uiPriority w:val="0"/>
    <w:rPr>
      <w:kern w:val="2"/>
      <w:sz w:val="21"/>
      <w:lang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envelope return"/>
    <w:basedOn w:val="1"/>
    <w:qFormat/>
    <w:uiPriority w:val="0"/>
    <w:pPr>
      <w:snapToGrid w:val="0"/>
    </w:pPr>
    <w:rPr>
      <w:rFonts w:ascii="Arial" w:hAnsi="Arial"/>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qFormat/>
    <w:uiPriority w:val="0"/>
    <w:pPr>
      <w:spacing w:after="120" w:line="480" w:lineRule="auto"/>
    </w:pPr>
    <w:rPr>
      <w:rFonts w:ascii="Tahoma" w:hAnsi="Tahoma"/>
    </w:rPr>
  </w:style>
  <w:style w:type="paragraph" w:styleId="1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7"/>
    <w:next w:val="1"/>
    <w:qFormat/>
    <w:uiPriority w:val="0"/>
    <w:pPr>
      <w:ind w:firstLine="200" w:firstLineChars="200"/>
    </w:pPr>
    <w:rPr>
      <w:kern w:val="2"/>
      <w:sz w:val="28"/>
      <w:lang w:eastAsia="zh-CN" w:bidi="ar-SA"/>
    </w:rPr>
  </w:style>
  <w:style w:type="character" w:styleId="19">
    <w:name w:val="FollowedHyperlink"/>
    <w:basedOn w:val="18"/>
    <w:qFormat/>
    <w:uiPriority w:val="0"/>
    <w:rPr>
      <w:color w:val="444444"/>
      <w:sz w:val="16"/>
      <w:szCs w:val="16"/>
      <w:u w:val="none"/>
    </w:rPr>
  </w:style>
  <w:style w:type="character" w:styleId="20">
    <w:name w:val="Hyperlink"/>
    <w:basedOn w:val="18"/>
    <w:qFormat/>
    <w:uiPriority w:val="0"/>
    <w:rPr>
      <w:color w:val="0000FF"/>
      <w:u w:val="single"/>
    </w:rPr>
  </w:style>
  <w:style w:type="paragraph" w:customStyle="1" w:styleId="2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2">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Arial" w:hAnsi="Arial" w:eastAsia="Arial" w:cs="Arial"/>
      <w:sz w:val="21"/>
      <w:szCs w:val="21"/>
      <w:lang w:val="en-US" w:eastAsia="en-US" w:bidi="ar-SA"/>
    </w:rPr>
  </w:style>
  <w:style w:type="paragraph" w:customStyle="1" w:styleId="25">
    <w:name w:val="Default"/>
    <w:next w:val="1"/>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6">
    <w:name w:val="Char Char10 Char Char Char Char"/>
    <w:basedOn w:val="1"/>
    <w:next w:val="27"/>
    <w:qFormat/>
    <w:uiPriority w:val="99"/>
    <w:pPr>
      <w:autoSpaceDE w:val="0"/>
      <w:autoSpaceDN w:val="0"/>
      <w:jc w:val="left"/>
    </w:pPr>
    <w:rPr>
      <w:rFonts w:ascii="宋体" w:hAnsi="宋体" w:cs="宋体"/>
      <w:lang w:val="zh-CN" w:bidi="zh-CN"/>
    </w:rPr>
  </w:style>
  <w:style w:type="paragraph" w:customStyle="1" w:styleId="27">
    <w:name w:val="xl87"/>
    <w:basedOn w:val="1"/>
    <w:next w:val="28"/>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8">
    <w:name w:val="xl72"/>
    <w:basedOn w:val="1"/>
    <w:next w:val="9"/>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29">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0">
    <w:name w:val="hover18"/>
    <w:basedOn w:val="18"/>
    <w:qFormat/>
    <w:uiPriority w:val="0"/>
  </w:style>
  <w:style w:type="paragraph" w:customStyle="1" w:styleId="31">
    <w:name w:val="列出段落1"/>
    <w:basedOn w:val="1"/>
    <w:qFormat/>
    <w:uiPriority w:val="0"/>
    <w:pPr>
      <w:ind w:firstLine="420" w:firstLineChars="200"/>
    </w:pPr>
    <w:rPr>
      <w:szCs w:val="21"/>
    </w:rPr>
  </w:style>
  <w:style w:type="paragraph" w:customStyle="1" w:styleId="32">
    <w:name w:val="二级无"/>
    <w:basedOn w:val="33"/>
    <w:qFormat/>
    <w:uiPriority w:val="0"/>
    <w:pPr>
      <w:spacing w:before="0" w:after="0"/>
    </w:pPr>
    <w:rPr>
      <w:rFonts w:ascii="宋体" w:eastAsia="宋体"/>
    </w:rPr>
  </w:style>
  <w:style w:type="paragraph" w:customStyle="1" w:styleId="33">
    <w:name w:val="二级条标题"/>
    <w:basedOn w:val="34"/>
    <w:next w:val="35"/>
    <w:qFormat/>
    <w:uiPriority w:val="0"/>
    <w:pPr>
      <w:numPr>
        <w:ilvl w:val="0"/>
        <w:numId w:val="0"/>
      </w:numPr>
      <w:spacing w:before="50" w:after="50"/>
      <w:ind w:left="540"/>
      <w:outlineLvl w:val="3"/>
    </w:pPr>
    <w:rPr>
      <w:rFonts w:cs="Times New Roman"/>
    </w:rPr>
  </w:style>
  <w:style w:type="paragraph" w:customStyle="1" w:styleId="34">
    <w:name w:val="一级条标题"/>
    <w:next w:val="35"/>
    <w:qFormat/>
    <w:uiPriority w:val="0"/>
    <w:pPr>
      <w:spacing w:beforeLines="50" w:afterLines="50"/>
      <w:outlineLvl w:val="2"/>
    </w:pPr>
    <w:rPr>
      <w:rFonts w:ascii="黑体" w:hAnsi="Calibri" w:eastAsia="黑体" w:cs="黑体"/>
      <w:sz w:val="21"/>
      <w:szCs w:val="21"/>
      <w:lang w:val="en-US" w:eastAsia="zh-CN" w:bidi="ar-SA"/>
    </w:rPr>
  </w:style>
  <w:style w:type="paragraph" w:customStyle="1" w:styleId="3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6">
    <w:name w:val="三级无"/>
    <w:basedOn w:val="37"/>
    <w:qFormat/>
    <w:uiPriority w:val="0"/>
    <w:pPr>
      <w:spacing w:before="0" w:after="0"/>
    </w:pPr>
    <w:rPr>
      <w:rFonts w:ascii="宋体" w:eastAsia="宋体"/>
    </w:rPr>
  </w:style>
  <w:style w:type="paragraph" w:customStyle="1" w:styleId="37">
    <w:name w:val="三级条标题"/>
    <w:basedOn w:val="33"/>
    <w:next w:val="35"/>
    <w:qFormat/>
    <w:uiPriority w:val="0"/>
    <w:pPr>
      <w:numPr>
        <w:ilvl w:val="3"/>
      </w:numPr>
      <w:outlineLvl w:val="4"/>
    </w:pPr>
  </w:style>
  <w:style w:type="paragraph" w:customStyle="1" w:styleId="38">
    <w:name w:val="正文表标题"/>
    <w:next w:val="35"/>
    <w:qFormat/>
    <w:uiPriority w:val="0"/>
    <w:pPr>
      <w:spacing w:beforeLines="50" w:afterLines="50"/>
      <w:jc w:val="center"/>
    </w:pPr>
    <w:rPr>
      <w:rFonts w:ascii="黑体" w:hAnsi="Times New Roman" w:eastAsia="黑体" w:cs="Times New Roman"/>
      <w:sz w:val="21"/>
      <w:lang w:val="en-US" w:eastAsia="zh-CN" w:bidi="ar-SA"/>
    </w:rPr>
  </w:style>
  <w:style w:type="paragraph" w:customStyle="1" w:styleId="39">
    <w:name w:val="附录图标题"/>
    <w:basedOn w:val="1"/>
    <w:next w:val="35"/>
    <w:qFormat/>
    <w:uiPriority w:val="0"/>
    <w:pPr>
      <w:spacing w:beforeLines="50" w:afterLines="50"/>
      <w:ind w:left="1190" w:hanging="567"/>
      <w:jc w:val="center"/>
    </w:pPr>
    <w:rPr>
      <w:rFonts w:ascii="黑体" w:eastAsia="黑体"/>
      <w:szCs w:val="21"/>
    </w:rPr>
  </w:style>
  <w:style w:type="paragraph" w:customStyle="1" w:styleId="40">
    <w:name w:val="普通(网站)1"/>
    <w:basedOn w:val="1"/>
    <w:qFormat/>
    <w:uiPriority w:val="0"/>
    <w:pPr>
      <w:spacing w:before="100" w:beforeAutospacing="1" w:after="100" w:afterAutospacing="1"/>
    </w:pPr>
    <w:rPr>
      <w:rFonts w:ascii="宋体" w:hAnsi="宋体" w:cs="宋体"/>
      <w:sz w:val="18"/>
      <w:szCs w:val="18"/>
    </w:rPr>
  </w:style>
  <w:style w:type="character" w:customStyle="1" w:styleId="41">
    <w:name w:val="layui-layer-tabnow"/>
    <w:basedOn w:val="18"/>
    <w:qFormat/>
    <w:uiPriority w:val="0"/>
    <w:rPr>
      <w:bdr w:val="single" w:color="CCCCCC" w:sz="6" w:space="0"/>
      <w:shd w:val="clear" w:fill="FFFFFF"/>
    </w:rPr>
  </w:style>
  <w:style w:type="character" w:customStyle="1" w:styleId="42">
    <w:name w:val="first-child"/>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5.png"/><Relationship Id="rId30" Type="http://schemas.openxmlformats.org/officeDocument/2006/relationships/image" Target="media/image14.jpeg"/><Relationship Id="rId3" Type="http://schemas.openxmlformats.org/officeDocument/2006/relationships/footnotes" Target="footnotes.xml"/><Relationship Id="rId29" Type="http://schemas.openxmlformats.org/officeDocument/2006/relationships/image" Target="media/image13.jpeg"/><Relationship Id="rId28" Type="http://schemas.openxmlformats.org/officeDocument/2006/relationships/image" Target="media/image12.jpeg"/><Relationship Id="rId27" Type="http://schemas.openxmlformats.org/officeDocument/2006/relationships/image" Target="media/image11.jpeg"/><Relationship Id="rId26" Type="http://schemas.openxmlformats.org/officeDocument/2006/relationships/image" Target="media/image10.jpeg"/><Relationship Id="rId25" Type="http://schemas.openxmlformats.org/officeDocument/2006/relationships/image" Target="media/image9.jpeg"/><Relationship Id="rId24" Type="http://schemas.openxmlformats.org/officeDocument/2006/relationships/image" Target="media/image8.jpeg"/><Relationship Id="rId23" Type="http://schemas.openxmlformats.org/officeDocument/2006/relationships/image" Target="media/image7.jpeg"/><Relationship Id="rId22" Type="http://schemas.openxmlformats.org/officeDocument/2006/relationships/image" Target="media/image6.jpeg"/><Relationship Id="rId21" Type="http://schemas.openxmlformats.org/officeDocument/2006/relationships/image" Target="media/image5.jpeg"/><Relationship Id="rId20" Type="http://schemas.openxmlformats.org/officeDocument/2006/relationships/image" Target="media/image4.jpeg"/><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81</Pages>
  <Words>40757</Words>
  <Characters>43111</Characters>
  <TotalTime>0</TotalTime>
  <ScaleCrop>false</ScaleCrop>
  <LinksUpToDate>false</LinksUpToDate>
  <CharactersWithSpaces>44127</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2024-07-12T02:47:00Z</cp:lastPrinted>
  <dcterms:modified xsi:type="dcterms:W3CDTF">2024-07-12T10:45:24Z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2052-12.1.0.16929</vt:lpwstr>
  </property>
  <property fmtid="{D5CDD505-2E9C-101B-9397-08002B2CF9AE}" pid="5" name="ICV">
    <vt:lpwstr>BB4EF32F0A414D5BB7AD7F77BFAE09CC_13</vt:lpwstr>
  </property>
</Properties>
</file>