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7"/>
        </w:tabs>
        <w:spacing w:line="360" w:lineRule="auto"/>
        <w:ind w:firstLine="2891" w:firstLineChars="400"/>
        <w:jc w:val="both"/>
        <w:rPr>
          <w:rFonts w:hint="eastAsia" w:ascii="仿宋" w:hAnsi="仿宋" w:eastAsia="仿宋" w:cs="宋体"/>
          <w:b/>
          <w:sz w:val="72"/>
          <w:szCs w:val="72"/>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val="en-US" w:eastAsia="zh-CN"/>
          <w14:textOutline w14:w="3844"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val="en-US" w:eastAsia="zh-CN"/>
          <w14:textOutline w14:w="3844"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52"/>
          <w:szCs w:val="52"/>
          <w:lang w:val="en-US" w:eastAsia="zh-CN"/>
          <w14:textOutline w14:w="3844" w14:cap="flat" w14:cmpd="sng">
            <w14:solidFill>
              <w14:srgbClr w14:val="000000"/>
            </w14:solidFill>
            <w14:prstDash w14:val="solid"/>
            <w14:miter w14:val="0"/>
          </w14:textOutline>
        </w:rPr>
        <w:t>南阳市政府采购项目</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征集文件</w:t>
      </w:r>
    </w:p>
    <w:p>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val="0"/>
          <w:bCs w:val="0"/>
          <w:spacing w:val="-17"/>
          <w:sz w:val="32"/>
          <w:szCs w:val="32"/>
          <w:u w:val="single"/>
          <w:lang w:val="en-US" w:eastAsia="zh-CN"/>
        </w:rPr>
      </w:pPr>
      <w:r>
        <w:rPr>
          <w:rFonts w:hint="eastAsia" w:asciiTheme="minorEastAsia" w:hAnsiTheme="minorEastAsia" w:eastAsiaTheme="minorEastAsia" w:cstheme="minorEastAsia"/>
          <w:b/>
          <w:bCs/>
          <w:spacing w:val="-17"/>
          <w:sz w:val="36"/>
          <w:szCs w:val="36"/>
          <w:lang w:val="en-US" w:eastAsia="zh-CN"/>
        </w:rPr>
        <w:t>项目名称：</w:t>
      </w:r>
      <w:r>
        <w:rPr>
          <w:rFonts w:hint="eastAsia" w:asciiTheme="minorEastAsia" w:hAnsiTheme="minorEastAsia" w:eastAsiaTheme="minorEastAsia" w:cstheme="minorEastAsia"/>
          <w:b w:val="0"/>
          <w:bCs w:val="0"/>
          <w:spacing w:val="-17"/>
          <w:sz w:val="32"/>
          <w:szCs w:val="32"/>
          <w:u w:val="single"/>
          <w:lang w:val="en-US" w:eastAsia="zh-CN"/>
        </w:rPr>
        <w:t>南阳市财政局财政投资评审第三方服务框架协议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2860" w:firstLineChars="1000"/>
        <w:jc w:val="both"/>
        <w:textAlignment w:val="baseline"/>
        <w:rPr>
          <w:rFonts w:hint="eastAsia" w:asciiTheme="minorEastAsia" w:hAnsiTheme="minorEastAsia" w:eastAsiaTheme="minorEastAsia" w:cstheme="minorEastAsia"/>
          <w:b/>
          <w:bCs/>
          <w:spacing w:val="-17"/>
          <w:sz w:val="36"/>
          <w:szCs w:val="36"/>
          <w:lang w:val="en-US" w:eastAsia="zh-CN"/>
        </w:rPr>
      </w:pPr>
      <w:r>
        <w:rPr>
          <w:rFonts w:hint="eastAsia" w:asciiTheme="minorEastAsia" w:hAnsiTheme="minorEastAsia" w:eastAsiaTheme="minorEastAsia" w:cstheme="minorEastAsia"/>
          <w:b w:val="0"/>
          <w:bCs w:val="0"/>
          <w:spacing w:val="-17"/>
          <w:sz w:val="32"/>
          <w:szCs w:val="32"/>
          <w:u w:val="single"/>
          <w:lang w:val="en-US" w:eastAsia="zh-CN"/>
        </w:rPr>
        <w:t>（2024-2025）采购项目</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default" w:asciiTheme="minorEastAsia" w:hAnsiTheme="minorEastAsia" w:eastAsiaTheme="minorEastAsia" w:cstheme="minorEastAsia"/>
          <w:b w:val="0"/>
          <w:bCs w:val="0"/>
          <w:spacing w:val="-17"/>
          <w:sz w:val="32"/>
          <w:szCs w:val="32"/>
          <w:u w:val="single"/>
          <w:lang w:val="en-US" w:eastAsia="zh-CN"/>
        </w:rPr>
      </w:pPr>
      <w:r>
        <w:rPr>
          <w:rFonts w:hint="eastAsia" w:asciiTheme="minorEastAsia" w:hAnsiTheme="minorEastAsia" w:eastAsiaTheme="minorEastAsia" w:cstheme="minorEastAsia"/>
          <w:b/>
          <w:bCs/>
          <w:spacing w:val="-17"/>
          <w:sz w:val="36"/>
          <w:szCs w:val="36"/>
          <w:lang w:val="en-US" w:eastAsia="zh-CN"/>
        </w:rPr>
        <w:t>项目编号：</w:t>
      </w:r>
      <w:r>
        <w:rPr>
          <w:rFonts w:hint="eastAsia" w:asciiTheme="minorEastAsia" w:hAnsiTheme="minorEastAsia" w:eastAsiaTheme="minorEastAsia" w:cstheme="minorEastAsia"/>
          <w:b w:val="0"/>
          <w:bCs w:val="0"/>
          <w:spacing w:val="-17"/>
          <w:sz w:val="32"/>
          <w:szCs w:val="32"/>
          <w:u w:val="single"/>
          <w:lang w:val="en-US" w:eastAsia="zh-CN"/>
        </w:rPr>
        <w:t>南阳政采公开-2024-43</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val="0"/>
          <w:bCs w:val="0"/>
          <w:spacing w:val="-17"/>
          <w:sz w:val="32"/>
          <w:szCs w:val="32"/>
          <w:u w:val="single"/>
          <w:lang w:val="en-US" w:eastAsia="zh-CN"/>
        </w:rPr>
      </w:pPr>
      <w:r>
        <w:rPr>
          <w:rFonts w:hint="eastAsia" w:asciiTheme="minorEastAsia" w:hAnsiTheme="minorEastAsia" w:eastAsiaTheme="minorEastAsia" w:cstheme="minorEastAsia"/>
          <w:b/>
          <w:bCs/>
          <w:spacing w:val="-17"/>
          <w:sz w:val="32"/>
          <w:szCs w:val="32"/>
          <w:lang w:val="en-US" w:eastAsia="zh-CN"/>
        </w:rPr>
        <w:t>征集人</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val="0"/>
          <w:bCs w:val="0"/>
          <w:spacing w:val="-17"/>
          <w:sz w:val="32"/>
          <w:szCs w:val="32"/>
          <w:u w:val="single"/>
          <w:lang w:val="en-US" w:eastAsia="zh-CN"/>
        </w:rPr>
        <w:t xml:space="preserve">南阳市财政局         </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val="0"/>
          <w:bCs w:val="0"/>
          <w:spacing w:val="-17"/>
          <w:sz w:val="32"/>
          <w:szCs w:val="32"/>
          <w:u w:val="single"/>
          <w:lang w:val="en-US" w:eastAsia="zh-CN"/>
        </w:rPr>
        <w:t xml:space="preserve">南阳市公共资源交易中心    </w:t>
      </w:r>
      <w:r>
        <w:rPr>
          <w:rFonts w:hint="eastAsia" w:asciiTheme="minorEastAsia" w:hAnsiTheme="minorEastAsia" w:eastAsiaTheme="minorEastAsia" w:cstheme="minorEastAsia"/>
          <w:b/>
          <w:bCs/>
          <w:spacing w:val="-17"/>
          <w:sz w:val="32"/>
          <w:szCs w:val="32"/>
          <w:u w:val="single"/>
          <w:lang w:val="en-US" w:eastAsia="zh-CN"/>
        </w:rPr>
        <w:t xml:space="preserve">    </w:t>
      </w:r>
    </w:p>
    <w:p>
      <w:pPr>
        <w:pStyle w:val="5"/>
        <w:keepNext w:val="0"/>
        <w:keepLines w:val="0"/>
        <w:pageBreakBefore w:val="0"/>
        <w:kinsoku/>
        <w:wordWrap w:val="0"/>
        <w:overflowPunct/>
        <w:topLinePunct w:val="0"/>
        <w:bidi w:val="0"/>
        <w:spacing w:before="353" w:line="222" w:lineRule="auto"/>
        <w:jc w:val="both"/>
        <w:rPr>
          <w:rFonts w:hint="eastAsia" w:asciiTheme="minorEastAsia" w:hAnsiTheme="minorEastAsia" w:eastAsiaTheme="minorEastAsia" w:cstheme="minorEastAsia"/>
          <w:sz w:val="21"/>
          <w:szCs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pPr>
            <w:pStyle w:val="5"/>
            <w:keepNext w:val="0"/>
            <w:keepLines w:val="0"/>
            <w:pageBreakBefore w:val="0"/>
            <w:kinsoku/>
            <w:wordWrap w:val="0"/>
            <w:overflowPunct/>
            <w:topLinePunct w:val="0"/>
            <w:bidi w:val="0"/>
            <w:jc w:val="both"/>
            <w:rPr>
              <w:rFonts w:hint="eastAsia"/>
              <w:shd w:val="clear" w:color="FFFFFF" w:fill="D9D9D9"/>
            </w:rPr>
          </w:pPr>
        </w:p>
        <w:p>
          <w:pPr>
            <w:pStyle w:val="5"/>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征集</w:t>
          </w:r>
          <w:r>
            <w:rPr>
              <w:rFonts w:hint="eastAsia"/>
              <w:sz w:val="28"/>
              <w:szCs w:val="28"/>
              <w:lang w:eastAsia="zh-CN"/>
            </w:rPr>
            <w:t>公告</w:t>
          </w:r>
        </w:p>
        <w:p>
          <w:pPr>
            <w:pStyle w:val="5"/>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pPr>
            <w:pStyle w:val="5"/>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lang w:eastAsia="zh-CN"/>
            </w:rPr>
            <w:t>供应商</w:t>
          </w:r>
          <w:r>
            <w:rPr>
              <w:rFonts w:hint="eastAsia"/>
              <w:sz w:val="28"/>
              <w:szCs w:val="28"/>
            </w:rPr>
            <w:t>须知</w:t>
          </w:r>
        </w:p>
        <w:p>
          <w:pPr>
            <w:pStyle w:val="5"/>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lang w:eastAsia="zh-CN"/>
            </w:rPr>
            <w:t>评审</w:t>
          </w:r>
          <w:r>
            <w:rPr>
              <w:rFonts w:hint="eastAsia"/>
              <w:sz w:val="28"/>
              <w:szCs w:val="28"/>
            </w:rPr>
            <w:t>程序、</w:t>
          </w:r>
          <w:r>
            <w:rPr>
              <w:rFonts w:hint="eastAsia"/>
              <w:sz w:val="28"/>
              <w:szCs w:val="28"/>
              <w:lang w:eastAsia="zh-CN"/>
            </w:rPr>
            <w:t>评审</w:t>
          </w:r>
          <w:r>
            <w:rPr>
              <w:rFonts w:hint="eastAsia"/>
              <w:sz w:val="28"/>
              <w:szCs w:val="28"/>
            </w:rPr>
            <w:t>方法和</w:t>
          </w:r>
          <w:r>
            <w:rPr>
              <w:rFonts w:hint="eastAsia"/>
              <w:sz w:val="28"/>
              <w:szCs w:val="28"/>
              <w:lang w:eastAsia="zh-CN"/>
            </w:rPr>
            <w:t>评审</w:t>
          </w:r>
          <w:r>
            <w:rPr>
              <w:rFonts w:hint="eastAsia"/>
              <w:sz w:val="28"/>
              <w:szCs w:val="28"/>
            </w:rPr>
            <w:t>标准</w:t>
          </w:r>
        </w:p>
        <w:p>
          <w:pPr>
            <w:pStyle w:val="5"/>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pPr>
            <w:pStyle w:val="5"/>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val="en-US"/>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lang w:eastAsia="zh-CN"/>
            </w:rPr>
            <w:t>响应文件</w:t>
          </w:r>
          <w:r>
            <w:rPr>
              <w:rFonts w:hint="eastAsia"/>
              <w:sz w:val="28"/>
              <w:szCs w:val="28"/>
            </w:rPr>
            <w:t>格式</w:t>
          </w:r>
        </w:p>
      </w:sdtContent>
    </w:sdt>
    <w:p>
      <w:pPr>
        <w:pStyle w:val="20"/>
        <w:rPr>
          <w:rFonts w:hint="eastAsia"/>
        </w:rPr>
      </w:pPr>
    </w:p>
    <w:p>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sectPr>
          <w:footerReference r:id="rId7" w:type="default"/>
          <w:pgSz w:w="11907" w:h="16840"/>
          <w:pgMar w:top="1440" w:right="1800" w:bottom="1440" w:left="1800" w:header="878" w:footer="886" w:gutter="0"/>
          <w:pgNumType w:fmt="decimal"/>
          <w:cols w:space="720" w:num="1"/>
        </w:sectPr>
      </w:pPr>
    </w:p>
    <w:p>
      <w:pPr>
        <w:pStyle w:val="5"/>
        <w:keepNext w:val="0"/>
        <w:keepLines w:val="0"/>
        <w:pageBreakBefore w:val="0"/>
        <w:kinsoku/>
        <w:wordWrap w:val="0"/>
        <w:overflowPunct/>
        <w:topLinePunct w:val="0"/>
        <w:bidi w:val="0"/>
        <w:spacing w:before="353" w:line="360" w:lineRule="auto"/>
        <w:ind w:firstLine="2506" w:firstLineChars="700"/>
        <w:jc w:val="both"/>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征集</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公告</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4"/>
          <w:sz w:val="24"/>
          <w:szCs w:val="24"/>
          <w:lang w:val="en-US" w:eastAsia="zh-CN"/>
        </w:rPr>
        <w:t>南阳市财政局财政投资评审第三方服务框架协议（2024-2025）采购项目</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300</w:t>
      </w:r>
      <w:r>
        <w:rPr>
          <w:rFonts w:hint="eastAsia" w:asciiTheme="minorEastAsia" w:hAnsiTheme="minorEastAsia" w:eastAsiaTheme="minorEastAsia" w:cstheme="minorEastAsia"/>
          <w:spacing w:val="-14"/>
          <w:sz w:val="24"/>
          <w:szCs w:val="24"/>
        </w:rPr>
        <w:t>万元、项目最高限价</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300</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仅供参考</w:t>
      </w:r>
      <w:r>
        <w:rPr>
          <w:rFonts w:hint="eastAsia" w:asciiTheme="minorEastAsia" w:hAnsiTheme="minorEastAsia" w:eastAsiaTheme="minorEastAsia" w:cstheme="minorEastAsia"/>
          <w:spacing w:val="-14"/>
          <w:sz w:val="24"/>
          <w:szCs w:val="24"/>
          <w:lang w:eastAsia="zh-CN"/>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1"/>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项目编号-</w:t>
            </w:r>
            <w:r>
              <w:rPr>
                <w:rFonts w:hint="eastAsia" w:asciiTheme="minorEastAsia" w:hAnsiTheme="minorEastAsia" w:eastAsiaTheme="minorEastAsia" w:cstheme="minorEastAsia"/>
                <w:spacing w:val="14"/>
                <w:sz w:val="24"/>
                <w:szCs w:val="24"/>
              </w:rPr>
              <w:t>1</w:t>
            </w:r>
          </w:p>
        </w:tc>
        <w:tc>
          <w:tcPr>
            <w:tcW w:w="4215" w:type="dxa"/>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南阳市财政局财政投资评审第三方服务框架协议（2024-2025）采购项目</w:t>
            </w:r>
          </w:p>
        </w:tc>
        <w:tc>
          <w:tcPr>
            <w:tcW w:w="2321" w:type="dxa"/>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720" w:firstLineChars="30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300</w:t>
            </w:r>
          </w:p>
        </w:tc>
      </w:tr>
    </w:tbl>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pPr>
        <w:ind w:firstLine="476" w:firstLineChars="200"/>
        <w:jc w:val="left"/>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napToGrid w:val="0"/>
          <w:color w:val="000000"/>
          <w:spacing w:val="-1"/>
          <w:kern w:val="0"/>
          <w:sz w:val="24"/>
          <w:szCs w:val="24"/>
          <w:lang w:val="en-US" w:eastAsia="en-US" w:bidi="ar-SA"/>
        </w:rPr>
        <w:t>接受南阳市财政局的委托，对财政投资项目预算、结算提供评审服务</w:t>
      </w:r>
      <w:r>
        <w:rPr>
          <w:rFonts w:hint="eastAsia" w:asciiTheme="minorEastAsia" w:hAnsiTheme="minorEastAsia" w:eastAsiaTheme="minorEastAsia" w:cstheme="minorEastAsia"/>
          <w:snapToGrid w:val="0"/>
          <w:color w:val="000000"/>
          <w:spacing w:val="-1"/>
          <w:kern w:val="0"/>
          <w:sz w:val="24"/>
          <w:szCs w:val="24"/>
          <w:lang w:val="en-US" w:eastAsia="zh-CN" w:bidi="ar-SA"/>
        </w:rPr>
        <w:t>。评审服务</w:t>
      </w:r>
      <w:r>
        <w:rPr>
          <w:rFonts w:hint="eastAsia" w:asciiTheme="minorEastAsia" w:hAnsiTheme="minorEastAsia" w:eastAsiaTheme="minorEastAsia" w:cstheme="minorEastAsia"/>
          <w:snapToGrid w:val="0"/>
          <w:color w:val="000000"/>
          <w:spacing w:val="-1"/>
          <w:kern w:val="0"/>
          <w:sz w:val="24"/>
          <w:szCs w:val="24"/>
          <w:lang w:val="en-US" w:eastAsia="en-US" w:bidi="ar-SA"/>
        </w:rPr>
        <w:t>符合国家、河南省、</w:t>
      </w:r>
      <w:r>
        <w:rPr>
          <w:rFonts w:hint="eastAsia" w:asciiTheme="minorEastAsia" w:hAnsiTheme="minorEastAsia" w:eastAsiaTheme="minorEastAsia" w:cstheme="minorEastAsia"/>
          <w:snapToGrid w:val="0"/>
          <w:color w:val="000000"/>
          <w:spacing w:val="-1"/>
          <w:kern w:val="0"/>
          <w:sz w:val="24"/>
          <w:szCs w:val="24"/>
          <w:lang w:val="en-US" w:eastAsia="zh-CN" w:bidi="ar-SA"/>
        </w:rPr>
        <w:t>南阳</w:t>
      </w:r>
      <w:r>
        <w:rPr>
          <w:rFonts w:hint="eastAsia" w:asciiTheme="minorEastAsia" w:hAnsiTheme="minorEastAsia" w:eastAsiaTheme="minorEastAsia" w:cstheme="minorEastAsia"/>
          <w:snapToGrid w:val="0"/>
          <w:color w:val="000000"/>
          <w:spacing w:val="-1"/>
          <w:kern w:val="0"/>
          <w:sz w:val="24"/>
          <w:szCs w:val="24"/>
          <w:lang w:val="en-US" w:eastAsia="en-US" w:bidi="ar-SA"/>
        </w:rPr>
        <w:t>市有关文件规定及服务对象要求</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lang w:val="en-US" w:eastAsia="zh-CN"/>
        </w:rPr>
        <w:t>框架协议</w:t>
      </w:r>
      <w:r>
        <w:rPr>
          <w:rFonts w:hint="eastAsia" w:asciiTheme="minorEastAsia" w:hAnsiTheme="minorEastAsia" w:eastAsiaTheme="minorEastAsia" w:cstheme="minorEastAsia"/>
          <w:spacing w:val="-5"/>
          <w:sz w:val="24"/>
          <w:szCs w:val="24"/>
        </w:rPr>
        <w:t>期限：</w:t>
      </w:r>
      <w:r>
        <w:rPr>
          <w:rFonts w:hint="eastAsia" w:asciiTheme="minorEastAsia" w:hAnsiTheme="minorEastAsia" w:eastAsiaTheme="minorEastAsia" w:cstheme="minorEastAsia"/>
          <w:spacing w:val="-5"/>
          <w:sz w:val="24"/>
          <w:szCs w:val="24"/>
          <w:lang w:val="en-US" w:eastAsia="zh-CN"/>
        </w:rPr>
        <w:t>两年</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申请人具备的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w:t>
      </w:r>
      <w:r>
        <w:rPr>
          <w:rFonts w:hint="eastAsia" w:asciiTheme="minorEastAsia" w:hAnsiTheme="minorEastAsia" w:eastAsiaTheme="minorEastAsia" w:cstheme="minorEastAsia"/>
          <w:spacing w:val="-1"/>
          <w:sz w:val="24"/>
          <w:szCs w:val="24"/>
          <w:lang w:eastAsia="zh-CN"/>
          <w14:textOutline w14:w="1537" w14:cap="flat" w14:cmpd="sng">
            <w14:solidFill>
              <w14:srgbClr w14:val="000000"/>
            </w14:solidFill>
            <w14:prstDash w14:val="solid"/>
            <w14:miter w14:val="0"/>
          </w14:textOutline>
        </w:rPr>
        <w:t>征集文件</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8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8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8</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18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bookmarkStart w:id="4" w:name="_GoBack"/>
      <w:bookmarkEnd w:id="4"/>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征集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w:t>
      </w:r>
      <w:r>
        <w:rPr>
          <w:rFonts w:hint="eastAsia" w:asciiTheme="minorEastAsia" w:hAnsiTheme="minorEastAsia" w:eastAsiaTheme="minorEastAsia" w:cstheme="minorEastAsia"/>
          <w:spacing w:val="-4"/>
          <w:sz w:val="24"/>
          <w:szCs w:val="24"/>
          <w:lang w:val="en-US" w:eastAsia="zh-CN"/>
        </w:rPr>
        <w:t>详见：https://ggzyjy.nanyang.gov.cn/ptdl/011009/single.html</w:t>
      </w:r>
      <w:r>
        <w:rPr>
          <w:rFonts w:hint="eastAsia" w:asciiTheme="minorEastAsia" w:hAnsiTheme="minorEastAsia" w:eastAsiaTheme="minorEastAsia" w:cstheme="minorEastAsia"/>
          <w:spacing w:val="-4"/>
          <w:sz w:val="24"/>
          <w:szCs w:val="24"/>
          <w:lang w:eastAsia="zh-CN"/>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。供应商须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电子响应文件，电子响应文件需要使用响应文件制作工具制作，制作工具及操作手册可在南阳市公共资源交易中心网站“下载专区”中下载。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电子响应文件应在征集文件规定的响应截止时间前到达交易系统。逾期到达交易系统的电子响应文件视为放弃本次投标。</w:t>
      </w:r>
    </w:p>
    <w:p>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因供应商无需现场参与开标，所有准备工作需要自行到位。开标过程中如遇到紧急事项，可在不见面开标大厅中进行提出异议或文字交流，严重问题可拨打技术支持电话0377-61176137。不见面开标过程中，如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供应商准备不到位、网络问题等情况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造成开标无法继续的，视为该供应商自动放弃投标，将被退回响应文件”。电子交易系统技术支持电话：400-998-0000。</w:t>
      </w:r>
    </w:p>
    <w:p>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val="en-US"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w:t>
      </w:r>
      <w:r>
        <w:rPr>
          <w:rFonts w:hint="eastAsia" w:asciiTheme="minorEastAsia" w:hAnsiTheme="minorEastAsia" w:eastAsiaTheme="minorEastAsia" w:cstheme="minorEastAsia"/>
          <w:sz w:val="24"/>
          <w:szCs w:val="24"/>
          <w:lang w:eastAsia="zh-CN"/>
          <w14:textOutline w14:w="1537" w14:cap="flat" w14:cmpd="sng">
            <w14:solidFill>
              <w14:srgbClr w14:val="000000"/>
            </w14:solidFill>
            <w14:prstDash w14:val="solid"/>
            <w14:miter w14:val="0"/>
          </w14:textOutline>
        </w:rPr>
        <w:t>响应文件</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截止时间、开标时间和地点</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响应</w:t>
      </w:r>
      <w:r>
        <w:rPr>
          <w:rFonts w:hint="eastAsia" w:asciiTheme="minorEastAsia" w:hAnsiTheme="minorEastAsia" w:eastAsiaTheme="minorEastAsia" w:cstheme="minorEastAsia"/>
          <w:spacing w:val="-14"/>
          <w:sz w:val="24"/>
          <w:szCs w:val="24"/>
        </w:rPr>
        <w:t>截止时间、开标时间：</w:t>
      </w:r>
      <w:r>
        <w:rPr>
          <w:rFonts w:hint="eastAsia" w:asciiTheme="minorEastAsia" w:hAnsiTheme="minorEastAsia" w:eastAsiaTheme="minorEastAsia" w:cstheme="minorEastAsia"/>
          <w:spacing w:val="-14"/>
          <w:sz w:val="24"/>
          <w:szCs w:val="24"/>
          <w:u w:val="single"/>
          <w:lang w:val="en-US" w:eastAsia="zh-CN"/>
        </w:rPr>
        <w:t xml:space="preserve">  2024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8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23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点（北</w:t>
      </w:r>
      <w:r>
        <w:rPr>
          <w:rFonts w:hint="eastAsia" w:asciiTheme="minorEastAsia" w:hAnsiTheme="minorEastAsia" w:eastAsiaTheme="minorEastAsia" w:cstheme="minorEastAsia"/>
          <w:spacing w:val="-15"/>
          <w:sz w:val="24"/>
          <w:szCs w:val="24"/>
        </w:rPr>
        <w:t>京时间）。</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spacing w:val="-17"/>
          <w:sz w:val="24"/>
          <w:szCs w:val="24"/>
          <w:u w:val="single"/>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none"/>
          <w:lang w:val="en-US" w:eastAsia="zh-CN"/>
        </w:rPr>
        <w:t xml:space="preserve">   2024 </w:t>
      </w:r>
      <w:r>
        <w:rPr>
          <w:rFonts w:hint="eastAsia" w:asciiTheme="minorEastAsia" w:hAnsiTheme="minorEastAsia" w:eastAsiaTheme="minorEastAsia" w:cstheme="minorEastAsia"/>
          <w:spacing w:val="-13"/>
          <w:sz w:val="24"/>
          <w:szCs w:val="24"/>
          <w:u w:val="none"/>
        </w:rPr>
        <w:t>年</w:t>
      </w:r>
      <w:r>
        <w:rPr>
          <w:rFonts w:hint="eastAsia" w:asciiTheme="minorEastAsia" w:hAnsiTheme="minorEastAsia" w:eastAsiaTheme="minorEastAsia" w:cstheme="minorEastAsia"/>
          <w:spacing w:val="-13"/>
          <w:sz w:val="24"/>
          <w:szCs w:val="24"/>
          <w:u w:val="none"/>
          <w:lang w:val="en-US" w:eastAsia="zh-CN"/>
        </w:rPr>
        <w:t xml:space="preserve"> 8 </w:t>
      </w:r>
      <w:r>
        <w:rPr>
          <w:rFonts w:hint="eastAsia" w:asciiTheme="minorEastAsia" w:hAnsiTheme="minorEastAsia" w:eastAsiaTheme="minorEastAsia" w:cstheme="minorEastAsia"/>
          <w:spacing w:val="-13"/>
          <w:sz w:val="24"/>
          <w:szCs w:val="24"/>
          <w:u w:val="none"/>
        </w:rPr>
        <w:t>月</w:t>
      </w:r>
      <w:r>
        <w:rPr>
          <w:rFonts w:hint="eastAsia" w:asciiTheme="minorEastAsia" w:hAnsiTheme="minorEastAsia" w:eastAsiaTheme="minorEastAsia" w:cstheme="minorEastAsia"/>
          <w:spacing w:val="-13"/>
          <w:sz w:val="24"/>
          <w:szCs w:val="24"/>
          <w:u w:val="none"/>
          <w:lang w:val="en-US" w:eastAsia="zh-CN"/>
        </w:rPr>
        <w:t xml:space="preserve"> 5 </w:t>
      </w:r>
      <w:r>
        <w:rPr>
          <w:rFonts w:hint="eastAsia" w:asciiTheme="minorEastAsia" w:hAnsiTheme="minorEastAsia" w:eastAsiaTheme="minorEastAsia" w:cstheme="minorEastAsia"/>
          <w:spacing w:val="-13"/>
          <w:sz w:val="24"/>
          <w:szCs w:val="24"/>
          <w:u w:val="none"/>
        </w:rPr>
        <w:t>日至</w:t>
      </w:r>
      <w:r>
        <w:rPr>
          <w:rFonts w:hint="eastAsia" w:asciiTheme="minorEastAsia" w:hAnsiTheme="minorEastAsia" w:eastAsiaTheme="minorEastAsia" w:cstheme="minorEastAsia"/>
          <w:spacing w:val="-13"/>
          <w:sz w:val="24"/>
          <w:szCs w:val="24"/>
          <w:u w:val="none"/>
          <w:lang w:val="en-US" w:eastAsia="zh-CN"/>
        </w:rPr>
        <w:t xml:space="preserve"> 2024</w:t>
      </w:r>
      <w:r>
        <w:rPr>
          <w:rFonts w:hint="eastAsia" w:asciiTheme="minorEastAsia" w:hAnsiTheme="minorEastAsia" w:eastAsiaTheme="minorEastAsia" w:cstheme="minorEastAsia"/>
          <w:spacing w:val="-13"/>
          <w:sz w:val="24"/>
          <w:szCs w:val="24"/>
          <w:u w:val="none"/>
        </w:rPr>
        <w:t>年</w:t>
      </w:r>
      <w:r>
        <w:rPr>
          <w:rFonts w:hint="eastAsia" w:asciiTheme="minorEastAsia" w:hAnsiTheme="minorEastAsia" w:eastAsiaTheme="minorEastAsia" w:cstheme="minorEastAsia"/>
          <w:spacing w:val="-13"/>
          <w:sz w:val="24"/>
          <w:szCs w:val="24"/>
          <w:u w:val="none"/>
          <w:lang w:val="en-US" w:eastAsia="zh-CN"/>
        </w:rPr>
        <w:t xml:space="preserve"> 8 </w:t>
      </w:r>
      <w:r>
        <w:rPr>
          <w:rFonts w:hint="eastAsia" w:asciiTheme="minorEastAsia" w:hAnsiTheme="minorEastAsia" w:eastAsiaTheme="minorEastAsia" w:cstheme="minorEastAsia"/>
          <w:spacing w:val="-13"/>
          <w:sz w:val="24"/>
          <w:szCs w:val="24"/>
          <w:u w:val="none"/>
        </w:rPr>
        <w:t>月</w:t>
      </w:r>
      <w:r>
        <w:rPr>
          <w:rFonts w:hint="eastAsia" w:asciiTheme="minorEastAsia" w:hAnsiTheme="minorEastAsia" w:eastAsiaTheme="minorEastAsia" w:cstheme="minorEastAsia"/>
          <w:spacing w:val="-13"/>
          <w:sz w:val="24"/>
          <w:szCs w:val="24"/>
          <w:u w:val="none"/>
          <w:lang w:val="en-US" w:eastAsia="zh-CN"/>
        </w:rPr>
        <w:t xml:space="preserve">9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5"/>
          <w:sz w:val="24"/>
          <w:szCs w:val="24"/>
          <w:lang w:val="en-US" w:eastAsia="zh-CN"/>
          <w14:textOutline w14:w="1537" w14:cap="flat" w14:cmpd="sng">
            <w14:solidFill>
              <w14:srgbClr w14:val="000000"/>
            </w14:solidFill>
            <w14:prstDash w14:val="solid"/>
            <w14:miter w14:val="0"/>
          </w14:textOutline>
        </w:rPr>
        <w:t>征集</w:t>
      </w: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人信息</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南阳市财政局</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地址：南阳市张衡东路396号</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联系人：李先生</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spacing w:val="4"/>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0377-62376456</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val="en-US" w:eastAsia="zh-CN"/>
        </w:rPr>
        <w:t>南阳市范蠡东路与南都路交叉口市民服务中心中区3号楼5楼</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联系人：潘高</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 xml:space="preserve">0377-61176178 </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仿宋_GB2312" w:hAnsi="宋体" w:eastAsia="仿宋_GB2312"/>
          <w:color w:val="0000FF"/>
          <w:sz w:val="28"/>
          <w:szCs w:val="28"/>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19"/>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w:t>
      </w:r>
      <w:r>
        <w:rPr>
          <w:rFonts w:hint="eastAsia" w:asciiTheme="minorEastAsia" w:hAnsiTheme="minorEastAsia" w:eastAsiaTheme="minorEastAsia" w:cstheme="minorEastAsia"/>
          <w:spacing w:val="-15"/>
          <w:sz w:val="24"/>
          <w:szCs w:val="24"/>
          <w:lang w:eastAsia="zh-CN"/>
        </w:rPr>
        <w:t xml:space="preserve">nyszfcgzx@126.com </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lang w:val="en-US"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564" w:firstLineChars="2600"/>
        <w:jc w:val="both"/>
        <w:textAlignment w:val="baseline"/>
        <w:outlineLvl w:val="1"/>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3"/>
          <w:sz w:val="24"/>
          <w:szCs w:val="24"/>
          <w:u w:val="none"/>
          <w:lang w:val="en-US" w:eastAsia="zh-CN"/>
        </w:rPr>
        <w:t xml:space="preserve">2024 </w:t>
      </w:r>
      <w:r>
        <w:rPr>
          <w:rFonts w:hint="eastAsia" w:asciiTheme="minorEastAsia" w:hAnsiTheme="minorEastAsia" w:eastAsiaTheme="minorEastAsia" w:cstheme="minorEastAsia"/>
          <w:spacing w:val="-13"/>
          <w:sz w:val="24"/>
          <w:szCs w:val="24"/>
          <w:u w:val="none"/>
        </w:rPr>
        <w:t>年</w:t>
      </w:r>
      <w:r>
        <w:rPr>
          <w:rFonts w:hint="eastAsia" w:asciiTheme="minorEastAsia" w:hAnsiTheme="minorEastAsia" w:eastAsiaTheme="minorEastAsia" w:cstheme="minorEastAsia"/>
          <w:spacing w:val="-13"/>
          <w:sz w:val="24"/>
          <w:szCs w:val="24"/>
          <w:u w:val="none"/>
          <w:lang w:val="en-US" w:eastAsia="zh-CN"/>
        </w:rPr>
        <w:t xml:space="preserve">  8  </w:t>
      </w:r>
      <w:r>
        <w:rPr>
          <w:rFonts w:hint="eastAsia" w:asciiTheme="minorEastAsia" w:hAnsiTheme="minorEastAsia" w:eastAsiaTheme="minorEastAsia" w:cstheme="minorEastAsia"/>
          <w:spacing w:val="-13"/>
          <w:sz w:val="24"/>
          <w:szCs w:val="24"/>
          <w:u w:val="none"/>
        </w:rPr>
        <w:t>月</w:t>
      </w:r>
      <w:r>
        <w:rPr>
          <w:rFonts w:hint="eastAsia" w:asciiTheme="minorEastAsia" w:hAnsiTheme="minorEastAsia" w:eastAsiaTheme="minorEastAsia" w:cstheme="minorEastAsia"/>
          <w:spacing w:val="-13"/>
          <w:sz w:val="24"/>
          <w:szCs w:val="24"/>
          <w:u w:val="none"/>
          <w:lang w:val="en-US" w:eastAsia="zh-CN"/>
        </w:rPr>
        <w:t xml:space="preserve">  2  </w:t>
      </w:r>
      <w:r>
        <w:rPr>
          <w:rFonts w:hint="eastAsia" w:asciiTheme="minorEastAsia" w:hAnsiTheme="minorEastAsia" w:eastAsiaTheme="minorEastAsia" w:cstheme="minorEastAsia"/>
          <w:spacing w:val="-13"/>
          <w:sz w:val="24"/>
          <w:szCs w:val="24"/>
        </w:rPr>
        <w:t>日</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1.采购需求</w:t>
      </w:r>
    </w:p>
    <w:p>
      <w:pPr>
        <w:pStyle w:val="20"/>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接受南阳市财政局的委托，对财政投资项目预算、结算提供评审服务</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pPr>
        <w:pStyle w:val="20"/>
        <w:numPr>
          <w:ilvl w:val="0"/>
          <w:numId w:val="1"/>
        </w:numPr>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计费标准</w:t>
      </w:r>
    </w:p>
    <w:p>
      <w:pPr>
        <w:pStyle w:val="20"/>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（1）工程预算审查委托费</w:t>
      </w:r>
    </w:p>
    <w:p>
      <w:pPr>
        <w:pStyle w:val="20"/>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工程预算审查委托费=基本费计算基数*基本费费率+审减追加费计算基数*审减追加费费率。</w:t>
      </w:r>
    </w:p>
    <w:p>
      <w:pPr>
        <w:pStyle w:val="20"/>
        <w:ind w:firstLine="476" w:firstLineChars="200"/>
        <w:rPr>
          <w:rFonts w:hint="default"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工程预算审查委托费费率表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722"/>
        <w:gridCol w:w="1814"/>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档次</w:t>
            </w:r>
          </w:p>
        </w:tc>
        <w:tc>
          <w:tcPr>
            <w:tcW w:w="2722"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工程造价</w:t>
            </w:r>
          </w:p>
        </w:tc>
        <w:tc>
          <w:tcPr>
            <w:tcW w:w="1814"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基本费费率</w:t>
            </w:r>
          </w:p>
        </w:tc>
        <w:tc>
          <w:tcPr>
            <w:tcW w:w="2254"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审减追加费费率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w:t>
            </w:r>
          </w:p>
        </w:tc>
        <w:tc>
          <w:tcPr>
            <w:tcW w:w="2722"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500万元以下</w:t>
            </w:r>
          </w:p>
        </w:tc>
        <w:tc>
          <w:tcPr>
            <w:tcW w:w="181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0.8‰</w:t>
            </w:r>
          </w:p>
        </w:tc>
        <w:tc>
          <w:tcPr>
            <w:tcW w:w="225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p>
        </w:tc>
        <w:tc>
          <w:tcPr>
            <w:tcW w:w="2722"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500万元-1000万元</w:t>
            </w:r>
          </w:p>
        </w:tc>
        <w:tc>
          <w:tcPr>
            <w:tcW w:w="181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0.8‰</w:t>
            </w:r>
          </w:p>
        </w:tc>
        <w:tc>
          <w:tcPr>
            <w:tcW w:w="225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3</w:t>
            </w:r>
          </w:p>
        </w:tc>
        <w:tc>
          <w:tcPr>
            <w:tcW w:w="2722"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1000万元-5000万元</w:t>
            </w:r>
          </w:p>
        </w:tc>
        <w:tc>
          <w:tcPr>
            <w:tcW w:w="181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0.7‰</w:t>
            </w:r>
          </w:p>
        </w:tc>
        <w:tc>
          <w:tcPr>
            <w:tcW w:w="225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4</w:t>
            </w:r>
          </w:p>
        </w:tc>
        <w:tc>
          <w:tcPr>
            <w:tcW w:w="2722"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5000万元-1亿元</w:t>
            </w:r>
          </w:p>
        </w:tc>
        <w:tc>
          <w:tcPr>
            <w:tcW w:w="181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0.5‰</w:t>
            </w:r>
          </w:p>
        </w:tc>
        <w:tc>
          <w:tcPr>
            <w:tcW w:w="225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w:t>
            </w:r>
          </w:p>
        </w:tc>
        <w:tc>
          <w:tcPr>
            <w:tcW w:w="2722"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1亿元-5亿元</w:t>
            </w:r>
          </w:p>
        </w:tc>
        <w:tc>
          <w:tcPr>
            <w:tcW w:w="181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0.2‰</w:t>
            </w:r>
          </w:p>
        </w:tc>
        <w:tc>
          <w:tcPr>
            <w:tcW w:w="225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0.15%</w:t>
            </w:r>
          </w:p>
        </w:tc>
      </w:tr>
    </w:tbl>
    <w:p>
      <w:pPr>
        <w:pStyle w:val="20"/>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（2）工程结算审查委托费</w:t>
      </w:r>
    </w:p>
    <w:p>
      <w:pPr>
        <w:pStyle w:val="20"/>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工程结算审查委托费=基本费计算基数*基本费费率+审减追加费计算基数*审减追加费费率。</w:t>
      </w:r>
    </w:p>
    <w:p>
      <w:pPr>
        <w:pStyle w:val="20"/>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工程结算审查委托费费率表</w:t>
      </w:r>
    </w:p>
    <w:tbl>
      <w:tblPr>
        <w:tblStyle w:val="16"/>
        <w:tblW w:w="0" w:type="auto"/>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692"/>
        <w:gridCol w:w="1815"/>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档次</w:t>
            </w:r>
          </w:p>
        </w:tc>
        <w:tc>
          <w:tcPr>
            <w:tcW w:w="2692"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工程造价</w:t>
            </w:r>
          </w:p>
        </w:tc>
        <w:tc>
          <w:tcPr>
            <w:tcW w:w="1815"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基本费费率</w:t>
            </w:r>
          </w:p>
        </w:tc>
        <w:tc>
          <w:tcPr>
            <w:tcW w:w="2283"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审减追加费费率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w:t>
            </w:r>
          </w:p>
        </w:tc>
        <w:tc>
          <w:tcPr>
            <w:tcW w:w="2692"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500万元以下</w:t>
            </w:r>
          </w:p>
        </w:tc>
        <w:tc>
          <w:tcPr>
            <w:tcW w:w="1815"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0.8‰</w:t>
            </w:r>
          </w:p>
        </w:tc>
        <w:tc>
          <w:tcPr>
            <w:tcW w:w="2283"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p>
        </w:tc>
        <w:tc>
          <w:tcPr>
            <w:tcW w:w="2692"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500万元-1000万元</w:t>
            </w:r>
          </w:p>
        </w:tc>
        <w:tc>
          <w:tcPr>
            <w:tcW w:w="1815"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0.8‰</w:t>
            </w:r>
          </w:p>
        </w:tc>
        <w:tc>
          <w:tcPr>
            <w:tcW w:w="2283"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3</w:t>
            </w:r>
          </w:p>
        </w:tc>
        <w:tc>
          <w:tcPr>
            <w:tcW w:w="2692"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1000万元-5000万元</w:t>
            </w:r>
          </w:p>
        </w:tc>
        <w:tc>
          <w:tcPr>
            <w:tcW w:w="1815"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0.7‰</w:t>
            </w:r>
          </w:p>
        </w:tc>
        <w:tc>
          <w:tcPr>
            <w:tcW w:w="2283"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4</w:t>
            </w:r>
          </w:p>
        </w:tc>
        <w:tc>
          <w:tcPr>
            <w:tcW w:w="2692"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5000万元-1亿元</w:t>
            </w:r>
          </w:p>
        </w:tc>
        <w:tc>
          <w:tcPr>
            <w:tcW w:w="1815"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0.5‰</w:t>
            </w:r>
          </w:p>
        </w:tc>
        <w:tc>
          <w:tcPr>
            <w:tcW w:w="2283"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w:t>
            </w:r>
          </w:p>
        </w:tc>
        <w:tc>
          <w:tcPr>
            <w:tcW w:w="2692" w:type="dxa"/>
            <w:noWrap w:val="0"/>
            <w:vAlign w:val="top"/>
          </w:tcPr>
          <w:p>
            <w:pPr>
              <w:pStyle w:val="2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1亿元-5亿元</w:t>
            </w:r>
          </w:p>
        </w:tc>
        <w:tc>
          <w:tcPr>
            <w:tcW w:w="1815"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0.2‰</w:t>
            </w:r>
          </w:p>
        </w:tc>
        <w:tc>
          <w:tcPr>
            <w:tcW w:w="2283" w:type="dxa"/>
            <w:noWrap w:val="0"/>
            <w:vAlign w:val="top"/>
          </w:tcPr>
          <w:p>
            <w:pPr>
              <w:pStyle w:val="20"/>
              <w:ind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0.6%</w:t>
            </w:r>
          </w:p>
        </w:tc>
      </w:tr>
    </w:tbl>
    <w:p>
      <w:pPr>
        <w:pStyle w:val="20"/>
        <w:ind w:firstLine="476" w:firstLineChars="200"/>
        <w:rPr>
          <w:rFonts w:hint="default" w:asciiTheme="minorEastAsia" w:hAnsiTheme="minorEastAsia" w:eastAsiaTheme="minorEastAsia" w:cstheme="minorEastAsia"/>
          <w:snapToGrid w:val="0"/>
          <w:color w:val="000000"/>
          <w:spacing w:val="-1"/>
          <w:kern w:val="0"/>
          <w:sz w:val="24"/>
          <w:szCs w:val="24"/>
          <w:lang w:val="en-US" w:eastAsia="zh-CN" w:bidi="ar-SA"/>
        </w:rPr>
      </w:pPr>
    </w:p>
    <w:p>
      <w:pPr>
        <w:pStyle w:val="20"/>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default" w:asciiTheme="minorEastAsia" w:hAnsiTheme="minorEastAsia" w:eastAsiaTheme="minorEastAsia" w:cstheme="minorEastAsia"/>
          <w:snapToGrid w:val="0"/>
          <w:color w:val="000000"/>
          <w:spacing w:val="-1"/>
          <w:kern w:val="0"/>
          <w:sz w:val="24"/>
          <w:szCs w:val="24"/>
          <w:lang w:val="en-US" w:eastAsia="zh-CN" w:bidi="ar-SA"/>
        </w:rPr>
        <w:t>①</w:t>
      </w:r>
      <w:r>
        <w:rPr>
          <w:rFonts w:hint="eastAsia" w:asciiTheme="minorEastAsia" w:hAnsiTheme="minorEastAsia" w:eastAsiaTheme="minorEastAsia" w:cstheme="minorEastAsia"/>
          <w:snapToGrid w:val="0"/>
          <w:color w:val="000000"/>
          <w:spacing w:val="-1"/>
          <w:kern w:val="0"/>
          <w:sz w:val="24"/>
          <w:szCs w:val="24"/>
          <w:lang w:val="en-US" w:eastAsia="zh-CN" w:bidi="ar-SA"/>
        </w:rPr>
        <w:t>基本费计算基数为财政复审后的工程造价审定金额，审减追加费费率为财政复审后的审减金额。</w:t>
      </w:r>
    </w:p>
    <w:p>
      <w:pPr>
        <w:pStyle w:val="20"/>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default" w:asciiTheme="minorEastAsia" w:hAnsiTheme="minorEastAsia" w:eastAsiaTheme="minorEastAsia" w:cstheme="minorEastAsia"/>
          <w:snapToGrid w:val="0"/>
          <w:color w:val="000000"/>
          <w:spacing w:val="-1"/>
          <w:kern w:val="0"/>
          <w:sz w:val="24"/>
          <w:szCs w:val="24"/>
          <w:lang w:val="en-US" w:eastAsia="zh-CN" w:bidi="ar-SA"/>
        </w:rPr>
        <w:t>②</w:t>
      </w:r>
      <w:r>
        <w:rPr>
          <w:rFonts w:hint="eastAsia" w:asciiTheme="minorEastAsia" w:hAnsiTheme="minorEastAsia" w:eastAsiaTheme="minorEastAsia" w:cstheme="minorEastAsia"/>
          <w:snapToGrid w:val="0"/>
          <w:color w:val="000000"/>
          <w:spacing w:val="-1"/>
          <w:kern w:val="0"/>
          <w:sz w:val="24"/>
          <w:szCs w:val="24"/>
          <w:lang w:val="en-US" w:eastAsia="zh-CN" w:bidi="ar-SA"/>
        </w:rPr>
        <w:t>单个项目付费金额不足2000元的按2000元计取，审减率超过20%部分按20%计算审减追加费，按合同规定标准付款总额在15万元以上的按15万元计取。</w:t>
      </w:r>
    </w:p>
    <w:p>
      <w:pPr>
        <w:pStyle w:val="20"/>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default" w:asciiTheme="minorEastAsia" w:hAnsiTheme="minorEastAsia" w:eastAsiaTheme="minorEastAsia" w:cstheme="minorEastAsia"/>
          <w:snapToGrid w:val="0"/>
          <w:color w:val="000000"/>
          <w:spacing w:val="-1"/>
          <w:kern w:val="0"/>
          <w:sz w:val="24"/>
          <w:szCs w:val="24"/>
          <w:lang w:val="en-US" w:eastAsia="zh-CN" w:bidi="ar-SA"/>
        </w:rPr>
        <w:t>③</w:t>
      </w:r>
      <w:r>
        <w:rPr>
          <w:rFonts w:hint="eastAsia" w:asciiTheme="minorEastAsia" w:hAnsiTheme="minorEastAsia" w:eastAsiaTheme="minorEastAsia" w:cstheme="minorEastAsia"/>
          <w:snapToGrid w:val="0"/>
          <w:color w:val="000000"/>
          <w:spacing w:val="-1"/>
          <w:kern w:val="0"/>
          <w:sz w:val="24"/>
          <w:szCs w:val="24"/>
          <w:lang w:val="en-US" w:eastAsia="zh-CN" w:bidi="ar-SA"/>
        </w:rPr>
        <w:t>五亿元以上项目评审委托费计取方式另行商议。</w:t>
      </w:r>
    </w:p>
    <w:p>
      <w:pPr>
        <w:pStyle w:val="20"/>
        <w:rPr>
          <w:rFonts w:hint="eastAsia" w:asciiTheme="minorEastAsia" w:hAnsiTheme="minorEastAsia" w:eastAsiaTheme="minorEastAsia" w:cstheme="minorEastAsia"/>
          <w:snapToGrid w:val="0"/>
          <w:color w:val="000000"/>
          <w:spacing w:val="-1"/>
          <w:kern w:val="0"/>
          <w:sz w:val="24"/>
          <w:szCs w:val="24"/>
          <w:lang w:val="en-US" w:eastAsia="zh-CN" w:bidi="ar-SA"/>
        </w:rPr>
      </w:pPr>
    </w:p>
    <w:p>
      <w:pPr>
        <w:pStyle w:val="20"/>
        <w:ind w:firstLine="476" w:firstLineChars="200"/>
        <w:rPr>
          <w:rFonts w:hint="default"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3、入围供应商数量：</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评审小组</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将根据各</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供应商</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的</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综合评分结果</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进行评审</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排序，依次推荐本项目的</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入围</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候选人，起草并签署</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评审</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报告。</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评审</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报告</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入围</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候选人排名顺序交南阳市</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财政局</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审定后公布入围服务单位名单。</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.适用框架协议的服务对象范围：</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南阳</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市财政局。</w:t>
      </w:r>
    </w:p>
    <w:p>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.服务标准：符合国家、河南省、</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南阳</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市有关文件规定及服务对象要求。</w:t>
      </w:r>
    </w:p>
    <w:p>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.履行合同的地域范围：</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南阳</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市。</w:t>
      </w:r>
    </w:p>
    <w:p>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.框架协议期限：从框架协议生效之日起2年。</w:t>
      </w:r>
    </w:p>
    <w:p>
      <w:pPr>
        <w:widowControl/>
        <w:numPr>
          <w:ilvl w:val="0"/>
          <w:numId w:val="0"/>
        </w:numPr>
        <w:spacing w:line="360" w:lineRule="auto"/>
        <w:ind w:firstLine="472" w:firstLineChars="200"/>
        <w:jc w:val="left"/>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5.付款方式</w:t>
      </w:r>
    </w:p>
    <w:p>
      <w:pPr>
        <w:spacing w:after="120" w:line="360" w:lineRule="auto"/>
        <w:ind w:firstLine="488" w:firstLineChars="200"/>
        <w:rPr>
          <w:rFonts w:hint="eastAsia" w:asciiTheme="minorEastAsia" w:hAnsiTheme="minorEastAsia" w:eastAsiaTheme="minorEastAsia" w:cstheme="minorEastAsia"/>
          <w:snapToGrid w:val="0"/>
          <w:color w:val="auto"/>
          <w:spacing w:val="2"/>
          <w:kern w:val="0"/>
          <w:position w:val="17"/>
          <w:sz w:val="24"/>
          <w:szCs w:val="24"/>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通常按照甲方在征集文件中的要求及乙方响应报价执行。特殊项目按甲方要求商定，但最高不超过甲方在征集文件中要求的标准。</w:t>
      </w:r>
    </w:p>
    <w:p>
      <w:pPr>
        <w:spacing w:after="120" w:line="360" w:lineRule="auto"/>
        <w:ind w:firstLine="488"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 xml:space="preserve">乙方履行完所有义务并交付成果文件，甲方验收合格并满足合同约定支付条件的，甲方依据与乙方签订的委托服务合同的约定支付服务费用。甲方自收到乙方发票后 </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15</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 xml:space="preserve"> 个工作日内将审计服务费用一次性支付给乙方。</w:t>
      </w:r>
    </w:p>
    <w:p>
      <w:pPr>
        <w:spacing w:after="120" w:line="360" w:lineRule="auto"/>
        <w:ind w:firstLine="488" w:firstLineChars="200"/>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6、风险控制</w:t>
      </w:r>
    </w:p>
    <w:p>
      <w:pPr>
        <w:spacing w:after="120" w:line="360" w:lineRule="auto"/>
        <w:ind w:firstLine="488" w:firstLineChars="200"/>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（1）中介机构对出具评审报告的合法性、合规性、真实性、准确性负责，独立承担相应的法律责任；</w:t>
      </w:r>
    </w:p>
    <w:p>
      <w:pPr>
        <w:spacing w:after="120" w:line="360" w:lineRule="auto"/>
        <w:ind w:firstLine="488" w:firstLineChars="200"/>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（2）项目评审过程中原则上不得更换评审小组人员，确需更换的应征得委托单位同意。</w:t>
      </w:r>
    </w:p>
    <w:p>
      <w:pPr>
        <w:spacing w:after="120" w:line="360" w:lineRule="auto"/>
        <w:ind w:firstLine="488" w:firstLineChars="200"/>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（3）中介机构应当建立完整、规范的工作底稿制度，真实、完整、准确记录每一项评审情况。</w:t>
      </w:r>
    </w:p>
    <w:p>
      <w:pPr>
        <w:spacing w:after="120" w:line="360" w:lineRule="auto"/>
        <w:ind w:firstLine="488" w:firstLineChars="200"/>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（4）中介机构评审实行三级复核制（项目组内部的复核、内设复核部门的复核、总工或技术负责人的复核)。</w:t>
      </w:r>
    </w:p>
    <w:p>
      <w:pPr>
        <w:spacing w:after="120" w:line="360" w:lineRule="auto"/>
        <w:ind w:firstLine="488" w:firstLineChars="200"/>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（5）中介机构应严格遵守国家有关保密规定，不得泄露评审时知悉的国家机密和商业秘密，不得将评审中取得的资料用于评审报告以外的事项。</w:t>
      </w:r>
    </w:p>
    <w:p>
      <w:pPr>
        <w:spacing w:after="120" w:line="360" w:lineRule="auto"/>
        <w:ind w:firstLine="488" w:firstLineChars="200"/>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（6）评审存档的资料由中介机构整理，按照《按照河南省财政投资评审档案管理办法》等有关要求办理移交。</w:t>
      </w:r>
    </w:p>
    <w:p>
      <w:pPr>
        <w:spacing w:after="120" w:line="360" w:lineRule="auto"/>
        <w:ind w:firstLine="244" w:firstLineChars="100"/>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7、供应商需提供服务方案，服务方案包括项目实施方案、人员机构设置、质量保证措施、进度保障措施、业务操作流程、风险管控措施、档案管理措施等。</w:t>
      </w:r>
    </w:p>
    <w:p>
      <w:pPr>
        <w:spacing w:after="120" w:line="360" w:lineRule="auto"/>
        <w:ind w:firstLine="244" w:firstLineChars="100"/>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8、供应商需提交服务承诺。</w:t>
      </w:r>
    </w:p>
    <w:p>
      <w:pPr>
        <w:spacing w:after="120" w:line="360" w:lineRule="auto"/>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p>
    <w:p>
      <w:pPr>
        <w:pStyle w:val="5"/>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pStyle w:val="5"/>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pStyle w:val="5"/>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pStyle w:val="5"/>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5"/>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第三章 供应商</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须知</w:t>
      </w:r>
    </w:p>
    <w:p>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lang w:val="en-US" w:eastAsia="zh-CN"/>
          <w14:textOutline w14:w="1800" w14:cap="flat" w14:cmpd="sng">
            <w14:solidFill>
              <w14:srgbClr w14:val="000000"/>
            </w14:solidFill>
            <w14:prstDash w14:val="solid"/>
            <w14:miter w14:val="0"/>
          </w14:textOutline>
        </w:rPr>
        <w:t>供应商</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须知表</w:t>
      </w:r>
    </w:p>
    <w:tbl>
      <w:tblPr>
        <w:tblStyle w:val="15"/>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2"/>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22"/>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22"/>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2"/>
              <w:keepNext w:val="0"/>
              <w:keepLines w:val="0"/>
              <w:pageBreakBefore w:val="0"/>
              <w:widowControl/>
              <w:numPr>
                <w:ilvl w:val="0"/>
                <w:numId w:val="2"/>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其他未列明行业   </w:t>
            </w:r>
          </w:p>
          <w:p>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2、入围供应商享受《政府采购促进中小企业发展管理办法》规定的中小企业扶持政策的，征集人、采购代理机构将随中标结果公开入围供应商的《中小企业声明函》。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响应</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7"/>
                <w:sz w:val="24"/>
                <w:szCs w:val="24"/>
              </w:rPr>
              <w:t>报价的特殊规定：</w:t>
            </w:r>
          </w:p>
          <w:p>
            <w:pPr>
              <w:pStyle w:val="2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pPr>
              <w:pStyle w:val="22"/>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pPr>
              <w:pStyle w:val="22"/>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300 </w:t>
            </w:r>
            <w:r>
              <w:rPr>
                <w:rFonts w:hint="eastAsia" w:asciiTheme="minorEastAsia" w:hAnsiTheme="minorEastAsia" w:eastAsiaTheme="minorEastAsia" w:cstheme="minorEastAsia"/>
                <w:snapToGrid w:val="0"/>
                <w:color w:val="000000"/>
                <w:spacing w:val="29"/>
                <w:kern w:val="0"/>
                <w:sz w:val="24"/>
                <w:szCs w:val="24"/>
                <w:lang w:val="en-US" w:eastAsia="zh-CN" w:bidi="ar-SA"/>
              </w:rPr>
              <w:t>万元（仅供参考）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val="en-US" w:eastAsia="zh-CN"/>
              </w:rPr>
              <w:t>2024</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8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23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8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23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评审</w:t>
            </w:r>
            <w:r>
              <w:rPr>
                <w:rFonts w:hint="eastAsia" w:asciiTheme="minorEastAsia" w:hAnsiTheme="minorEastAsia" w:eastAsiaTheme="minorEastAsia" w:cstheme="minorEastAsia"/>
                <w:sz w:val="24"/>
                <w:szCs w:val="24"/>
              </w:rPr>
              <w:t>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最低评审价法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入围供应商数量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评审小组</w:t>
            </w:r>
            <w:r>
              <w:rPr>
                <w:rFonts w:hint="eastAsia" w:asciiTheme="minorEastAsia" w:hAnsiTheme="minorEastAsia" w:eastAsiaTheme="minorEastAsia" w:cstheme="minorEastAsia"/>
                <w:snapToGrid w:val="0"/>
                <w:color w:val="000000"/>
                <w:spacing w:val="14"/>
                <w:kern w:val="0"/>
                <w:sz w:val="24"/>
                <w:szCs w:val="24"/>
                <w:lang w:val="en-US" w:eastAsia="en-US" w:bidi="ar-SA"/>
              </w:rPr>
              <w:t>将根据各</w:t>
            </w:r>
            <w:r>
              <w:rPr>
                <w:rFonts w:hint="eastAsia" w:asciiTheme="minorEastAsia" w:hAnsiTheme="minorEastAsia" w:eastAsiaTheme="minorEastAsia" w:cstheme="minorEastAsia"/>
                <w:snapToGrid w:val="0"/>
                <w:color w:val="000000"/>
                <w:spacing w:val="14"/>
                <w:kern w:val="0"/>
                <w:sz w:val="24"/>
                <w:szCs w:val="24"/>
                <w:lang w:val="en-US" w:eastAsia="zh-CN" w:bidi="ar-SA"/>
              </w:rPr>
              <w:t>供应商</w:t>
            </w:r>
            <w:r>
              <w:rPr>
                <w:rFonts w:hint="eastAsia" w:asciiTheme="minorEastAsia" w:hAnsiTheme="minorEastAsia" w:eastAsiaTheme="minorEastAsia" w:cstheme="minorEastAsia"/>
                <w:snapToGrid w:val="0"/>
                <w:color w:val="000000"/>
                <w:spacing w:val="14"/>
                <w:kern w:val="0"/>
                <w:sz w:val="24"/>
                <w:szCs w:val="24"/>
                <w:lang w:val="en-US" w:eastAsia="en-US" w:bidi="ar-SA"/>
              </w:rPr>
              <w:t>的</w:t>
            </w:r>
            <w:r>
              <w:rPr>
                <w:rFonts w:hint="eastAsia" w:asciiTheme="minorEastAsia" w:hAnsiTheme="minorEastAsia" w:eastAsiaTheme="minorEastAsia" w:cstheme="minorEastAsia"/>
                <w:snapToGrid w:val="0"/>
                <w:color w:val="000000"/>
                <w:spacing w:val="14"/>
                <w:kern w:val="0"/>
                <w:sz w:val="24"/>
                <w:szCs w:val="24"/>
                <w:lang w:val="en-US" w:eastAsia="zh-CN" w:bidi="ar-SA"/>
              </w:rPr>
              <w:t>综合评分结果进行评审</w:t>
            </w:r>
            <w:r>
              <w:rPr>
                <w:rFonts w:hint="eastAsia" w:asciiTheme="minorEastAsia" w:hAnsiTheme="minorEastAsia" w:eastAsiaTheme="minorEastAsia" w:cstheme="minorEastAsia"/>
                <w:snapToGrid w:val="0"/>
                <w:color w:val="000000"/>
                <w:spacing w:val="14"/>
                <w:kern w:val="0"/>
                <w:sz w:val="24"/>
                <w:szCs w:val="24"/>
                <w:lang w:val="en-US" w:eastAsia="en-US" w:bidi="ar-SA"/>
              </w:rPr>
              <w:t>排序，依次推荐本项目（各采购包）的</w:t>
            </w:r>
            <w:r>
              <w:rPr>
                <w:rFonts w:hint="eastAsia" w:asciiTheme="minorEastAsia" w:hAnsiTheme="minorEastAsia" w:eastAsiaTheme="minorEastAsia" w:cstheme="minorEastAsia"/>
                <w:snapToGrid w:val="0"/>
                <w:color w:val="000000"/>
                <w:spacing w:val="14"/>
                <w:kern w:val="0"/>
                <w:sz w:val="24"/>
                <w:szCs w:val="24"/>
                <w:lang w:val="en-US" w:eastAsia="zh-CN" w:bidi="ar-SA"/>
              </w:rPr>
              <w:t>入围</w:t>
            </w:r>
            <w:r>
              <w:rPr>
                <w:rFonts w:hint="eastAsia" w:asciiTheme="minorEastAsia" w:hAnsiTheme="minorEastAsia" w:eastAsiaTheme="minorEastAsia" w:cstheme="minorEastAsia"/>
                <w:snapToGrid w:val="0"/>
                <w:color w:val="000000"/>
                <w:spacing w:val="14"/>
                <w:kern w:val="0"/>
                <w:sz w:val="24"/>
                <w:szCs w:val="24"/>
                <w:lang w:val="en-US" w:eastAsia="en-US" w:bidi="ar-SA"/>
              </w:rPr>
              <w:t>候选人，起草并签署</w:t>
            </w:r>
            <w:r>
              <w:rPr>
                <w:rFonts w:hint="eastAsia" w:asciiTheme="minorEastAsia" w:hAnsiTheme="minorEastAsia" w:eastAsiaTheme="minorEastAsia" w:cstheme="minorEastAsia"/>
                <w:snapToGrid w:val="0"/>
                <w:color w:val="000000"/>
                <w:spacing w:val="14"/>
                <w:kern w:val="0"/>
                <w:sz w:val="24"/>
                <w:szCs w:val="24"/>
                <w:lang w:val="en-US" w:eastAsia="zh-CN" w:bidi="ar-SA"/>
              </w:rPr>
              <w:t>评审</w:t>
            </w:r>
            <w:r>
              <w:rPr>
                <w:rFonts w:hint="eastAsia" w:asciiTheme="minorEastAsia" w:hAnsiTheme="minorEastAsia" w:eastAsiaTheme="minorEastAsia" w:cstheme="minorEastAsia"/>
                <w:snapToGrid w:val="0"/>
                <w:color w:val="000000"/>
                <w:spacing w:val="14"/>
                <w:kern w:val="0"/>
                <w:sz w:val="24"/>
                <w:szCs w:val="24"/>
                <w:lang w:val="en-US" w:eastAsia="en-US" w:bidi="ar-SA"/>
              </w:rPr>
              <w:t>报告。</w:t>
            </w:r>
            <w:r>
              <w:rPr>
                <w:rFonts w:hint="eastAsia" w:asciiTheme="minorEastAsia" w:hAnsiTheme="minorEastAsia" w:eastAsiaTheme="minorEastAsia" w:cstheme="minorEastAsia"/>
                <w:snapToGrid w:val="0"/>
                <w:color w:val="000000"/>
                <w:spacing w:val="14"/>
                <w:kern w:val="0"/>
                <w:sz w:val="24"/>
                <w:szCs w:val="24"/>
                <w:lang w:val="en-US" w:eastAsia="zh-CN" w:bidi="ar-SA"/>
              </w:rPr>
              <w:t>评审</w:t>
            </w:r>
            <w:r>
              <w:rPr>
                <w:rFonts w:hint="eastAsia" w:asciiTheme="minorEastAsia" w:hAnsiTheme="minorEastAsia" w:eastAsiaTheme="minorEastAsia" w:cstheme="minorEastAsia"/>
                <w:snapToGrid w:val="0"/>
                <w:color w:val="000000"/>
                <w:spacing w:val="14"/>
                <w:kern w:val="0"/>
                <w:sz w:val="24"/>
                <w:szCs w:val="24"/>
                <w:lang w:val="en-US" w:eastAsia="en-US" w:bidi="ar-SA"/>
              </w:rPr>
              <w:t>报告</w:t>
            </w:r>
            <w:r>
              <w:rPr>
                <w:rFonts w:hint="eastAsia" w:asciiTheme="minorEastAsia" w:hAnsiTheme="minorEastAsia" w:eastAsiaTheme="minorEastAsia" w:cstheme="minorEastAsia"/>
                <w:snapToGrid w:val="0"/>
                <w:color w:val="000000"/>
                <w:spacing w:val="14"/>
                <w:kern w:val="0"/>
                <w:sz w:val="24"/>
                <w:szCs w:val="24"/>
                <w:lang w:val="en-US" w:eastAsia="zh-CN" w:bidi="ar-SA"/>
              </w:rPr>
              <w:t>入围</w:t>
            </w:r>
            <w:r>
              <w:rPr>
                <w:rFonts w:hint="eastAsia" w:asciiTheme="minorEastAsia" w:hAnsiTheme="minorEastAsia" w:eastAsiaTheme="minorEastAsia" w:cstheme="minorEastAsia"/>
                <w:snapToGrid w:val="0"/>
                <w:color w:val="000000"/>
                <w:spacing w:val="14"/>
                <w:kern w:val="0"/>
                <w:sz w:val="24"/>
                <w:szCs w:val="24"/>
                <w:lang w:val="en-US" w:eastAsia="en-US" w:bidi="ar-SA"/>
              </w:rPr>
              <w:t>候选人排名顺序交南阳市</w:t>
            </w:r>
            <w:r>
              <w:rPr>
                <w:rFonts w:hint="eastAsia" w:asciiTheme="minorEastAsia" w:hAnsiTheme="minorEastAsia" w:eastAsiaTheme="minorEastAsia" w:cstheme="minorEastAsia"/>
                <w:snapToGrid w:val="0"/>
                <w:color w:val="000000"/>
                <w:spacing w:val="14"/>
                <w:kern w:val="0"/>
                <w:sz w:val="24"/>
                <w:szCs w:val="24"/>
                <w:lang w:val="en-US" w:eastAsia="zh-CN" w:bidi="ar-SA"/>
              </w:rPr>
              <w:t>财政局</w:t>
            </w:r>
            <w:r>
              <w:rPr>
                <w:rFonts w:hint="eastAsia" w:asciiTheme="minorEastAsia" w:hAnsiTheme="minorEastAsia" w:eastAsiaTheme="minorEastAsia" w:cstheme="minorEastAsia"/>
                <w:snapToGrid w:val="0"/>
                <w:color w:val="000000"/>
                <w:spacing w:val="14"/>
                <w:kern w:val="0"/>
                <w:sz w:val="24"/>
                <w:szCs w:val="24"/>
                <w:lang w:val="en-US" w:eastAsia="en-US" w:bidi="ar-SA"/>
              </w:rPr>
              <w:t>审定后公布入围服务单位名单。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淘汰率及入围供应商数量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en-US" w:bidi="ar-SA"/>
              </w:rPr>
            </w:pPr>
            <w:r>
              <w:rPr>
                <w:rFonts w:hint="eastAsia" w:asciiTheme="minorEastAsia" w:hAnsiTheme="minorEastAsia" w:eastAsiaTheme="minorEastAsia" w:cstheme="minorEastAsia"/>
                <w:snapToGrid w:val="0"/>
                <w:color w:val="000000"/>
                <w:spacing w:val="14"/>
                <w:kern w:val="0"/>
                <w:sz w:val="24"/>
                <w:szCs w:val="24"/>
                <w:lang w:val="en-US" w:eastAsia="en-US" w:bidi="ar-SA"/>
              </w:rPr>
              <w:t>淘汰比例不得低于20%，且至少淘汰一家供应商。根据《政府采购框架协议采购方式管理暂行办法》的规定，提交响应文件和符合资格条件、实质性要求的供应商应当均不少于2家。</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268" w:firstLineChars="10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en-US" w:bidi="ar-SA"/>
              </w:rPr>
            </w:pPr>
            <w:r>
              <w:rPr>
                <w:rFonts w:hint="eastAsia" w:asciiTheme="minorEastAsia" w:hAnsiTheme="minorEastAsia" w:eastAsiaTheme="minorEastAsia" w:cstheme="minorEastAsia"/>
                <w:snapToGrid w:val="0"/>
                <w:color w:val="000000"/>
                <w:spacing w:val="14"/>
                <w:kern w:val="0"/>
                <w:sz w:val="24"/>
                <w:szCs w:val="24"/>
                <w:lang w:val="en-US" w:eastAsia="en-US" w:bidi="ar-SA"/>
              </w:rPr>
              <w:t>①如提交响应文件和符合资格条件、实质性要求的供应商应≥</w:t>
            </w:r>
            <w:r>
              <w:rPr>
                <w:rFonts w:hint="eastAsia" w:asciiTheme="minorEastAsia" w:hAnsiTheme="minorEastAsia" w:eastAsiaTheme="minorEastAsia" w:cstheme="minorEastAsia"/>
                <w:snapToGrid w:val="0"/>
                <w:color w:val="000000"/>
                <w:spacing w:val="14"/>
                <w:kern w:val="0"/>
                <w:sz w:val="24"/>
                <w:szCs w:val="24"/>
                <w:lang w:val="en-US" w:eastAsia="zh-CN" w:bidi="ar-SA"/>
              </w:rPr>
              <w:t>25</w:t>
            </w:r>
            <w:r>
              <w:rPr>
                <w:rFonts w:hint="eastAsia" w:asciiTheme="minorEastAsia" w:hAnsiTheme="minorEastAsia" w:eastAsiaTheme="minorEastAsia" w:cstheme="minorEastAsia"/>
                <w:snapToGrid w:val="0"/>
                <w:color w:val="000000"/>
                <w:spacing w:val="14"/>
                <w:kern w:val="0"/>
                <w:sz w:val="24"/>
                <w:szCs w:val="24"/>
                <w:lang w:val="en-US" w:eastAsia="en-US" w:bidi="ar-SA"/>
              </w:rPr>
              <w:t>家时，取</w:t>
            </w:r>
            <w:r>
              <w:rPr>
                <w:rFonts w:hint="eastAsia" w:asciiTheme="minorEastAsia" w:hAnsiTheme="minorEastAsia" w:eastAsiaTheme="minorEastAsia" w:cstheme="minorEastAsia"/>
                <w:snapToGrid w:val="0"/>
                <w:color w:val="000000"/>
                <w:spacing w:val="14"/>
                <w:kern w:val="0"/>
                <w:sz w:val="24"/>
                <w:szCs w:val="24"/>
                <w:lang w:val="en-US" w:eastAsia="zh-CN" w:bidi="ar-SA"/>
              </w:rPr>
              <w:t>20</w:t>
            </w:r>
            <w:r>
              <w:rPr>
                <w:rFonts w:hint="eastAsia" w:asciiTheme="minorEastAsia" w:hAnsiTheme="minorEastAsia" w:eastAsiaTheme="minorEastAsia" w:cstheme="minorEastAsia"/>
                <w:snapToGrid w:val="0"/>
                <w:color w:val="000000"/>
                <w:spacing w:val="14"/>
                <w:kern w:val="0"/>
                <w:sz w:val="24"/>
                <w:szCs w:val="24"/>
                <w:lang w:val="en-US" w:eastAsia="en-US" w:bidi="ar-SA"/>
              </w:rPr>
              <w:t>名；</w:t>
            </w:r>
          </w:p>
          <w:p>
            <w:pPr>
              <w:pStyle w:val="22"/>
              <w:keepNext w:val="0"/>
              <w:keepLines w:val="0"/>
              <w:pageBreakBefore w:val="0"/>
              <w:kinsoku/>
              <w:wordWrap w:val="0"/>
              <w:overflowPunct/>
              <w:topLinePunct w:val="0"/>
              <w:bidi w:val="0"/>
              <w:spacing w:before="1" w:line="220" w:lineRule="auto"/>
              <w:ind w:left="126" w:firstLine="268" w:firstLineChars="100"/>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en-US" w:bidi="ar-SA"/>
              </w:rPr>
              <w:t>②提交响应文件和符合资格条件、实质性要求的供应商＜</w:t>
            </w:r>
            <w:r>
              <w:rPr>
                <w:rFonts w:hint="eastAsia" w:asciiTheme="minorEastAsia" w:hAnsiTheme="minorEastAsia" w:eastAsiaTheme="minorEastAsia" w:cstheme="minorEastAsia"/>
                <w:snapToGrid w:val="0"/>
                <w:color w:val="000000"/>
                <w:spacing w:val="14"/>
                <w:kern w:val="0"/>
                <w:sz w:val="24"/>
                <w:szCs w:val="24"/>
                <w:lang w:val="en-US" w:eastAsia="zh-CN" w:bidi="ar-SA"/>
              </w:rPr>
              <w:t>25</w:t>
            </w:r>
            <w:r>
              <w:rPr>
                <w:rFonts w:hint="eastAsia" w:asciiTheme="minorEastAsia" w:hAnsiTheme="minorEastAsia" w:eastAsiaTheme="minorEastAsia" w:cstheme="minorEastAsia"/>
                <w:snapToGrid w:val="0"/>
                <w:color w:val="000000"/>
                <w:spacing w:val="14"/>
                <w:kern w:val="0"/>
                <w:sz w:val="24"/>
                <w:szCs w:val="24"/>
                <w:lang w:val="en-US" w:eastAsia="en-US" w:bidi="ar-SA"/>
              </w:rPr>
              <w:t>家时，实际选定数量以淘汰20%（四舍五入取整）后剩余的数量为准，且至少淘汰 1 家供应商。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pStyle w:val="2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29"/>
                <w:sz w:val="24"/>
                <w:szCs w:val="24"/>
                <w:lang w:val="en-US" w:eastAsia="zh-CN"/>
              </w:rPr>
            </w:pPr>
            <w:r>
              <w:rPr>
                <w:rFonts w:hint="eastAsia" w:asciiTheme="minorEastAsia" w:hAnsiTheme="minorEastAsia" w:eastAsiaTheme="minorEastAsia" w:cstheme="minorEastAsia"/>
                <w:spacing w:val="29"/>
                <w:sz w:val="24"/>
                <w:szCs w:val="24"/>
                <w:lang w:eastAsia="zh-CN"/>
              </w:rPr>
              <w:t>第二阶段成交供应商的选定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29"/>
                <w:sz w:val="24"/>
                <w:szCs w:val="24"/>
                <w:lang w:eastAsia="zh-CN"/>
              </w:rPr>
            </w:pPr>
            <w:r>
              <w:rPr>
                <w:rFonts w:hint="eastAsia" w:asciiTheme="minorEastAsia" w:hAnsiTheme="minorEastAsia" w:eastAsiaTheme="minorEastAsia" w:cstheme="minorEastAsia"/>
                <w:spacing w:val="29"/>
                <w:sz w:val="24"/>
                <w:szCs w:val="24"/>
                <w:lang w:eastAsia="zh-CN"/>
              </w:rPr>
              <w:t>（1）按供应商入围顺序采用轮流加抽签方式确定中介机构及服务项目，所有中介机构轮流一遍为一轮。</w:t>
            </w:r>
          </w:p>
          <w:p>
            <w:pPr>
              <w:pStyle w:val="2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29"/>
                <w:sz w:val="24"/>
                <w:szCs w:val="24"/>
                <w:lang w:eastAsia="zh-CN"/>
              </w:rPr>
            </w:pPr>
            <w:r>
              <w:rPr>
                <w:rFonts w:hint="eastAsia" w:asciiTheme="minorEastAsia" w:hAnsiTheme="minorEastAsia" w:eastAsiaTheme="minorEastAsia" w:cstheme="minorEastAsia"/>
                <w:spacing w:val="29"/>
                <w:sz w:val="24"/>
                <w:szCs w:val="24"/>
                <w:lang w:eastAsia="zh-CN"/>
              </w:rPr>
              <w:t>（2）</w:t>
            </w:r>
            <w:r>
              <w:rPr>
                <w:rFonts w:hint="eastAsia" w:asciiTheme="minorEastAsia" w:hAnsiTheme="minorEastAsia" w:eastAsiaTheme="minorEastAsia" w:cstheme="minorEastAsia"/>
                <w:spacing w:val="29"/>
                <w:sz w:val="24"/>
                <w:szCs w:val="24"/>
                <w:lang w:val="en-US" w:eastAsia="zh-CN"/>
              </w:rPr>
              <w:t>原则上</w:t>
            </w:r>
            <w:r>
              <w:rPr>
                <w:rFonts w:hint="eastAsia" w:asciiTheme="minorEastAsia" w:hAnsiTheme="minorEastAsia" w:eastAsiaTheme="minorEastAsia" w:cstheme="minorEastAsia"/>
                <w:spacing w:val="29"/>
                <w:sz w:val="24"/>
                <w:szCs w:val="24"/>
                <w:lang w:eastAsia="zh-CN"/>
              </w:rPr>
              <w:t>中介机构不得拒绝或推脱委托单位委托的项目。</w:t>
            </w:r>
          </w:p>
          <w:p>
            <w:pPr>
              <w:pStyle w:val="2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29"/>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3</w:t>
            </w:r>
            <w:r>
              <w:rPr>
                <w:rFonts w:hint="eastAsia" w:asciiTheme="minorEastAsia" w:hAnsiTheme="minorEastAsia" w:eastAsiaTheme="minorEastAsia" w:cstheme="minorEastAsia"/>
                <w:spacing w:val="29"/>
                <w:sz w:val="24"/>
                <w:szCs w:val="24"/>
                <w:lang w:eastAsia="zh-CN"/>
              </w:rPr>
              <w:t>）中介机构因自身原因终止评审项目的，其委托评审费用不再计取。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第二阶段评审业务的委托方式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w:t>
            </w:r>
            <w:r>
              <w:rPr>
                <w:rFonts w:hint="eastAsia" w:asciiTheme="minorEastAsia" w:hAnsiTheme="minorEastAsia" w:eastAsiaTheme="minorEastAsia" w:cstheme="minorEastAsia"/>
                <w:snapToGrid w:val="0"/>
                <w:color w:val="000000"/>
                <w:spacing w:val="14"/>
                <w:kern w:val="0"/>
                <w:sz w:val="24"/>
                <w:szCs w:val="24"/>
                <w:lang w:val="en-US" w:eastAsia="en-US" w:bidi="ar-SA"/>
              </w:rPr>
              <w:t>1</w:t>
            </w:r>
            <w:r>
              <w:rPr>
                <w:rFonts w:hint="eastAsia" w:asciiTheme="minorEastAsia" w:hAnsiTheme="minorEastAsia" w:eastAsiaTheme="minorEastAsia" w:cstheme="minorEastAsia"/>
                <w:snapToGrid w:val="0"/>
                <w:color w:val="000000"/>
                <w:spacing w:val="14"/>
                <w:kern w:val="0"/>
                <w:sz w:val="24"/>
                <w:szCs w:val="24"/>
                <w:lang w:val="en-US" w:eastAsia="zh-CN" w:bidi="ar-SA"/>
              </w:rPr>
              <w:t>)</w:t>
            </w:r>
            <w:r>
              <w:rPr>
                <w:rFonts w:hint="eastAsia" w:asciiTheme="minorEastAsia" w:hAnsiTheme="minorEastAsia" w:eastAsiaTheme="minorEastAsia" w:cstheme="minorEastAsia"/>
                <w:snapToGrid w:val="0"/>
                <w:color w:val="000000"/>
                <w:spacing w:val="14"/>
                <w:kern w:val="0"/>
                <w:sz w:val="24"/>
                <w:szCs w:val="24"/>
                <w:lang w:val="en-US" w:eastAsia="en-US" w:bidi="ar-SA"/>
              </w:rPr>
              <w:t>购买服务的项目采用抽签</w:t>
            </w:r>
            <w:r>
              <w:rPr>
                <w:rFonts w:hint="eastAsia" w:asciiTheme="minorEastAsia" w:hAnsiTheme="minorEastAsia" w:eastAsiaTheme="minorEastAsia" w:cstheme="minorEastAsia"/>
                <w:snapToGrid w:val="0"/>
                <w:color w:val="000000"/>
                <w:spacing w:val="14"/>
                <w:kern w:val="0"/>
                <w:sz w:val="24"/>
                <w:szCs w:val="24"/>
                <w:lang w:val="en-US" w:eastAsia="zh-CN" w:bidi="ar-SA"/>
              </w:rPr>
              <w:t>加</w:t>
            </w:r>
            <w:r>
              <w:rPr>
                <w:rFonts w:hint="eastAsia" w:asciiTheme="minorEastAsia" w:hAnsiTheme="minorEastAsia" w:eastAsiaTheme="minorEastAsia" w:cstheme="minorEastAsia"/>
                <w:snapToGrid w:val="0"/>
                <w:color w:val="000000"/>
                <w:spacing w:val="14"/>
                <w:kern w:val="0"/>
                <w:sz w:val="24"/>
                <w:szCs w:val="24"/>
                <w:lang w:val="en-US" w:eastAsia="en-US" w:bidi="ar-SA"/>
              </w:rPr>
              <w:t>轮</w:t>
            </w:r>
            <w:r>
              <w:rPr>
                <w:rFonts w:hint="eastAsia" w:asciiTheme="minorEastAsia" w:hAnsiTheme="minorEastAsia" w:eastAsiaTheme="minorEastAsia" w:cstheme="minorEastAsia"/>
                <w:snapToGrid w:val="0"/>
                <w:color w:val="000000"/>
                <w:spacing w:val="14"/>
                <w:kern w:val="0"/>
                <w:sz w:val="24"/>
                <w:szCs w:val="24"/>
                <w:lang w:val="en-US" w:eastAsia="zh-CN" w:bidi="ar-SA"/>
              </w:rPr>
              <w:t>候</w:t>
            </w:r>
            <w:r>
              <w:rPr>
                <w:rFonts w:hint="eastAsia" w:asciiTheme="minorEastAsia" w:hAnsiTheme="minorEastAsia" w:eastAsiaTheme="minorEastAsia" w:cstheme="minorEastAsia"/>
                <w:snapToGrid w:val="0"/>
                <w:color w:val="000000"/>
                <w:spacing w:val="14"/>
                <w:kern w:val="0"/>
                <w:sz w:val="24"/>
                <w:szCs w:val="24"/>
                <w:lang w:val="en-US" w:eastAsia="en-US" w:bidi="ar-SA"/>
              </w:rPr>
              <w:t>方式确定中介机构及服务项目，所有中介机构轮流一遍为一轮。</w:t>
            </w:r>
            <w:r>
              <w:rPr>
                <w:rFonts w:hint="eastAsia" w:asciiTheme="minorEastAsia" w:hAnsiTheme="minorEastAsia" w:eastAsiaTheme="minorEastAsia" w:cstheme="minorEastAsia"/>
                <w:snapToGrid w:val="0"/>
                <w:color w:val="000000"/>
                <w:spacing w:val="14"/>
                <w:kern w:val="0"/>
                <w:sz w:val="24"/>
                <w:szCs w:val="24"/>
                <w:lang w:val="en-US" w:eastAsia="zh-CN" w:bidi="ar-SA"/>
              </w:rPr>
              <w:t>考核得分在后20%的不再参与下一轮抽签。两轮后如中介机构在工作中不能按照要求的质量和时限完成评审任务的，不再参与下一轮抽签。</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(2)原则上</w:t>
            </w:r>
            <w:r>
              <w:rPr>
                <w:rFonts w:hint="eastAsia" w:asciiTheme="minorEastAsia" w:hAnsiTheme="minorEastAsia" w:eastAsiaTheme="minorEastAsia" w:cstheme="minorEastAsia"/>
                <w:snapToGrid w:val="0"/>
                <w:color w:val="000000"/>
                <w:spacing w:val="14"/>
                <w:kern w:val="0"/>
                <w:sz w:val="24"/>
                <w:szCs w:val="24"/>
                <w:lang w:val="en-US" w:eastAsia="en-US" w:bidi="ar-SA"/>
              </w:rPr>
              <w:t>中介机构不得拒绝或推脱委托单位委托的项目。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第二阶段</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委托评审程序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(1)中介机构接到评审任务后，应当根据受托评审项目的情况配备具有相应评审资格的人员组成评审小组，并在3日内将评审小组名单及其基本情况报委托单位备案。</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(2)中介机构出具的评审报告包括:项目概况、评审依据、评审范围及程序、评审结论、重要事项说明、问题及建议等内容。</w:t>
            </w:r>
          </w:p>
          <w:p>
            <w:pPr>
              <w:pStyle w:val="22"/>
              <w:keepNext w:val="0"/>
              <w:keepLines w:val="0"/>
              <w:pageBreakBefore w:val="0"/>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pacing w:val="-13"/>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after="120" w:line="360" w:lineRule="auto"/>
              <w:ind w:firstLine="488" w:firstLineChars="200"/>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回避情况</w:t>
            </w:r>
          </w:p>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存在以下情形的，中介机构应当事前申报，按要求回避：</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（1）评审项目系该中介机构或其工作人员编制的。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（2）中介机构评审人员曾在被评审单位工作，离开后不满3年的。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（3）与项目单位负责人、项目经办人员存在夫妻、直系血亲、三代以内旁系血亲或近姻亲关系等，以及其他可能影响项目评审公平公正的情形。</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服务期内，与单项评审项目中的被评审单位或与单项评审项目直接有关的建设、施工、监理等单位存在控股、管理等关联关系，或在被评审单位或在单项评审项目直接有关的建设、施工、监理等单位有任职高管，未主动提出回避而承接该项目审计服务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（5）法律规定需要回避的其他情形。</w:t>
            </w:r>
          </w:p>
          <w:p>
            <w:pPr>
              <w:pStyle w:val="22"/>
              <w:keepNext w:val="0"/>
              <w:keepLines w:val="0"/>
              <w:pageBreakBefore w:val="0"/>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pacing w:val="-13"/>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入围供应商清退和补充规则</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（1）入围供应商无正当理由，不得主动放弃入围资格或者退出框架协议。服务期内，有下列情形之一的，取消中介机构提供服务的资格：</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default" w:asciiTheme="minorEastAsia" w:hAnsiTheme="minorEastAsia" w:eastAsiaTheme="minorEastAsia" w:cstheme="minorEastAsia"/>
                <w:snapToGrid w:val="0"/>
                <w:color w:val="000000"/>
                <w:spacing w:val="14"/>
                <w:kern w:val="0"/>
                <w:sz w:val="24"/>
                <w:szCs w:val="24"/>
                <w:lang w:val="en-US" w:eastAsia="zh-CN" w:bidi="ar-SA"/>
              </w:rPr>
              <w:t>①</w:t>
            </w:r>
            <w:r>
              <w:rPr>
                <w:rFonts w:hint="eastAsia" w:asciiTheme="minorEastAsia" w:hAnsiTheme="minorEastAsia" w:eastAsiaTheme="minorEastAsia" w:cstheme="minorEastAsia"/>
                <w:snapToGrid w:val="0"/>
                <w:color w:val="000000"/>
                <w:spacing w:val="14"/>
                <w:kern w:val="0"/>
                <w:sz w:val="24"/>
                <w:szCs w:val="24"/>
                <w:lang w:val="en-US" w:eastAsia="zh-CN" w:bidi="ar-SA"/>
              </w:rPr>
              <w:t>有重大违法记录，受到其他行政处罚或行业惩戒，被行业监管部门列为经营异常目录，被人民法院列为被执行人或者失信被执行人名单的。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default" w:asciiTheme="minorEastAsia" w:hAnsiTheme="minorEastAsia" w:eastAsiaTheme="minorEastAsia" w:cstheme="minorEastAsia"/>
                <w:snapToGrid w:val="0"/>
                <w:color w:val="000000"/>
                <w:spacing w:val="14"/>
                <w:kern w:val="0"/>
                <w:sz w:val="24"/>
                <w:szCs w:val="24"/>
                <w:lang w:val="en-US" w:eastAsia="zh-CN" w:bidi="ar-SA"/>
              </w:rPr>
              <w:t>②</w:t>
            </w:r>
            <w:r>
              <w:rPr>
                <w:rFonts w:hint="eastAsia" w:asciiTheme="minorEastAsia" w:hAnsiTheme="minorEastAsia" w:eastAsiaTheme="minorEastAsia" w:cstheme="minorEastAsia"/>
                <w:snapToGrid w:val="0"/>
                <w:color w:val="000000"/>
                <w:spacing w:val="14"/>
                <w:kern w:val="0"/>
                <w:sz w:val="24"/>
                <w:szCs w:val="24"/>
                <w:lang w:val="en-US" w:eastAsia="zh-CN" w:bidi="ar-SA"/>
              </w:rPr>
              <w:t>在企业资质、业绩、执业人员等方面提供不真实信息的。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default" w:asciiTheme="minorEastAsia" w:hAnsiTheme="minorEastAsia" w:eastAsiaTheme="minorEastAsia" w:cstheme="minorEastAsia"/>
                <w:snapToGrid w:val="0"/>
                <w:color w:val="000000"/>
                <w:spacing w:val="14"/>
                <w:kern w:val="0"/>
                <w:sz w:val="24"/>
                <w:szCs w:val="24"/>
                <w:lang w:val="en-US" w:eastAsia="zh-CN" w:bidi="ar-SA"/>
              </w:rPr>
              <w:t>③</w:t>
            </w:r>
            <w:r>
              <w:rPr>
                <w:rFonts w:hint="eastAsia" w:asciiTheme="minorEastAsia" w:hAnsiTheme="minorEastAsia" w:eastAsiaTheme="minorEastAsia" w:cstheme="minorEastAsia"/>
                <w:snapToGrid w:val="0"/>
                <w:color w:val="000000"/>
                <w:spacing w:val="14"/>
                <w:kern w:val="0"/>
                <w:sz w:val="24"/>
                <w:szCs w:val="24"/>
                <w:lang w:val="en-US" w:eastAsia="zh-CN" w:bidi="ar-SA"/>
              </w:rPr>
              <w:t>与项目单位或关联方串通舞弊，弄虚作假的。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④索取或接受被审核单位礼金、有价证券、礼品、宴请等违反廉政规定的。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⑤出具的评审报告严重失误的。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⑥工作失误给国家造成损失的。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⑦违反保密及回避规定的。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⑧拒绝接受委托单位的监督，不履行合同义务的。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⑨转让其应履行合同义务的。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⑩一年内有一次拒绝或推脱提供服务的，或一个服务期内累计两次拒绝或推脱提供服务的。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⑪考核受到处罚被取消提供服务资格的。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⑫其他违法违规行为的。</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入围供应商有违规、违法行为的，甲方有权终止合同。除剩余入围供应商不足入围供应商总数70%且影响框架协议执行的情形外，框架协议有效期内，征集人不得补充征集供应商。被取消入围资格或者被解除框架协议的供应商不得参加同一封闭式框架协议补充征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pPr>
              <w:pStyle w:val="22"/>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pPr>
              <w:pStyle w:val="2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征集人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pPr>
              <w:pStyle w:val="22"/>
              <w:keepNext w:val="0"/>
              <w:keepLines w:val="0"/>
              <w:pageBreakBefore w:val="0"/>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收费标准：</w:t>
            </w:r>
          </w:p>
        </w:tc>
      </w:tr>
    </w:tbl>
    <w:p>
      <w:pPr>
        <w:pStyle w:val="5"/>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5"/>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lang w:val="en-US" w:eastAsia="zh-CN"/>
          <w14:textOutline w14:w="1800" w14:cap="flat" w14:cmpd="sng">
            <w14:solidFill>
              <w14:srgbClr w14:val="000000"/>
            </w14:solidFill>
            <w14:prstDash w14:val="solid"/>
            <w14:miter w14:val="0"/>
          </w14:textOutline>
        </w:rPr>
        <w:t>供应商</w:t>
      </w: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须知</w:t>
      </w:r>
    </w:p>
    <w:p>
      <w:pPr>
        <w:pStyle w:val="5"/>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.征集人</w:t>
      </w:r>
      <w:r>
        <w:rPr>
          <w:rFonts w:hint="eastAsia" w:asciiTheme="minorEastAsia" w:hAnsiTheme="minorEastAsia" w:eastAsiaTheme="minorEastAsia" w:cstheme="minorEastAsia"/>
          <w:b/>
          <w:bCs/>
          <w:spacing w:val="-1"/>
          <w:sz w:val="24"/>
          <w:szCs w:val="24"/>
        </w:rPr>
        <w:t>、采购代理机构、</w:t>
      </w:r>
      <w:r>
        <w:rPr>
          <w:rFonts w:hint="eastAsia" w:asciiTheme="minorEastAsia" w:hAnsiTheme="minorEastAsia" w:eastAsiaTheme="minorEastAsia" w:cstheme="minorEastAsia"/>
          <w:b/>
          <w:bCs/>
          <w:spacing w:val="-1"/>
          <w:sz w:val="24"/>
          <w:szCs w:val="24"/>
          <w:lang w:eastAsia="zh-CN"/>
        </w:rPr>
        <w:t>供应商</w:t>
      </w:r>
      <w:r>
        <w:rPr>
          <w:rFonts w:hint="eastAsia" w:asciiTheme="minorEastAsia" w:hAnsiTheme="minorEastAsia" w:eastAsiaTheme="minorEastAsia" w:cstheme="minorEastAsia"/>
          <w:b/>
          <w:bCs/>
          <w:spacing w:val="-1"/>
          <w:sz w:val="24"/>
          <w:szCs w:val="24"/>
        </w:rPr>
        <w:t>、联合体</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征集人</w:t>
      </w:r>
      <w:r>
        <w:rPr>
          <w:rFonts w:hint="eastAsia" w:asciiTheme="minorEastAsia" w:hAnsiTheme="minorEastAsia" w:eastAsiaTheme="minorEastAsia" w:cstheme="minorEastAsia"/>
          <w:spacing w:val="2"/>
          <w:sz w:val="24"/>
          <w:szCs w:val="24"/>
        </w:rPr>
        <w:t>、采购代理机构：指依法进行政府采购的国家机关、事业单位、团体组织及其委托的采购代理机构。本项目</w:t>
      </w:r>
      <w:r>
        <w:rPr>
          <w:rFonts w:hint="eastAsia" w:asciiTheme="minorEastAsia" w:hAnsiTheme="minorEastAsia" w:eastAsiaTheme="minorEastAsia" w:cstheme="minorEastAsia"/>
          <w:spacing w:val="2"/>
          <w:sz w:val="24"/>
          <w:szCs w:val="24"/>
          <w:lang w:val="en-US" w:eastAsia="zh-CN"/>
        </w:rPr>
        <w:t>征集人</w:t>
      </w:r>
      <w:r>
        <w:rPr>
          <w:rFonts w:hint="eastAsia" w:asciiTheme="minorEastAsia" w:hAnsiTheme="minorEastAsia" w:eastAsiaTheme="minorEastAsia" w:cstheme="minorEastAsia"/>
          <w:spacing w:val="2"/>
          <w:sz w:val="24"/>
          <w:szCs w:val="24"/>
        </w:rPr>
        <w:t>、采购代理机构见第一章《</w:t>
      </w:r>
      <w:r>
        <w:rPr>
          <w:rFonts w:hint="eastAsia" w:asciiTheme="minorEastAsia" w:hAnsiTheme="minorEastAsia" w:eastAsiaTheme="minorEastAsia" w:cstheme="minorEastAsia"/>
          <w:spacing w:val="2"/>
          <w:sz w:val="24"/>
          <w:szCs w:val="24"/>
          <w:lang w:val="en-US" w:eastAsia="zh-CN"/>
        </w:rPr>
        <w:t>征集</w:t>
      </w:r>
      <w:r>
        <w:rPr>
          <w:rFonts w:hint="eastAsia" w:asciiTheme="minorEastAsia" w:hAnsiTheme="minorEastAsia" w:eastAsiaTheme="minorEastAsia" w:cstheme="minorEastAsia"/>
          <w:spacing w:val="2"/>
          <w:sz w:val="24"/>
          <w:szCs w:val="24"/>
          <w:lang w:eastAsia="zh-CN"/>
        </w:rPr>
        <w:t>公告</w:t>
      </w:r>
      <w:r>
        <w:rPr>
          <w:rFonts w:hint="eastAsia" w:asciiTheme="minorEastAsia" w:hAnsiTheme="minorEastAsia" w:eastAsiaTheme="minorEastAsia" w:cstheme="minorEastAsia"/>
          <w:spacing w:val="2"/>
          <w:sz w:val="24"/>
          <w:szCs w:val="24"/>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rPr>
        <w:t>、申请人）：指向</w:t>
      </w:r>
      <w:r>
        <w:rPr>
          <w:rFonts w:hint="eastAsia" w:asciiTheme="minorEastAsia" w:hAnsiTheme="minorEastAsia" w:eastAsiaTheme="minorEastAsia" w:cstheme="minorEastAsia"/>
          <w:spacing w:val="2"/>
          <w:sz w:val="24"/>
          <w:szCs w:val="24"/>
          <w:lang w:eastAsia="zh-CN"/>
        </w:rPr>
        <w:t>征集人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300  </w:t>
      </w:r>
      <w:r>
        <w:rPr>
          <w:rFonts w:hint="eastAsia" w:asciiTheme="minorEastAsia" w:hAnsiTheme="minorEastAsia" w:eastAsiaTheme="minorEastAsia" w:cstheme="minorEastAsia"/>
          <w:spacing w:val="7"/>
          <w:sz w:val="24"/>
          <w:szCs w:val="24"/>
          <w:u w:val="none"/>
          <w:lang w:val="en-US" w:eastAsia="zh-CN"/>
        </w:rPr>
        <w:t>万元</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供应商须知表</w:t>
      </w:r>
      <w:r>
        <w:rPr>
          <w:rFonts w:hint="eastAsia" w:asciiTheme="minorEastAsia" w:hAnsiTheme="minorEastAsia" w:eastAsiaTheme="minorEastAsia" w:cstheme="minorEastAsia"/>
          <w:spacing w:val="7"/>
          <w:sz w:val="24"/>
          <w:szCs w:val="24"/>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供应商须知表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3"/>
          <w:sz w:val="24"/>
          <w:szCs w:val="24"/>
        </w:rPr>
        <w:t>应按要求在规定的时间和地点参加。</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w:t>
      </w:r>
      <w:r>
        <w:rPr>
          <w:rFonts w:hint="eastAsia" w:asciiTheme="minorEastAsia" w:hAnsiTheme="minorEastAsia" w:eastAsiaTheme="minorEastAsia" w:cstheme="minorEastAsia"/>
          <w:spacing w:val="2"/>
          <w:sz w:val="24"/>
          <w:szCs w:val="24"/>
          <w:lang w:eastAsia="zh-CN"/>
        </w:rPr>
        <w:t>响应文件</w:t>
      </w:r>
      <w:r>
        <w:rPr>
          <w:rFonts w:hint="eastAsia" w:asciiTheme="minorEastAsia" w:hAnsiTheme="minorEastAsia" w:eastAsiaTheme="minorEastAsia" w:cstheme="minorEastAsia"/>
          <w:spacing w:val="2"/>
          <w:sz w:val="24"/>
          <w:szCs w:val="24"/>
        </w:rPr>
        <w:t>编制、</w:t>
      </w: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rPr>
        <w:t>自行承担不利评审后果。</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
          <w:sz w:val="24"/>
          <w:szCs w:val="24"/>
          <w:lang w:val="en-US" w:eastAsia="zh-CN"/>
        </w:rPr>
        <w:t>1</w:t>
      </w:r>
      <w:r>
        <w:rPr>
          <w:rFonts w:hint="eastAsia" w:asciiTheme="minorEastAsia" w:hAnsiTheme="minorEastAsia" w:eastAsiaTheme="minorEastAsia" w:cstheme="minorEastAsia"/>
          <w:spacing w:val="-4"/>
          <w:sz w:val="24"/>
          <w:szCs w:val="24"/>
        </w:rPr>
        <w:t>）在服务采购项目中，服务由中小企业承接，即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供应商须知表</w:t>
      </w:r>
      <w:r>
        <w:rPr>
          <w:rFonts w:hint="eastAsia" w:asciiTheme="minorEastAsia" w:hAnsiTheme="minorEastAsia" w:eastAsiaTheme="minorEastAsia" w:cstheme="minorEastAsia"/>
          <w:spacing w:val="-8"/>
          <w:sz w:val="24"/>
          <w:szCs w:val="24"/>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lang w:eastAsia="zh-CN"/>
        </w:rPr>
        <w:t>评审</w:t>
      </w:r>
      <w:r>
        <w:rPr>
          <w:rFonts w:hint="eastAsia" w:asciiTheme="minorEastAsia" w:hAnsiTheme="minorEastAsia" w:eastAsiaTheme="minorEastAsia" w:cstheme="minorEastAsia"/>
          <w:spacing w:val="-8"/>
          <w:sz w:val="24"/>
          <w:szCs w:val="24"/>
        </w:rPr>
        <w:t>程序、</w:t>
      </w:r>
      <w:r>
        <w:rPr>
          <w:rFonts w:hint="eastAsia" w:asciiTheme="minorEastAsia" w:hAnsiTheme="minorEastAsia" w:eastAsiaTheme="minorEastAsia" w:cstheme="minorEastAsia"/>
          <w:spacing w:val="-8"/>
          <w:sz w:val="24"/>
          <w:szCs w:val="24"/>
          <w:lang w:eastAsia="zh-CN"/>
        </w:rPr>
        <w:t>评审</w:t>
      </w:r>
      <w:r>
        <w:rPr>
          <w:rFonts w:hint="eastAsia" w:asciiTheme="minorEastAsia" w:hAnsiTheme="minorEastAsia" w:eastAsiaTheme="minorEastAsia" w:cstheme="minorEastAsia"/>
          <w:spacing w:val="-8"/>
          <w:sz w:val="24"/>
          <w:szCs w:val="24"/>
        </w:rPr>
        <w:t>方法和</w:t>
      </w:r>
      <w:r>
        <w:rPr>
          <w:rFonts w:hint="eastAsia" w:asciiTheme="minorEastAsia" w:hAnsiTheme="minorEastAsia" w:eastAsiaTheme="minorEastAsia" w:cstheme="minorEastAsia"/>
          <w:spacing w:val="-8"/>
          <w:sz w:val="24"/>
          <w:szCs w:val="24"/>
          <w:lang w:eastAsia="zh-CN"/>
        </w:rPr>
        <w:t>评审</w:t>
      </w:r>
      <w:r>
        <w:rPr>
          <w:rFonts w:hint="eastAsia" w:asciiTheme="minorEastAsia" w:hAnsiTheme="minorEastAsia" w:eastAsiaTheme="minorEastAsia" w:cstheme="minorEastAsia"/>
          <w:spacing w:val="-8"/>
          <w:sz w:val="24"/>
          <w:szCs w:val="24"/>
        </w:rPr>
        <w:t>标准》。</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lang w:val="en-US" w:eastAsia="zh-CN"/>
        </w:rPr>
        <w:t xml:space="preserve">3 </w:t>
      </w:r>
      <w:r>
        <w:rPr>
          <w:rFonts w:hint="eastAsia" w:asciiTheme="minorEastAsia" w:hAnsiTheme="minorEastAsia" w:eastAsiaTheme="minorEastAsia" w:cstheme="minorEastAsia"/>
          <w:spacing w:val="-8"/>
          <w:sz w:val="24"/>
          <w:szCs w:val="24"/>
        </w:rPr>
        <w:t>正版软件</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5 </w:t>
      </w:r>
      <w:r>
        <w:rPr>
          <w:rFonts w:hint="eastAsia" w:asciiTheme="minorEastAsia" w:hAnsiTheme="minorEastAsia" w:eastAsiaTheme="minorEastAsia" w:cstheme="minorEastAsia"/>
          <w:spacing w:val="2"/>
          <w:sz w:val="24"/>
          <w:szCs w:val="24"/>
        </w:rPr>
        <w:t>采购需求标准</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lang w:eastAsia="zh-CN"/>
        </w:rPr>
        <w:t>征集人</w:t>
      </w:r>
      <w:r>
        <w:rPr>
          <w:rFonts w:hint="eastAsia" w:asciiTheme="minorEastAsia" w:hAnsiTheme="minorEastAsia" w:eastAsiaTheme="minorEastAsia" w:cstheme="minorEastAsia"/>
          <w:spacing w:val="-1"/>
          <w:sz w:val="24"/>
          <w:szCs w:val="24"/>
        </w:rPr>
        <w:t>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项目适用的法律、法规为《中华人民共和国政府采购法》《中华人民共和国政府采购法实施条例》《政府采购框架协议采购方式管理暂行办法》《政府采购货物和服务招标投标管理办法》《中华人民共和国民法典》以及其他相关政府采购法律法规。</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6.3“服务”指征集文件规定供应商应承担的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评审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pPr>
        <w:pStyle w:val="5"/>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pPr>
        <w:pStyle w:val="5"/>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val="en-US" w:eastAsia="zh-CN"/>
          <w14:textOutline w14:w="1800" w14:cap="flat" w14:cmpd="sng">
            <w14:solidFill>
              <w14:srgbClr w14:val="000000"/>
            </w14:solidFill>
            <w14:prstDash w14:val="solid"/>
            <w14:miter w14:val="0"/>
          </w14:textOutline>
        </w:rPr>
        <w:t>征集</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文件</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7.征集文件构成</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征集文件包括以下部分：</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征集公告</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供应商须知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开、评审程序、评审方法和评审标准</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政府采购框架协议文本和采购合同文本（草案）</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响应文件格式</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供应商应认真阅读</w:t>
      </w:r>
      <w:r>
        <w:rPr>
          <w:rFonts w:hint="eastAsia" w:asciiTheme="minorEastAsia" w:hAnsiTheme="minorEastAsia" w:eastAsiaTheme="minorEastAsia" w:cstheme="minorEastAsia"/>
          <w:snapToGrid w:val="0"/>
          <w:color w:val="000000"/>
          <w:spacing w:val="-2"/>
          <w:kern w:val="0"/>
          <w:sz w:val="24"/>
          <w:szCs w:val="24"/>
          <w:lang w:val="en-US" w:eastAsia="zh-CN" w:bidi="ar-SA"/>
        </w:rPr>
        <w:t>征集</w:t>
      </w:r>
      <w:r>
        <w:rPr>
          <w:rFonts w:hint="eastAsia" w:asciiTheme="minorEastAsia" w:hAnsiTheme="minorEastAsia" w:eastAsiaTheme="minorEastAsia" w:cstheme="minorEastAsia"/>
          <w:spacing w:val="-8"/>
          <w:sz w:val="24"/>
          <w:szCs w:val="24"/>
          <w:lang w:val="en-US" w:eastAsia="zh-CN"/>
        </w:rPr>
        <w:t>文件的全部内容。供应商应按照</w:t>
      </w:r>
      <w:r>
        <w:rPr>
          <w:rFonts w:hint="eastAsia" w:asciiTheme="minorEastAsia" w:hAnsiTheme="minorEastAsia" w:eastAsiaTheme="minorEastAsia" w:cstheme="minorEastAsia"/>
          <w:snapToGrid w:val="0"/>
          <w:color w:val="000000"/>
          <w:spacing w:val="-2"/>
          <w:kern w:val="0"/>
          <w:sz w:val="24"/>
          <w:szCs w:val="24"/>
          <w:lang w:val="en-US" w:eastAsia="zh-CN" w:bidi="ar-SA"/>
        </w:rPr>
        <w:t>征集</w:t>
      </w:r>
      <w:r>
        <w:rPr>
          <w:rFonts w:hint="eastAsia" w:asciiTheme="minorEastAsia" w:hAnsiTheme="minorEastAsia" w:eastAsiaTheme="minorEastAsia" w:cstheme="minorEastAsia"/>
          <w:spacing w:val="-8"/>
          <w:sz w:val="24"/>
          <w:szCs w:val="24"/>
          <w:lang w:val="en-US" w:eastAsia="zh-CN"/>
        </w:rPr>
        <w:t>文件要求提交响应文件并保证所提供的全部资料的真实性，并对征集文件做出实质性响应，否则响应无效。</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8.对征集文件的澄清或修改</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征集人或采购代理机构对已发出的征集文件进行必要澄清或者修改的，将在原公告发布媒体上发布更正公告，不得改变采购标的和资格条件。</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w:t>
      </w:r>
      <w:r>
        <w:rPr>
          <w:rFonts w:hint="eastAsia" w:asciiTheme="minorEastAsia" w:hAnsiTheme="minorEastAsia" w:eastAsiaTheme="minorEastAsia" w:cstheme="minorEastAsia"/>
          <w:snapToGrid w:val="0"/>
          <w:color w:val="000000"/>
          <w:spacing w:val="-2"/>
          <w:kern w:val="0"/>
          <w:sz w:val="24"/>
          <w:szCs w:val="24"/>
          <w:lang w:val="en-US" w:eastAsia="zh-CN" w:bidi="ar-SA"/>
        </w:rPr>
        <w:t>征集</w:t>
      </w:r>
      <w:r>
        <w:rPr>
          <w:rFonts w:hint="eastAsia" w:asciiTheme="minorEastAsia" w:hAnsiTheme="minorEastAsia" w:eastAsiaTheme="minorEastAsia" w:cstheme="minorEastAsia"/>
          <w:spacing w:val="-8"/>
          <w:sz w:val="24"/>
          <w:szCs w:val="24"/>
          <w:lang w:val="en-US" w:eastAsia="zh-CN"/>
        </w:rPr>
        <w:t>文件的组成部分，并对所有获取征集文件的潜在供应商具有约束力。澄清或者修改的内容可能影响响应文件编制的，将在响应截止时间至少15日前，以书面形式（必须在原公告发布媒体上发布公告）通知所有获取征集文件的潜在供应商；不足15日的，将顺延提交响应文件的截止时间和开标时间。</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征集公告、更正公告、澄清公告、延期公告等）均在“河南省政府采购网”“南阳市公共资源交易中心网”发布，请潜在供应商随时查询有关公告信息。若因潜在供应商没有及时查看到公告信息而造成的投标失误，责任自负。</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供应商应关注是否有发布最新的澄清更正公告和更正的最新征集文件（电子答疑文件），如有则需下载最新的征集文件，并在此基础上制作最新的征集文件并上传。</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val="en-US" w:eastAsia="zh-CN"/>
          <w14:textOutline w14:w="1800" w14:cap="flat" w14:cmpd="sng">
            <w14:solidFill>
              <w14:srgbClr w14:val="000000"/>
            </w14:solidFill>
            <w14:prstDash w14:val="solid"/>
            <w14:miter w14:val="0"/>
          </w14:textOutline>
        </w:rPr>
        <w:t>响应</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文件的编制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范围、</w:t>
      </w:r>
      <w:r>
        <w:rPr>
          <w:rFonts w:hint="eastAsia" w:asciiTheme="minorEastAsia" w:hAnsiTheme="minorEastAsia" w:eastAsiaTheme="minorEastAsia" w:cstheme="minorEastAsia"/>
          <w:b/>
          <w:bCs/>
          <w:sz w:val="24"/>
          <w:szCs w:val="24"/>
          <w:lang w:eastAsia="zh-CN"/>
        </w:rPr>
        <w:t>响应文件</w:t>
      </w:r>
      <w:r>
        <w:rPr>
          <w:rFonts w:hint="eastAsia" w:asciiTheme="minorEastAsia" w:hAnsiTheme="minorEastAsia" w:eastAsiaTheme="minorEastAsia" w:cstheme="minorEastAsia"/>
          <w:b/>
          <w:bCs/>
          <w:sz w:val="24"/>
          <w:szCs w:val="24"/>
        </w:rPr>
        <w:t>中计量单位的使用及</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语言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供应商</w:t>
      </w:r>
      <w:r>
        <w:rPr>
          <w:rFonts w:hint="eastAsia" w:asciiTheme="minorEastAsia" w:hAnsiTheme="minorEastAsia" w:eastAsiaTheme="minorEastAsia" w:cstheme="minorEastAsia"/>
          <w:sz w:val="24"/>
          <w:szCs w:val="24"/>
        </w:rPr>
        <w:t>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，不得将一个采购包中的内容拆分</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，否则其对该采购包的</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将被认定为无效</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w:t>
      </w:r>
      <w:r>
        <w:rPr>
          <w:rFonts w:hint="eastAsia" w:asciiTheme="minorEastAsia" w:hAnsiTheme="minorEastAsia" w:eastAsiaTheme="minorEastAsia" w:cstheme="minorEastAsia"/>
          <w:snapToGrid w:val="0"/>
          <w:color w:val="000000"/>
          <w:spacing w:val="-2"/>
          <w:kern w:val="0"/>
          <w:sz w:val="24"/>
          <w:szCs w:val="24"/>
          <w:lang w:val="en-US" w:eastAsia="zh-CN" w:bidi="ar-SA"/>
        </w:rPr>
        <w:t>征集</w:t>
      </w:r>
      <w:r>
        <w:rPr>
          <w:rFonts w:hint="eastAsia" w:asciiTheme="minorEastAsia" w:hAnsiTheme="minorEastAsia" w:eastAsiaTheme="minorEastAsia" w:cstheme="minorEastAsia"/>
          <w:sz w:val="24"/>
          <w:szCs w:val="24"/>
        </w:rPr>
        <w:t>文件有特殊要求外，本项目</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所使用的计量单位，应采用中华人民共和国法定计量单位。</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文件及来往函电均应使用中文书写。必要时专用术语应附有中文解释。</w:t>
      </w:r>
      <w:r>
        <w:rPr>
          <w:rFonts w:hint="eastAsia" w:asciiTheme="minorEastAsia" w:hAnsiTheme="minorEastAsia" w:eastAsiaTheme="minorEastAsia" w:cstheme="minorEastAsia"/>
          <w:sz w:val="24"/>
          <w:szCs w:val="24"/>
          <w:lang w:val="en-US" w:eastAsia="zh-CN"/>
        </w:rPr>
        <w:t>供应商提</w:t>
      </w:r>
      <w:r>
        <w:rPr>
          <w:rFonts w:hint="eastAsia" w:asciiTheme="minorEastAsia" w:hAnsiTheme="minorEastAsia" w:eastAsiaTheme="minorEastAsia" w:cstheme="minorEastAsia"/>
          <w:sz w:val="24"/>
          <w:szCs w:val="24"/>
        </w:rPr>
        <w:t>交的支持资料和已印制的文献可以用外文，但相应内容应附有中文翻译本，在解释</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时以中文翻译本为准。未附中文翻译本或翻译本中文内容明显与外文内容不一致的，其不利后果由</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自行承担。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文件构成</w:t>
      </w:r>
    </w:p>
    <w:p>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应当按照</w:t>
      </w:r>
      <w:r>
        <w:rPr>
          <w:rFonts w:hint="eastAsia" w:asciiTheme="minorEastAsia" w:hAnsiTheme="minorEastAsia" w:eastAsiaTheme="minorEastAsia" w:cstheme="minorEastAsia"/>
          <w:snapToGrid w:val="0"/>
          <w:color w:val="000000"/>
          <w:spacing w:val="-2"/>
          <w:kern w:val="0"/>
          <w:sz w:val="24"/>
          <w:szCs w:val="24"/>
          <w:lang w:val="en-US" w:eastAsia="zh-CN" w:bidi="ar-SA"/>
        </w:rPr>
        <w:t>征集</w:t>
      </w:r>
      <w:r>
        <w:rPr>
          <w:rFonts w:hint="eastAsia" w:asciiTheme="minorEastAsia" w:hAnsiTheme="minorEastAsia" w:eastAsiaTheme="minorEastAsia" w:cstheme="minorEastAsia"/>
          <w:sz w:val="24"/>
          <w:szCs w:val="24"/>
        </w:rPr>
        <w:t>文件的要求编制</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文件应由《</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一览表及资格证明文件</w:t>
      </w:r>
      <w:r>
        <w:rPr>
          <w:rFonts w:hint="eastAsia" w:asciiTheme="minorEastAsia" w:hAnsiTheme="minorEastAsia" w:eastAsiaTheme="minorEastAsia" w:cstheme="minorEastAsia"/>
          <w:sz w:val="24"/>
          <w:szCs w:val="24"/>
        </w:rPr>
        <w:t>》、《商务技术文件》两部分构成。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评审小组</w:t>
      </w:r>
      <w:r>
        <w:rPr>
          <w:rFonts w:hint="eastAsia" w:asciiTheme="minorEastAsia" w:hAnsiTheme="minorEastAsia" w:eastAsiaTheme="minorEastAsia" w:cstheme="minorEastAsia"/>
          <w:sz w:val="24"/>
          <w:szCs w:val="24"/>
          <w:lang w:eastAsia="zh-CN"/>
        </w:rPr>
        <w:t>认为其响应文件有明显缺陷的，造成的后果由供应商自己承担。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w:t>
      </w:r>
      <w:r>
        <w:rPr>
          <w:rFonts w:hint="eastAsia" w:asciiTheme="minorEastAsia" w:hAnsiTheme="minorEastAsia" w:eastAsiaTheme="minorEastAsia" w:cstheme="minorEastAsia"/>
          <w:sz w:val="24"/>
          <w:szCs w:val="24"/>
          <w:lang w:val="en-US" w:eastAsia="zh-CN"/>
        </w:rPr>
        <w:t>征集</w:t>
      </w:r>
      <w:r>
        <w:rPr>
          <w:rFonts w:hint="eastAsia" w:asciiTheme="minorEastAsia" w:hAnsiTheme="minorEastAsia" w:eastAsiaTheme="minorEastAsia" w:cstheme="minorEastAsia"/>
          <w:sz w:val="24"/>
          <w:szCs w:val="24"/>
        </w:rPr>
        <w:t>文件中标记了实质性格式文件的，</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不得改变格式中给定的文字所表达的含义，不得删减格式中的实质性内容，不得对应当填写的空格不填写或不实质性响应，否则</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无效。未标记实质性格式的文件和</w:t>
      </w:r>
      <w:r>
        <w:rPr>
          <w:rFonts w:hint="eastAsia" w:asciiTheme="minorEastAsia" w:hAnsiTheme="minorEastAsia" w:eastAsiaTheme="minorEastAsia" w:cstheme="minorEastAsia"/>
          <w:sz w:val="24"/>
          <w:szCs w:val="24"/>
          <w:lang w:eastAsia="zh-CN"/>
        </w:rPr>
        <w:t>征集文件</w:t>
      </w:r>
      <w:r>
        <w:rPr>
          <w:rFonts w:hint="eastAsia" w:asciiTheme="minorEastAsia" w:hAnsiTheme="minorEastAsia" w:eastAsiaTheme="minorEastAsia" w:cstheme="minorEastAsia"/>
          <w:sz w:val="24"/>
          <w:szCs w:val="24"/>
        </w:rPr>
        <w:t>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自行编写。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lang w:eastAsia="zh-CN"/>
        </w:rPr>
        <w:t>应使用CA数字证书在截止时间前上传其加密版本，</w:t>
      </w:r>
      <w:r>
        <w:rPr>
          <w:rFonts w:hint="eastAsia" w:asciiTheme="minorEastAsia" w:hAnsiTheme="minorEastAsia" w:eastAsiaTheme="minorEastAsia" w:cstheme="minorEastAsia"/>
          <w:sz w:val="24"/>
          <w:szCs w:val="24"/>
          <w:lang w:val="en-US" w:eastAsia="zh-CN"/>
        </w:rPr>
        <w:t>根据征集文件中规定的下载平台要求，</w:t>
      </w:r>
      <w:r>
        <w:rPr>
          <w:rFonts w:hint="eastAsia" w:asciiTheme="minorEastAsia" w:hAnsiTheme="minorEastAsia" w:eastAsiaTheme="minorEastAsia" w:cstheme="minorEastAsia"/>
          <w:sz w:val="24"/>
          <w:szCs w:val="24"/>
          <w:lang w:eastAsia="zh-CN"/>
        </w:rPr>
        <w:t>具体详见《响应文件制作工具操作手册》。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响应文件</w:t>
      </w:r>
      <w:r>
        <w:rPr>
          <w:rFonts w:hint="eastAsia" w:asciiTheme="minorEastAsia" w:hAnsiTheme="minorEastAsia" w:eastAsiaTheme="minorEastAsia" w:cstheme="minorEastAsia"/>
          <w:b/>
          <w:bCs/>
          <w:sz w:val="24"/>
          <w:szCs w:val="24"/>
          <w:lang w:eastAsia="zh-CN"/>
        </w:rPr>
        <w:t>，将被平台系统拒绝。</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lang w:eastAsia="zh-CN"/>
        </w:rPr>
        <w:t>评审</w:t>
      </w:r>
      <w:r>
        <w:rPr>
          <w:rFonts w:hint="eastAsia" w:asciiTheme="minorEastAsia" w:hAnsiTheme="minorEastAsia" w:eastAsiaTheme="minorEastAsia" w:cstheme="minorEastAsia"/>
          <w:sz w:val="24"/>
          <w:szCs w:val="24"/>
        </w:rPr>
        <w:t>程序、</w:t>
      </w:r>
      <w:r>
        <w:rPr>
          <w:rFonts w:hint="eastAsia" w:asciiTheme="minorEastAsia" w:hAnsiTheme="minorEastAsia" w:eastAsiaTheme="minorEastAsia" w:cstheme="minorEastAsia"/>
          <w:sz w:val="24"/>
          <w:szCs w:val="24"/>
          <w:lang w:eastAsia="zh-CN"/>
        </w:rPr>
        <w:t>评审</w:t>
      </w:r>
      <w:r>
        <w:rPr>
          <w:rFonts w:hint="eastAsia" w:asciiTheme="minorEastAsia" w:hAnsiTheme="minorEastAsia" w:eastAsiaTheme="minorEastAsia" w:cstheme="minorEastAsia"/>
          <w:sz w:val="24"/>
          <w:szCs w:val="24"/>
        </w:rPr>
        <w:t>方法和</w:t>
      </w:r>
      <w:r>
        <w:rPr>
          <w:rFonts w:hint="eastAsia" w:asciiTheme="minorEastAsia" w:hAnsiTheme="minorEastAsia" w:eastAsiaTheme="minorEastAsia" w:cstheme="minorEastAsia"/>
          <w:sz w:val="24"/>
          <w:szCs w:val="24"/>
          <w:lang w:eastAsia="zh-CN"/>
        </w:rPr>
        <w:t>评审</w:t>
      </w:r>
      <w:r>
        <w:rPr>
          <w:rFonts w:hint="eastAsia" w:asciiTheme="minorEastAsia" w:hAnsiTheme="minorEastAsia" w:eastAsiaTheme="minorEastAsia" w:cstheme="minorEastAsia"/>
          <w:sz w:val="24"/>
          <w:szCs w:val="24"/>
        </w:rPr>
        <w:t>标准》中涉及的证明文件。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供应商编制响应文件时，涉及营业执照、资质、业绩、财务、社保、纳税及各类证书、报告等内容，必须是原件的扫描件。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供应商认为应附的其他材料。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供应商应按照征集文件提供的响应报价一览表格式填写响应总报价。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响应总报价应是包括征集文件规定完成采购范围及其伴随的服务价格总和，征集人不再另行支付费用。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.3 供应商只允许有一个报价，征集人和采购代理机构不接受有任何选择报价的</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.4 供应商不得以任何理由在开标后对响应报价予以修改，报价在响应有效期内是固定的，不因任何原因而改变。</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本项目响应报价为</w:t>
      </w:r>
      <w:r>
        <w:rPr>
          <w:rFonts w:hint="eastAsia" w:asciiTheme="minorEastAsia" w:hAnsiTheme="minorEastAsia" w:eastAsiaTheme="minorEastAsia" w:cstheme="minorEastAsia"/>
          <w:b/>
          <w:bCs/>
          <w:sz w:val="24"/>
          <w:szCs w:val="24"/>
          <w:u w:val="single"/>
        </w:rPr>
        <w:t>费率报价</w:t>
      </w:r>
      <w:r>
        <w:rPr>
          <w:rFonts w:hint="eastAsia" w:asciiTheme="minorEastAsia" w:hAnsiTheme="minorEastAsia" w:eastAsiaTheme="minorEastAsia" w:cstheme="minorEastAsia"/>
          <w:sz w:val="24"/>
          <w:szCs w:val="24"/>
        </w:rPr>
        <w:t xml:space="preserve"> 。例如：按照计费标准的 90% 收取，则：响应报价即为 90% ；如供应商响应文件或响应一览表中填写错误，其承担一切不利责任。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征集人或者服务对象根据具体项目，按照供应商须知规定</w:t>
      </w:r>
      <w:r>
        <w:rPr>
          <w:rFonts w:hint="eastAsia" w:asciiTheme="minorEastAsia" w:hAnsiTheme="minorEastAsia" w:eastAsiaTheme="minorEastAsia" w:cstheme="minorEastAsia"/>
          <w:sz w:val="24"/>
          <w:szCs w:val="24"/>
          <w:lang w:val="zh-CN"/>
        </w:rPr>
        <w:t>计费标准</w:t>
      </w:r>
      <w:r>
        <w:rPr>
          <w:rFonts w:hint="eastAsia" w:asciiTheme="minorEastAsia" w:hAnsiTheme="minorEastAsia" w:eastAsiaTheme="minorEastAsia" w:cstheme="minorEastAsia"/>
          <w:sz w:val="24"/>
          <w:szCs w:val="24"/>
        </w:rPr>
        <w:t>*费率报价计取服务费。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合同价包括完成征集人或者服务对象所委托的项目工作内容的所有费用，且实施过程中合同价不予调整，征集人或者服务对象不再支付其他任何费用。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供应商在提交响应文件截止时间前修改响应函及响应一览表中的响应总报价，应同时修改响应文件中的相应报价。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2.响应文件</w:t>
      </w:r>
      <w:r>
        <w:rPr>
          <w:rFonts w:hint="eastAsia" w:asciiTheme="minorEastAsia" w:hAnsiTheme="minorEastAsia" w:eastAsiaTheme="minorEastAsia" w:cstheme="minorEastAsia"/>
          <w:b/>
          <w:bCs/>
          <w:sz w:val="24"/>
          <w:szCs w:val="24"/>
        </w:rPr>
        <w:t>有效期</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.1 响应文件有效期见供应商须知，从提交响应文件的截止之日起算。响应文件有效期内供应商不得撤销响应文件。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 响应文件应自提交响应文件的截止之日起，在规定的时间内保持有效。响应文件有效期不足的将被视为未响应而予以拒绝。</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.3 在特殊情况下，在原响应文件有效期截止之前，征集人和采购代理机构可征求供应商同意延长响应文件有效期。这种要求与答复均应以书面形式提交。供应商可以拒绝这种要求。同意延期的供应商将不会被要求也不允许修改其响应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lang w:eastAsia="zh-CN"/>
        </w:rPr>
        <w:t>响应文件</w:t>
      </w:r>
      <w:r>
        <w:rPr>
          <w:rFonts w:hint="eastAsia" w:asciiTheme="minorEastAsia" w:hAnsiTheme="minorEastAsia" w:eastAsiaTheme="minorEastAsia" w:cstheme="minorEastAsia"/>
          <w:b/>
          <w:bCs/>
          <w:sz w:val="24"/>
          <w:szCs w:val="24"/>
        </w:rPr>
        <w:t>的签署、盖章</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lang w:eastAsia="zh-CN"/>
        </w:rPr>
        <w:t>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手写签字后扫描上传进响应文件。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征集文件</w:t>
      </w:r>
      <w:r>
        <w:rPr>
          <w:rFonts w:hint="eastAsia" w:asciiTheme="minorEastAsia" w:hAnsiTheme="minorEastAsia" w:eastAsiaTheme="minorEastAsia" w:cstheme="minorEastAsia"/>
          <w:sz w:val="24"/>
          <w:szCs w:val="24"/>
        </w:rPr>
        <w:t>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响应</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lang w:eastAsia="zh-CN"/>
        </w:rPr>
        <w:t>响应文件</w:t>
      </w:r>
      <w:r>
        <w:rPr>
          <w:rFonts w:hint="eastAsia" w:asciiTheme="minorEastAsia" w:hAnsiTheme="minorEastAsia" w:eastAsiaTheme="minorEastAsia" w:cstheme="minorEastAsia"/>
          <w:b/>
          <w:bCs/>
          <w:spacing w:val="1"/>
          <w:sz w:val="24"/>
          <w:szCs w:val="24"/>
        </w:rPr>
        <w:t>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网上交易系统在响应截止时间前完成制作软件生成的加密电子响应文件的上传。未在响应截止时间前完成上传的，视为逾期提交。逾期提交的响应文件，电子交易系统将予以拒收。</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征集人及采购代理机构拒绝接受通过电子交易平台以外任何形式提交的响应文件。</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w:t>
      </w:r>
      <w:r>
        <w:rPr>
          <w:rFonts w:hint="eastAsia" w:asciiTheme="minorEastAsia" w:hAnsiTheme="minorEastAsia" w:eastAsiaTheme="minorEastAsia" w:cstheme="minorEastAsia"/>
          <w:b/>
          <w:bCs/>
          <w:spacing w:val="-1"/>
          <w:sz w:val="24"/>
          <w:szCs w:val="24"/>
          <w:lang w:eastAsia="zh-CN"/>
        </w:rPr>
        <w:t>响应文件</w:t>
      </w:r>
      <w:r>
        <w:rPr>
          <w:rFonts w:hint="eastAsia" w:asciiTheme="minorEastAsia" w:hAnsiTheme="minorEastAsia" w:eastAsiaTheme="minorEastAsia" w:cstheme="minorEastAsia"/>
          <w:b/>
          <w:bCs/>
          <w:spacing w:val="-1"/>
          <w:sz w:val="24"/>
          <w:szCs w:val="24"/>
        </w:rPr>
        <w:t>的修改与撤回</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在征集文件规定的截止时间前，供应商可以修改或撤回已上传的电子响应文件，最终电子响应文件以截止时间前完成上传至南阳市电子交易平台系统最后一份解密响应文件为准。截止时间之后，供应商不得修改或撤回电子响应文件。</w:t>
      </w:r>
    </w:p>
    <w:p>
      <w:pPr>
        <w:pStyle w:val="5"/>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lang w:eastAsia="zh-CN"/>
          <w14:textOutline w14:w="2306" w14:cap="flat" w14:cmpd="sng">
            <w14:solidFill>
              <w14:srgbClr w14:val="000000"/>
            </w14:solidFill>
            <w14:prstDash w14:val="solid"/>
            <w14:miter w14:val="0"/>
          </w14:textOutline>
        </w:rPr>
        <w:t>评审</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程序、</w:t>
      </w:r>
      <w:r>
        <w:rPr>
          <w:rFonts w:hint="eastAsia" w:asciiTheme="minorEastAsia" w:hAnsiTheme="minorEastAsia" w:eastAsiaTheme="minorEastAsia" w:cstheme="minorEastAsia"/>
          <w:sz w:val="36"/>
          <w:szCs w:val="36"/>
          <w:lang w:eastAsia="zh-CN"/>
          <w14:textOutline w14:w="2306" w14:cap="flat" w14:cmpd="sng">
            <w14:solidFill>
              <w14:srgbClr w14:val="000000"/>
            </w14:solidFill>
            <w14:prstDash w14:val="solid"/>
            <w14:miter w14:val="0"/>
          </w14:textOutline>
        </w:rPr>
        <w:t>评审</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方法和</w:t>
      </w:r>
      <w:r>
        <w:rPr>
          <w:rFonts w:hint="eastAsia" w:asciiTheme="minorEastAsia" w:hAnsiTheme="minorEastAsia" w:eastAsiaTheme="minorEastAsia" w:cstheme="minorEastAsia"/>
          <w:sz w:val="36"/>
          <w:szCs w:val="36"/>
          <w:lang w:eastAsia="zh-CN"/>
          <w14:textOutline w14:w="2306" w14:cap="flat" w14:cmpd="sng">
            <w14:solidFill>
              <w14:srgbClr w14:val="000000"/>
            </w14:solidFill>
            <w14:prstDash w14:val="solid"/>
            <w14:miter w14:val="0"/>
          </w14:textOutline>
        </w:rPr>
        <w:t>评审</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标准</w:t>
      </w:r>
    </w:p>
    <w:p>
      <w:pPr>
        <w:pStyle w:val="5"/>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1.征集人或采购代理机构按招标公告中规定的时间开标，本项目使用不见面开标，供应商无需到开标现场。</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供应商解密：供应商制作电子响应文件时，必须使用本单位企业数字证书进行加密，供应商在开标前须自行检查数字证书的有效性。在解密时间到达后，系统做出解密提示，请各供应商自行解密即可。开标解密时未在规定时间（30分钟）内进行解密的视为撤销其响应文件（因电子开标系统原因除外）。</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供应商查看，如无异议视为同意）。招标（采购）人、监督人员需要关注开标过程中，供应商随时在线提出的异议、问题沟通等信息，并及时做好答复工作。</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1.开标结束后，征集人或采购代理机构将根据资格审查要求中的规定，对供应商进行资格审查，并形成资格审查结果。</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2.供应商《资格证明文件》有任何一项不符合《资格审查要求》的，资格审查不合格，其响应无效。</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3.资格审查合格的供应商不足2家的，不进行评审。</w:t>
      </w: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5"/>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1"/>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0"/>
        <w:gridCol w:w="1065"/>
        <w:gridCol w:w="4080"/>
        <w:gridCol w:w="30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560" w:type="dxa"/>
            <w:vAlign w:val="top"/>
          </w:tcPr>
          <w:p>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5"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4080"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030"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2" w:hRule="atLeast"/>
        </w:trPr>
        <w:tc>
          <w:tcPr>
            <w:tcW w:w="560" w:type="dxa"/>
            <w:vAlign w:val="center"/>
          </w:tcPr>
          <w:p>
            <w:pPr>
              <w:pStyle w:val="22"/>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5" w:type="dxa"/>
            <w:vAlign w:val="center"/>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供应商具备的</w:t>
            </w:r>
            <w:r>
              <w:rPr>
                <w:rFonts w:hint="eastAsia" w:asciiTheme="minorEastAsia" w:hAnsiTheme="minorEastAsia" w:eastAsiaTheme="minorEastAsia" w:cstheme="minorEastAsia"/>
                <w:spacing w:val="-2"/>
                <w:sz w:val="24"/>
                <w:szCs w:val="24"/>
              </w:rPr>
              <w:t>资格要求</w:t>
            </w:r>
          </w:p>
        </w:tc>
        <w:tc>
          <w:tcPr>
            <w:tcW w:w="4080" w:type="dxa"/>
            <w:vAlign w:val="top"/>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响应截止时间；</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3030" w:type="dxa"/>
            <w:vAlign w:val="top"/>
          </w:tcPr>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bl>
    <w:p>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确定入围</w:t>
      </w:r>
      <w:r>
        <w:rPr>
          <w:rFonts w:hint="eastAsia" w:asciiTheme="minorEastAsia" w:hAnsiTheme="minorEastAsia" w:eastAsiaTheme="minorEastAsia" w:cstheme="minorEastAsia"/>
          <w:b/>
          <w:bCs/>
          <w:sz w:val="24"/>
          <w:szCs w:val="24"/>
          <w:lang w:val="zh-CN" w:eastAsia="zh-CN"/>
        </w:rPr>
        <w:t>后，应将上述由信用承诺书替代的证明材料提交征集人或采购代理机构，证明材料将随公告一并公示。</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三、评审小组</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征集人、采购代理机构将根据《中华人民共和国政府采购法》的规定和采购项目的特点组建评审小组，本项目评审小组全部由评审专家组成，成员人数为5人。评审专家均由省级以上财政部门设立的政府采购评审专家库随机抽取。</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2.评审小组应当严格遵守评审纪律，现场签订评审委员会评审承诺书，并按照客观、公正、审慎的原则，根据采购文件规定的评审程序、评审方法和评审标准进行独立评审。</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3.评审小组应当在评审报告上签字，对自己评审意见承担法律责任。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4.评审专家未完成评审工作擅自离开评审现场，或者在评审活动中有违法违规行为的，不得获取劳务报酬和报销异地评审差旅费。评审专家以外的其他人员不得获取评审劳务报酬。</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小组发现征集文件存在歧义、重大缺陷导致评审工作无法进行，或者征集文件内容违反国家有关强制性规定的，应当停止评审工作，与征集人或者采购代理机构沟通并作书面记录。征集人或者采购代理机构确认后，应当修改征集文件，重新组织采购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6.评审小组或者其成员存在下列情形导致评审结果无效的，征集人、采购代理机构可以重新组建评审小组进行评审，并书面报告本级财政部门，但采购合同已经履行的除外：</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（1）评审小组组成不符合本办法规定的;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（3）评审小组及其成员独立评审受到非法干预的;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有违法违规行为的原评审小组成员不得参加重新组建的评审小组。</w:t>
      </w:r>
    </w:p>
    <w:p>
      <w:pPr>
        <w:keepNext w:val="0"/>
        <w:keepLines w:val="0"/>
        <w:pageBreakBefore w:val="0"/>
        <w:widowControl/>
        <w:numPr>
          <w:ilvl w:val="0"/>
          <w:numId w:val="3"/>
        </w:numPr>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rPr>
          <w:rFonts w:hint="eastAsia" w:asciiTheme="minorEastAsia" w:hAnsiTheme="minorEastAsia" w:eastAsiaTheme="minorEastAsia" w:cstheme="minorEastAsia"/>
          <w:spacing w:val="3"/>
          <w:sz w:val="24"/>
          <w:szCs w:val="24"/>
          <w:lang w:val="en-US"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rPr>
          <w:rFonts w:hint="eastAsia" w:asciiTheme="minorEastAsia" w:hAnsiTheme="minorEastAsia" w:eastAsiaTheme="minorEastAsia" w:cstheme="minorEastAsia"/>
          <w:spacing w:val="3"/>
          <w:sz w:val="24"/>
          <w:szCs w:val="24"/>
          <w:lang w:val="en-US"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rPr>
          <w:rFonts w:hint="eastAsia" w:asciiTheme="minorEastAsia" w:hAnsiTheme="minorEastAsia" w:eastAsiaTheme="minorEastAsia" w:cstheme="minorEastAsia"/>
          <w:spacing w:val="3"/>
          <w:sz w:val="24"/>
          <w:szCs w:val="24"/>
          <w:lang w:val="en-US"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rPr>
          <w:rFonts w:hint="eastAsia" w:asciiTheme="minorEastAsia" w:hAnsiTheme="minorEastAsia" w:eastAsiaTheme="minorEastAsia" w:cstheme="minorEastAsia"/>
          <w:spacing w:val="3"/>
          <w:sz w:val="24"/>
          <w:szCs w:val="24"/>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四、响应文件的审查</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的符合性审查</w:t>
      </w:r>
    </w:p>
    <w:p>
      <w:pPr>
        <w:ind w:firstLine="488" w:firstLineChars="200"/>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评审小组</w:t>
      </w:r>
      <w:r>
        <w:rPr>
          <w:rFonts w:hint="eastAsia" w:asciiTheme="minorEastAsia" w:hAnsiTheme="minorEastAsia" w:eastAsiaTheme="minorEastAsia" w:cstheme="minorEastAsia"/>
          <w:spacing w:val="2"/>
          <w:position w:val="17"/>
          <w:sz w:val="24"/>
          <w:szCs w:val="24"/>
        </w:rPr>
        <w:t>对资格审查合格的</w:t>
      </w:r>
      <w:r>
        <w:rPr>
          <w:rFonts w:hint="eastAsia" w:asciiTheme="minorEastAsia" w:hAnsiTheme="minorEastAsia" w:eastAsiaTheme="minorEastAsia" w:cstheme="minorEastAsia"/>
          <w:spacing w:val="2"/>
          <w:position w:val="17"/>
          <w:sz w:val="24"/>
          <w:szCs w:val="24"/>
          <w:lang w:eastAsia="zh-CN"/>
        </w:rPr>
        <w:t>供应商</w:t>
      </w:r>
      <w:r>
        <w:rPr>
          <w:rFonts w:hint="eastAsia" w:asciiTheme="minorEastAsia" w:hAnsiTheme="minorEastAsia" w:eastAsiaTheme="minorEastAsia" w:cstheme="minorEastAsia"/>
          <w:spacing w:val="2"/>
          <w:position w:val="17"/>
          <w:sz w:val="24"/>
          <w:szCs w:val="24"/>
        </w:rPr>
        <w:t>的</w:t>
      </w:r>
      <w:r>
        <w:rPr>
          <w:rFonts w:hint="eastAsia" w:asciiTheme="minorEastAsia" w:hAnsiTheme="minorEastAsia" w:eastAsiaTheme="minorEastAsia" w:cstheme="minorEastAsia"/>
          <w:spacing w:val="2"/>
          <w:position w:val="17"/>
          <w:sz w:val="24"/>
          <w:szCs w:val="24"/>
          <w:lang w:eastAsia="zh-CN"/>
        </w:rPr>
        <w:t>响应文件</w:t>
      </w:r>
      <w:r>
        <w:rPr>
          <w:rFonts w:hint="eastAsia" w:asciiTheme="minorEastAsia" w:hAnsiTheme="minorEastAsia" w:eastAsiaTheme="minorEastAsia" w:cstheme="minorEastAsia"/>
          <w:spacing w:val="2"/>
          <w:position w:val="17"/>
          <w:sz w:val="24"/>
          <w:szCs w:val="24"/>
        </w:rPr>
        <w:t>进行符合性审查，以确</w:t>
      </w:r>
      <w:r>
        <w:rPr>
          <w:rFonts w:hint="eastAsia" w:asciiTheme="minorEastAsia" w:hAnsiTheme="minorEastAsia" w:eastAsiaTheme="minorEastAsia" w:cstheme="minorEastAsia"/>
          <w:spacing w:val="2"/>
          <w:position w:val="17"/>
          <w:sz w:val="24"/>
          <w:szCs w:val="24"/>
          <w:lang w:val="en-US" w:eastAsia="zh-CN"/>
        </w:rPr>
        <w:t>定其是否满足征集文件的实质性要求。</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评审小组</w:t>
      </w:r>
      <w:r>
        <w:rPr>
          <w:rFonts w:hint="eastAsia" w:asciiTheme="minorEastAsia" w:hAnsiTheme="minorEastAsia" w:eastAsiaTheme="minorEastAsia" w:cstheme="minorEastAsia"/>
          <w:spacing w:val="2"/>
          <w:position w:val="17"/>
          <w:sz w:val="24"/>
          <w:szCs w:val="24"/>
        </w:rPr>
        <w:t>根据《符合性审查要求》中规定的审查因素和审查内容，对</w:t>
      </w:r>
      <w:r>
        <w:rPr>
          <w:rFonts w:hint="eastAsia" w:asciiTheme="minorEastAsia" w:hAnsiTheme="minorEastAsia" w:eastAsiaTheme="minorEastAsia" w:cstheme="minorEastAsia"/>
          <w:spacing w:val="2"/>
          <w:position w:val="17"/>
          <w:sz w:val="24"/>
          <w:szCs w:val="24"/>
          <w:lang w:eastAsia="zh-CN"/>
        </w:rPr>
        <w:t>供应商</w:t>
      </w:r>
      <w:r>
        <w:rPr>
          <w:rFonts w:hint="eastAsia" w:asciiTheme="minorEastAsia" w:hAnsiTheme="minorEastAsia" w:eastAsiaTheme="minorEastAsia" w:cstheme="minorEastAsia"/>
          <w:spacing w:val="2"/>
          <w:position w:val="17"/>
          <w:sz w:val="24"/>
          <w:szCs w:val="24"/>
        </w:rPr>
        <w:t>的</w:t>
      </w:r>
      <w:r>
        <w:rPr>
          <w:rFonts w:hint="eastAsia" w:asciiTheme="minorEastAsia" w:hAnsiTheme="minorEastAsia" w:eastAsiaTheme="minorEastAsia" w:cstheme="minorEastAsia"/>
          <w:spacing w:val="2"/>
          <w:position w:val="17"/>
          <w:sz w:val="24"/>
          <w:szCs w:val="24"/>
          <w:lang w:eastAsia="zh-CN"/>
        </w:rPr>
        <w:t>响应文件</w:t>
      </w:r>
      <w:r>
        <w:rPr>
          <w:rFonts w:hint="eastAsia" w:asciiTheme="minorEastAsia" w:hAnsiTheme="minorEastAsia" w:eastAsiaTheme="minorEastAsia" w:cstheme="minorEastAsia"/>
          <w:spacing w:val="2"/>
          <w:position w:val="17"/>
          <w:sz w:val="24"/>
          <w:szCs w:val="24"/>
        </w:rPr>
        <w:t>是否实质上响应</w:t>
      </w:r>
      <w:r>
        <w:rPr>
          <w:rFonts w:hint="eastAsia" w:asciiTheme="minorEastAsia" w:hAnsiTheme="minorEastAsia" w:eastAsiaTheme="minorEastAsia" w:cstheme="minorEastAsia"/>
          <w:spacing w:val="2"/>
          <w:position w:val="17"/>
          <w:sz w:val="24"/>
          <w:szCs w:val="24"/>
          <w:lang w:eastAsia="zh-CN"/>
        </w:rPr>
        <w:t>征集文件</w:t>
      </w:r>
      <w:r>
        <w:rPr>
          <w:rFonts w:hint="eastAsia" w:asciiTheme="minorEastAsia" w:hAnsiTheme="minorEastAsia" w:eastAsiaTheme="minorEastAsia" w:cstheme="minorEastAsia"/>
          <w:spacing w:val="2"/>
          <w:position w:val="17"/>
          <w:sz w:val="24"/>
          <w:szCs w:val="24"/>
        </w:rPr>
        <w:t>进行符合性审查，并形成符合性审查评审结果。</w:t>
      </w:r>
      <w:r>
        <w:rPr>
          <w:rFonts w:hint="eastAsia" w:asciiTheme="minorEastAsia" w:hAnsiTheme="minorEastAsia" w:eastAsiaTheme="minorEastAsia" w:cstheme="minorEastAsia"/>
          <w:spacing w:val="2"/>
          <w:position w:val="17"/>
          <w:sz w:val="24"/>
          <w:szCs w:val="24"/>
          <w:lang w:eastAsia="zh-CN"/>
        </w:rPr>
        <w:t>供应商</w:t>
      </w:r>
      <w:r>
        <w:rPr>
          <w:rFonts w:hint="eastAsia" w:asciiTheme="minorEastAsia" w:hAnsiTheme="minorEastAsia" w:eastAsiaTheme="minorEastAsia" w:cstheme="minorEastAsia"/>
          <w:spacing w:val="2"/>
          <w:position w:val="17"/>
          <w:sz w:val="24"/>
          <w:szCs w:val="24"/>
        </w:rPr>
        <w:t>《商务技术文件》有任何一项不符合《符合性审查要求》要求的，</w:t>
      </w:r>
      <w:r>
        <w:rPr>
          <w:rFonts w:hint="eastAsia" w:asciiTheme="minorEastAsia" w:hAnsiTheme="minorEastAsia" w:eastAsiaTheme="minorEastAsia" w:cstheme="minorEastAsia"/>
          <w:spacing w:val="2"/>
          <w:position w:val="17"/>
          <w:sz w:val="24"/>
          <w:szCs w:val="24"/>
          <w:lang w:eastAsia="zh-CN"/>
        </w:rPr>
        <w:t>响应</w:t>
      </w:r>
      <w:r>
        <w:rPr>
          <w:rFonts w:hint="eastAsia" w:asciiTheme="minorEastAsia" w:hAnsiTheme="minorEastAsia" w:eastAsiaTheme="minorEastAsia" w:cstheme="minorEastAsia"/>
          <w:spacing w:val="2"/>
          <w:position w:val="17"/>
          <w:sz w:val="24"/>
          <w:szCs w:val="24"/>
        </w:rPr>
        <w:t>无效。</w:t>
      </w:r>
    </w:p>
    <w:p>
      <w:pPr>
        <w:pStyle w:val="5"/>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1"/>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685" w:type="dxa"/>
            <w:vAlign w:val="top"/>
          </w:tcPr>
          <w:p>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2"/>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w:t>
            </w:r>
            <w:r>
              <w:rPr>
                <w:rFonts w:hint="eastAsia" w:asciiTheme="minorEastAsia" w:hAnsiTheme="minorEastAsia" w:eastAsiaTheme="minorEastAsia" w:cstheme="minorEastAsia"/>
                <w:spacing w:val="-3"/>
                <w:sz w:val="24"/>
                <w:szCs w:val="24"/>
                <w:lang w:eastAsia="zh-CN"/>
              </w:rPr>
              <w:t>征集文件</w:t>
            </w:r>
            <w:r>
              <w:rPr>
                <w:rFonts w:hint="eastAsia" w:asciiTheme="minorEastAsia" w:hAnsiTheme="minorEastAsia" w:eastAsiaTheme="minorEastAsia" w:cstheme="minorEastAsia"/>
                <w:spacing w:val="-3"/>
                <w:sz w:val="24"/>
                <w:szCs w:val="24"/>
              </w:rPr>
              <w:t>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22"/>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完整性</w:t>
            </w:r>
          </w:p>
        </w:tc>
        <w:tc>
          <w:tcPr>
            <w:tcW w:w="5791" w:type="dxa"/>
            <w:vAlign w:val="center"/>
          </w:tcPr>
          <w:p>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w:t>
            </w:r>
            <w:r>
              <w:rPr>
                <w:rFonts w:hint="eastAsia" w:asciiTheme="minorEastAsia" w:hAnsiTheme="minorEastAsia" w:eastAsiaTheme="minorEastAsia" w:cstheme="minorEastAsia"/>
                <w:spacing w:val="-3"/>
                <w:sz w:val="24"/>
                <w:szCs w:val="24"/>
                <w:lang w:eastAsia="zh-CN"/>
              </w:rPr>
              <w:t>响应</w:t>
            </w:r>
            <w:r>
              <w:rPr>
                <w:rFonts w:hint="eastAsia" w:asciiTheme="minorEastAsia" w:hAnsiTheme="minorEastAsia" w:eastAsiaTheme="minorEastAsia" w:cstheme="minorEastAsia"/>
                <w:spacing w:val="-3"/>
                <w:sz w:val="24"/>
                <w:szCs w:val="24"/>
              </w:rPr>
              <w:t>；</w:t>
            </w:r>
          </w:p>
          <w:p>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供应商对所投征集文件中所列的所有内容进行响应。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2"/>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响应</w:t>
            </w:r>
            <w:r>
              <w:rPr>
                <w:rFonts w:hint="eastAsia" w:asciiTheme="minorEastAsia" w:hAnsiTheme="minorEastAsia" w:eastAsiaTheme="minorEastAsia" w:cstheme="minorEastAsia"/>
                <w:spacing w:val="-3"/>
                <w:sz w:val="24"/>
                <w:szCs w:val="24"/>
              </w:rPr>
              <w:t>报价</w:t>
            </w:r>
          </w:p>
        </w:tc>
        <w:tc>
          <w:tcPr>
            <w:tcW w:w="5791" w:type="dxa"/>
            <w:vAlign w:val="top"/>
          </w:tcPr>
          <w:p>
            <w:pPr>
              <w:pStyle w:val="22"/>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报价未超过</w:t>
            </w:r>
            <w:r>
              <w:rPr>
                <w:rFonts w:hint="eastAsia" w:asciiTheme="minorEastAsia" w:hAnsiTheme="minorEastAsia" w:eastAsiaTheme="minorEastAsia" w:cstheme="minorEastAsia"/>
                <w:sz w:val="24"/>
                <w:szCs w:val="24"/>
                <w:lang w:eastAsia="zh-CN"/>
              </w:rPr>
              <w:t>征集文件</w:t>
            </w:r>
            <w:r>
              <w:rPr>
                <w:rFonts w:hint="eastAsia" w:asciiTheme="minorEastAsia" w:hAnsiTheme="minorEastAsia" w:eastAsiaTheme="minorEastAsia" w:cstheme="minorEastAsia"/>
                <w:sz w:val="24"/>
                <w:szCs w:val="24"/>
              </w:rPr>
              <w:t>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2"/>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响应文件</w:t>
            </w:r>
            <w:r>
              <w:rPr>
                <w:rFonts w:hint="eastAsia" w:asciiTheme="minorEastAsia" w:hAnsiTheme="minorEastAsia" w:eastAsiaTheme="minorEastAsia" w:cstheme="minorEastAsia"/>
                <w:spacing w:val="-1"/>
                <w:sz w:val="24"/>
                <w:szCs w:val="24"/>
              </w:rPr>
              <w:t>未出现可选择性或可调整的报价（</w:t>
            </w:r>
            <w:r>
              <w:rPr>
                <w:rFonts w:hint="eastAsia" w:asciiTheme="minorEastAsia" w:hAnsiTheme="minorEastAsia" w:eastAsiaTheme="minorEastAsia" w:cstheme="minorEastAsia"/>
                <w:spacing w:val="-1"/>
                <w:sz w:val="24"/>
                <w:szCs w:val="24"/>
                <w:lang w:eastAsia="zh-CN"/>
              </w:rPr>
              <w:t>征集文件</w:t>
            </w:r>
            <w:r>
              <w:rPr>
                <w:rFonts w:hint="eastAsia" w:asciiTheme="minorEastAsia" w:hAnsiTheme="minorEastAsia" w:eastAsiaTheme="minorEastAsia" w:cstheme="minorEastAsia"/>
                <w:spacing w:val="-1"/>
                <w:sz w:val="24"/>
                <w:szCs w:val="24"/>
              </w:rPr>
              <w:t>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2"/>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有效期</w:t>
            </w:r>
          </w:p>
        </w:tc>
        <w:tc>
          <w:tcPr>
            <w:tcW w:w="5791" w:type="dxa"/>
            <w:vAlign w:val="top"/>
          </w:tcPr>
          <w:p>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响应文件</w:t>
            </w:r>
            <w:r>
              <w:rPr>
                <w:rFonts w:hint="eastAsia" w:asciiTheme="minorEastAsia" w:hAnsiTheme="minorEastAsia" w:eastAsiaTheme="minorEastAsia" w:cstheme="minorEastAsia"/>
                <w:spacing w:val="-1"/>
                <w:sz w:val="24"/>
                <w:szCs w:val="24"/>
              </w:rPr>
              <w:t>中承诺的</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有效期满足</w:t>
            </w:r>
            <w:r>
              <w:rPr>
                <w:rFonts w:hint="eastAsia" w:asciiTheme="minorEastAsia" w:hAnsiTheme="minorEastAsia" w:eastAsiaTheme="minorEastAsia" w:cstheme="minorEastAsia"/>
                <w:spacing w:val="-1"/>
                <w:sz w:val="24"/>
                <w:szCs w:val="24"/>
                <w:lang w:eastAsia="zh-CN"/>
              </w:rPr>
              <w:t>征集文件</w:t>
            </w:r>
            <w:r>
              <w:rPr>
                <w:rFonts w:hint="eastAsia" w:asciiTheme="minorEastAsia" w:hAnsiTheme="minorEastAsia" w:eastAsiaTheme="minorEastAsia" w:cstheme="minorEastAsia"/>
                <w:spacing w:val="-1"/>
                <w:sz w:val="24"/>
                <w:szCs w:val="24"/>
              </w:rPr>
              <w:t>中载明的</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2"/>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w:t>
            </w:r>
            <w:r>
              <w:rPr>
                <w:rFonts w:hint="eastAsia" w:asciiTheme="minorEastAsia" w:hAnsiTheme="minorEastAsia" w:eastAsiaTheme="minorEastAsia" w:cstheme="minorEastAsia"/>
                <w:spacing w:val="-1"/>
                <w:sz w:val="24"/>
                <w:szCs w:val="24"/>
                <w:lang w:eastAsia="zh-CN"/>
              </w:rPr>
              <w:t>征集文件</w:t>
            </w:r>
            <w:r>
              <w:rPr>
                <w:rFonts w:hint="eastAsia" w:asciiTheme="minorEastAsia" w:hAnsiTheme="minorEastAsia" w:eastAsiaTheme="minorEastAsia" w:cstheme="minorEastAsia"/>
                <w:spacing w:val="-1"/>
                <w:sz w:val="24"/>
                <w:szCs w:val="24"/>
              </w:rPr>
              <w:t>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2"/>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w:t>
            </w:r>
            <w:r>
              <w:rPr>
                <w:rFonts w:hint="eastAsia" w:asciiTheme="minorEastAsia" w:hAnsiTheme="minorEastAsia" w:eastAsiaTheme="minorEastAsia" w:cstheme="minorEastAsia"/>
                <w:spacing w:val="-1"/>
                <w:sz w:val="24"/>
                <w:szCs w:val="24"/>
                <w:lang w:eastAsia="zh-CN"/>
              </w:rPr>
              <w:t>响应文件</w:t>
            </w:r>
            <w:r>
              <w:rPr>
                <w:rFonts w:hint="eastAsia" w:asciiTheme="minorEastAsia" w:hAnsiTheme="minorEastAsia" w:eastAsiaTheme="minorEastAsia" w:cstheme="minorEastAsia"/>
                <w:spacing w:val="-1"/>
                <w:sz w:val="24"/>
                <w:szCs w:val="24"/>
              </w:rPr>
              <w:t>报价出现前后不一致时，</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pPr>
              <w:pStyle w:val="22"/>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pPr>
              <w:pStyle w:val="22"/>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的报价明显低于其他通过符合性审查</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的报价，有可能影响产品质量或者不能诚信履约的，能够应</w:t>
            </w:r>
            <w:r>
              <w:rPr>
                <w:rFonts w:hint="eastAsia" w:asciiTheme="minorEastAsia" w:hAnsiTheme="minorEastAsia" w:eastAsiaTheme="minorEastAsia" w:cstheme="minorEastAsia"/>
                <w:spacing w:val="-3"/>
                <w:sz w:val="24"/>
                <w:szCs w:val="24"/>
                <w:lang w:eastAsia="zh-CN"/>
              </w:rPr>
              <w:t>评审小组</w:t>
            </w:r>
            <w:r>
              <w:rPr>
                <w:rFonts w:hint="eastAsia" w:asciiTheme="minorEastAsia" w:hAnsiTheme="minorEastAsia" w:eastAsiaTheme="minorEastAsia" w:cstheme="minorEastAsia"/>
                <w:spacing w:val="-3"/>
                <w:sz w:val="24"/>
                <w:szCs w:val="24"/>
              </w:rPr>
              <w:t>要求在规定时间内证明其报价合理性的</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pPr>
              <w:pStyle w:val="2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2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pPr>
              <w:pStyle w:val="22"/>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pPr>
              <w:pStyle w:val="2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遵循公平竞争的原则，不存在恶意串通，妨碍其他</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的竞争行为，不存在损害</w:t>
            </w:r>
            <w:r>
              <w:rPr>
                <w:rFonts w:hint="eastAsia" w:asciiTheme="minorEastAsia" w:hAnsiTheme="minorEastAsia" w:eastAsiaTheme="minorEastAsia" w:cstheme="minorEastAsia"/>
                <w:spacing w:val="-1"/>
                <w:sz w:val="24"/>
                <w:szCs w:val="24"/>
                <w:lang w:eastAsia="zh-CN"/>
              </w:rPr>
              <w:t>征集人</w:t>
            </w:r>
            <w:r>
              <w:rPr>
                <w:rFonts w:hint="eastAsia" w:asciiTheme="minorEastAsia" w:hAnsiTheme="minorEastAsia" w:eastAsiaTheme="minorEastAsia" w:cstheme="minorEastAsia"/>
                <w:spacing w:val="-1"/>
                <w:sz w:val="24"/>
                <w:szCs w:val="24"/>
              </w:rPr>
              <w:t>或者其他</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pPr>
              <w:pStyle w:val="2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pPr>
              <w:pStyle w:val="2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w:t>
            </w:r>
            <w:r>
              <w:rPr>
                <w:rFonts w:hint="eastAsia" w:asciiTheme="minorEastAsia" w:hAnsiTheme="minorEastAsia" w:eastAsiaTheme="minorEastAsia" w:cstheme="minorEastAsia"/>
                <w:spacing w:val="-7"/>
                <w:sz w:val="24"/>
                <w:szCs w:val="24"/>
                <w:lang w:eastAsia="zh-CN"/>
              </w:rPr>
              <w:t>供应商</w:t>
            </w:r>
            <w:r>
              <w:rPr>
                <w:rFonts w:hint="eastAsia" w:asciiTheme="minorEastAsia" w:hAnsiTheme="minorEastAsia" w:eastAsiaTheme="minorEastAsia" w:cstheme="minorEastAsia"/>
                <w:spacing w:val="-7"/>
                <w:sz w:val="24"/>
                <w:szCs w:val="24"/>
              </w:rPr>
              <w:t>的</w:t>
            </w:r>
            <w:r>
              <w:rPr>
                <w:rFonts w:hint="eastAsia" w:asciiTheme="minorEastAsia" w:hAnsiTheme="minorEastAsia" w:eastAsiaTheme="minorEastAsia" w:cstheme="minorEastAsia"/>
                <w:spacing w:val="-7"/>
                <w:sz w:val="24"/>
                <w:szCs w:val="24"/>
                <w:lang w:eastAsia="zh-CN"/>
              </w:rPr>
              <w:t>响应文件</w:t>
            </w:r>
            <w:r>
              <w:rPr>
                <w:rFonts w:hint="eastAsia" w:asciiTheme="minorEastAsia" w:hAnsiTheme="minorEastAsia" w:eastAsiaTheme="minorEastAsia" w:cstheme="minorEastAsia"/>
                <w:spacing w:val="-7"/>
                <w:sz w:val="24"/>
                <w:szCs w:val="24"/>
              </w:rPr>
              <w:t>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w:t>
            </w:r>
            <w:r>
              <w:rPr>
                <w:rFonts w:hint="eastAsia" w:asciiTheme="minorEastAsia" w:hAnsiTheme="minorEastAsia" w:eastAsiaTheme="minorEastAsia" w:cstheme="minorEastAsia"/>
                <w:spacing w:val="-8"/>
                <w:sz w:val="24"/>
                <w:szCs w:val="24"/>
                <w:lang w:eastAsia="zh-CN"/>
              </w:rPr>
              <w:t>供应商</w:t>
            </w:r>
            <w:r>
              <w:rPr>
                <w:rFonts w:hint="eastAsia" w:asciiTheme="minorEastAsia" w:hAnsiTheme="minorEastAsia" w:eastAsiaTheme="minorEastAsia" w:cstheme="minorEastAsia"/>
                <w:spacing w:val="-8"/>
                <w:sz w:val="24"/>
                <w:szCs w:val="24"/>
              </w:rPr>
              <w:t>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w:t>
            </w:r>
            <w:r>
              <w:rPr>
                <w:rFonts w:hint="eastAsia" w:asciiTheme="minorEastAsia" w:hAnsiTheme="minorEastAsia" w:eastAsiaTheme="minorEastAsia" w:cstheme="minorEastAsia"/>
                <w:spacing w:val="-6"/>
                <w:sz w:val="24"/>
                <w:szCs w:val="24"/>
                <w:lang w:eastAsia="zh-CN"/>
              </w:rPr>
              <w:t>供应商</w:t>
            </w: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6"/>
                <w:sz w:val="24"/>
                <w:szCs w:val="24"/>
                <w:lang w:eastAsia="zh-CN"/>
              </w:rPr>
              <w:t>响应文件</w:t>
            </w:r>
            <w:r>
              <w:rPr>
                <w:rFonts w:hint="eastAsia" w:asciiTheme="minorEastAsia" w:hAnsiTheme="minorEastAsia" w:eastAsiaTheme="minorEastAsia" w:cstheme="minorEastAsia"/>
                <w:spacing w:val="-6"/>
                <w:sz w:val="24"/>
                <w:szCs w:val="24"/>
              </w:rPr>
              <w:t>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w:t>
            </w:r>
            <w:r>
              <w:rPr>
                <w:rFonts w:hint="eastAsia" w:asciiTheme="minorEastAsia" w:hAnsiTheme="minorEastAsia" w:eastAsiaTheme="minorEastAsia" w:cstheme="minorEastAsia"/>
                <w:spacing w:val="-6"/>
                <w:sz w:val="24"/>
                <w:szCs w:val="24"/>
                <w:lang w:eastAsia="zh-CN"/>
              </w:rPr>
              <w:t>供应商</w:t>
            </w: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6"/>
                <w:sz w:val="24"/>
                <w:szCs w:val="24"/>
                <w:lang w:eastAsia="zh-CN"/>
              </w:rPr>
              <w:t>响应文件</w:t>
            </w:r>
            <w:r>
              <w:rPr>
                <w:rFonts w:hint="eastAsia" w:asciiTheme="minorEastAsia" w:hAnsiTheme="minorEastAsia" w:eastAsiaTheme="minorEastAsia" w:cstheme="minorEastAsia"/>
                <w:spacing w:val="-6"/>
                <w:sz w:val="24"/>
                <w:szCs w:val="24"/>
              </w:rPr>
              <w:t>异常一</w:t>
            </w:r>
            <w:r>
              <w:rPr>
                <w:rFonts w:hint="eastAsia" w:asciiTheme="minorEastAsia" w:hAnsiTheme="minorEastAsia" w:eastAsiaTheme="minorEastAsia" w:cstheme="minorEastAsia"/>
                <w:spacing w:val="-7"/>
                <w:sz w:val="24"/>
                <w:szCs w:val="24"/>
              </w:rPr>
              <w:t>致或者</w:t>
            </w: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w:t>
            </w:r>
            <w:r>
              <w:rPr>
                <w:rFonts w:hint="eastAsia" w:asciiTheme="minorEastAsia" w:hAnsiTheme="minorEastAsia" w:eastAsiaTheme="minorEastAsia" w:cstheme="minorEastAsia"/>
                <w:spacing w:val="-18"/>
                <w:sz w:val="24"/>
                <w:szCs w:val="24"/>
                <w:lang w:eastAsia="zh-CN"/>
              </w:rPr>
              <w:t>供应商</w:t>
            </w:r>
            <w:r>
              <w:rPr>
                <w:rFonts w:hint="eastAsia" w:asciiTheme="minorEastAsia" w:hAnsiTheme="minorEastAsia" w:eastAsiaTheme="minorEastAsia" w:cstheme="minorEastAsia"/>
                <w:spacing w:val="-18"/>
                <w:sz w:val="24"/>
                <w:szCs w:val="24"/>
              </w:rPr>
              <w:t>的</w:t>
            </w:r>
            <w:r>
              <w:rPr>
                <w:rFonts w:hint="eastAsia" w:asciiTheme="minorEastAsia" w:hAnsiTheme="minorEastAsia" w:eastAsiaTheme="minorEastAsia" w:cstheme="minorEastAsia"/>
                <w:spacing w:val="-18"/>
                <w:sz w:val="24"/>
                <w:szCs w:val="24"/>
                <w:lang w:eastAsia="zh-CN"/>
              </w:rPr>
              <w:t>响应文件</w:t>
            </w:r>
            <w:r>
              <w:rPr>
                <w:rFonts w:hint="eastAsia" w:asciiTheme="minorEastAsia" w:hAnsiTheme="minorEastAsia" w:eastAsiaTheme="minorEastAsia" w:cstheme="minorEastAsia"/>
                <w:spacing w:val="-18"/>
                <w:sz w:val="24"/>
                <w:szCs w:val="24"/>
              </w:rPr>
              <w:t>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w:t>
            </w:r>
            <w:r>
              <w:rPr>
                <w:rFonts w:hint="eastAsia" w:asciiTheme="minorEastAsia" w:hAnsiTheme="minorEastAsia" w:eastAsiaTheme="minorEastAsia" w:cstheme="minorEastAsia"/>
                <w:snapToGrid w:val="0"/>
                <w:color w:val="000000"/>
                <w:spacing w:val="-1"/>
                <w:kern w:val="0"/>
                <w:sz w:val="24"/>
                <w:szCs w:val="24"/>
                <w:lang w:val="en-US" w:eastAsia="zh-CN" w:bidi="ar-SA"/>
              </w:rPr>
              <w:t>响应（响应）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pPr>
              <w:pStyle w:val="2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2"/>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3"/>
                <w:sz w:val="24"/>
                <w:szCs w:val="24"/>
              </w:rPr>
              <w:t>未含有</w:t>
            </w:r>
            <w:r>
              <w:rPr>
                <w:rFonts w:hint="eastAsia" w:asciiTheme="minorEastAsia" w:hAnsiTheme="minorEastAsia" w:eastAsiaTheme="minorEastAsia" w:cstheme="minorEastAsia"/>
                <w:spacing w:val="-3"/>
                <w:sz w:val="24"/>
                <w:szCs w:val="24"/>
                <w:lang w:eastAsia="zh-CN"/>
              </w:rPr>
              <w:t>征集人</w:t>
            </w:r>
            <w:r>
              <w:rPr>
                <w:rFonts w:hint="eastAsia" w:asciiTheme="minorEastAsia" w:hAnsiTheme="minorEastAsia" w:eastAsiaTheme="minorEastAsia" w:cstheme="minorEastAsia"/>
                <w:spacing w:val="-3"/>
                <w:sz w:val="24"/>
                <w:szCs w:val="24"/>
              </w:rPr>
              <w:t>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pPr>
              <w:pStyle w:val="22"/>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响应文件</w:t>
            </w:r>
            <w:r>
              <w:rPr>
                <w:rFonts w:hint="eastAsia" w:asciiTheme="minorEastAsia" w:hAnsiTheme="minorEastAsia" w:eastAsiaTheme="minorEastAsia" w:cstheme="minorEastAsia"/>
                <w:spacing w:val="-1"/>
                <w:sz w:val="24"/>
                <w:szCs w:val="24"/>
              </w:rPr>
              <w:t>不存在不符合法律、法规和</w:t>
            </w:r>
            <w:r>
              <w:rPr>
                <w:rFonts w:hint="eastAsia" w:asciiTheme="minorEastAsia" w:hAnsiTheme="minorEastAsia" w:eastAsiaTheme="minorEastAsia" w:cstheme="minorEastAsia"/>
                <w:spacing w:val="-1"/>
                <w:sz w:val="24"/>
                <w:szCs w:val="24"/>
                <w:lang w:eastAsia="zh-CN"/>
              </w:rPr>
              <w:t>征集文件</w:t>
            </w:r>
            <w:r>
              <w:rPr>
                <w:rFonts w:hint="eastAsia" w:asciiTheme="minorEastAsia" w:hAnsiTheme="minorEastAsia" w:eastAsiaTheme="minorEastAsia" w:cstheme="minorEastAsia"/>
                <w:spacing w:val="-1"/>
                <w:sz w:val="24"/>
                <w:szCs w:val="24"/>
              </w:rPr>
              <w:t>规定的</w:t>
            </w:r>
            <w:r>
              <w:rPr>
                <w:rFonts w:hint="eastAsia" w:asciiTheme="minorEastAsia" w:hAnsiTheme="minorEastAsia" w:eastAsiaTheme="minorEastAsia" w:cstheme="minorEastAsia"/>
                <w:spacing w:val="-6"/>
                <w:sz w:val="24"/>
                <w:szCs w:val="24"/>
              </w:rPr>
              <w:t>其他无效情形。</w:t>
            </w:r>
          </w:p>
        </w:tc>
      </w:tr>
    </w:tbl>
    <w:p>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服务类，审查服务方案（项目实施方案、人员机构设置、质量保证措施、进度保障措施、业务操作流程、风险管控措施、档案管理措施等。）、人员配备方案、服务承诺等是否符合征集要求。</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3.评审小组将通过审查确定每一供应商是否对征集文件做出了实质性响应</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响应是指响应符合征集文件的所有条款、条件和要求，而无重大偏离和保留。重大偏离和保留是指影响到征集文件规定的范围、质量和性能，或限制了征集人的权利和供应商的义务的规定，而纠正这些偏差将影响到其它提交实质性响应的供应商的公平竞争地位。评审小组判断响应文件的响应性仅基于响应文件本身内容而不靠外部证据。评审小组将拒绝被确定为非实质性响应的供应商，供应商不得通过修正或撤销不符之处而使其响应成为实质性响应的投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4.响应文件的澄清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响应文件进行审查、评估和比较，评审小组有权向供应商质疑，请供应商澄清、说明或补正其响应内容。供应商须按照征集人或采购代理机构通知的时间、地点、方式指派法定代表人（负责人）或授权代表进行澄清、说明或补正。</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响应文件中含义不明确、同类问题表述不一致或者有明显文字和计算错误的内容，评审小组应当以书面形式要求供应商作出必要的澄清、说明或补正。供应商的澄清、说明或者补正应当采用书面形式，由其法定代表人（负责人）或授权代表签字，并不得超出响应文件的范围或者改变响应文件的实质性内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供应商的澄清、说明或补正文件是响应文件的组成部分，并取代响应文件中被澄清、说明或补正的部分。</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五.评审</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方法和</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评审</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标准</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评审</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方法为：</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☑质量优先法</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对满足采购需求且相应报价不超过最高限制单价的服务进行质量综合评分，按照质量评分从高到底排序，根据征集文件规定的淘汰率或者入围供应商数量上限，确定入围供应商的评审方法。</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入围供应商</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名单</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 供应商的排名按得分顺序从高到低排列；得分相同的，按响应报价由低到高顺序排列；得分且响应报价相同的，按技术指标优劣顺序排列。</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2.2 评审小组</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要对评分汇总情况进行复核，特别是对排名第一的、报价最低的、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响应文件</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被认定为无效的情形进行重点复核。</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 评审小组</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将根据各</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供应商</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的</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评审</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排序，依次推荐本项目</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入围</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候选人，起草并签署</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评审</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评审小组</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在</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评审</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过程中发现</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供应商</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征集人</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、采购代理机构或者有关部门报告的职责。</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4.供应商存在下列情况之一的，响应无效：</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（1）响应文件未按征集文件要求签署、盖章的；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（2）不具备征集文件中规定的资格要求的；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（3）报价超过征集文件中规定的预算金额或者最高限价的；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（4）响应文件含有征集人不能接受的附加条件的；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（5）不符合应提交响应文件资料数量要求的；</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（6）开标解密时未在规定时间（30分钟）内进行解密成功的视为撤销其响应文件（因电子开标系统原因除外）；</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（7）电子响应文件未使用CA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（8）未在响应截止时间前完成上传的；</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（9）法律、法规和征集文件规定的其他无效情形。</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5.出现下列情形之一的，应予废标：</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（1）符合专业条件的供应商或者对征集文件作实质性响应的供应商不足两家的；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（3）供应商的报价均超过了预算金额，征集人不能支付的；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废标后，应当在指定媒体发布公告，将废标理由通知所有供应商。</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pStyle w:val="5"/>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tbl>
      <w:tblPr>
        <w:tblStyle w:val="15"/>
        <w:tblW w:w="8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32"/>
        <w:gridCol w:w="4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246"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48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评审项</w:t>
            </w: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480" w:lineRule="auto"/>
              <w:jc w:val="center"/>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评分因素</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480" w:lineRule="auto"/>
              <w:ind w:firstLine="488" w:firstLineChars="200"/>
              <w:jc w:val="center"/>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2" w:hRule="atLeast"/>
          <w:jc w:val="center"/>
        </w:trPr>
        <w:tc>
          <w:tcPr>
            <w:tcW w:w="1246"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报价部分</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（10分）</w:t>
            </w: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响应报价</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（10分）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1.价格分应当采用低价优先法计算，即满足征集文件要求且响应价格最低的响应报价为评审基准价，其价格分为满分。其他供应商的价格分统一按照下列公式计算：响应报价得分=(评审基准价／响应报价)×10</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因落实政府采购政策进行价格调整的，以调整后的价格计算评审基准价和响应报价。对符合条件规定的小微企业的报价给予15%的价格扣除，监狱企业、残疾人福利性单位视为小型、微型企业享受价格扣除，扣除优惠只享受一次，不得重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46" w:type="dxa"/>
            <w:vMerge w:val="restart"/>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商务部分</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评分标准</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（40分）</w:t>
            </w: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投标文件响应程度（</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分）</w:t>
            </w:r>
          </w:p>
        </w:tc>
        <w:tc>
          <w:tcPr>
            <w:tcW w:w="4929" w:type="dxa"/>
            <w:noWrap w:val="0"/>
            <w:vAlign w:val="center"/>
          </w:tcPr>
          <w:p>
            <w:pPr>
              <w:pStyle w:val="11"/>
              <w:kinsoku/>
              <w:autoSpaceDE/>
              <w:autoSpaceDN/>
              <w:snapToGrid/>
              <w:spacing w:after="0" w:line="360" w:lineRule="auto"/>
              <w:ind w:firstLine="480" w:firstLineChars="200"/>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投标文件符合招标文件所有条款，标书制作规范最多得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分；若投标文件与招标文件要求有偏离，但不影响到实质性响应，评委会根据情况扣1-2分；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46" w:type="dxa"/>
            <w:vMerge w:val="continue"/>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类似项目业绩</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（10分）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供应商每具有一项2021年01月01日以来（以签订合同时间为准）类似项目业绩得2分，最多得10分，不具有得0分（须同时提供合同文件关键页原件扫描件。）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cs="宋体"/>
                <w:b w:val="0"/>
                <w:bCs w:val="0"/>
                <w:snapToGrid w:val="0"/>
                <w:color w:val="000000"/>
                <w:kern w:val="2"/>
                <w:sz w:val="24"/>
                <w:szCs w:val="24"/>
                <w:lang w:val="en-US" w:eastAsia="zh-CN" w:bidi="ar-SA"/>
              </w:rPr>
              <w:t>信用评价（2分）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cs="宋体"/>
                <w:b w:val="0"/>
                <w:bCs w:val="0"/>
                <w:snapToGrid w:val="0"/>
                <w:color w:val="000000"/>
                <w:kern w:val="2"/>
                <w:sz w:val="24"/>
                <w:szCs w:val="24"/>
                <w:lang w:val="en-US" w:eastAsia="zh-CN" w:bidi="ar-SA"/>
              </w:rPr>
              <w:t>根据《南阳市政府采购信用评价实施办法》，投标人登录“南阳市政府采购信用管理系统”打印并提交《南阳市政府采购供应商信用记录表》，诚信评价为三星级的加 1 分，四星级的加 2 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7" w:hRule="atLeast"/>
          <w:jc w:val="center"/>
        </w:trPr>
        <w:tc>
          <w:tcPr>
            <w:tcW w:w="1246" w:type="dxa"/>
            <w:vMerge w:val="continue"/>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项目负责人</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供应商拟派项目负责人具有一级注册造价师证书资格并具有相关从业经验得3分，具有高级职称证书加2分，此项最多得5分。（需提供证书扫描件）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1.相关从业经验证明材料：提供担任项目负责人的业绩合同和成果文件关键页,否则不予认可。</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2.企业业绩和项目负责人业绩不能同时计算。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拟派项目团队人员（10分）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拟派项目团队人员（不含项目负责人）每有1名具备注册造价师资格的得2分，本项最多得10分。（需提供证书扫描件）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jc w:val="center"/>
        </w:trPr>
        <w:tc>
          <w:tcPr>
            <w:tcW w:w="1246" w:type="dxa"/>
            <w:vMerge w:val="continue"/>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工程造价软件</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（10分）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供应商（购买或租赁）造价专用软件，1套得1分，最高得10分。（提供发票或租赁合同原件扫描件。如果是租赁，租赁的期限必需覆盖开标当天的日期，不符合上述要求的不得分）。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restart"/>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技术部分</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评分标准（50分）</w:t>
            </w: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项目实施方案</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（10分）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本项目实施方案包括主要管理流程、运作流程图、服务措施、信息反馈渠道及处理机制，服务成果达到服务标准。根据各供应商实施方案的内容是否符合以下标准进行评审：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1.内容详实完整、条理清晰、有可量化的操作措施且切实可行，得10分；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2.内容比较完整、有可量化的操作措施、具有可操作性，得6分；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3.内容有明显缺失、不完整，得3分。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内部管理制度</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具有财务管理制度、质量控制制度、时效控制制度、风险控制制度、技术档案管理制度等内部管理制度。</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根据各供应商的规章制度是否符合以下标准进行评审：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1.内容详实完整、条理清晰、有可量化的操作措施且切实可行，得5分；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2.内容比较完整、缺乏可量化的操作措施、可操作性差，得3分；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3.内容有明显缺失、不完整，得1分。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46" w:type="dxa"/>
            <w:vMerge w:val="continue"/>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质量保证措施</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质量目标明确，并有实现质量目标的保障措施，各阶段具有保证质量的工作内容、工作方法、工作重点、难点分析及相关的处理措施。根据各供应商的质量保证措施是否符合以下标准进行评审：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1.内容详实完整、条理清晰、有可量化的操作措施且切实可行，得5分；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2.内容比较完整、缺乏可量化的操作措施、可操作性差，得3分；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3.内容有明显缺失、不完整，得1分。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1246" w:type="dxa"/>
            <w:vMerge w:val="continue"/>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进度保障措施 （5分）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服务进度控制措施包括进度计划、人员配备、资源配备计划、在服务期限内完成项目任务的承诺且具有进度控制措施和处理方法。根据各供应商的进度保障措施是否符合以下标准进行评审：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1.内容详实完整、条理清晰、有可量化的操作措施且切实可行，得5分；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2.内容比较完整、缺乏可量化的操作措施、缺乏条理性， 可操作性差，得3分；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3.内容有明显缺失、不完整，得1分。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业务操作流程</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有完善的工作流程、工作计划及实施时间，体现标准化服务，管理服务水平符合国家和行业标准。根据各供应商的业务操作流程是否符合以下标准进行评审：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1.内容详实完整、条理清晰、有可量化的操作措施且切实可行，得5分；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2.内容比较完整、操作流程缺乏条理性、可行性。得3分；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3.内容有明显缺失、不完整，得1分。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风险管控措施 （5分）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项目风险防控管理措施包括项目评审的事前、事中、事后风险控制及应急措施。根据各供应商的风险管控措施是否符合以下标准进行评审：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1.内容详实完整、条理清晰、有可量化的操作措施且切实可行，得5分；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2.内容比较完整、有可量化的操作措施、可操作性一般，得3分；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3.内容有明显缺失、不完整，得1分。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2032" w:type="dxa"/>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档案管理措施 （5分）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评审项目档案管理措施包括档案管理制度、档案存放环境、存放档案的设施设备、档案的存放年限以及档案的可追溯性。根据各供应商的档案管理措施是否符合以下标准进行评审：：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1.内容详实完整、条理清晰、有可量化的操作措施且切实可行，得5分；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2.内容比较完整、缺乏可量化的操作措施、可操作性差，得3分；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3.内容有明显缺失、不完整，得1分。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2032" w:type="dxa"/>
            <w:vMerge w:val="restart"/>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服务承诺</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（10分）</w:t>
            </w: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服务承诺内容完善，积极配合征集人工作、为征集人排忧解难，服从安排，按时保质保量完成服务工作，得5分；服务承诺内容相对完善，较为配合征集人的工作，服从征集人的安排，能解决工程中的问题，得3分；服务承诺内容基本完善，能够配合征集人的工作，服从征集人的安排，基本能解决工程中的问题，得1 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246" w:type="dxa"/>
            <w:vMerge w:val="continue"/>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2032" w:type="dxa"/>
            <w:vMerge w:val="continue"/>
            <w:tcBorders>
              <w:right w:val="single" w:color="auto" w:sz="2"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tc>
        <w:tc>
          <w:tcPr>
            <w:tcW w:w="4929" w:type="dxa"/>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承诺项目拟投入人员亲自到场服务，否则视为违约，征集人有权终止合同，具有可行、合法有效的书面保证技术措施落实到位的承诺，其中包括各关键岗位人员的在岗履职尽责的承诺。承诺合理，依法依规，内容详实，可行强，得5分； 承诺基本符合项目实际情况，依法依规，基本详实，基本可行，得3分；承诺不够合理、内容不够详实，可行性差，得1 分。 未提供不得分。</w:t>
            </w:r>
          </w:p>
        </w:tc>
      </w:tr>
    </w:tbl>
    <w:p>
      <w:pPr>
        <w:ind w:firstLine="480" w:firstLineChars="200"/>
        <w:jc w:val="left"/>
        <w:rPr>
          <w:rFonts w:hint="eastAsia" w:ascii="仿宋" w:hAnsi="仿宋" w:eastAsia="仿宋" w:cs="仿宋"/>
          <w:kern w:val="0"/>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szCs w:val="21"/>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六.入围通知及签订合同</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1.授予框架协议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入围结果公告</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1.1.1 采购代理机构应当在入围供应商确定之日起1个工作日内，在征集公告发布的同一媒体上发布入围结果公告，征集文件应当随入围结果同时公告。公告期限为1个工作日。</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1.1.2入围结果公告内容包括采购项目名称、编号、征集人的名称、地址、联系人和联系方式、入围供应商名称、地址及排序、主要服务内容及服务标准，入围价格、评审小组成员名单、采购代理服务收费标准及金额、公告期限及其他事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1.1.3 入围通知书发出后，征集人不得违法改变入围结果，入围供应商无正当理由不得放弃入围。</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1.1.4 入围供应商为残疾人福利性单位的，征集人、采购代理机构将随入围结果同时公告其《残疾人福利性单位声明函》，接受社会监督。入围供应商享受《政府采购促进中小企业发展管理办法》规定的中小企业扶持政策的，征集人、采购代理机构应当随入围结果公开入围供应商的《中小企业声明函》。</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 取消入围资格或者解除框架协议的情形</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 入围供应商有下列情形之一，尚未签订框架协议的，取消其入围资格；已经签订框架协议的，解除与其签订的框架协议：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（1）恶意串通谋取入围或者合同成交的；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（2）提供虚假材料谋取入围或者合同成交的；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（3）无正当理由拒不接受合同授予的；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（4）不履行合同义务或者履行合同义务不符合约定，经征集人请求履行后仍不履行或者仍未按约定履行的；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（5）框架协议有效期内，因违法行为被禁止或限制参加政府采购活动的； </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（6）框架协议约定的其他情形。</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 被取消入围资格或者被解除框架协议的供应商不得参加同一封闭式框架协议补充征集。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2.3 因重大变故采购任务取消时，征集人有权拒绝任何供应商入围，且对受影响的供应商不承担任何责任。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 入围通知书</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在公告入围结果的同时，征集人或者采购代理机构应当向入围供应商发出入围通知书。</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3.1 《入围通知书》将作为签订合同的依据之一。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3.2《入围通知书》发放办法：政府采购项目通过“南阳市公共资源交易中心公共服务平台”向中标人发出电子《入围通知书》后，入围供应商可登录南阳市公共资源交易平台会员系统，自行打印加盖电子签章的《入围通知书》。</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 履约保证金</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本项目不要求递交履约保证金。</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 签订框架协议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征集人应当自入围通知书发出之日起1个工作日内和入围供应商签订框架协议，并在框架协议签订后1个工作日内，将框架协议副本报有关部门备案。</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5.1 所签订的框架协议不得对征集文件确定的事项和入围供应商响应文件作实质性修改。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5.2 征集文件、入围供应商的响应文件和澄清文件等，均应作为签约合同文本的基础。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5.3 入围供应商无正当理由，不得主动放弃入围资格或者退出框架协议。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5.4 征集人在框架协议签订后3个工作日内通过电子交易系统将入围信息告知适用框架协议的所有征集人或者服务对象。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5.5.入围信息应当包括所有入围供应商的名称、地址、联系方式、入围产品信息和协议价格等内容。入围产品信息应当详细列明服务内容、服务标准等能反映产品质量特点的内容。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5.6 征集文件和入围信息在整个框架协议有效期内随时可供公众查阅。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 第二阶段成交供应商的选定</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6.1 由征集人按照供应商须知表中规定的方式确定第二阶段成交供应商。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6.2 征集人应当公开第二阶段成交结果。</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6.3 服务对象采购框架协议约定的服务，应当将第二阶段的采购合同授予入围供应商。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6.4 同一框架协议采购应当使用统一的采购合同文本，服务对象和供应商不得擅自改变框架协议约定的合同实质性条款。</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7 入围供应商的清退和补充规则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7.1 入围供应商的清退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入围供应商有下列情形之一，尚未签订框架协议的，取消其入围资格；已经签订框架协议的，解除与其签订的框架协议：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（1）有重大违法记录，受到其他行政处罚或行业惩戒，被行业监管部门列为经营异常目录，被人民法院列为被执行人或者失信被执行人名单的；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（2）在企业资质、业绩、执业人员等方面提供不真实信息的；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（3）与项目单位或关联方串通舞弊，弄虚作假的；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（4）索取或接受被审核单位礼金、有价证券、礼品、宴请等违反廉政规定的；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（5）出具的评审报告严重失误的；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（6）工作失误给国家造成损失的；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（7）违反保密及回避规定的；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（8）拒绝接受委托单位的监督，不履行合同义务的；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（9）转让其应履行合同义务的；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FF"/>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（10）一年内有一次拒绝或推脱提供服务的，或一个服务期内累计两次拒绝或推脱提供服务的；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（11）考核受到处罚被取消提供服务资格的；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（12）其他违法违规行为的。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被取消入围资格或者被解除框架协议的供应商不得参加同一封闭式框架协议补充征集。</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7.2 除剩余入围供应商不足入围供应商总数70%且影响框架协议执行的情形外，框架协议有效期内，征集人不得补充征集供应商。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入围</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或者成交结果使自己的权益受到损害的，可以在知道或者应知其权益受到损害之日起7个工作日内，以书面形式向</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征集人</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、采购代理机构提出质疑。供应商须在法定质疑期内一次性提出针对同一采购程序环节的质疑。</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征集人</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和采购代理机构可以拒收，质疑供应商将依法承担不利后果。</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5.征集人</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和采购代理机构在收到质疑函后7个工作日内作出答复，并以书面形式通知质疑供应商和其他有关供应商。</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pPr>
        <w:pStyle w:val="20"/>
        <w:keepNext w:val="0"/>
        <w:keepLines w:val="0"/>
        <w:pageBreakBefore w:val="0"/>
        <w:kinsoku/>
        <w:wordWrap w:val="0"/>
        <w:overflowPunct/>
        <w:topLinePunct w:val="0"/>
        <w:bidi w:val="0"/>
        <w:jc w:val="both"/>
        <w:rPr>
          <w:rFonts w:hint="eastAsia"/>
          <w:lang w:val="en-US" w:eastAsia="zh-CN"/>
        </w:rPr>
        <w:sectPr>
          <w:footerReference r:id="rId8" w:type="default"/>
          <w:pgSz w:w="11907" w:h="16840"/>
          <w:pgMar w:top="1440" w:right="1800" w:bottom="1440" w:left="1800" w:header="878" w:footer="886" w:gutter="0"/>
          <w:pgNumType w:fmt="decimal" w:start="1"/>
          <w:cols w:space="720" w:num="1"/>
        </w:sectPr>
      </w:pPr>
    </w:p>
    <w:p>
      <w:pPr>
        <w:pStyle w:val="5"/>
        <w:keepNext w:val="0"/>
        <w:keepLines w:val="0"/>
        <w:pageBreakBefore w:val="0"/>
        <w:kinsoku/>
        <w:wordWrap w:val="0"/>
        <w:overflowPunct/>
        <w:topLinePunct w:val="0"/>
        <w:bidi w:val="0"/>
        <w:spacing w:before="353" w:line="219" w:lineRule="auto"/>
        <w:ind w:firstLine="358" w:firstLineChars="100"/>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框架协议文本和采购合同文本（草案）</w:t>
      </w:r>
    </w:p>
    <w:p>
      <w:pPr>
        <w:pStyle w:val="20"/>
        <w:jc w:val="both"/>
        <w:rPr>
          <w:rFonts w:hint="eastAsia"/>
        </w:rPr>
      </w:pPr>
    </w:p>
    <w:p>
      <w:pPr>
        <w:spacing w:before="41"/>
        <w:ind w:right="492"/>
        <w:jc w:val="center"/>
        <w:rPr>
          <w:rFonts w:hint="eastAsia" w:ascii="仿宋" w:hAnsi="仿宋" w:eastAsia="仿宋" w:cs="仿宋"/>
          <w:color w:val="282A2A"/>
          <w:w w:val="105"/>
          <w:sz w:val="42"/>
          <w:szCs w:val="24"/>
          <w:lang w:val="en-US" w:eastAsia="zh-CN"/>
        </w:rPr>
      </w:pPr>
      <w:r>
        <w:rPr>
          <w:rFonts w:hint="eastAsia" w:ascii="仿宋" w:hAnsi="仿宋" w:eastAsia="仿宋" w:cs="仿宋"/>
          <w:color w:val="282A2A"/>
          <w:w w:val="105"/>
          <w:sz w:val="42"/>
          <w:szCs w:val="24"/>
          <w:lang w:val="en-US" w:eastAsia="zh-CN"/>
        </w:rPr>
        <w:t>南阳</w:t>
      </w:r>
      <w:r>
        <w:rPr>
          <w:rFonts w:hint="eastAsia" w:ascii="仿宋" w:hAnsi="仿宋" w:eastAsia="仿宋" w:cs="仿宋"/>
          <w:color w:val="282A2A"/>
          <w:w w:val="105"/>
          <w:sz w:val="42"/>
          <w:szCs w:val="24"/>
        </w:rPr>
        <w:t>市财政局</w:t>
      </w:r>
      <w:r>
        <w:rPr>
          <w:rFonts w:hint="eastAsia" w:ascii="仿宋" w:hAnsi="仿宋" w:eastAsia="仿宋" w:cs="仿宋"/>
          <w:color w:val="282A2A"/>
          <w:w w:val="105"/>
          <w:sz w:val="42"/>
          <w:szCs w:val="24"/>
          <w:lang w:val="en-US" w:eastAsia="zh-CN"/>
        </w:rPr>
        <w:t>财政投资评审</w:t>
      </w:r>
    </w:p>
    <w:p>
      <w:pPr>
        <w:spacing w:before="41"/>
        <w:ind w:right="492"/>
        <w:jc w:val="center"/>
        <w:rPr>
          <w:rFonts w:hint="eastAsia" w:ascii="仿宋" w:hAnsi="仿宋" w:eastAsia="仿宋" w:cs="仿宋"/>
          <w:sz w:val="42"/>
          <w:szCs w:val="24"/>
        </w:rPr>
      </w:pPr>
      <w:r>
        <w:rPr>
          <w:rFonts w:hint="eastAsia" w:ascii="仿宋" w:hAnsi="仿宋" w:eastAsia="仿宋" w:cs="仿宋"/>
          <w:color w:val="282A2A"/>
          <w:w w:val="105"/>
          <w:sz w:val="42"/>
          <w:szCs w:val="24"/>
          <w:lang w:val="en-US" w:eastAsia="zh-CN"/>
        </w:rPr>
        <w:t>第三方服务</w:t>
      </w:r>
      <w:r>
        <w:rPr>
          <w:rFonts w:hint="eastAsia" w:ascii="仿宋" w:hAnsi="仿宋" w:eastAsia="仿宋" w:cs="仿宋"/>
          <w:color w:val="282A2A"/>
          <w:w w:val="105"/>
          <w:sz w:val="42"/>
          <w:szCs w:val="24"/>
        </w:rPr>
        <w:t>机构委托服务框架协议</w:t>
      </w:r>
    </w:p>
    <w:p>
      <w:pPr>
        <w:spacing w:before="1"/>
        <w:ind w:right="580" w:firstLine="2170" w:firstLineChars="700"/>
        <w:jc w:val="both"/>
        <w:rPr>
          <w:rFonts w:hint="eastAsia" w:ascii="仿宋" w:hAnsi="仿宋" w:eastAsia="仿宋" w:cs="仿宋"/>
          <w:sz w:val="31"/>
          <w:szCs w:val="24"/>
        </w:rPr>
      </w:pPr>
      <w:r>
        <w:rPr>
          <w:rFonts w:hint="eastAsia" w:ascii="仿宋" w:hAnsi="仿宋" w:eastAsia="仿宋" w:cs="仿宋"/>
          <w:color w:val="282A2A"/>
          <w:sz w:val="31"/>
          <w:szCs w:val="24"/>
        </w:rPr>
        <w:t>（工程预算、</w:t>
      </w:r>
      <w:r>
        <w:rPr>
          <w:rFonts w:hint="eastAsia" w:ascii="仿宋" w:hAnsi="仿宋" w:eastAsia="仿宋" w:cs="仿宋"/>
          <w:color w:val="282A2A"/>
          <w:sz w:val="31"/>
          <w:szCs w:val="24"/>
          <w:lang w:val="en-US" w:eastAsia="zh-CN"/>
        </w:rPr>
        <w:t>决算</w:t>
      </w:r>
      <w:r>
        <w:rPr>
          <w:rFonts w:hint="eastAsia" w:ascii="仿宋" w:hAnsi="仿宋" w:eastAsia="仿宋" w:cs="仿宋"/>
          <w:color w:val="282A2A"/>
          <w:sz w:val="31"/>
          <w:szCs w:val="24"/>
        </w:rPr>
        <w:t>评审）</w:t>
      </w:r>
    </w:p>
    <w:p>
      <w:pPr>
        <w:rPr>
          <w:rFonts w:hint="eastAsia" w:ascii="宋体" w:hAnsi="宋体" w:cs="宋体"/>
          <w:szCs w:val="24"/>
        </w:rPr>
      </w:pPr>
    </w:p>
    <w:p>
      <w:pPr>
        <w:rPr>
          <w:rFonts w:hint="eastAsia" w:ascii="宋体" w:hAnsi="宋体" w:cs="宋体"/>
          <w:szCs w:val="24"/>
        </w:rPr>
      </w:pPr>
    </w:p>
    <w:p>
      <w:pPr>
        <w:rPr>
          <w:rFonts w:hint="eastAsia" w:ascii="宋体" w:hAnsi="宋体" w:cs="宋体"/>
          <w:szCs w:val="24"/>
        </w:rPr>
      </w:pPr>
    </w:p>
    <w:p>
      <w:pPr>
        <w:rPr>
          <w:rFonts w:hint="eastAsia" w:ascii="宋体" w:hAnsi="宋体" w:cs="宋体"/>
          <w:szCs w:val="24"/>
        </w:rPr>
      </w:pPr>
    </w:p>
    <w:p>
      <w:pPr>
        <w:rPr>
          <w:rFonts w:hint="eastAsia" w:ascii="宋体" w:hAnsi="宋体" w:cs="宋体"/>
          <w:szCs w:val="24"/>
        </w:rPr>
      </w:pPr>
    </w:p>
    <w:p>
      <w:pPr>
        <w:jc w:val="left"/>
        <w:rPr>
          <w:rFonts w:ascii="宋体" w:hAnsi="宋体" w:cs="宋体"/>
          <w:szCs w:val="24"/>
        </w:rPr>
      </w:pPr>
      <w:bookmarkStart w:id="0" w:name="_Toc16336"/>
      <w:bookmarkStart w:id="1" w:name="_Toc3367"/>
    </w:p>
    <w:p>
      <w:pPr>
        <w:jc w:val="left"/>
        <w:rPr>
          <w:rFonts w:ascii="宋体" w:hAnsi="宋体" w:cs="宋体"/>
          <w:szCs w:val="24"/>
        </w:rPr>
      </w:pPr>
    </w:p>
    <w:p>
      <w:pPr>
        <w:spacing w:line="360" w:lineRule="auto"/>
        <w:ind w:firstLine="3092" w:firstLineChars="1100"/>
        <w:jc w:val="both"/>
        <w:rPr>
          <w:rFonts w:ascii="仿宋" w:hAnsi="仿宋" w:eastAsia="仿宋"/>
          <w:b/>
          <w:kern w:val="44"/>
          <w:sz w:val="28"/>
          <w:szCs w:val="28"/>
          <w:u w:val="single"/>
        </w:rPr>
      </w:pPr>
      <w:r>
        <w:rPr>
          <w:rFonts w:hint="eastAsia" w:ascii="仿宋" w:hAnsi="仿宋" w:eastAsia="仿宋"/>
          <w:b/>
          <w:kern w:val="44"/>
          <w:sz w:val="28"/>
          <w:szCs w:val="28"/>
        </w:rPr>
        <w:t>甲方：</w:t>
      </w:r>
      <w:r>
        <w:rPr>
          <w:rFonts w:hint="eastAsia" w:ascii="仿宋" w:hAnsi="仿宋" w:eastAsia="仿宋"/>
          <w:b/>
          <w:kern w:val="44"/>
          <w:sz w:val="28"/>
          <w:szCs w:val="28"/>
          <w:u w:val="single"/>
          <w:lang w:val="en-US" w:eastAsia="zh-CN"/>
        </w:rPr>
        <w:t>南阳</w:t>
      </w:r>
      <w:r>
        <w:rPr>
          <w:rFonts w:hint="eastAsia" w:ascii="仿宋" w:hAnsi="仿宋" w:eastAsia="仿宋"/>
          <w:b/>
          <w:kern w:val="44"/>
          <w:sz w:val="28"/>
          <w:szCs w:val="28"/>
          <w:u w:val="single"/>
        </w:rPr>
        <w:t>市财政局</w:t>
      </w:r>
      <w:bookmarkEnd w:id="0"/>
      <w:bookmarkEnd w:id="1"/>
    </w:p>
    <w:p>
      <w:pPr>
        <w:spacing w:line="360" w:lineRule="auto"/>
        <w:ind w:firstLine="3092" w:firstLineChars="1100"/>
        <w:rPr>
          <w:rFonts w:ascii="仿宋" w:hAnsi="仿宋" w:eastAsia="仿宋"/>
          <w:b/>
          <w:kern w:val="44"/>
          <w:sz w:val="28"/>
          <w:szCs w:val="28"/>
          <w:u w:val="single"/>
        </w:rPr>
      </w:pPr>
      <w:bookmarkStart w:id="2" w:name="_Toc31282"/>
      <w:bookmarkStart w:id="3" w:name="_Toc8270"/>
      <w:r>
        <w:rPr>
          <w:rFonts w:hint="eastAsia" w:ascii="仿宋" w:hAnsi="仿宋" w:eastAsia="仿宋"/>
          <w:b/>
          <w:kern w:val="44"/>
          <w:sz w:val="28"/>
          <w:szCs w:val="28"/>
        </w:rPr>
        <w:t>乙方：</w:t>
      </w:r>
      <w:bookmarkEnd w:id="2"/>
      <w:bookmarkEnd w:id="3"/>
      <w:r>
        <w:rPr>
          <w:rFonts w:hint="eastAsia" w:ascii="仿宋" w:hAnsi="仿宋" w:eastAsia="仿宋"/>
          <w:b/>
          <w:kern w:val="44"/>
          <w:sz w:val="28"/>
          <w:szCs w:val="28"/>
          <w:u w:val="single"/>
        </w:rPr>
        <w:t xml:space="preserve">           </w:t>
      </w:r>
    </w:p>
    <w:p>
      <w:pPr>
        <w:spacing w:line="360" w:lineRule="auto"/>
        <w:jc w:val="center"/>
        <w:rPr>
          <w:rFonts w:hint="eastAsia" w:ascii="仿宋" w:hAnsi="仿宋" w:eastAsia="仿宋"/>
          <w:b/>
          <w:kern w:val="44"/>
          <w:sz w:val="28"/>
          <w:szCs w:val="28"/>
        </w:rPr>
      </w:pPr>
      <w:r>
        <w:rPr>
          <w:rFonts w:hint="eastAsia" w:ascii="仿宋" w:hAnsi="仿宋" w:eastAsia="仿宋"/>
          <w:b/>
          <w:kern w:val="44"/>
          <w:sz w:val="28"/>
          <w:szCs w:val="28"/>
        </w:rPr>
        <w:t>日期：年  月  日</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600"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仿宋" w:hAnsi="仿宋" w:eastAsia="仿宋" w:cs="仿宋"/>
          <w:color w:val="232624"/>
          <w:sz w:val="30"/>
          <w:szCs w:val="30"/>
        </w:rPr>
        <w:br w:type="page"/>
      </w:r>
      <w:r>
        <w:rPr>
          <w:rFonts w:hint="default" w:ascii="仿宋" w:hAnsi="仿宋" w:eastAsia="仿宋" w:cs="仿宋"/>
          <w:color w:val="232624"/>
          <w:sz w:val="30"/>
          <w:szCs w:val="30"/>
          <w:lang w:val="en-US"/>
        </w:rPr>
        <mc:AlternateContent>
          <mc:Choice Requires="wps">
            <w:drawing>
              <wp:anchor distT="0" distB="0" distL="114300" distR="114300" simplePos="0" relativeHeight="251659264" behindDoc="0" locked="0" layoutInCell="1" allowOverlap="1">
                <wp:simplePos x="0" y="0"/>
                <wp:positionH relativeFrom="page">
                  <wp:posOffset>247650</wp:posOffset>
                </wp:positionH>
                <wp:positionV relativeFrom="page">
                  <wp:posOffset>2867660</wp:posOffset>
                </wp:positionV>
                <wp:extent cx="64135" cy="9842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4135" cy="98425"/>
                        </a:xfrm>
                        <a:prstGeom prst="rect">
                          <a:avLst/>
                        </a:prstGeom>
                        <a:noFill/>
                        <a:ln>
                          <a:noFill/>
                        </a:ln>
                        <a:effectLst/>
                      </wps:spPr>
                      <wps:txbx>
                        <w:txbxContent>
                          <w:p>
                            <w:pPr>
                              <w:spacing w:line="216" w:lineRule="auto"/>
                              <w:ind w:left="20"/>
                              <w:rPr>
                                <w:sz w:val="6"/>
                              </w:rPr>
                            </w:pPr>
                            <w:r>
                              <w:rPr>
                                <w:color w:val="AEAFB5"/>
                                <w:w w:val="99"/>
                                <w:sz w:val="6"/>
                              </w:rPr>
                              <w:t>－今</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9.5pt;margin-top:225.8pt;height:7.75pt;width:5.05pt;mso-position-horizontal-relative:page;mso-position-vertical-relative:page;z-index:251659264;mso-width-relative:page;mso-height-relative:page;" filled="f" stroked="f" coordsize="21600,21600" o:gfxdata="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zCzDu1wAAAAkBAAAPAAAAAAAAAAEA&#10;IAAAACIAAABkcnMvZG93bnJldi54bWxQSwECFAAUAAAACACHTuJAZki3HBACAAASBAAADgAAAAAA&#10;AAABACAAAAAmAQAAZHJzL2Uyb0RvYy54bWxQSwUGAAAAAAYABgBZAQAAqAUAAAAA&#10;">
                <v:fill on="f" focussize="0,0"/>
                <v:stroke on="f"/>
                <v:imagedata o:title=""/>
                <o:lock v:ext="edit" aspectratio="f"/>
                <v:textbox inset="0mm,0mm,0mm,0mm" style="layout-flow:vertical-ideographic;">
                  <w:txbxContent>
                    <w:p>
                      <w:pPr>
                        <w:spacing w:line="216" w:lineRule="auto"/>
                        <w:ind w:left="20"/>
                        <w:rPr>
                          <w:sz w:val="6"/>
                        </w:rPr>
                      </w:pPr>
                      <w:r>
                        <w:rPr>
                          <w:color w:val="AEAFB5"/>
                          <w:w w:val="99"/>
                          <w:sz w:val="6"/>
                        </w:rPr>
                        <w:t>－今</w:t>
                      </w:r>
                    </w:p>
                  </w:txbxContent>
                </v:textbox>
              </v:shape>
            </w:pict>
          </mc:Fallback>
        </mc:AlternateContent>
      </w:r>
      <w:r>
        <w:rPr>
          <w:rFonts w:hint="eastAsia" w:ascii="仿宋" w:hAnsi="仿宋" w:eastAsia="仿宋" w:cs="仿宋"/>
          <w:color w:val="232624"/>
          <w:sz w:val="30"/>
          <w:szCs w:val="30"/>
          <w:lang w:val="en-US" w:eastAsia="zh-CN"/>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南阳市财政局中介服务机构委托服务框架协议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甲方：南阳市财政局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乙方：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为配合机构改革及相关职能转变，保障相关工作顺利开展，根据《国务院办公厅关于政府向社会力量购买服务的指导意见》（国办发{2013}96号）、《关于促进政府采购公平竞争优化营商环境的通知》，现通过公开征集方式选聘第三方中介服务机构承担具体委托项目的工程预算评审、决算评审服务工作。为规范中介服务机构，维护合同当事人的合法利益，根据《中华人民共和国民法典》、《中华人民共和国政府采购法》、《政府采购框架协议采购方式管理暂行办法》、入围通知书、甲方的征集文件和乙方的响应文件及有关法律法规的规定，双方遵循平等、自愿、公平和诚实信用的原则，签订本框架协议。该框架协议仅确认乙方拥有备选单位资格，不作为必须委托业务之依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定义</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本协议中的“甲方”是指南阳市财政局。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“乙方”是指“甲方”是从本次公开征集确定的供应商中选择的委托评审服务中介机构。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项目基本情况</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采购项目名称：南阳市财政局财政投资评审第三方服务框架协议（2024-2025）采购项目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成交范围：南阳市财政局委托的相关项目的工程预算、结算评审工作。</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框架协议期限：从框架协议生效之日起 2 年。</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适用框架协议的服务对象范围：南阳市财政局。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服务标准：符合国家、河南省、南阳市有关文件规定及服务对象要求。</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履行合同的地域范围：南阳市。</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第一阶段的入围服务内容、服务标准、计费标准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1、服务内容：南阳市财政局委托的相关项目的工程预算、结算评审工作。</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服务标准：符合国家、河南省、南阳市有关文件规定及服务对象要求。</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2、计费标准（最高限价15万。实际付费以协议价为准）：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2.1工程预算审查委托费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工程预算审查委托费=基本费计算基数*基本费费率+审减追加费计算基数*审减追加费费率。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工程预算审查委托费费率表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722"/>
        <w:gridCol w:w="1814"/>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档次</w:t>
            </w:r>
          </w:p>
        </w:tc>
        <w:tc>
          <w:tcPr>
            <w:tcW w:w="2722"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工程造价</w:t>
            </w:r>
          </w:p>
        </w:tc>
        <w:tc>
          <w:tcPr>
            <w:tcW w:w="181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基本费费率</w:t>
            </w:r>
          </w:p>
        </w:tc>
        <w:tc>
          <w:tcPr>
            <w:tcW w:w="225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审减追加费费率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p>
        </w:tc>
        <w:tc>
          <w:tcPr>
            <w:tcW w:w="2722"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500万元以下</w:t>
            </w:r>
          </w:p>
        </w:tc>
        <w:tc>
          <w:tcPr>
            <w:tcW w:w="181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0.8‰</w:t>
            </w:r>
          </w:p>
        </w:tc>
        <w:tc>
          <w:tcPr>
            <w:tcW w:w="225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p>
        </w:tc>
        <w:tc>
          <w:tcPr>
            <w:tcW w:w="2722"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500万元-1000万元</w:t>
            </w:r>
          </w:p>
        </w:tc>
        <w:tc>
          <w:tcPr>
            <w:tcW w:w="181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0.8‰</w:t>
            </w:r>
          </w:p>
        </w:tc>
        <w:tc>
          <w:tcPr>
            <w:tcW w:w="225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p>
        </w:tc>
        <w:tc>
          <w:tcPr>
            <w:tcW w:w="2722"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1000万元-5000万元</w:t>
            </w:r>
          </w:p>
        </w:tc>
        <w:tc>
          <w:tcPr>
            <w:tcW w:w="181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0.7‰</w:t>
            </w:r>
          </w:p>
        </w:tc>
        <w:tc>
          <w:tcPr>
            <w:tcW w:w="225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p>
        </w:tc>
        <w:tc>
          <w:tcPr>
            <w:tcW w:w="2722"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5000万元-1亿元</w:t>
            </w:r>
          </w:p>
        </w:tc>
        <w:tc>
          <w:tcPr>
            <w:tcW w:w="181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0.5‰</w:t>
            </w:r>
          </w:p>
        </w:tc>
        <w:tc>
          <w:tcPr>
            <w:tcW w:w="225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p>
        </w:tc>
        <w:tc>
          <w:tcPr>
            <w:tcW w:w="2722"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1亿元-5亿元</w:t>
            </w:r>
          </w:p>
        </w:tc>
        <w:tc>
          <w:tcPr>
            <w:tcW w:w="181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0.2‰</w:t>
            </w:r>
          </w:p>
        </w:tc>
        <w:tc>
          <w:tcPr>
            <w:tcW w:w="225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0.15%</w:t>
            </w:r>
          </w:p>
        </w:tc>
      </w:tr>
    </w:tbl>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2.2工程结算审查委托费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工程结算审查委托费=基本费计算基数*基本费费率+审减追加费计算基数*审减追加费费率。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工程结算审查委托费费率表</w:t>
      </w:r>
    </w:p>
    <w:tbl>
      <w:tblPr>
        <w:tblStyle w:val="16"/>
        <w:tblW w:w="0" w:type="auto"/>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692"/>
        <w:gridCol w:w="1815"/>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档次</w:t>
            </w:r>
          </w:p>
        </w:tc>
        <w:tc>
          <w:tcPr>
            <w:tcW w:w="2692"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工程造价</w:t>
            </w:r>
          </w:p>
        </w:tc>
        <w:tc>
          <w:tcPr>
            <w:tcW w:w="1815"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基本费费率</w:t>
            </w:r>
          </w:p>
        </w:tc>
        <w:tc>
          <w:tcPr>
            <w:tcW w:w="2283"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审减追加费费率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6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p>
        </w:tc>
        <w:tc>
          <w:tcPr>
            <w:tcW w:w="2692"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500万元以下</w:t>
            </w:r>
          </w:p>
        </w:tc>
        <w:tc>
          <w:tcPr>
            <w:tcW w:w="1815"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0.8‰</w:t>
            </w:r>
          </w:p>
        </w:tc>
        <w:tc>
          <w:tcPr>
            <w:tcW w:w="2283"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p>
        </w:tc>
        <w:tc>
          <w:tcPr>
            <w:tcW w:w="2692"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500万元-1000万元</w:t>
            </w:r>
          </w:p>
        </w:tc>
        <w:tc>
          <w:tcPr>
            <w:tcW w:w="1815"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0.8‰</w:t>
            </w:r>
          </w:p>
        </w:tc>
        <w:tc>
          <w:tcPr>
            <w:tcW w:w="2283"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p>
        </w:tc>
        <w:tc>
          <w:tcPr>
            <w:tcW w:w="2692"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1000万元-5000万元</w:t>
            </w:r>
          </w:p>
        </w:tc>
        <w:tc>
          <w:tcPr>
            <w:tcW w:w="1815"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0.7‰</w:t>
            </w:r>
          </w:p>
        </w:tc>
        <w:tc>
          <w:tcPr>
            <w:tcW w:w="2283"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p>
        </w:tc>
        <w:tc>
          <w:tcPr>
            <w:tcW w:w="2692"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5000万元-1亿元</w:t>
            </w:r>
          </w:p>
        </w:tc>
        <w:tc>
          <w:tcPr>
            <w:tcW w:w="1815"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0.5‰</w:t>
            </w:r>
          </w:p>
        </w:tc>
        <w:tc>
          <w:tcPr>
            <w:tcW w:w="2283"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p>
        </w:tc>
        <w:tc>
          <w:tcPr>
            <w:tcW w:w="2692"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1亿元-5亿元</w:t>
            </w:r>
          </w:p>
        </w:tc>
        <w:tc>
          <w:tcPr>
            <w:tcW w:w="1815"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0.2‰</w:t>
            </w:r>
          </w:p>
        </w:tc>
        <w:tc>
          <w:tcPr>
            <w:tcW w:w="2283" w:type="dxa"/>
            <w:noWrap w:val="0"/>
            <w:vAlign w:val="top"/>
          </w:tcPr>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0.6%</w:t>
            </w:r>
          </w:p>
        </w:tc>
      </w:tr>
    </w:tbl>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①</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基本费计算基数为财政复审后的工程造价审定金额，审减追加费费率为财政复审后的审减金额。</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②</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单个项目付费金额不足2000元的按2000元计取，审减率超过20%部分按20%计算审减追加费，</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按合同规定标准付款总额在15万元以上的按15万元计取。</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③</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五亿元以上项目评审委托费计取方式另行商议。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第二阶段评审业务的委托方式</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购买服务的项目采用抽签加轮候方式确定中介机构及服务项目，所有中介机构轮流一遍为一轮。考核得分在后20%的不再参与下一轮抽签。两轮后如中介机构在工作中不能按照要求的质量和时限完成评审任务的，不再参与下一轮抽签。</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2、原则上中介机构不得拒绝或推脱委托单位委托的项目。</w:t>
      </w:r>
    </w:p>
    <w:p>
      <w:pPr>
        <w:widowControl/>
        <w:spacing w:line="360" w:lineRule="auto"/>
        <w:ind w:left="420" w:leftChars="200" w:firstLine="420" w:firstLineChars="200"/>
        <w:jc w:val="left"/>
        <w:rPr>
          <w:rFonts w:hint="eastAsia" w:ascii="仿宋" w:hAnsi="仿宋" w:eastAsia="仿宋" w:cs="宋体"/>
          <w:szCs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委托评审程序</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1、中介机构接到评审任务后，应当根据受托评审项目的情况配备具有相应评审资格的人员组成评审小组，并在3日内将评审小组名单及其基本情况报委托单位备案。</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2、中介机构出具的评审报告包括:项目概况、评审依据、评审范围及程序、评审结论、重要事项说明、问题及建议等内容。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双方的权利义务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（一）甲方的权利与义务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1、甲方对第二阶段合同授予提供工作便利。</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2、甲方对第二阶段需求标准执行情况进行管理。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3、甲方对第二阶段成交供应商的履约情况进行管理。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4、甲方根据框架协议约定，在质量不降低、价格不提高的前提下，对入围供应商服务标准、服务人员的情形进行考核。</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5、办理入围供应商清退和补充相关事宜。</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（二）乙方的权利与义务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1、被服务对象确定为成交供应商后，乙方成为第二阶段供应商，有签订《***服务委托合同》的义务。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仿宋" w:hAnsi="仿宋" w:eastAsia="仿宋" w:cs="宋体"/>
          <w:szCs w:val="21"/>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2、根据国家相关法律法规、地方政府及相关主管部门出台的法律法规规章制度独立完成项目评审业务，不得以任何形式将项目转让给其它中介机构或个人。</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3、组织安排精干评审力量。项目负责人要由</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一级</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注册造价工程师担任，其他人员要具备从业资格及相关专业技术职称。</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4、公正、公平、诚信地开展评审工作，不得损害国家利益和社会公共利益。</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5、乙方未经甲方同意，不得分包或转让本框架协议的任何权利和义务。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6、乙方承诺不接受被评审对象的礼品、宴请和任何其它好处，不泄露服务过程中依法需要保密的内容。框架协议终止后，未经甲方同意，不泄漏与甲方有关的任何资料和情况。</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7、接受委托单位的监督指导,乙方承诺接受甲方的考评与管理，全面履行工作义务、廉政承诺和义务。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8、遵守法律法规规章等规定的执业行为规范。</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回避情况</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存在以下情形的，中介机构应当事前申报，按要求回避：</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1、评审项目系该中介机构或其工作人员编制的。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2、中介机构评审人员曾在被评审单位工作，离开后不满3年的。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3、与项目单位负责人、项目经办人员存在夫妻、直系血亲、三代以内旁系血亲或近姻亲关系等，以及其他可能影响项目评审公平公正的情形。</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服务期内，与单项评审项目中的被评审单位或与单项评审项目直接有关的建设、施工、监理等单位存在控股、管理等关联关系，或在被评审单位或在单项评审项目直接有关的建设、施工、监理等单位有任职高管，未主动提出回避而承接该项目审计服务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5、法律规定需要回避的其他情形。</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服务费用及支付</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1、通常按照甲方在征集文件中的要求及乙方响应报价执行。特殊项目按甲方要求商定，但最高不超过甲方在征集文件中要求的标准。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2、乙方履行完所有义务并交付成果文件，甲方验收合格并满足合同约定支付条件的，甲方依据与乙方签订的委托服务合同的约定支付服务费用。甲方自收到乙方发票后 15 个工作日内将审计服务费用一次性支付给乙方。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服务质量的考核</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1、评审中心对中介机构进行服务质量考核。</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2、被抽查到的项目根据抽查结果按以下原则支付评审费用：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（1）项目抽查偏差在±3%到±5%之间（不含±3%和±5%），扣减项目评审费的30%。</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项目抽查偏差在±5%到±10%之间（含±5%和±10%），扣减项目评审费的50%，对该中介机构提出警告。中介机构在一个服务周期内收到两次警告后，取消其继续提供服务的资格和下一服务周期的投标资格，同时将其执业质量情况通报其所在的行业协会及监管部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（3）项目抽查偏差在10%之间以上的（不含±10%），扣减项目评审费的70%，并取消该中介机构继续提供服务的资格和下一服务周期的投标资格，同时将其执业质量情况通报其所在的行业协会及监管部门。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入围供应商清退和补充规则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1、入围供应商无正当理由，不得主动放弃入围资格或者退出框架协议。服务期内，有下列情形之一的，取消中介机构提供服务的资格：</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（1）有重大违法记录，受到其他行政处罚或行业惩戒，被行业监管部门列为经营异常目录，被人民法院列为被执行人或者失信被执行人名单的。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（2）在企业资质、业绩、执业人员等方面提供不真实信息的。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（3）与项目单位或关联方串通舞弊，弄虚作假的。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（4）索取或接受被审核单位礼金、有价证券、礼品、宴请等违反廉政规定的。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（5）出具的评审报告严重失误的。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（6）工作失误给国家造成损失的。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（7）违反保密及回避规定的。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（8）拒绝接受委托单位的监督，不履行合同义务的。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（9）转让其应履行合同义务的。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（10）一年内有一次拒绝或推脱提供服务的，或一个服务期内累计两次拒绝或推脱提供服务的。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（11）考核受到处罚被取消提供服务资格的。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（12）其他违法违规行为的。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入围供应商有违规、违法行为的，甲方有权终止合同。除剩余入围供应商不足入围供应商总数70%且影响框架协议执行的情形外，框架协议有效期内，征集人不得补充征集供应商。被取消入围资格或者被解除框架协议的供应商不得参加同一封闭式框架协议补充征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风险控制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1、中介机构对出具评审报告的合法性、合规性、真实性、准确性负责，独立承担相应的法律责任；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2、项目评审过程中原则上不得更换评审小组人员，确需更换的应征得委托单位同意。</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3、中介机构应当建立完整、规范的工作底稿制度，真实、完整、准确记录每一项评审情况。</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4、中介机构评审实行三级复核制（项目组内部的复核、内设复核部门的复核、总工或技术负责人的复核)。</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5、中介机构应严格遵守国家有关保密规定，不得泄露评审时知悉的国家机密和商业秘密，不得将评审中取得的资料用于评审报告以外的事项。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6、评审存档的资料由中介机构整理，按照《按照河南省财政投资评审档案管理办法》等有关要求办理移交。</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违约责任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入围供应商无正当理由放弃入围资格或者退出封闭式框架协议的，依照政府采购法等有关法律、行政法规追究法律责任。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甲乙双方应遵守法律法规和本合同规定，否则，将承担相应的法律责任。因违约造成经济损失的，由违约方承担。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法律适用和争议的解决</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1、本协议适用中华人民共和国法律。</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2、对于因本协议履行而发生的争议，双方可协商解决，协商不成的，仲裁或上诉至人民法院解决。</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协议的生效与有效期</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1、本协议自双方签字盖章后生效。</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2、本协议自生效之日起两年内有效，从    年     月     日至    年     月     日止。有效期届满，本协议自动终止。</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协议份数</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1、本协议一式贰份，双方各执壹份，具有同等法律效力。</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2、未尽事宜，双方另行补充。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（以下无正文）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甲方（盖章）：                                   乙方（盖章）：</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法定代表人：                                     法定代表人：</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委托代理人：                                     委托代理人： </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邮政编码：                                       邮政编码：</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地址：</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ab/>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地址：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电话：                                           电话：</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传真：                                           传真：</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银行账号：                                       银行账号：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日期：                                           日期：</w:t>
      </w:r>
    </w:p>
    <w:p>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响应文件</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格式</w:t>
      </w:r>
    </w:p>
    <w:p>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14:textOutline w14:w="1537" w14:cap="flat" w14:cmpd="sng">
            <w14:solidFill>
              <w14:srgbClr w14:val="000000"/>
            </w14:solidFill>
            <w14:prstDash w14:val="solid"/>
            <w14:miter w14:val="0"/>
          </w14:textOutline>
        </w:rPr>
        <w:t>供应商</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编制文件须知</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lang w:eastAsia="zh-CN"/>
        </w:rPr>
        <w:t>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3"/>
          <w:sz w:val="24"/>
          <w:szCs w:val="24"/>
        </w:rPr>
        <w:t>（资格证明文件）、</w:t>
      </w: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4"/>
          <w:sz w:val="24"/>
          <w:szCs w:val="24"/>
        </w:rPr>
        <w:t>（商务技术文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pPr>
        <w:pStyle w:val="5"/>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pPr>
        <w:keepNext w:val="0"/>
        <w:keepLines w:val="0"/>
        <w:pageBreakBefore w:val="0"/>
        <w:kinsoku/>
        <w:wordWrap w:val="0"/>
        <w:overflowPunct/>
        <w:topLinePunct w:val="0"/>
        <w:bidi w:val="0"/>
        <w:spacing w:line="360" w:lineRule="auto"/>
        <w:ind w:firstLine="576" w:firstLineChars="200"/>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5"/>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响应报价</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采购需求中所规定“计费标准”的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注：本项目响应一览表中响应总报价指费率报价，例如按照计费标准的90%收取，响应总报价即为90%。</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供应商（公章）：法定代表人（负责人）或授权代表（签字）：</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lang w:eastAsia="zh-CN"/>
        </w:rPr>
        <w:t>事宜有关的合同。</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4"/>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征集人或代理机构名称</w:t>
      </w:r>
      <w:r>
        <w:rPr>
          <w:rFonts w:hint="eastAsia" w:asciiTheme="minorEastAsia" w:hAnsiTheme="minorEastAsia" w:eastAsiaTheme="minorEastAsia" w:cstheme="minorEastAsia"/>
          <w:spacing w:val="-3"/>
          <w:sz w:val="24"/>
          <w:szCs w:val="24"/>
          <w:lang w:eastAsia="zh-CN"/>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供应商（公章）：法定代表人（负责人）或授权代表（签字）：</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eastAsia="zh-CN"/>
        </w:rPr>
        <w:t>承诺函</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征集人或代理机构名称</w:t>
      </w:r>
      <w:r>
        <w:rPr>
          <w:rFonts w:hint="eastAsia" w:asciiTheme="minorEastAsia" w:hAnsiTheme="minorEastAsia" w:eastAsiaTheme="minorEastAsia" w:cstheme="minorEastAsia"/>
          <w:spacing w:val="-3"/>
          <w:sz w:val="24"/>
          <w:szCs w:val="24"/>
          <w:lang w:eastAsia="zh-CN"/>
        </w:rPr>
        <w:t>：</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我代表（供应商名称），在此作如下承诺：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1、完全理解和接受本项目征集文件的一切规定和要求；</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2、我方递交的响应文件中所有的资料均为真实的、准确的，无任何虚假内容。若存在有虚假内容，我方愿意承担法律责任。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3、若中标，我方将按照征集文件的具体规定与征集人签订供货安装调试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质量符合征集文件要求，并提供优质服务。如果在合同执行过程中，发现问题，我方一定尽快对其进行调整，并承担相应的经济责任；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5、我方同意征集文件所附的合同文本作为与采购方签约的合同文本，非经双方一致同意，不得改变原合同文本的条款。</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供应商（公章）：法定代表人（负责人）或授权代表（签字）：</w:t>
      </w:r>
    </w:p>
    <w:p>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提供本单位上年度经会计师事务所出具的审计报告或本公司出具的财务报表或提供银行出具的证明文件。银行出具的证明文件应能说明该供应商与银行之间业务往来正常，企业信誉良好等。（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）供应商提供企业有关财务会计制度。</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供应商出具参加政府采购活动前三年内，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供应商诚信承诺书</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供应商出具信用记录查询结果网页截图</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入围</w:t>
      </w:r>
      <w:r>
        <w:rPr>
          <w:rFonts w:hint="eastAsia" w:asciiTheme="minorEastAsia" w:hAnsiTheme="minorEastAsia" w:eastAsiaTheme="minorEastAsia" w:cstheme="minorEastAsia"/>
          <w:b/>
          <w:bCs/>
          <w:sz w:val="24"/>
          <w:szCs w:val="24"/>
          <w:lang w:val="zh-CN" w:eastAsia="zh-CN"/>
        </w:rPr>
        <w:t>后，应将上述由信用承诺书替代的证明材料提交征集人或采购代理机构，证明材料将随公告一并公示。</w:t>
      </w:r>
    </w:p>
    <w:p>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致（征集人或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供应商（企业电子章）：</w:t>
      </w: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1、供应商须在响应文件中按此模板提供承诺函，未提供视为未实质性响应征集文件要求，按无效响应处理。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2、供应商的法定代表人或者授权代表的签字或盖章应真实、有效，如由授权代表签字或盖章的，应提供“法定代表人授权书”。</w:t>
      </w:r>
    </w:p>
    <w:p>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1.响应书格式</w:t>
      </w:r>
    </w:p>
    <w:p>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响应书</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致：征集人或采购代理机构</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根据贵方招标编号为（）的公开招标公告，签字代表（全名、职务）经正式授权并代表供应商（供应商名称、地址）提交电子响应文件一份，并对之负法律责任。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响应文件组成资格证明文件第1至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2、如果我们的响应书被接受，我们将履行征集文件中规定的每一项要求，按期、按质、按量履行合同。</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4、我方已详细审查全部征集文件，包括修改文件以及全部参考资料和有关附件。我们完全理解并同意放弃对这方面有不明白及误解的权力。</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5、本响应自开标之日起有效期为60天。</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供应商名称（公章）：</w:t>
      </w:r>
    </w:p>
    <w:p>
      <w:pPr>
        <w:keepNext w:val="0"/>
        <w:keepLines w:val="0"/>
        <w:pageBreakBefore w:val="0"/>
        <w:kinsoku/>
        <w:wordWrap w:val="0"/>
        <w:overflowPunct/>
        <w:topLinePunct w:val="0"/>
        <w:bidi w:val="0"/>
        <w:spacing w:line="360" w:lineRule="auto"/>
        <w:ind w:firstLine="604" w:firstLineChars="252"/>
        <w:jc w:val="both"/>
        <w:rPr>
          <w:rFonts w:hint="default" w:asciiTheme="minorEastAsia" w:hAnsiTheme="minorEastAsia" w:eastAsiaTheme="minorEastAsia" w:cstheme="minorEastAsia"/>
          <w:sz w:val="24"/>
          <w:szCs w:val="24"/>
          <w:lang w:val="en-US" w:eastAsia="zh-CN"/>
        </w:rPr>
        <w:sectPr>
          <w:headerReference r:id="rId13" w:type="default"/>
          <w:footerReference r:id="rId14" w:type="default"/>
          <w:pgSz w:w="11907" w:h="16840"/>
          <w:pgMar w:top="1800" w:right="1440" w:bottom="1800" w:left="1440" w:header="851" w:footer="992" w:gutter="0"/>
          <w:pgNumType w:fmt="decimal"/>
          <w:cols w:space="720" w:num="1"/>
          <w:docGrid w:linePitch="332" w:charSpace="0"/>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val="en-US" w:eastAsia="zh-CN"/>
        </w:rPr>
        <w:t>服务方案</w:t>
      </w:r>
      <w:r>
        <w:rPr>
          <w:rFonts w:hint="eastAsia" w:ascii="宋体" w:hAnsi="宋体"/>
          <w:b/>
          <w:sz w:val="24"/>
          <w:szCs w:val="24"/>
          <w:lang w:eastAsia="zh-CN"/>
        </w:rPr>
        <w:t>（</w:t>
      </w:r>
      <w:r>
        <w:rPr>
          <w:rFonts w:hint="eastAsia" w:ascii="宋体" w:hAnsi="宋体"/>
          <w:b/>
          <w:sz w:val="24"/>
          <w:szCs w:val="24"/>
          <w:lang w:val="en-US" w:eastAsia="zh-CN"/>
        </w:rPr>
        <w:t>包括项目实施方案、质量保证措施、进度保障措施、风险管控措施、档案管理措施、服务承诺</w:t>
      </w:r>
      <w:r>
        <w:rPr>
          <w:rFonts w:hint="eastAsia" w:ascii="宋体" w:hAnsi="宋体"/>
          <w:b/>
          <w:sz w:val="24"/>
          <w:szCs w:val="24"/>
          <w:lang w:eastAsia="zh-CN"/>
        </w:rPr>
        <w:t>）</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人员安排、业务操作流程、内部规章制度</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征集文件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供应商（公章）：法定代表人（负责人）或授权代表（签字）：</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lang w:eastAsia="zh-CN"/>
        </w:rPr>
        <w:t>供应商业绩</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8</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pPr>
        <w:pStyle w:val="20"/>
        <w:rPr>
          <w:rFonts w:hint="default" w:asciiTheme="minorEastAsia" w:hAnsiTheme="minorEastAsia" w:eastAsiaTheme="minorEastAsia" w:cstheme="minorEastAsia"/>
          <w:spacing w:val="9"/>
          <w:sz w:val="24"/>
          <w:szCs w:val="24"/>
          <w:lang w:val="en-US"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pacing w:val="9"/>
          <w:sz w:val="24"/>
          <w:szCs w:val="24"/>
          <w:lang w:val="en-US" w:eastAsia="zh-CN"/>
        </w:rPr>
        <w:t xml:space="preserve">  </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pPr>
        <w:rPr>
          <w:rFonts w:hint="eastAsia"/>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9.征集文件要求的其它材料及供应商认为有必要提供的材料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Arial" w:hAnsi="Arial" w:eastAsia="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555F5"/>
    <w:multiLevelType w:val="singleLevel"/>
    <w:tmpl w:val="CFD555F5"/>
    <w:lvl w:ilvl="0" w:tentative="0">
      <w:start w:val="2"/>
      <w:numFmt w:val="decimal"/>
      <w:lvlText w:val="%1."/>
      <w:lvlJc w:val="left"/>
      <w:pPr>
        <w:tabs>
          <w:tab w:val="left" w:pos="312"/>
        </w:tabs>
      </w:pPr>
    </w:lvl>
  </w:abstractNum>
  <w:abstractNum w:abstractNumId="1">
    <w:nsid w:val="12E742CE"/>
    <w:multiLevelType w:val="singleLevel"/>
    <w:tmpl w:val="12E742CE"/>
    <w:lvl w:ilvl="0" w:tentative="0">
      <w:start w:val="7"/>
      <w:numFmt w:val="decimal"/>
      <w:lvlText w:val="%1."/>
      <w:lvlJc w:val="left"/>
      <w:pPr>
        <w:tabs>
          <w:tab w:val="left" w:pos="312"/>
        </w:tabs>
      </w:pPr>
    </w:lvl>
  </w:abstractNum>
  <w:abstractNum w:abstractNumId="2">
    <w:nsid w:val="5D7BE5FA"/>
    <w:multiLevelType w:val="singleLevel"/>
    <w:tmpl w:val="5D7BE5F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96273C"/>
    <w:rsid w:val="00D24FF0"/>
    <w:rsid w:val="014E35A1"/>
    <w:rsid w:val="023E759B"/>
    <w:rsid w:val="027730B6"/>
    <w:rsid w:val="02B11699"/>
    <w:rsid w:val="02FA03F5"/>
    <w:rsid w:val="03217B69"/>
    <w:rsid w:val="03A74512"/>
    <w:rsid w:val="03C26B83"/>
    <w:rsid w:val="03CC315E"/>
    <w:rsid w:val="03DF5A69"/>
    <w:rsid w:val="044921B6"/>
    <w:rsid w:val="04685E24"/>
    <w:rsid w:val="046E59EF"/>
    <w:rsid w:val="050D556D"/>
    <w:rsid w:val="05234F67"/>
    <w:rsid w:val="05545C1C"/>
    <w:rsid w:val="055748A3"/>
    <w:rsid w:val="05751C1B"/>
    <w:rsid w:val="059A3EA8"/>
    <w:rsid w:val="06593C39"/>
    <w:rsid w:val="06787E06"/>
    <w:rsid w:val="06AF4861"/>
    <w:rsid w:val="06B0495B"/>
    <w:rsid w:val="06C93A28"/>
    <w:rsid w:val="06E37C8B"/>
    <w:rsid w:val="06FC4B75"/>
    <w:rsid w:val="072C2E4D"/>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A859D3"/>
    <w:rsid w:val="0DD30B7C"/>
    <w:rsid w:val="0DF93BBD"/>
    <w:rsid w:val="0E307EEE"/>
    <w:rsid w:val="0EE83F9D"/>
    <w:rsid w:val="0F0D035A"/>
    <w:rsid w:val="0FB87AA7"/>
    <w:rsid w:val="0FE34B24"/>
    <w:rsid w:val="102C0845"/>
    <w:rsid w:val="104F3F68"/>
    <w:rsid w:val="10B145AD"/>
    <w:rsid w:val="115A7068"/>
    <w:rsid w:val="117D2D56"/>
    <w:rsid w:val="11B43A6A"/>
    <w:rsid w:val="11B5429E"/>
    <w:rsid w:val="122675E2"/>
    <w:rsid w:val="12417927"/>
    <w:rsid w:val="125C25AB"/>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4E3CA4"/>
    <w:rsid w:val="16B163CA"/>
    <w:rsid w:val="16F45CE8"/>
    <w:rsid w:val="16FC049F"/>
    <w:rsid w:val="174C193E"/>
    <w:rsid w:val="179B0D80"/>
    <w:rsid w:val="17B27393"/>
    <w:rsid w:val="181B6E25"/>
    <w:rsid w:val="183D23CB"/>
    <w:rsid w:val="18510AEB"/>
    <w:rsid w:val="18610CDC"/>
    <w:rsid w:val="19161B44"/>
    <w:rsid w:val="19D46BD3"/>
    <w:rsid w:val="19E260C0"/>
    <w:rsid w:val="1A302F49"/>
    <w:rsid w:val="1A464AA0"/>
    <w:rsid w:val="1A6B22E0"/>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7EF7E63"/>
    <w:rsid w:val="27F6032D"/>
    <w:rsid w:val="2944096C"/>
    <w:rsid w:val="29462E99"/>
    <w:rsid w:val="29C94933"/>
    <w:rsid w:val="29EF5E58"/>
    <w:rsid w:val="2A5E573D"/>
    <w:rsid w:val="2A870159"/>
    <w:rsid w:val="2ABA04F6"/>
    <w:rsid w:val="2AD7512C"/>
    <w:rsid w:val="2B296C36"/>
    <w:rsid w:val="2B32017A"/>
    <w:rsid w:val="2B4C1378"/>
    <w:rsid w:val="2BD35370"/>
    <w:rsid w:val="2CB368C6"/>
    <w:rsid w:val="2CE542E8"/>
    <w:rsid w:val="2D4C797B"/>
    <w:rsid w:val="2D854259"/>
    <w:rsid w:val="2DB54B23"/>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2E4350"/>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B35724B"/>
    <w:rsid w:val="3BB63ADA"/>
    <w:rsid w:val="3BDC4EDA"/>
    <w:rsid w:val="3C050DB3"/>
    <w:rsid w:val="3C2C3D72"/>
    <w:rsid w:val="3C37498E"/>
    <w:rsid w:val="3C860462"/>
    <w:rsid w:val="3C94450B"/>
    <w:rsid w:val="3CD83A9C"/>
    <w:rsid w:val="3D051AB3"/>
    <w:rsid w:val="3D13022E"/>
    <w:rsid w:val="3D9C0E9C"/>
    <w:rsid w:val="3DDE7B24"/>
    <w:rsid w:val="3E1779D0"/>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0E446B9"/>
    <w:rsid w:val="41884B35"/>
    <w:rsid w:val="423849B8"/>
    <w:rsid w:val="435F746A"/>
    <w:rsid w:val="4372309F"/>
    <w:rsid w:val="44093E52"/>
    <w:rsid w:val="444E5D13"/>
    <w:rsid w:val="446F3136"/>
    <w:rsid w:val="44790C24"/>
    <w:rsid w:val="453A628D"/>
    <w:rsid w:val="45CF0C25"/>
    <w:rsid w:val="45DD7715"/>
    <w:rsid w:val="467852BF"/>
    <w:rsid w:val="468E6891"/>
    <w:rsid w:val="47503B46"/>
    <w:rsid w:val="475145CB"/>
    <w:rsid w:val="47C562E2"/>
    <w:rsid w:val="47C81344"/>
    <w:rsid w:val="483B0352"/>
    <w:rsid w:val="488A3088"/>
    <w:rsid w:val="48DF1625"/>
    <w:rsid w:val="48F078C5"/>
    <w:rsid w:val="49320965"/>
    <w:rsid w:val="49AC2E6D"/>
    <w:rsid w:val="49D70E7A"/>
    <w:rsid w:val="4A3F3154"/>
    <w:rsid w:val="4A4562D3"/>
    <w:rsid w:val="4A52328E"/>
    <w:rsid w:val="4B050440"/>
    <w:rsid w:val="4B227F62"/>
    <w:rsid w:val="4B6545C2"/>
    <w:rsid w:val="4B6F02A0"/>
    <w:rsid w:val="4BBC369E"/>
    <w:rsid w:val="4CEC4659"/>
    <w:rsid w:val="4D493511"/>
    <w:rsid w:val="4DF21FC2"/>
    <w:rsid w:val="4DF932EA"/>
    <w:rsid w:val="4E201C1D"/>
    <w:rsid w:val="4E7A34EC"/>
    <w:rsid w:val="4E861641"/>
    <w:rsid w:val="4EC562FF"/>
    <w:rsid w:val="4FAB04B3"/>
    <w:rsid w:val="4FB426AD"/>
    <w:rsid w:val="4FEE2DC9"/>
    <w:rsid w:val="51346287"/>
    <w:rsid w:val="51850890"/>
    <w:rsid w:val="519F1DA4"/>
    <w:rsid w:val="525210BA"/>
    <w:rsid w:val="52A90328"/>
    <w:rsid w:val="52DC3333"/>
    <w:rsid w:val="53036690"/>
    <w:rsid w:val="53376A7B"/>
    <w:rsid w:val="537441A1"/>
    <w:rsid w:val="53B1020C"/>
    <w:rsid w:val="54065481"/>
    <w:rsid w:val="55204788"/>
    <w:rsid w:val="557169CF"/>
    <w:rsid w:val="557D5D2A"/>
    <w:rsid w:val="55A41C2D"/>
    <w:rsid w:val="56682D63"/>
    <w:rsid w:val="56905D0D"/>
    <w:rsid w:val="56FB4C08"/>
    <w:rsid w:val="574153BB"/>
    <w:rsid w:val="589A668A"/>
    <w:rsid w:val="58AC00F0"/>
    <w:rsid w:val="58C46E3D"/>
    <w:rsid w:val="58D971B2"/>
    <w:rsid w:val="59042C0B"/>
    <w:rsid w:val="59272568"/>
    <w:rsid w:val="59576FB6"/>
    <w:rsid w:val="59927FEE"/>
    <w:rsid w:val="59BC1D1A"/>
    <w:rsid w:val="59C142A0"/>
    <w:rsid w:val="59C641E6"/>
    <w:rsid w:val="59D65347"/>
    <w:rsid w:val="5A2D5C94"/>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9E76ED"/>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7332CA"/>
    <w:rsid w:val="69855FCD"/>
    <w:rsid w:val="69BC17E8"/>
    <w:rsid w:val="69DD77FF"/>
    <w:rsid w:val="6AE37CE3"/>
    <w:rsid w:val="6B0625EA"/>
    <w:rsid w:val="6B5442BA"/>
    <w:rsid w:val="6C593408"/>
    <w:rsid w:val="6C68544B"/>
    <w:rsid w:val="6C785167"/>
    <w:rsid w:val="6CA35BE0"/>
    <w:rsid w:val="6D0715D4"/>
    <w:rsid w:val="6DDB2C74"/>
    <w:rsid w:val="6E0E0C0F"/>
    <w:rsid w:val="6E8E7670"/>
    <w:rsid w:val="6EEB0447"/>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AD76AE"/>
    <w:rsid w:val="79CC501C"/>
    <w:rsid w:val="79F12DE4"/>
    <w:rsid w:val="7B0E17E2"/>
    <w:rsid w:val="7B3E48AE"/>
    <w:rsid w:val="7C6203C7"/>
    <w:rsid w:val="7CB47DAA"/>
    <w:rsid w:val="7CE24C65"/>
    <w:rsid w:val="7D076A17"/>
    <w:rsid w:val="7D462131"/>
    <w:rsid w:val="7DC26844"/>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1"/>
    <w:autoRedefine/>
    <w:qFormat/>
    <w:uiPriority w:val="0"/>
    <w:rPr>
      <w:rFonts w:ascii="宋体" w:hAnsi="宋体" w:eastAsia="宋体" w:cs="宋体"/>
      <w:sz w:val="31"/>
      <w:szCs w:val="31"/>
      <w:lang w:val="en-US" w:eastAsia="en-US" w:bidi="ar-SA"/>
    </w:rPr>
  </w:style>
  <w:style w:type="paragraph" w:styleId="6">
    <w:name w:val="Body Text Indent"/>
    <w:basedOn w:val="1"/>
    <w:next w:val="7"/>
    <w:autoRedefine/>
    <w:qFormat/>
    <w:uiPriority w:val="99"/>
    <w:pPr>
      <w:spacing w:after="120" w:afterLines="0"/>
      <w:ind w:left="420" w:leftChars="200"/>
    </w:pPr>
    <w:rPr>
      <w:kern w:val="2"/>
      <w:sz w:val="21"/>
      <w:lang w:eastAsia="zh-CN" w:bidi="ar-SA"/>
    </w:rPr>
  </w:style>
  <w:style w:type="paragraph" w:styleId="7">
    <w:name w:val="envelope return"/>
    <w:basedOn w:val="1"/>
    <w:autoRedefine/>
    <w:qFormat/>
    <w:uiPriority w:val="0"/>
    <w:pPr>
      <w:snapToGrid w:val="0"/>
    </w:pPr>
    <w:rPr>
      <w:rFonts w:ascii="Arial" w:hAnsi="Arial"/>
    </w:rPr>
  </w:style>
  <w:style w:type="paragraph" w:styleId="8">
    <w:name w:val="Date"/>
    <w:basedOn w:val="1"/>
    <w:next w:val="1"/>
    <w:autoRedefine/>
    <w:qFormat/>
    <w:uiPriority w:val="0"/>
    <w:rPr>
      <w:kern w:val="2"/>
      <w:sz w:val="21"/>
      <w:lang w:eastAsia="zh-CN" w:bidi="ar-SA"/>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autoRedefine/>
    <w:qFormat/>
    <w:uiPriority w:val="0"/>
    <w:pPr>
      <w:spacing w:after="120" w:line="480" w:lineRule="auto"/>
    </w:pPr>
    <w:rPr>
      <w:rFonts w:ascii="Tahoma" w:hAnsi="Tahoma"/>
    </w:rPr>
  </w:style>
  <w:style w:type="paragraph" w:styleId="1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6"/>
    <w:next w:val="1"/>
    <w:autoRedefine/>
    <w:qFormat/>
    <w:uiPriority w:val="0"/>
    <w:pPr>
      <w:ind w:firstLine="200" w:firstLineChars="200"/>
    </w:pPr>
    <w:rPr>
      <w:kern w:val="2"/>
      <w:sz w:val="28"/>
      <w:lang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autoRedefine/>
    <w:qFormat/>
    <w:uiPriority w:val="0"/>
    <w:rPr>
      <w:color w:val="444444"/>
      <w:sz w:val="16"/>
      <w:szCs w:val="16"/>
      <w:u w:val="none"/>
    </w:rPr>
  </w:style>
  <w:style w:type="character" w:styleId="19">
    <w:name w:val="Hyperlink"/>
    <w:basedOn w:val="17"/>
    <w:autoRedefine/>
    <w:qFormat/>
    <w:uiPriority w:val="0"/>
    <w:rPr>
      <w:color w:val="0000FF"/>
      <w:u w:val="single"/>
    </w:rPr>
  </w:style>
  <w:style w:type="paragraph" w:customStyle="1" w:styleId="2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Table Text"/>
    <w:basedOn w:val="1"/>
    <w:autoRedefine/>
    <w:semiHidden/>
    <w:qFormat/>
    <w:uiPriority w:val="0"/>
    <w:rPr>
      <w:rFonts w:ascii="Arial" w:hAnsi="Arial" w:eastAsia="Arial" w:cs="Arial"/>
      <w:sz w:val="21"/>
      <w:szCs w:val="21"/>
      <w:lang w:val="en-US" w:eastAsia="en-US" w:bidi="ar-SA"/>
    </w:rPr>
  </w:style>
  <w:style w:type="paragraph" w:customStyle="1" w:styleId="23">
    <w:name w:val="Default"/>
    <w:next w:val="24"/>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4">
    <w:name w:val="Char Char10 Char Char Char Char"/>
    <w:basedOn w:val="1"/>
    <w:next w:val="25"/>
    <w:autoRedefine/>
    <w:qFormat/>
    <w:uiPriority w:val="99"/>
    <w:pPr>
      <w:autoSpaceDE w:val="0"/>
      <w:autoSpaceDN w:val="0"/>
      <w:jc w:val="left"/>
    </w:pPr>
    <w:rPr>
      <w:rFonts w:ascii="宋体" w:hAnsi="宋体" w:cs="宋体"/>
      <w:lang w:val="zh-CN" w:bidi="zh-CN"/>
    </w:rPr>
  </w:style>
  <w:style w:type="paragraph" w:customStyle="1" w:styleId="25">
    <w:name w:val="xl87"/>
    <w:basedOn w:val="1"/>
    <w:next w:val="26"/>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6">
    <w:name w:val="xl72"/>
    <w:basedOn w:val="1"/>
    <w:next w:val="8"/>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7">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28">
    <w:name w:val="hover18"/>
    <w:basedOn w:val="17"/>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26800</Words>
  <Characters>28036</Characters>
  <TotalTime>35</TotalTime>
  <ScaleCrop>false</ScaleCrop>
  <LinksUpToDate>false</LinksUpToDate>
  <CharactersWithSpaces>29087</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2024-08-01T01:08:00Z</cp:lastPrinted>
  <dcterms:modified xsi:type="dcterms:W3CDTF">2024-08-02T00:33:42Z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2052-12.1.0.16929</vt:lpwstr>
  </property>
  <property fmtid="{D5CDD505-2E9C-101B-9397-08002B2CF9AE}" pid="5" name="ICV">
    <vt:lpwstr>BABC7CC97F914B429BB93973C6313251_13</vt:lpwstr>
  </property>
</Properties>
</file>