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7AAA3">
      <w:pPr>
        <w:kinsoku/>
        <w:wordWrap w:val="0"/>
        <w:spacing w:line="360" w:lineRule="auto"/>
        <w:jc w:val="center"/>
        <w:outlineLvl w:val="0"/>
        <w:rPr>
          <w:rFonts w:asciiTheme="minorEastAsia" w:hAnsiTheme="minorEastAsia" w:eastAsiaTheme="minorEastAsia" w:cstheme="minorEastAsia"/>
          <w:spacing w:val="-2"/>
          <w:sz w:val="52"/>
          <w:szCs w:val="52"/>
          <w:lang w:eastAsia="zh-CN"/>
          <w14:textOutline w14:w="3848" w14:cap="flat" w14:cmpd="sng" w14:algn="ctr">
            <w14:solidFill>
              <w14:srgbClr w14:val="000000"/>
            </w14:solidFill>
            <w14:prstDash w14:val="solid"/>
            <w14:miter w14:val="0"/>
          </w14:textOutline>
        </w:rPr>
      </w:pPr>
    </w:p>
    <w:p w14:paraId="6EE40D0B">
      <w:pPr>
        <w:kinsoku/>
        <w:wordWrap w:val="0"/>
        <w:spacing w:line="360" w:lineRule="auto"/>
        <w:jc w:val="center"/>
        <w:outlineLvl w:val="0"/>
        <w:rPr>
          <w:rFonts w:asciiTheme="minorEastAsia" w:hAnsiTheme="minorEastAsia" w:eastAsiaTheme="minorEastAsia" w:cstheme="minorEastAsia"/>
          <w:sz w:val="52"/>
          <w:szCs w:val="52"/>
          <w:lang w:eastAsia="zh-CN"/>
        </w:rPr>
      </w:pPr>
      <w:r>
        <w:rPr>
          <w:rFonts w:hint="eastAsia" w:asciiTheme="minorEastAsia" w:hAnsiTheme="minorEastAsia" w:eastAsiaTheme="minorEastAsia" w:cstheme="minorEastAsia"/>
          <w:spacing w:val="-2"/>
          <w:sz w:val="52"/>
          <w:szCs w:val="52"/>
          <w:lang w:eastAsia="zh-CN"/>
          <w14:textOutline w14:w="3848" w14:cap="flat" w14:cmpd="sng" w14:algn="ctr">
            <w14:solidFill>
              <w14:srgbClr w14:val="000000"/>
            </w14:solidFill>
            <w14:prstDash w14:val="solid"/>
            <w14:miter w14:val="0"/>
          </w14:textOutline>
        </w:rPr>
        <w:t>南阳市政府采购项目</w:t>
      </w:r>
    </w:p>
    <w:p w14:paraId="05F51F33">
      <w:pPr>
        <w:kinsoku/>
        <w:wordWrap w:val="0"/>
        <w:spacing w:line="360" w:lineRule="auto"/>
        <w:jc w:val="center"/>
        <w:rPr>
          <w:rFonts w:asciiTheme="minorEastAsia" w:hAnsiTheme="minorEastAsia" w:eastAsiaTheme="minorEastAsia" w:cstheme="minorEastAsia"/>
          <w:sz w:val="52"/>
          <w:szCs w:val="52"/>
          <w:lang w:eastAsia="zh-CN"/>
        </w:rPr>
      </w:pPr>
      <w:r>
        <w:rPr>
          <w:rFonts w:hint="eastAsia" w:asciiTheme="minorEastAsia" w:hAnsiTheme="minorEastAsia" w:eastAsiaTheme="minorEastAsia" w:cstheme="minorEastAsia"/>
          <w:spacing w:val="-3"/>
          <w:sz w:val="52"/>
          <w:szCs w:val="52"/>
          <w:lang w:eastAsia="zh-CN"/>
          <w14:textOutline w14:w="3848" w14:cap="flat" w14:cmpd="sng" w14:algn="ctr">
            <w14:solidFill>
              <w14:srgbClr w14:val="000000"/>
            </w14:solidFill>
            <w14:prstDash w14:val="solid"/>
            <w14:miter w14:val="0"/>
          </w14:textOutline>
        </w:rPr>
        <w:t>公开招标文件</w:t>
      </w:r>
    </w:p>
    <w:p w14:paraId="4D4F03C7">
      <w:pPr>
        <w:kinsoku/>
        <w:wordWrap w:val="0"/>
        <w:spacing w:line="360" w:lineRule="auto"/>
        <w:jc w:val="center"/>
        <w:rPr>
          <w:rFonts w:asciiTheme="minorEastAsia" w:hAnsiTheme="minorEastAsia" w:eastAsiaTheme="minorEastAsia" w:cstheme="minorEastAsia"/>
          <w:sz w:val="60"/>
          <w:szCs w:val="60"/>
          <w:lang w:eastAsia="zh-CN"/>
        </w:rPr>
      </w:pPr>
    </w:p>
    <w:p w14:paraId="1A5DD1D4">
      <w:pPr>
        <w:kinsoku/>
        <w:wordWrap w:val="0"/>
        <w:spacing w:line="316" w:lineRule="auto"/>
        <w:jc w:val="both"/>
        <w:rPr>
          <w:rFonts w:asciiTheme="minorEastAsia" w:hAnsiTheme="minorEastAsia" w:eastAsiaTheme="minorEastAsia" w:cstheme="minorEastAsia"/>
          <w:lang w:eastAsia="zh-CN"/>
        </w:rPr>
      </w:pPr>
    </w:p>
    <w:p w14:paraId="5D8E9543">
      <w:pPr>
        <w:kinsoku/>
        <w:wordWrap w:val="0"/>
        <w:spacing w:line="316" w:lineRule="auto"/>
        <w:jc w:val="both"/>
        <w:rPr>
          <w:rFonts w:asciiTheme="minorEastAsia" w:hAnsiTheme="minorEastAsia" w:eastAsiaTheme="minorEastAsia" w:cstheme="minorEastAsia"/>
          <w:lang w:eastAsia="zh-CN"/>
        </w:rPr>
      </w:pPr>
    </w:p>
    <w:p w14:paraId="23EE77B3">
      <w:pPr>
        <w:kinsoku/>
        <w:wordWrap w:val="0"/>
        <w:spacing w:line="317" w:lineRule="auto"/>
        <w:jc w:val="both"/>
        <w:rPr>
          <w:rFonts w:asciiTheme="minorEastAsia" w:hAnsiTheme="minorEastAsia" w:eastAsiaTheme="minorEastAsia" w:cstheme="minorEastAsia"/>
          <w:lang w:eastAsia="zh-CN"/>
        </w:rPr>
      </w:pPr>
    </w:p>
    <w:p w14:paraId="1B066A46">
      <w:pPr>
        <w:kinsoku/>
        <w:wordWrap w:val="0"/>
        <w:spacing w:line="360" w:lineRule="auto"/>
        <w:jc w:val="both"/>
        <w:rPr>
          <w:rFonts w:asciiTheme="minorEastAsia" w:hAnsiTheme="minorEastAsia" w:eastAsiaTheme="minorEastAsia" w:cstheme="minorEastAsia"/>
          <w:b/>
          <w:bCs/>
          <w:spacing w:val="-17"/>
          <w:sz w:val="36"/>
          <w:szCs w:val="36"/>
          <w:lang w:eastAsia="zh-CN"/>
        </w:rPr>
      </w:pPr>
    </w:p>
    <w:p w14:paraId="18DE37BF">
      <w:pPr>
        <w:kinsoku/>
        <w:wordWrap w:val="0"/>
        <w:spacing w:line="360" w:lineRule="auto"/>
        <w:jc w:val="both"/>
        <w:rPr>
          <w:rFonts w:asciiTheme="minorEastAsia" w:hAnsiTheme="minorEastAsia" w:eastAsiaTheme="minorEastAsia" w:cstheme="minorEastAsia"/>
          <w:b/>
          <w:bCs/>
          <w:spacing w:val="-17"/>
          <w:sz w:val="36"/>
          <w:szCs w:val="36"/>
          <w:lang w:eastAsia="zh-CN"/>
        </w:rPr>
      </w:pPr>
    </w:p>
    <w:p w14:paraId="78D17836">
      <w:pPr>
        <w:kinsoku/>
        <w:wordWrap w:val="0"/>
        <w:spacing w:line="360" w:lineRule="auto"/>
        <w:ind w:left="3001" w:leftChars="608" w:hanging="1724" w:hangingChars="600"/>
        <w:jc w:val="both"/>
        <w:rPr>
          <w:rFonts w:asciiTheme="minorEastAsia" w:hAnsiTheme="minorEastAsia" w:eastAsiaTheme="minorEastAsia" w:cstheme="minorEastAsia"/>
          <w:b/>
          <w:bCs/>
          <w:spacing w:val="-17"/>
          <w:sz w:val="32"/>
          <w:szCs w:val="32"/>
          <w:u w:val="single"/>
          <w:lang w:eastAsia="zh-CN"/>
        </w:rPr>
      </w:pPr>
      <w:r>
        <w:rPr>
          <w:rFonts w:hint="eastAsia" w:asciiTheme="minorEastAsia" w:hAnsiTheme="minorEastAsia" w:eastAsiaTheme="minorEastAsia" w:cstheme="minorEastAsia"/>
          <w:b/>
          <w:bCs/>
          <w:spacing w:val="-17"/>
          <w:sz w:val="32"/>
          <w:szCs w:val="32"/>
          <w:lang w:eastAsia="zh-CN"/>
        </w:rPr>
        <w:t>项目名称：</w:t>
      </w:r>
      <w:r>
        <w:rPr>
          <w:rFonts w:hint="eastAsia" w:asciiTheme="minorEastAsia" w:hAnsiTheme="minorEastAsia" w:eastAsiaTheme="minorEastAsia" w:cstheme="minorEastAsia"/>
          <w:b/>
          <w:bCs/>
          <w:spacing w:val="-17"/>
          <w:sz w:val="32"/>
          <w:szCs w:val="32"/>
          <w:u w:val="single"/>
          <w:lang w:eastAsia="zh-CN"/>
        </w:rPr>
        <w:t>南阳市2025-2026年度党政机关会议定点场所服务项目</w:t>
      </w:r>
    </w:p>
    <w:p w14:paraId="620545D9">
      <w:pPr>
        <w:kinsoku/>
        <w:wordWrap w:val="0"/>
        <w:spacing w:line="360" w:lineRule="auto"/>
        <w:ind w:firstLine="1149" w:firstLineChars="400"/>
        <w:jc w:val="both"/>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项目编号：</w:t>
      </w:r>
      <w:r>
        <w:rPr>
          <w:rFonts w:hint="eastAsia" w:asciiTheme="minorEastAsia" w:hAnsiTheme="minorEastAsia" w:eastAsiaTheme="minorEastAsia" w:cstheme="minorEastAsia"/>
          <w:b/>
          <w:bCs/>
          <w:spacing w:val="-17"/>
          <w:sz w:val="32"/>
          <w:szCs w:val="32"/>
          <w:u w:val="single"/>
          <w:lang w:eastAsia="zh-CN"/>
        </w:rPr>
        <w:t>南阳政采公开-2024-77</w:t>
      </w:r>
      <w:r>
        <w:rPr>
          <w:rFonts w:asciiTheme="minorEastAsia" w:hAnsiTheme="minorEastAsia" w:eastAsiaTheme="minorEastAsia" w:cstheme="minorEastAsia"/>
          <w:b/>
          <w:bCs/>
          <w:spacing w:val="-17"/>
          <w:sz w:val="32"/>
          <w:szCs w:val="32"/>
          <w:u w:val="single"/>
          <w:lang w:eastAsia="zh-CN"/>
        </w:rPr>
        <w:t>-1</w:t>
      </w:r>
    </w:p>
    <w:p w14:paraId="795669E5">
      <w:pPr>
        <w:kinsoku/>
        <w:wordWrap w:val="0"/>
        <w:spacing w:line="360" w:lineRule="auto"/>
        <w:ind w:firstLine="1149" w:firstLineChars="400"/>
        <w:jc w:val="both"/>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采购人：</w:t>
      </w:r>
      <w:r>
        <w:rPr>
          <w:rFonts w:hint="eastAsia" w:asciiTheme="minorEastAsia" w:hAnsiTheme="minorEastAsia" w:eastAsiaTheme="minorEastAsia" w:cstheme="minorEastAsia"/>
          <w:b/>
          <w:bCs/>
          <w:spacing w:val="-17"/>
          <w:sz w:val="32"/>
          <w:szCs w:val="32"/>
          <w:u w:val="single"/>
          <w:lang w:eastAsia="zh-CN"/>
        </w:rPr>
        <w:t xml:space="preserve">   南阳市财政局     </w:t>
      </w:r>
    </w:p>
    <w:p w14:paraId="005AC6A1">
      <w:pPr>
        <w:kinsoku/>
        <w:wordWrap w:val="0"/>
        <w:spacing w:line="360" w:lineRule="auto"/>
        <w:ind w:firstLine="1149" w:firstLineChars="400"/>
        <w:jc w:val="both"/>
        <w:rPr>
          <w:rFonts w:asciiTheme="minorEastAsia" w:hAnsiTheme="minorEastAsia" w:eastAsiaTheme="minorEastAsia" w:cstheme="minorEastAsia"/>
          <w:b/>
          <w:bCs/>
          <w:spacing w:val="-17"/>
          <w:sz w:val="32"/>
          <w:szCs w:val="32"/>
          <w:u w:val="single"/>
          <w:lang w:eastAsia="zh-CN"/>
        </w:rPr>
      </w:pPr>
      <w:r>
        <w:rPr>
          <w:rFonts w:hint="eastAsia" w:asciiTheme="minorEastAsia" w:hAnsiTheme="minorEastAsia" w:eastAsiaTheme="minorEastAsia" w:cstheme="minorEastAsia"/>
          <w:b/>
          <w:bCs/>
          <w:spacing w:val="-17"/>
          <w:sz w:val="32"/>
          <w:szCs w:val="32"/>
          <w:lang w:eastAsia="zh-CN"/>
        </w:rPr>
        <w:t>采购代理机构：</w:t>
      </w:r>
      <w:r>
        <w:rPr>
          <w:rFonts w:hint="eastAsia" w:asciiTheme="minorEastAsia" w:hAnsiTheme="minorEastAsia" w:eastAsiaTheme="minorEastAsia" w:cstheme="minorEastAsia"/>
          <w:b/>
          <w:bCs/>
          <w:spacing w:val="-17"/>
          <w:sz w:val="32"/>
          <w:szCs w:val="32"/>
          <w:u w:val="single"/>
          <w:lang w:eastAsia="zh-CN"/>
        </w:rPr>
        <w:t xml:space="preserve">  南阳市公共资源交易中心 </w:t>
      </w:r>
    </w:p>
    <w:p w14:paraId="2189DB57">
      <w:pPr>
        <w:kinsoku/>
        <w:wordWrap w:val="0"/>
        <w:spacing w:line="360" w:lineRule="auto"/>
        <w:ind w:firstLine="1149" w:firstLineChars="400"/>
        <w:jc w:val="both"/>
        <w:rPr>
          <w:rFonts w:asciiTheme="minorEastAsia" w:hAnsiTheme="minorEastAsia" w:eastAsiaTheme="minorEastAsia" w:cstheme="minorEastAsia"/>
          <w:b/>
          <w:bCs/>
          <w:spacing w:val="-17"/>
          <w:sz w:val="32"/>
          <w:szCs w:val="32"/>
          <w:lang w:eastAsia="zh-CN"/>
        </w:rPr>
      </w:pPr>
    </w:p>
    <w:p w14:paraId="4A6AF536">
      <w:pPr>
        <w:kinsoku/>
        <w:wordWrap w:val="0"/>
        <w:spacing w:line="360" w:lineRule="auto"/>
        <w:jc w:val="both"/>
        <w:rPr>
          <w:rFonts w:asciiTheme="minorEastAsia" w:hAnsiTheme="minorEastAsia" w:eastAsiaTheme="minorEastAsia" w:cstheme="minorEastAsia"/>
          <w:b/>
          <w:bCs/>
          <w:spacing w:val="-17"/>
          <w:sz w:val="32"/>
          <w:szCs w:val="32"/>
          <w:lang w:eastAsia="zh-CN"/>
        </w:rPr>
      </w:pPr>
    </w:p>
    <w:p w14:paraId="0B296046">
      <w:pPr>
        <w:kinsoku/>
        <w:wordWrap w:val="0"/>
        <w:spacing w:line="360" w:lineRule="auto"/>
        <w:jc w:val="both"/>
        <w:rPr>
          <w:rFonts w:asciiTheme="minorEastAsia" w:hAnsiTheme="minorEastAsia" w:eastAsiaTheme="minorEastAsia" w:cstheme="minorEastAsia"/>
          <w:b/>
          <w:bCs/>
          <w:spacing w:val="-17"/>
          <w:sz w:val="32"/>
          <w:szCs w:val="32"/>
          <w:lang w:eastAsia="zh-CN"/>
        </w:rPr>
      </w:pPr>
    </w:p>
    <w:p w14:paraId="61DB129B">
      <w:pPr>
        <w:kinsoku/>
        <w:wordWrap w:val="0"/>
        <w:spacing w:line="360" w:lineRule="auto"/>
        <w:jc w:val="both"/>
        <w:rPr>
          <w:rFonts w:asciiTheme="minorEastAsia" w:hAnsiTheme="minorEastAsia" w:eastAsiaTheme="minorEastAsia" w:cstheme="minorEastAsia"/>
          <w:b/>
          <w:bCs/>
          <w:spacing w:val="-17"/>
          <w:sz w:val="32"/>
          <w:szCs w:val="32"/>
          <w:lang w:eastAsia="zh-CN"/>
        </w:rPr>
      </w:pPr>
    </w:p>
    <w:p w14:paraId="5F9CC897">
      <w:pPr>
        <w:kinsoku/>
        <w:wordWrap w:val="0"/>
        <w:spacing w:line="274" w:lineRule="auto"/>
        <w:jc w:val="both"/>
        <w:rPr>
          <w:rFonts w:asciiTheme="minorEastAsia" w:hAnsiTheme="minorEastAsia" w:eastAsiaTheme="minorEastAsia" w:cstheme="minorEastAsia"/>
          <w:lang w:eastAsia="zh-CN"/>
        </w:rPr>
      </w:pPr>
    </w:p>
    <w:p w14:paraId="67595B0F">
      <w:pPr>
        <w:kinsoku/>
        <w:wordWrap w:val="0"/>
        <w:spacing w:line="274" w:lineRule="auto"/>
        <w:jc w:val="both"/>
        <w:rPr>
          <w:rFonts w:asciiTheme="minorEastAsia" w:hAnsiTheme="minorEastAsia" w:eastAsiaTheme="minorEastAsia" w:cstheme="minorEastAsia"/>
          <w:lang w:eastAsia="zh-CN"/>
        </w:rPr>
      </w:pPr>
    </w:p>
    <w:p w14:paraId="7C7D844C">
      <w:pPr>
        <w:kinsoku/>
        <w:wordWrap w:val="0"/>
        <w:spacing w:line="274" w:lineRule="auto"/>
        <w:jc w:val="both"/>
        <w:rPr>
          <w:rFonts w:asciiTheme="minorEastAsia" w:hAnsiTheme="minorEastAsia" w:eastAsiaTheme="minorEastAsia" w:cstheme="minorEastAsia"/>
          <w:lang w:eastAsia="zh-CN"/>
        </w:rPr>
      </w:pPr>
    </w:p>
    <w:p w14:paraId="2F499C02">
      <w:pPr>
        <w:kinsoku/>
        <w:wordWrap w:val="0"/>
        <w:spacing w:line="274" w:lineRule="auto"/>
        <w:jc w:val="both"/>
        <w:rPr>
          <w:rFonts w:asciiTheme="minorEastAsia" w:hAnsiTheme="minorEastAsia" w:eastAsiaTheme="minorEastAsia" w:cstheme="minorEastAsia"/>
          <w:lang w:eastAsia="zh-CN"/>
        </w:rPr>
      </w:pPr>
    </w:p>
    <w:p w14:paraId="09FCEF7D">
      <w:pPr>
        <w:pStyle w:val="6"/>
        <w:kinsoku/>
        <w:wordWrap w:val="0"/>
        <w:spacing w:before="117" w:line="220" w:lineRule="auto"/>
        <w:jc w:val="center"/>
        <w:rPr>
          <w:rFonts w:asciiTheme="minorEastAsia" w:hAnsiTheme="minorEastAsia" w:eastAsiaTheme="minorEastAsia" w:cstheme="minorEastAsia"/>
          <w:spacing w:val="-3"/>
          <w:sz w:val="44"/>
          <w:szCs w:val="44"/>
          <w:lang w:eastAsia="zh-CN"/>
          <w14:textOutline w14:w="2311" w14:cap="flat" w14:cmpd="sng" w14:algn="ctr">
            <w14:solidFill>
              <w14:srgbClr w14:val="000000"/>
            </w14:solidFill>
            <w14:prstDash w14:val="solid"/>
            <w14:miter w14:val="0"/>
          </w14:textOutline>
        </w:rPr>
        <w:sectPr>
          <w:footerReference r:id="rId3" w:type="default"/>
          <w:pgSz w:w="11907" w:h="16840"/>
          <w:pgMar w:top="1440" w:right="1800" w:bottom="1440" w:left="1800" w:header="878" w:footer="886" w:gutter="0"/>
          <w:cols w:space="720" w:num="1"/>
        </w:sect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rPr>
      </w:sdtEndPr>
      <w:sdtContent>
        <w:p w14:paraId="6FE26709">
          <w:pPr>
            <w:pStyle w:val="6"/>
            <w:kinsoku/>
            <w:wordWrap w:val="0"/>
            <w:spacing w:before="353" w:line="222" w:lineRule="auto"/>
            <w:ind w:left="3716"/>
            <w:jc w:val="both"/>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42"/>
              <w:sz w:val="44"/>
              <w:szCs w:val="44"/>
              <w:lang w:eastAsia="zh-CN"/>
              <w14:textOutline w14:w="2311" w14:cap="flat" w14:cmpd="sng" w14:algn="ctr">
                <w14:solidFill>
                  <w14:srgbClr w14:val="000000"/>
                </w14:solidFill>
                <w14:prstDash w14:val="solid"/>
                <w14:miter w14:val="0"/>
              </w14:textOutline>
            </w:rPr>
            <w:t>目  录</w:t>
          </w:r>
        </w:p>
        <w:p w14:paraId="11F7E340">
          <w:pPr>
            <w:pStyle w:val="6"/>
            <w:kinsoku/>
            <w:wordWrap w:val="0"/>
            <w:jc w:val="both"/>
            <w:rPr>
              <w:shd w:val="clear" w:color="FFFFFF" w:fill="D9D9D9"/>
              <w:lang w:eastAsia="zh-CN"/>
            </w:rPr>
          </w:pPr>
        </w:p>
        <w:p w14:paraId="3AD63491">
          <w:pPr>
            <w:pStyle w:val="6"/>
            <w:kinsoku/>
            <w:wordWrap w:val="0"/>
            <w:spacing w:line="360" w:lineRule="auto"/>
            <w:jc w:val="both"/>
            <w:rPr>
              <w:sz w:val="28"/>
              <w:szCs w:val="28"/>
              <w:lang w:eastAsia="zh-CN"/>
            </w:rPr>
          </w:pPr>
          <w:r>
            <w:rPr>
              <w:rFonts w:hint="eastAsia"/>
              <w:sz w:val="28"/>
              <w:szCs w:val="28"/>
              <w:lang w:eastAsia="zh-CN"/>
            </w:rPr>
            <w:t>第一章 公开招标公告</w:t>
          </w:r>
        </w:p>
        <w:p w14:paraId="25A47C08">
          <w:pPr>
            <w:pStyle w:val="6"/>
            <w:kinsoku/>
            <w:wordWrap w:val="0"/>
            <w:spacing w:line="360" w:lineRule="auto"/>
            <w:jc w:val="both"/>
            <w:rPr>
              <w:sz w:val="28"/>
              <w:szCs w:val="28"/>
              <w:lang w:eastAsia="zh-CN"/>
            </w:rPr>
          </w:pPr>
          <w:r>
            <w:rPr>
              <w:rFonts w:hint="eastAsia"/>
              <w:sz w:val="28"/>
              <w:szCs w:val="28"/>
              <w:lang w:eastAsia="zh-CN"/>
            </w:rPr>
            <w:t>第二章 采购需求</w:t>
          </w:r>
        </w:p>
        <w:p w14:paraId="3C132D3F">
          <w:pPr>
            <w:pStyle w:val="6"/>
            <w:kinsoku/>
            <w:wordWrap w:val="0"/>
            <w:spacing w:line="360" w:lineRule="auto"/>
            <w:jc w:val="both"/>
            <w:rPr>
              <w:sz w:val="28"/>
              <w:szCs w:val="28"/>
              <w:lang w:eastAsia="zh-CN"/>
            </w:rPr>
          </w:pPr>
          <w:r>
            <w:rPr>
              <w:rFonts w:hint="eastAsia"/>
              <w:sz w:val="28"/>
              <w:szCs w:val="28"/>
              <w:lang w:eastAsia="zh-CN"/>
            </w:rPr>
            <w:t>第三章 投标人须知</w:t>
          </w:r>
        </w:p>
        <w:p w14:paraId="2B99F462">
          <w:pPr>
            <w:pStyle w:val="6"/>
            <w:kinsoku/>
            <w:wordWrap w:val="0"/>
            <w:spacing w:line="360" w:lineRule="auto"/>
            <w:jc w:val="both"/>
            <w:rPr>
              <w:sz w:val="28"/>
              <w:szCs w:val="28"/>
              <w:lang w:eastAsia="zh-CN"/>
            </w:rPr>
          </w:pPr>
          <w:r>
            <w:rPr>
              <w:rFonts w:hint="eastAsia"/>
              <w:sz w:val="28"/>
              <w:szCs w:val="28"/>
              <w:lang w:eastAsia="zh-CN"/>
            </w:rPr>
            <w:t>第四章 开、评标程序、评标方法和评标标准</w:t>
          </w:r>
        </w:p>
        <w:p w14:paraId="504C72ED">
          <w:pPr>
            <w:pStyle w:val="6"/>
            <w:kinsoku/>
            <w:wordWrap w:val="0"/>
            <w:spacing w:line="360" w:lineRule="auto"/>
            <w:jc w:val="both"/>
            <w:rPr>
              <w:sz w:val="28"/>
              <w:szCs w:val="28"/>
              <w:lang w:eastAsia="zh-CN"/>
            </w:rPr>
          </w:pPr>
          <w:r>
            <w:rPr>
              <w:rFonts w:hint="eastAsia"/>
              <w:sz w:val="28"/>
              <w:szCs w:val="28"/>
              <w:lang w:eastAsia="zh-CN"/>
            </w:rPr>
            <w:t>第五章 政府采购合同（草案）</w:t>
          </w:r>
        </w:p>
        <w:p w14:paraId="29B8FD14">
          <w:pPr>
            <w:pStyle w:val="6"/>
            <w:kinsoku/>
            <w:wordWrap w:val="0"/>
            <w:spacing w:line="360" w:lineRule="auto"/>
            <w:jc w:val="both"/>
            <w:rPr>
              <w:sz w:val="28"/>
              <w:szCs w:val="28"/>
              <w:lang w:eastAsia="zh-CN"/>
            </w:rPr>
          </w:pPr>
          <w:r>
            <w:rPr>
              <w:rFonts w:hint="eastAsia"/>
              <w:sz w:val="28"/>
              <w:szCs w:val="28"/>
              <w:lang w:eastAsia="zh-CN"/>
            </w:rPr>
            <w:t>第六章 投标文件格式</w:t>
          </w:r>
        </w:p>
      </w:sdtContent>
    </w:sdt>
    <w:p w14:paraId="27B2602E">
      <w:pPr>
        <w:kinsoku/>
        <w:wordWrap w:val="0"/>
        <w:spacing w:line="219" w:lineRule="auto"/>
        <w:jc w:val="both"/>
        <w:rPr>
          <w:rFonts w:asciiTheme="minorEastAsia" w:hAnsiTheme="minorEastAsia" w:eastAsiaTheme="minorEastAsia" w:cstheme="minorEastAsia"/>
          <w:sz w:val="24"/>
          <w:szCs w:val="24"/>
          <w:lang w:eastAsia="zh-CN"/>
        </w:rPr>
      </w:pPr>
    </w:p>
    <w:p w14:paraId="58A5CA98">
      <w:pPr>
        <w:kinsoku/>
        <w:wordWrap w:val="0"/>
        <w:spacing w:line="219" w:lineRule="auto"/>
        <w:jc w:val="both"/>
        <w:rPr>
          <w:rFonts w:asciiTheme="minorEastAsia" w:hAnsiTheme="minorEastAsia" w:eastAsiaTheme="minorEastAsia" w:cstheme="minorEastAsia"/>
          <w:sz w:val="24"/>
          <w:szCs w:val="24"/>
          <w:lang w:eastAsia="zh-CN"/>
        </w:rPr>
      </w:pPr>
    </w:p>
    <w:p w14:paraId="78F470C9">
      <w:pPr>
        <w:kinsoku/>
        <w:wordWrap w:val="0"/>
        <w:spacing w:line="219" w:lineRule="auto"/>
        <w:jc w:val="both"/>
        <w:rPr>
          <w:rFonts w:asciiTheme="minorEastAsia" w:hAnsiTheme="minorEastAsia" w:eastAsiaTheme="minorEastAsia" w:cstheme="minorEastAsia"/>
          <w:sz w:val="24"/>
          <w:szCs w:val="24"/>
          <w:lang w:eastAsia="zh-CN"/>
        </w:rPr>
      </w:pPr>
    </w:p>
    <w:p w14:paraId="24B7F605">
      <w:pPr>
        <w:kinsoku/>
        <w:wordWrap w:val="0"/>
        <w:spacing w:line="219" w:lineRule="auto"/>
        <w:jc w:val="both"/>
        <w:rPr>
          <w:rFonts w:asciiTheme="minorEastAsia" w:hAnsiTheme="minorEastAsia" w:eastAsiaTheme="minorEastAsia" w:cstheme="minorEastAsia"/>
          <w:sz w:val="24"/>
          <w:szCs w:val="24"/>
          <w:lang w:eastAsia="zh-CN"/>
        </w:rPr>
      </w:pPr>
    </w:p>
    <w:p w14:paraId="3AB4BC76">
      <w:pPr>
        <w:kinsoku/>
        <w:wordWrap w:val="0"/>
        <w:spacing w:line="219" w:lineRule="auto"/>
        <w:jc w:val="both"/>
        <w:rPr>
          <w:rFonts w:asciiTheme="minorEastAsia" w:hAnsiTheme="minorEastAsia" w:eastAsiaTheme="minorEastAsia" w:cstheme="minorEastAsia"/>
          <w:sz w:val="24"/>
          <w:szCs w:val="24"/>
          <w:lang w:eastAsia="zh-CN"/>
        </w:rPr>
      </w:pPr>
    </w:p>
    <w:p w14:paraId="3C34CCE6">
      <w:pPr>
        <w:kinsoku/>
        <w:wordWrap w:val="0"/>
        <w:spacing w:line="219" w:lineRule="auto"/>
        <w:jc w:val="both"/>
        <w:rPr>
          <w:rFonts w:asciiTheme="minorEastAsia" w:hAnsiTheme="minorEastAsia" w:eastAsiaTheme="minorEastAsia" w:cstheme="minorEastAsia"/>
          <w:sz w:val="24"/>
          <w:szCs w:val="24"/>
          <w:lang w:eastAsia="zh-CN"/>
        </w:rPr>
      </w:pPr>
    </w:p>
    <w:p w14:paraId="1106C752">
      <w:pPr>
        <w:kinsoku/>
        <w:wordWrap w:val="0"/>
        <w:spacing w:line="219" w:lineRule="auto"/>
        <w:jc w:val="both"/>
        <w:rPr>
          <w:rFonts w:asciiTheme="minorEastAsia" w:hAnsiTheme="minorEastAsia" w:eastAsiaTheme="minorEastAsia" w:cstheme="minorEastAsia"/>
          <w:sz w:val="24"/>
          <w:szCs w:val="24"/>
          <w:lang w:eastAsia="zh-CN"/>
        </w:rPr>
      </w:pPr>
    </w:p>
    <w:p w14:paraId="546F2DB9">
      <w:pPr>
        <w:kinsoku/>
        <w:wordWrap w:val="0"/>
        <w:spacing w:line="219" w:lineRule="auto"/>
        <w:jc w:val="both"/>
        <w:rPr>
          <w:rFonts w:asciiTheme="minorEastAsia" w:hAnsiTheme="minorEastAsia" w:eastAsiaTheme="minorEastAsia" w:cstheme="minorEastAsia"/>
          <w:sz w:val="24"/>
          <w:szCs w:val="24"/>
          <w:lang w:eastAsia="zh-CN"/>
        </w:rPr>
      </w:pPr>
    </w:p>
    <w:p w14:paraId="0ACF62E1">
      <w:pPr>
        <w:pStyle w:val="6"/>
        <w:kinsoku/>
        <w:wordWrap w:val="0"/>
        <w:spacing w:before="353" w:line="360" w:lineRule="auto"/>
        <w:ind w:left="3129"/>
        <w:jc w:val="both"/>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47F8D145">
      <w:pPr>
        <w:pStyle w:val="6"/>
        <w:kinsoku/>
        <w:wordWrap w:val="0"/>
        <w:spacing w:before="353" w:line="360" w:lineRule="auto"/>
        <w:ind w:left="3129"/>
        <w:jc w:val="both"/>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5827FF95">
      <w:pPr>
        <w:pStyle w:val="6"/>
        <w:kinsoku/>
        <w:wordWrap w:val="0"/>
        <w:spacing w:before="353" w:line="360" w:lineRule="auto"/>
        <w:ind w:left="3129"/>
        <w:jc w:val="both"/>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3A04FD73">
      <w:pPr>
        <w:pStyle w:val="6"/>
        <w:kinsoku/>
        <w:wordWrap w:val="0"/>
        <w:spacing w:before="353" w:line="360" w:lineRule="auto"/>
        <w:ind w:left="3129"/>
        <w:jc w:val="both"/>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25420A94">
      <w:pPr>
        <w:pStyle w:val="6"/>
        <w:kinsoku/>
        <w:wordWrap w:val="0"/>
        <w:spacing w:before="353" w:line="360" w:lineRule="auto"/>
        <w:ind w:left="3129"/>
        <w:jc w:val="both"/>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62B42E76">
      <w:pPr>
        <w:pStyle w:val="6"/>
        <w:kinsoku/>
        <w:wordWrap w:val="0"/>
        <w:spacing w:before="353" w:line="360" w:lineRule="auto"/>
        <w:ind w:left="3129"/>
        <w:jc w:val="both"/>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2026D13C">
      <w:pPr>
        <w:pStyle w:val="6"/>
        <w:kinsoku/>
        <w:wordWrap w:val="0"/>
        <w:spacing w:before="353" w:line="360" w:lineRule="auto"/>
        <w:jc w:val="center"/>
        <w:rPr>
          <w:spacing w:val="-6"/>
          <w:sz w:val="36"/>
          <w:szCs w:val="36"/>
          <w:lang w:eastAsia="zh-CN"/>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第一章 公开招标公告</w:t>
      </w:r>
    </w:p>
    <w:p w14:paraId="1AC6B458">
      <w:pPr>
        <w:pStyle w:val="6"/>
        <w:kinsoku/>
        <w:wordWrap w:val="0"/>
        <w:spacing w:line="360" w:lineRule="auto"/>
        <w:ind w:firstLine="456" w:firstLineChars="200"/>
        <w:jc w:val="both"/>
        <w:outlineLvl w:val="1"/>
        <w:rPr>
          <w:spacing w:val="-6"/>
          <w:sz w:val="24"/>
          <w:szCs w:val="24"/>
          <w:lang w:eastAsia="zh-CN"/>
        </w:rPr>
      </w:pPr>
    </w:p>
    <w:p w14:paraId="1760C8D6">
      <w:pPr>
        <w:pStyle w:val="6"/>
        <w:kinsoku/>
        <w:wordWrap w:val="0"/>
        <w:spacing w:line="360" w:lineRule="auto"/>
        <w:ind w:firstLine="456" w:firstLineChars="200"/>
        <w:jc w:val="both"/>
        <w:outlineLvl w:val="1"/>
        <w:rPr>
          <w:spacing w:val="-6"/>
          <w:sz w:val="24"/>
          <w:szCs w:val="24"/>
          <w:lang w:eastAsia="zh-CN"/>
        </w:rPr>
      </w:pPr>
      <w:r>
        <w:rPr>
          <w:spacing w:val="-6"/>
          <w:sz w:val="24"/>
          <w:szCs w:val="24"/>
          <w:lang w:eastAsia="zh-CN"/>
        </w:rPr>
        <w:t>采购人拟就下述项目以</w:t>
      </w:r>
      <w:r>
        <w:rPr>
          <w:rFonts w:hint="eastAsia"/>
          <w:spacing w:val="-6"/>
          <w:sz w:val="24"/>
          <w:szCs w:val="24"/>
          <w:lang w:eastAsia="zh-CN"/>
        </w:rPr>
        <w:t>公开</w:t>
      </w:r>
      <w:r>
        <w:rPr>
          <w:spacing w:val="-6"/>
          <w:sz w:val="24"/>
          <w:szCs w:val="24"/>
          <w:lang w:eastAsia="zh-CN"/>
        </w:rPr>
        <w:t>招标方式组织采购活动，</w:t>
      </w:r>
      <w:r>
        <w:rPr>
          <w:rFonts w:hint="eastAsia"/>
          <w:spacing w:val="-6"/>
          <w:sz w:val="24"/>
          <w:szCs w:val="24"/>
          <w:lang w:eastAsia="zh-CN"/>
        </w:rPr>
        <w:t>欢迎潜在投标人</w:t>
      </w:r>
      <w:r>
        <w:rPr>
          <w:spacing w:val="-6"/>
          <w:sz w:val="24"/>
          <w:szCs w:val="24"/>
          <w:lang w:eastAsia="zh-CN"/>
        </w:rPr>
        <w:t>参与本项目投标。</w:t>
      </w:r>
    </w:p>
    <w:p w14:paraId="4565E072">
      <w:pPr>
        <w:pStyle w:val="6"/>
        <w:kinsoku/>
        <w:wordWrap w:val="0"/>
        <w:spacing w:line="360" w:lineRule="auto"/>
        <w:jc w:val="both"/>
        <w:outlineLvl w:val="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一、项目基本情况</w:t>
      </w:r>
    </w:p>
    <w:p w14:paraId="4277935B">
      <w:pPr>
        <w:pStyle w:val="6"/>
        <w:kinsoku/>
        <w:wordWrap w:val="0"/>
        <w:spacing w:line="360" w:lineRule="auto"/>
        <w:ind w:left="420" w:left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lang w:eastAsia="zh-CN"/>
        </w:rPr>
        <w:t>1.项目编号：</w:t>
      </w:r>
      <w:r>
        <w:rPr>
          <w:rFonts w:hint="eastAsia" w:asciiTheme="minorEastAsia" w:hAnsiTheme="minorEastAsia" w:eastAsiaTheme="minorEastAsia" w:cstheme="minorEastAsia"/>
          <w:sz w:val="24"/>
          <w:szCs w:val="24"/>
          <w:lang w:eastAsia="zh-CN"/>
        </w:rPr>
        <w:t>南阳政采公开-2024-77-1</w:t>
      </w:r>
    </w:p>
    <w:p w14:paraId="39363E0C">
      <w:pPr>
        <w:pStyle w:val="6"/>
        <w:kinsoku/>
        <w:wordWrap w:val="0"/>
        <w:spacing w:line="360" w:lineRule="auto"/>
        <w:ind w:left="420" w:left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4"/>
          <w:sz w:val="24"/>
          <w:szCs w:val="24"/>
          <w:lang w:eastAsia="zh-CN"/>
        </w:rPr>
        <w:t>2.项目名称：</w:t>
      </w:r>
      <w:bookmarkStart w:id="3" w:name="_GoBack"/>
      <w:r>
        <w:rPr>
          <w:rFonts w:hint="eastAsia" w:asciiTheme="minorEastAsia" w:hAnsiTheme="minorEastAsia" w:eastAsiaTheme="minorEastAsia" w:cstheme="minorEastAsia"/>
          <w:spacing w:val="-24"/>
          <w:sz w:val="24"/>
          <w:szCs w:val="24"/>
          <w:lang w:eastAsia="zh-CN"/>
        </w:rPr>
        <w:t>南阳市2025-2026年度党政机关会议定点场所服务项目</w:t>
      </w:r>
      <w:bookmarkEnd w:id="3"/>
    </w:p>
    <w:p w14:paraId="135EB986">
      <w:pPr>
        <w:pStyle w:val="6"/>
        <w:kinsoku/>
        <w:wordWrap w:val="0"/>
        <w:spacing w:line="360" w:lineRule="auto"/>
        <w:ind w:left="420" w:left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3.项目预算：1元</w:t>
      </w:r>
    </w:p>
    <w:p w14:paraId="2744096D">
      <w:pPr>
        <w:pStyle w:val="6"/>
        <w:kinsoku/>
        <w:wordWrap w:val="0"/>
        <w:spacing w:line="360" w:lineRule="auto"/>
        <w:ind w:left="420" w:left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4.采购需求：</w:t>
      </w:r>
    </w:p>
    <w:tbl>
      <w:tblPr>
        <w:tblStyle w:val="25"/>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0176A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7A3ABBD0">
            <w:pPr>
              <w:kinsoku/>
              <w:wordWrap w:val="0"/>
              <w:spacing w:line="360" w:lineRule="auto"/>
              <w:ind w:firstLine="496"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3CF73943">
            <w:pPr>
              <w:kinsoku/>
              <w:wordWrap w:val="0"/>
              <w:spacing w:line="360" w:lineRule="auto"/>
              <w:ind w:firstLine="50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618C69A8">
            <w:pPr>
              <w:kinsoku/>
              <w:wordWrap w:val="0"/>
              <w:spacing w:line="360" w:lineRule="auto"/>
              <w:ind w:firstLine="512"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1A61D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center"/>
          </w:tcPr>
          <w:p w14:paraId="4DA260B6">
            <w:pPr>
              <w:pStyle w:val="26"/>
              <w:kinsoku/>
              <w:wordWrap w:val="0"/>
              <w:spacing w:line="36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南阳政采公开-2024-77</w:t>
            </w:r>
            <w:r>
              <w:rPr>
                <w:rFonts w:hint="eastAsia" w:asciiTheme="minorEastAsia" w:hAnsiTheme="minorEastAsia" w:eastAsiaTheme="minorEastAsia" w:cstheme="minorEastAsia"/>
                <w:sz w:val="24"/>
                <w:szCs w:val="24"/>
                <w:lang w:eastAsia="zh-CN"/>
              </w:rPr>
              <w:t>-1</w:t>
            </w:r>
          </w:p>
        </w:tc>
        <w:tc>
          <w:tcPr>
            <w:tcW w:w="4215" w:type="dxa"/>
            <w:vAlign w:val="center"/>
          </w:tcPr>
          <w:p w14:paraId="54E4C486">
            <w:pPr>
              <w:pStyle w:val="26"/>
              <w:kinsoku/>
              <w:wordWrap w:val="0"/>
              <w:spacing w:line="36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南阳市2025-2026年度党政机关</w:t>
            </w:r>
          </w:p>
          <w:p w14:paraId="3F4ADCF7">
            <w:pPr>
              <w:pStyle w:val="26"/>
              <w:kinsoku/>
              <w:wordWrap w:val="0"/>
              <w:spacing w:line="36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会议定点场所服务项目</w:t>
            </w:r>
          </w:p>
        </w:tc>
        <w:tc>
          <w:tcPr>
            <w:tcW w:w="2321" w:type="dxa"/>
            <w:vAlign w:val="center"/>
          </w:tcPr>
          <w:p w14:paraId="5CC121C8">
            <w:pPr>
              <w:pStyle w:val="26"/>
              <w:kinsoku/>
              <w:wordWrap w:val="0"/>
              <w:spacing w:line="360" w:lineRule="auto"/>
              <w:ind w:firstLine="480" w:firstLineChars="20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w:t>
            </w:r>
          </w:p>
        </w:tc>
      </w:tr>
    </w:tbl>
    <w:p w14:paraId="0ACCEE8C">
      <w:pPr>
        <w:pStyle w:val="6"/>
        <w:kinsoku/>
        <w:wordWrap w:val="0"/>
        <w:spacing w:line="360" w:lineRule="auto"/>
        <w:ind w:firstLine="460" w:firstLineChars="200"/>
        <w:jc w:val="both"/>
        <w:rPr>
          <w:rFonts w:asciiTheme="minorEastAsia" w:hAnsiTheme="minorEastAsia" w:eastAsiaTheme="minorEastAsia" w:cstheme="minorEastAsia"/>
          <w:spacing w:val="-5"/>
          <w:sz w:val="24"/>
          <w:szCs w:val="24"/>
          <w:lang w:eastAsia="zh-CN"/>
        </w:rPr>
      </w:pPr>
    </w:p>
    <w:p w14:paraId="6C74E2B4">
      <w:pPr>
        <w:pStyle w:val="6"/>
        <w:kinsoku/>
        <w:wordWrap w:val="0"/>
        <w:spacing w:line="360" w:lineRule="auto"/>
        <w:ind w:firstLine="460" w:firstLineChars="200"/>
        <w:jc w:val="both"/>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5.采购内容及服务要求</w:t>
      </w:r>
    </w:p>
    <w:p w14:paraId="4BCE03EF">
      <w:pPr>
        <w:pStyle w:val="6"/>
        <w:kinsoku/>
        <w:wordWrap w:val="0"/>
        <w:spacing w:line="360" w:lineRule="auto"/>
        <w:ind w:firstLine="380" w:firstLineChars="200"/>
        <w:jc w:val="both"/>
        <w:rPr>
          <w:rFonts w:asciiTheme="minorEastAsia" w:hAnsiTheme="minorEastAsia" w:eastAsiaTheme="minorEastAsia" w:cstheme="minorEastAsia"/>
          <w:spacing w:val="-25"/>
          <w:sz w:val="24"/>
          <w:szCs w:val="24"/>
          <w:lang w:eastAsia="zh-CN"/>
        </w:rPr>
      </w:pPr>
      <w:r>
        <w:rPr>
          <w:rFonts w:hint="eastAsia" w:asciiTheme="minorEastAsia" w:hAnsiTheme="minorEastAsia" w:eastAsiaTheme="minorEastAsia" w:cstheme="minorEastAsia"/>
          <w:spacing w:val="-25"/>
          <w:sz w:val="24"/>
          <w:szCs w:val="24"/>
          <w:lang w:eastAsia="zh-CN"/>
        </w:rPr>
        <w:t>本次招标项目是通过公开招标确定南阳市2025-2026年度党政机关会议定点场所。本着“数量适当、布局合理、档次适中、价格优惠、公开公平、上下结合”的原则，确定一批位置适中、卫生整洁、价格合理、服务良好的宾馆、饭店作为党政机关举办会议实行服务的定点单位。</w:t>
      </w:r>
    </w:p>
    <w:p w14:paraId="650137AF">
      <w:pPr>
        <w:pStyle w:val="6"/>
        <w:kinsoku/>
        <w:wordWrap w:val="0"/>
        <w:spacing w:line="360" w:lineRule="auto"/>
        <w:ind w:left="420" w:leftChars="200"/>
        <w:jc w:val="both"/>
        <w:rPr>
          <w:rFonts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5"/>
          <w:sz w:val="24"/>
          <w:szCs w:val="24"/>
          <w:lang w:eastAsia="zh-CN"/>
        </w:rPr>
        <w:t>6.合同履行期限：2年</w:t>
      </w:r>
    </w:p>
    <w:p w14:paraId="46F4AB6B">
      <w:pPr>
        <w:pStyle w:val="6"/>
        <w:kinsoku/>
        <w:wordWrap w:val="0"/>
        <w:spacing w:line="360" w:lineRule="auto"/>
        <w:ind w:left="420" w:left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7.本项目是否接受联合体投标：□是☑否。</w:t>
      </w:r>
    </w:p>
    <w:p w14:paraId="1C7DC5F9">
      <w:pPr>
        <w:kinsoku/>
        <w:wordWrap w:val="0"/>
        <w:spacing w:line="360" w:lineRule="auto"/>
        <w:ind w:firstLine="420" w:firstLineChars="200"/>
        <w:jc w:val="both"/>
        <w:rPr>
          <w:rFonts w:asciiTheme="minorEastAsia" w:hAnsiTheme="minorEastAsia" w:eastAsiaTheme="minorEastAsia" w:cstheme="minorEastAsia"/>
          <w:lang w:eastAsia="zh-CN"/>
        </w:rPr>
      </w:pPr>
    </w:p>
    <w:p w14:paraId="5434E8EB">
      <w:pPr>
        <w:pStyle w:val="6"/>
        <w:kinsoku/>
        <w:wordWrap w:val="0"/>
        <w:spacing w:line="360" w:lineRule="auto"/>
        <w:jc w:val="both"/>
        <w:outlineLvl w:val="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二、投标人具备的资格要求（须同时满足）</w:t>
      </w:r>
    </w:p>
    <w:p w14:paraId="7014606A">
      <w:pPr>
        <w:kinsoku/>
        <w:wordWrap w:val="0"/>
        <w:autoSpaceDE/>
        <w:autoSpaceDN/>
        <w:adjustRightInd/>
        <w:snapToGrid/>
        <w:spacing w:line="360" w:lineRule="auto"/>
        <w:ind w:left="420" w:left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1.注册于中华人民共和国境内，具有独立承担民事责任能力；</w:t>
      </w:r>
    </w:p>
    <w:p w14:paraId="76F3408A">
      <w:pPr>
        <w:kinsoku/>
        <w:wordWrap w:val="0"/>
        <w:autoSpaceDE/>
        <w:autoSpaceDN/>
        <w:adjustRightInd/>
        <w:snapToGrid/>
        <w:spacing w:line="360" w:lineRule="auto"/>
        <w:ind w:left="420" w:left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2.具有良好的商业信誉和健全的财务会计制度；</w:t>
      </w:r>
    </w:p>
    <w:p w14:paraId="2441F30E">
      <w:pPr>
        <w:kinsoku/>
        <w:wordWrap w:val="0"/>
        <w:autoSpaceDE/>
        <w:autoSpaceDN/>
        <w:adjustRightInd/>
        <w:snapToGrid/>
        <w:spacing w:line="360" w:lineRule="auto"/>
        <w:ind w:left="420" w:left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3.具有履行合同所必需的设备和专业技术能力；</w:t>
      </w:r>
    </w:p>
    <w:p w14:paraId="73763307">
      <w:pPr>
        <w:kinsoku/>
        <w:wordWrap w:val="0"/>
        <w:autoSpaceDE/>
        <w:autoSpaceDN/>
        <w:adjustRightInd/>
        <w:snapToGrid/>
        <w:spacing w:line="360" w:lineRule="auto"/>
        <w:ind w:left="420" w:left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4.有依法缴纳税收和社会保障资金的良好记录；</w:t>
      </w:r>
    </w:p>
    <w:p w14:paraId="48917DFB">
      <w:pPr>
        <w:kinsoku/>
        <w:wordWrap w:val="0"/>
        <w:autoSpaceDE/>
        <w:autoSpaceDN/>
        <w:adjustRightInd/>
        <w:snapToGrid/>
        <w:spacing w:line="360" w:lineRule="auto"/>
        <w:ind w:left="420" w:left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5.参加政府采购活动前三年内，在经营活动中没有重大违法记录；</w:t>
      </w:r>
    </w:p>
    <w:p w14:paraId="507E1886">
      <w:pPr>
        <w:kinsoku/>
        <w:wordWrap w:val="0"/>
        <w:autoSpaceDE/>
        <w:autoSpaceDN/>
        <w:adjustRightInd/>
        <w:snapToGrid/>
        <w:spacing w:line="360" w:lineRule="auto"/>
        <w:ind w:firstLine="424" w:firstLine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eastAsia="zh-CN"/>
        </w:rPr>
        <w:t>〔2016〕</w:t>
      </w:r>
      <w:r>
        <w:rPr>
          <w:rFonts w:hint="eastAsia" w:asciiTheme="minorEastAsia" w:hAnsiTheme="minorEastAsia" w:eastAsiaTheme="minorEastAsia" w:cstheme="minorEastAsia"/>
          <w:spacing w:val="-14"/>
          <w:sz w:val="24"/>
          <w:szCs w:val="24"/>
          <w:lang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3B8A948D">
      <w:pPr>
        <w:kinsoku/>
        <w:autoSpaceDE/>
        <w:autoSpaceDN/>
        <w:adjustRightInd/>
        <w:snapToGrid/>
        <w:spacing w:line="360" w:lineRule="auto"/>
        <w:ind w:firstLine="424" w:firstLine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7.遵守国家有关法律、法规、规章。</w:t>
      </w:r>
    </w:p>
    <w:p w14:paraId="722447EF">
      <w:pPr>
        <w:pStyle w:val="23"/>
        <w:spacing w:line="360" w:lineRule="auto"/>
        <w:ind w:firstLine="452"/>
      </w:pPr>
      <w:r>
        <w:rPr>
          <w:rFonts w:hint="eastAsia" w:asciiTheme="minorEastAsia" w:hAnsiTheme="minorEastAsia" w:eastAsiaTheme="minorEastAsia" w:cstheme="minorEastAsia"/>
          <w:snapToGrid w:val="0"/>
          <w:color w:val="000000"/>
          <w:spacing w:val="-14"/>
          <w:sz w:val="24"/>
          <w:szCs w:val="24"/>
          <w:lang w:val="en-US" w:eastAsia="zh-CN"/>
        </w:rPr>
        <w:t>8</w:t>
      </w:r>
      <w:r>
        <w:rPr>
          <w:rFonts w:hint="eastAsia" w:asciiTheme="minorEastAsia" w:hAnsiTheme="minorEastAsia" w:eastAsiaTheme="minorEastAsia" w:cstheme="minorEastAsia"/>
          <w:snapToGrid w:val="0"/>
          <w:color w:val="000000"/>
          <w:spacing w:val="-14"/>
          <w:sz w:val="24"/>
          <w:szCs w:val="24"/>
        </w:rPr>
        <w:t>.工商行政管理部门颁发的有效三证合一营业执照、公安部门核发的特种行业许可证、消防部门出具的消防检查合格证明或检查意见书；卫生防疫部门核发的卫生许可证、</w:t>
      </w:r>
      <w:r>
        <w:rPr>
          <w:rFonts w:hint="eastAsia" w:asciiTheme="minorEastAsia" w:hAnsiTheme="minorEastAsia" w:eastAsiaTheme="minorEastAsia" w:cstheme="minorEastAsia"/>
          <w:snapToGrid w:val="0"/>
          <w:spacing w:val="-14"/>
          <w:sz w:val="24"/>
          <w:szCs w:val="24"/>
        </w:rPr>
        <w:t>旅游管理部门核发的星级资质证书或具有评定星级标准实力的宾馆、饭店以相应市县区旅游主管部门出具的相关证明文件为依据。</w:t>
      </w:r>
    </w:p>
    <w:p w14:paraId="41B52CCF">
      <w:pPr>
        <w:pStyle w:val="6"/>
        <w:kinsoku/>
        <w:spacing w:line="360" w:lineRule="auto"/>
        <w:jc w:val="both"/>
        <w:outlineLvl w:val="1"/>
        <w:rPr>
          <w:rFonts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pPr>
    </w:p>
    <w:p w14:paraId="68491CC6">
      <w:pPr>
        <w:pStyle w:val="6"/>
        <w:kinsoku/>
        <w:wordWrap w:val="0"/>
        <w:spacing w:line="360" w:lineRule="auto"/>
        <w:jc w:val="both"/>
        <w:outlineLvl w:val="1"/>
        <w:rPr>
          <w:rFonts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三、落实政府采购政策需满足的资格要求：</w:t>
      </w:r>
    </w:p>
    <w:p w14:paraId="3678FC3C">
      <w:pPr>
        <w:pStyle w:val="6"/>
        <w:kinsoku/>
        <w:wordWrap w:val="0"/>
        <w:spacing w:line="360" w:lineRule="auto"/>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1.中小企业政策</w:t>
      </w:r>
    </w:p>
    <w:p w14:paraId="515A1AF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14:paraId="150F62E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lang w:eastAsia="zh-CN"/>
        </w:rPr>
        <w:t>□</w:t>
      </w:r>
      <w:r>
        <w:rPr>
          <w:rFonts w:hint="eastAsia" w:asciiTheme="minorEastAsia" w:hAnsiTheme="minorEastAsia" w:eastAsiaTheme="minorEastAsia" w:cstheme="minorEastAsia"/>
          <w:spacing w:val="12"/>
          <w:position w:val="17"/>
          <w:sz w:val="24"/>
          <w:szCs w:val="24"/>
        </w:rPr>
        <w:t>本项目专门面向中小企业采购。</w:t>
      </w:r>
      <w:r>
        <w:rPr>
          <w:rFonts w:hint="eastAsia" w:asciiTheme="minorEastAsia" w:hAnsiTheme="minorEastAsia" w:eastAsiaTheme="minorEastAsia" w:cstheme="minorEastAsia"/>
          <w:spacing w:val="-2"/>
          <w:position w:val="17"/>
          <w:sz w:val="24"/>
          <w:szCs w:val="24"/>
        </w:rPr>
        <w:t>即：</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供的货物全部由符合政策要求的中小</w:t>
      </w:r>
      <w:r>
        <w:rPr>
          <w:rFonts w:hint="eastAsia" w:asciiTheme="minorEastAsia" w:hAnsiTheme="minorEastAsia" w:eastAsiaTheme="minorEastAsia" w:cstheme="minorEastAsia"/>
          <w:spacing w:val="1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企业制造、服务全部由符合政策要求的中小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w:t>
      </w:r>
    </w:p>
    <w:p w14:paraId="2B8460D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lang w:val="en-US" w:eastAsia="zh-CN"/>
        </w:rPr>
        <w:t>预留金额</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万元或预留</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%份额</w:t>
      </w:r>
      <w:r>
        <w:rPr>
          <w:rFonts w:hint="eastAsia" w:asciiTheme="minorEastAsia" w:hAnsiTheme="minorEastAsia" w:eastAsiaTheme="minorEastAsia" w:cstheme="minorEastAsia"/>
          <w:spacing w:val="-2"/>
          <w:position w:val="17"/>
          <w:sz w:val="24"/>
          <w:szCs w:val="24"/>
        </w:rPr>
        <w:t>。</w:t>
      </w:r>
    </w:p>
    <w:p w14:paraId="0A50596E">
      <w:pPr>
        <w:pStyle w:val="6"/>
        <w:kinsoku/>
        <w:wordWrap w:val="0"/>
        <w:spacing w:line="360" w:lineRule="auto"/>
        <w:ind w:firstLine="472"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1BDF00F1">
      <w:pPr>
        <w:pStyle w:val="6"/>
        <w:kinsoku/>
        <w:wordWrap w:val="0"/>
        <w:spacing w:line="360" w:lineRule="auto"/>
        <w:ind w:firstLine="472"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3.本项目支持河南省政府采购合同融资政策和资格信用承诺制。</w:t>
      </w:r>
    </w:p>
    <w:p w14:paraId="31F806A9">
      <w:pPr>
        <w:pStyle w:val="6"/>
        <w:kinsoku/>
        <w:wordWrap w:val="0"/>
        <w:spacing w:line="360" w:lineRule="auto"/>
        <w:ind w:firstLine="460" w:firstLineChars="200"/>
        <w:jc w:val="both"/>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4.本项目是否属于政府购买服务：</w:t>
      </w:r>
    </w:p>
    <w:p w14:paraId="4C47D654">
      <w:pPr>
        <w:pStyle w:val="6"/>
        <w:kinsoku/>
        <w:wordWrap w:val="0"/>
        <w:spacing w:line="360" w:lineRule="auto"/>
        <w:ind w:firstLine="472"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□否□接受进口产品□不接受进口产品</w:t>
      </w:r>
    </w:p>
    <w:p w14:paraId="711B1788">
      <w:pPr>
        <w:pStyle w:val="6"/>
        <w:kinsoku/>
        <w:wordWrap w:val="0"/>
        <w:spacing w:line="360" w:lineRule="auto"/>
        <w:ind w:firstLine="472" w:firstLineChars="200"/>
        <w:jc w:val="both"/>
        <w:rPr>
          <w:rFonts w:asciiTheme="minorEastAsia" w:hAnsiTheme="minorEastAsia" w:eastAsiaTheme="minorEastAsia" w:cstheme="minorEastAsia"/>
          <w:spacing w:val="-12"/>
          <w:sz w:val="24"/>
          <w:szCs w:val="24"/>
          <w:lang w:eastAsia="zh-CN"/>
        </w:rPr>
      </w:pPr>
      <w:r>
        <w:rPr>
          <w:rFonts w:ascii="Segoe UI Symbol" w:hAnsi="Segoe UI Symbol" w:cs="Segoe UI Symbol" w:eastAsiaTheme="minorEastAsia"/>
          <w:spacing w:val="-2"/>
          <w:sz w:val="24"/>
          <w:szCs w:val="24"/>
          <w:lang w:eastAsia="zh-CN"/>
        </w:rPr>
        <w:t>☑</w:t>
      </w:r>
      <w:r>
        <w:rPr>
          <w:rFonts w:hint="eastAsia" w:asciiTheme="minorEastAsia" w:hAnsiTheme="minorEastAsia" w:eastAsiaTheme="minorEastAsia" w:cstheme="minorEastAsia"/>
          <w:spacing w:val="-2"/>
          <w:sz w:val="24"/>
          <w:szCs w:val="24"/>
          <w:lang w:eastAsia="zh-CN"/>
        </w:rPr>
        <w:t>是，公益一类事业单位、使用事业编制且由财政</w:t>
      </w:r>
      <w:r>
        <w:rPr>
          <w:rFonts w:hint="eastAsia" w:asciiTheme="minorEastAsia" w:hAnsiTheme="minorEastAsia" w:eastAsiaTheme="minorEastAsia" w:cstheme="minorEastAsia"/>
          <w:spacing w:val="-3"/>
          <w:sz w:val="24"/>
          <w:szCs w:val="24"/>
          <w:lang w:eastAsia="zh-CN"/>
        </w:rPr>
        <w:t>拨款保障的群团组织，不得</w:t>
      </w:r>
      <w:r>
        <w:rPr>
          <w:rFonts w:hint="eastAsia" w:asciiTheme="minorEastAsia" w:hAnsiTheme="minorEastAsia" w:eastAsiaTheme="minorEastAsia" w:cstheme="minorEastAsia"/>
          <w:spacing w:val="-9"/>
          <w:sz w:val="24"/>
          <w:szCs w:val="24"/>
          <w:lang w:eastAsia="zh-CN"/>
        </w:rPr>
        <w:t>作为承接主体</w:t>
      </w:r>
      <w:r>
        <w:rPr>
          <w:rFonts w:hint="eastAsia" w:asciiTheme="minorEastAsia" w:hAnsiTheme="minorEastAsia" w:eastAsiaTheme="minorEastAsia" w:cstheme="minorEastAsia"/>
          <w:spacing w:val="-12"/>
          <w:sz w:val="24"/>
          <w:szCs w:val="24"/>
          <w:lang w:eastAsia="zh-CN"/>
        </w:rPr>
        <w:t>。</w:t>
      </w:r>
    </w:p>
    <w:p w14:paraId="101C2458">
      <w:pPr>
        <w:kinsoku/>
        <w:wordWrap w:val="0"/>
        <w:spacing w:line="360" w:lineRule="auto"/>
        <w:ind w:firstLine="420" w:firstLineChars="200"/>
        <w:jc w:val="both"/>
        <w:rPr>
          <w:rFonts w:asciiTheme="minorEastAsia" w:hAnsiTheme="minorEastAsia" w:eastAsiaTheme="minorEastAsia" w:cstheme="minorEastAsia"/>
          <w:lang w:eastAsia="zh-CN"/>
        </w:rPr>
      </w:pPr>
    </w:p>
    <w:p w14:paraId="2A6DDDA1">
      <w:pPr>
        <w:pStyle w:val="6"/>
        <w:kinsoku/>
        <w:wordWrap w:val="0"/>
        <w:spacing w:line="360" w:lineRule="auto"/>
        <w:jc w:val="both"/>
        <w:outlineLvl w:val="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四、获取招标文件</w:t>
      </w:r>
    </w:p>
    <w:p w14:paraId="295271AB">
      <w:pPr>
        <w:pStyle w:val="6"/>
        <w:kinsoku/>
        <w:wordWrap w:val="0"/>
        <w:spacing w:line="360" w:lineRule="auto"/>
        <w:ind w:firstLine="42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3"/>
          <w:sz w:val="24"/>
          <w:szCs w:val="24"/>
          <w:lang w:eastAsia="zh-CN"/>
        </w:rPr>
        <w:t>1.时间：</w:t>
      </w:r>
      <w:r>
        <w:rPr>
          <w:rFonts w:hint="eastAsia" w:asciiTheme="minorEastAsia" w:hAnsiTheme="minorEastAsia" w:eastAsiaTheme="minorEastAsia" w:cstheme="minorEastAsia"/>
          <w:spacing w:val="-13"/>
          <w:sz w:val="24"/>
          <w:szCs w:val="24"/>
          <w:u w:val="single"/>
          <w:lang w:eastAsia="zh-CN"/>
        </w:rPr>
        <w:t>2024</w:t>
      </w:r>
      <w:r>
        <w:rPr>
          <w:rFonts w:hint="eastAsia" w:asciiTheme="minorEastAsia" w:hAnsiTheme="minorEastAsia" w:eastAsiaTheme="minorEastAsia" w:cstheme="minorEastAsia"/>
          <w:spacing w:val="-13"/>
          <w:sz w:val="24"/>
          <w:szCs w:val="24"/>
          <w:lang w:eastAsia="zh-CN"/>
        </w:rPr>
        <w:t>年</w:t>
      </w:r>
      <w:r>
        <w:rPr>
          <w:rFonts w:hint="eastAsia" w:asciiTheme="minorEastAsia" w:hAnsiTheme="minorEastAsia" w:eastAsiaTheme="minorEastAsia" w:cstheme="minorEastAsia"/>
          <w:spacing w:val="-13"/>
          <w:sz w:val="24"/>
          <w:szCs w:val="24"/>
          <w:u w:val="single"/>
          <w:lang w:eastAsia="zh-CN"/>
        </w:rPr>
        <w:t>11</w:t>
      </w:r>
      <w:r>
        <w:rPr>
          <w:rFonts w:hint="eastAsia" w:asciiTheme="minorEastAsia" w:hAnsiTheme="minorEastAsia" w:eastAsiaTheme="minorEastAsia" w:cstheme="minorEastAsia"/>
          <w:spacing w:val="-13"/>
          <w:sz w:val="24"/>
          <w:szCs w:val="24"/>
          <w:lang w:eastAsia="zh-CN"/>
        </w:rPr>
        <w:t>月</w:t>
      </w:r>
      <w:r>
        <w:rPr>
          <w:rFonts w:hint="eastAsia" w:asciiTheme="minorEastAsia" w:hAnsiTheme="minorEastAsia" w:eastAsiaTheme="minorEastAsia" w:cstheme="minorEastAsia"/>
          <w:spacing w:val="-13"/>
          <w:sz w:val="24"/>
          <w:szCs w:val="24"/>
          <w:u w:val="single"/>
          <w:lang w:val="en-US" w:eastAsia="zh-CN"/>
        </w:rPr>
        <w:t>16</w:t>
      </w:r>
      <w:r>
        <w:rPr>
          <w:rFonts w:hint="eastAsia" w:asciiTheme="minorEastAsia" w:hAnsiTheme="minorEastAsia" w:eastAsiaTheme="minorEastAsia" w:cstheme="minorEastAsia"/>
          <w:spacing w:val="-13"/>
          <w:sz w:val="24"/>
          <w:szCs w:val="24"/>
          <w:lang w:eastAsia="zh-CN"/>
        </w:rPr>
        <w:t>日至</w:t>
      </w:r>
      <w:r>
        <w:rPr>
          <w:rFonts w:hint="eastAsia" w:asciiTheme="minorEastAsia" w:hAnsiTheme="minorEastAsia" w:eastAsiaTheme="minorEastAsia" w:cstheme="minorEastAsia"/>
          <w:spacing w:val="-13"/>
          <w:sz w:val="24"/>
          <w:szCs w:val="24"/>
          <w:u w:val="single"/>
          <w:lang w:eastAsia="zh-CN"/>
        </w:rPr>
        <w:t>2024</w:t>
      </w:r>
      <w:r>
        <w:rPr>
          <w:rFonts w:hint="eastAsia" w:asciiTheme="minorEastAsia" w:hAnsiTheme="minorEastAsia" w:eastAsiaTheme="minorEastAsia" w:cstheme="minorEastAsia"/>
          <w:spacing w:val="-13"/>
          <w:sz w:val="24"/>
          <w:szCs w:val="24"/>
          <w:lang w:eastAsia="zh-CN"/>
        </w:rPr>
        <w:t>年</w:t>
      </w:r>
      <w:r>
        <w:rPr>
          <w:rFonts w:hint="eastAsia" w:asciiTheme="minorEastAsia" w:hAnsiTheme="minorEastAsia" w:eastAsiaTheme="minorEastAsia" w:cstheme="minorEastAsia"/>
          <w:spacing w:val="-13"/>
          <w:sz w:val="24"/>
          <w:szCs w:val="24"/>
          <w:u w:val="single"/>
          <w:lang w:eastAsia="zh-CN"/>
        </w:rPr>
        <w:t>11</w:t>
      </w:r>
      <w:r>
        <w:rPr>
          <w:rFonts w:hint="eastAsia" w:asciiTheme="minorEastAsia" w:hAnsiTheme="minorEastAsia" w:eastAsiaTheme="minorEastAsia" w:cstheme="minorEastAsia"/>
          <w:spacing w:val="-13"/>
          <w:sz w:val="24"/>
          <w:szCs w:val="24"/>
          <w:lang w:eastAsia="zh-CN"/>
        </w:rPr>
        <w:t>月</w:t>
      </w:r>
      <w:r>
        <w:rPr>
          <w:rFonts w:hint="eastAsia" w:asciiTheme="minorEastAsia" w:hAnsiTheme="minorEastAsia" w:eastAsiaTheme="minorEastAsia" w:cstheme="minorEastAsia"/>
          <w:spacing w:val="-13"/>
          <w:sz w:val="24"/>
          <w:szCs w:val="24"/>
          <w:u w:val="single"/>
          <w:lang w:val="en-US" w:eastAsia="zh-CN"/>
        </w:rPr>
        <w:t>25</w:t>
      </w:r>
      <w:r>
        <w:rPr>
          <w:rFonts w:hint="eastAsia" w:asciiTheme="minorEastAsia" w:hAnsiTheme="minorEastAsia" w:eastAsiaTheme="minorEastAsia" w:cstheme="minorEastAsia"/>
          <w:spacing w:val="-13"/>
          <w:sz w:val="24"/>
          <w:szCs w:val="24"/>
          <w:lang w:eastAsia="zh-CN"/>
        </w:rPr>
        <w:t>日，</w:t>
      </w:r>
      <w:r>
        <w:rPr>
          <w:rFonts w:hint="eastAsia" w:asciiTheme="minorEastAsia" w:hAnsiTheme="minorEastAsia" w:eastAsiaTheme="minorEastAsia" w:cstheme="minorEastAsia"/>
          <w:spacing w:val="-14"/>
          <w:sz w:val="24"/>
          <w:szCs w:val="24"/>
          <w:lang w:eastAsia="zh-CN"/>
        </w:rPr>
        <w:t>每天上午</w:t>
      </w:r>
      <w:r>
        <w:rPr>
          <w:rFonts w:hint="eastAsia" w:asciiTheme="minorEastAsia" w:hAnsiTheme="minorEastAsia" w:eastAsiaTheme="minorEastAsia" w:cstheme="minorEastAsia"/>
          <w:spacing w:val="-13"/>
          <w:sz w:val="24"/>
          <w:szCs w:val="24"/>
          <w:u w:val="single"/>
          <w:lang w:val="en-US" w:eastAsia="zh-CN"/>
        </w:rPr>
        <w:t>00</w:t>
      </w:r>
      <w:r>
        <w:rPr>
          <w:rFonts w:hint="eastAsia" w:asciiTheme="minorEastAsia" w:hAnsiTheme="minorEastAsia" w:eastAsiaTheme="minorEastAsia" w:cstheme="minorEastAsia"/>
          <w:spacing w:val="-13"/>
          <w:sz w:val="24"/>
          <w:szCs w:val="24"/>
          <w:u w:val="single"/>
          <w:lang w:eastAsia="zh-CN"/>
        </w:rPr>
        <w:t>：00</w:t>
      </w:r>
      <w:r>
        <w:rPr>
          <w:rFonts w:hint="eastAsia" w:asciiTheme="minorEastAsia" w:hAnsiTheme="minorEastAsia" w:eastAsiaTheme="minorEastAsia" w:cstheme="minorEastAsia"/>
          <w:spacing w:val="-14"/>
          <w:sz w:val="24"/>
          <w:szCs w:val="24"/>
          <w:lang w:eastAsia="zh-CN"/>
        </w:rPr>
        <w:t>至</w:t>
      </w:r>
      <w:r>
        <w:rPr>
          <w:rFonts w:hint="eastAsia" w:asciiTheme="minorEastAsia" w:hAnsiTheme="minorEastAsia" w:eastAsiaTheme="minorEastAsia" w:cstheme="minorEastAsia"/>
          <w:spacing w:val="-13"/>
          <w:sz w:val="24"/>
          <w:szCs w:val="24"/>
          <w:u w:val="single"/>
          <w:lang w:eastAsia="zh-CN"/>
        </w:rPr>
        <w:t>12：00</w:t>
      </w:r>
      <w:r>
        <w:rPr>
          <w:rFonts w:hint="eastAsia" w:asciiTheme="minorEastAsia" w:hAnsiTheme="minorEastAsia" w:eastAsiaTheme="minorEastAsia" w:cstheme="minorEastAsia"/>
          <w:spacing w:val="-14"/>
          <w:sz w:val="24"/>
          <w:szCs w:val="24"/>
          <w:lang w:eastAsia="zh-CN"/>
        </w:rPr>
        <w:t>，下午</w:t>
      </w:r>
      <w:r>
        <w:rPr>
          <w:rFonts w:hint="eastAsia" w:asciiTheme="minorEastAsia" w:hAnsiTheme="minorEastAsia" w:eastAsiaTheme="minorEastAsia" w:cstheme="minorEastAsia"/>
          <w:spacing w:val="-13"/>
          <w:sz w:val="24"/>
          <w:szCs w:val="24"/>
          <w:u w:val="single"/>
          <w:lang w:eastAsia="zh-CN"/>
        </w:rPr>
        <w:t>12：00</w:t>
      </w:r>
      <w:r>
        <w:rPr>
          <w:rFonts w:hint="eastAsia" w:asciiTheme="minorEastAsia" w:hAnsiTheme="minorEastAsia" w:eastAsiaTheme="minorEastAsia" w:cstheme="minorEastAsia"/>
          <w:spacing w:val="-14"/>
          <w:sz w:val="24"/>
          <w:szCs w:val="24"/>
          <w:lang w:eastAsia="zh-CN"/>
        </w:rPr>
        <w:t>至</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23</w:t>
      </w:r>
      <w:r>
        <w:rPr>
          <w:rFonts w:hint="eastAsia" w:asciiTheme="minorEastAsia" w:hAnsiTheme="minorEastAsia" w:eastAsiaTheme="minorEastAsia" w:cstheme="minorEastAsia"/>
          <w:spacing w:val="-13"/>
          <w:sz w:val="24"/>
          <w:szCs w:val="24"/>
          <w:u w:val="single"/>
          <w:lang w:eastAsia="zh-CN"/>
        </w:rPr>
        <w:t>：</w:t>
      </w:r>
      <w:r>
        <w:rPr>
          <w:rFonts w:hint="eastAsia" w:asciiTheme="minorEastAsia" w:hAnsiTheme="minorEastAsia" w:eastAsiaTheme="minorEastAsia" w:cstheme="minorEastAsia"/>
          <w:spacing w:val="-13"/>
          <w:sz w:val="24"/>
          <w:szCs w:val="24"/>
          <w:u w:val="single"/>
          <w:lang w:val="en-US" w:eastAsia="zh-CN"/>
        </w:rPr>
        <w:t>59</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4"/>
          <w:sz w:val="24"/>
          <w:szCs w:val="24"/>
          <w:lang w:eastAsia="zh-CN"/>
        </w:rPr>
        <w:t>（北京时</w:t>
      </w:r>
      <w:r>
        <w:rPr>
          <w:rFonts w:hint="eastAsia" w:asciiTheme="minorEastAsia" w:hAnsiTheme="minorEastAsia" w:eastAsiaTheme="minorEastAsia" w:cstheme="minorEastAsia"/>
          <w:spacing w:val="-15"/>
          <w:sz w:val="24"/>
          <w:szCs w:val="24"/>
          <w:lang w:eastAsia="zh-CN"/>
        </w:rPr>
        <w:t>间，法定节假日除外）。</w:t>
      </w:r>
    </w:p>
    <w:p w14:paraId="20A723AB">
      <w:pPr>
        <w:pStyle w:val="6"/>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2.地点：南阳市公共资源交易中心网站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https://ggzyjy.nanyang.gov.cn</w:t>
      </w:r>
      <w:r>
        <w:rPr>
          <w:rFonts w:hint="eastAsia" w:asciiTheme="minorEastAsia" w:hAnsiTheme="minorEastAsia" w:eastAsiaTheme="minorEastAsia" w:cstheme="minorEastAsia"/>
          <w:sz w:val="24"/>
          <w:szCs w:val="24"/>
          <w:lang w:eastAsia="zh-CN"/>
        </w:rPr>
        <w:t>）</w:t>
      </w:r>
    </w:p>
    <w:p w14:paraId="0C1ACE97">
      <w:pPr>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4"/>
          <w:sz w:val="24"/>
          <w:szCs w:val="24"/>
          <w:lang w:eastAsia="zh-CN"/>
        </w:rPr>
        <w:t>使用普通电子交易系统，登录南阳市公共资源交易中心网（https://ggzyjy.nanyang.gov.cn），注册后凭办理的企业身份认证锁（CA数字证书）登录会员系统按网上提示下载招标文件(*.nyzf格式)及资料（操作程序详见南阳市公共资源交易中心网站下载专区）</w:t>
      </w:r>
      <w:r>
        <w:rPr>
          <w:rFonts w:hint="eastAsia" w:asciiTheme="minorEastAsia" w:hAnsiTheme="minorEastAsia" w:eastAsiaTheme="minorEastAsia" w:cstheme="minorEastAsia"/>
          <w:sz w:val="24"/>
          <w:szCs w:val="24"/>
          <w:lang w:eastAsia="zh-CN"/>
        </w:rPr>
        <w:t>，电子交易系统技术支持电话：400-998-0000，</w:t>
      </w:r>
      <w:r>
        <w:rPr>
          <w:rFonts w:hint="eastAsia" w:asciiTheme="minorEastAsia" w:hAnsiTheme="minorEastAsia" w:eastAsiaTheme="minorEastAsia" w:cstheme="minorEastAsia"/>
          <w:spacing w:val="-4"/>
          <w:sz w:val="24"/>
          <w:szCs w:val="24"/>
          <w:lang w:eastAsia="zh-CN"/>
        </w:rPr>
        <w:t>CA数字证书技术支持电话：15672779650。</w:t>
      </w:r>
    </w:p>
    <w:p w14:paraId="7B4F2461">
      <w:pPr>
        <w:pStyle w:val="6"/>
        <w:kinsoku/>
        <w:wordWrap w:val="0"/>
        <w:spacing w:line="360" w:lineRule="auto"/>
        <w:ind w:firstLine="42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4.售价：0元。</w:t>
      </w:r>
    </w:p>
    <w:p w14:paraId="02C335DC">
      <w:pPr>
        <w:kinsoku/>
        <w:wordWrap w:val="0"/>
        <w:spacing w:line="360" w:lineRule="auto"/>
        <w:ind w:firstLine="420" w:firstLineChars="200"/>
        <w:jc w:val="both"/>
        <w:rPr>
          <w:rFonts w:asciiTheme="minorEastAsia" w:hAnsiTheme="minorEastAsia" w:eastAsiaTheme="minorEastAsia" w:cstheme="minorEastAsia"/>
          <w:lang w:eastAsia="zh-CN"/>
        </w:rPr>
      </w:pPr>
    </w:p>
    <w:p w14:paraId="65917342">
      <w:pPr>
        <w:pStyle w:val="6"/>
        <w:kinsoku/>
        <w:wordWrap w:val="0"/>
        <w:spacing w:line="360" w:lineRule="auto"/>
        <w:jc w:val="both"/>
        <w:outlineLvl w:val="1"/>
        <w:rPr>
          <w:rFonts w:asciiTheme="minorEastAsia" w:hAnsiTheme="minorEastAsia" w:eastAsiaTheme="minorEastAsia" w:cstheme="minorEastAsia"/>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z w:val="24"/>
          <w:szCs w:val="24"/>
          <w:lang w:eastAsia="zh-CN"/>
          <w14:textOutline w14:w="1536" w14:cap="flat" w14:cmpd="sng" w14:algn="ctr">
            <w14:solidFill>
              <w14:srgbClr w14:val="000000"/>
            </w14:solidFill>
            <w14:prstDash w14:val="solid"/>
            <w14:miter w14:val="0"/>
          </w14:textOutline>
        </w:rPr>
        <w:t>五、投标文件的制作及上传</w:t>
      </w:r>
    </w:p>
    <w:p w14:paraId="50F119E1">
      <w:pPr>
        <w:shd w:val="clear" w:color="auto" w:fill="FFFFFF"/>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使用普通电子交易系统。投标人须上传加密电子投标文件，电子投标文件需要使用投标文件制作工具制作，制作工具及操作手册可在南阳市公共资源交易中心网站“下载专区”中下载。加密电子投标文件应在招标文件规定的投标截止时间前到达交易系统。逾期到达交易系统的电子投标文件视为放弃本次投标。</w:t>
      </w:r>
    </w:p>
    <w:p w14:paraId="188F7071">
      <w:pPr>
        <w:shd w:val="clear" w:color="auto" w:fill="FFFFFF"/>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因投标人准备不到位、网络问题等情况（30分钟内）无法及时解密，造成开标无法继续的，视为该投标人自动放弃投标，将被退回投标文件”。电子交易系统技术支持电话：400-998-0000。</w:t>
      </w:r>
    </w:p>
    <w:p w14:paraId="33197905">
      <w:pPr>
        <w:pStyle w:val="24"/>
        <w:rPr>
          <w:rFonts w:asciiTheme="minorEastAsia" w:hAnsiTheme="minorEastAsia" w:eastAsiaTheme="minorEastAsia" w:cstheme="minorEastAsia"/>
          <w14:textOutline w14:w="1536" w14:cap="flat" w14:cmpd="sng" w14:algn="ctr">
            <w14:solidFill>
              <w14:srgbClr w14:val="000000"/>
            </w14:solidFill>
            <w14:prstDash w14:val="solid"/>
            <w14:miter w14:val="0"/>
          </w14:textOutline>
        </w:rPr>
      </w:pPr>
    </w:p>
    <w:p w14:paraId="6A84FB78">
      <w:pPr>
        <w:pStyle w:val="6"/>
        <w:kinsoku/>
        <w:wordWrap w:val="0"/>
        <w:spacing w:line="360" w:lineRule="auto"/>
        <w:jc w:val="both"/>
        <w:outlineLvl w:val="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14:textOutline w14:w="1536" w14:cap="flat" w14:cmpd="sng" w14:algn="ctr">
            <w14:solidFill>
              <w14:srgbClr w14:val="000000"/>
            </w14:solidFill>
            <w14:prstDash w14:val="solid"/>
            <w14:miter w14:val="0"/>
          </w14:textOutline>
        </w:rPr>
        <w:t>六、提交投标文件截止时间、开标时间和地点</w:t>
      </w:r>
    </w:p>
    <w:p w14:paraId="70E03D2B">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投标截止时间、开标时间：</w:t>
      </w:r>
      <w:r>
        <w:rPr>
          <w:rFonts w:hint="eastAsia" w:asciiTheme="minorEastAsia" w:hAnsiTheme="minorEastAsia" w:eastAsiaTheme="minorEastAsia" w:cstheme="minorEastAsia"/>
          <w:spacing w:val="-14"/>
          <w:sz w:val="24"/>
          <w:szCs w:val="24"/>
          <w:u w:val="single"/>
          <w:lang w:eastAsia="zh-CN"/>
        </w:rPr>
        <w:t>2024</w:t>
      </w:r>
      <w:r>
        <w:rPr>
          <w:rFonts w:hint="eastAsia" w:asciiTheme="minorEastAsia" w:hAnsiTheme="minorEastAsia" w:eastAsiaTheme="minorEastAsia" w:cstheme="minorEastAsia"/>
          <w:spacing w:val="-4"/>
          <w:sz w:val="24"/>
          <w:szCs w:val="24"/>
          <w:lang w:eastAsia="zh-CN"/>
        </w:rPr>
        <w:t>年</w:t>
      </w:r>
      <w:r>
        <w:rPr>
          <w:rFonts w:hint="eastAsia" w:asciiTheme="minorEastAsia" w:hAnsiTheme="minorEastAsia" w:eastAsiaTheme="minorEastAsia" w:cstheme="minorEastAsia"/>
          <w:spacing w:val="-4"/>
          <w:sz w:val="24"/>
          <w:szCs w:val="24"/>
          <w:u w:val="single"/>
          <w:lang w:eastAsia="zh-CN"/>
        </w:rPr>
        <w:t xml:space="preserve"> 1</w:t>
      </w:r>
      <w:r>
        <w:rPr>
          <w:rFonts w:hint="eastAsia" w:asciiTheme="minorEastAsia" w:hAnsiTheme="minorEastAsia" w:eastAsiaTheme="minorEastAsia" w:cstheme="minorEastAsia"/>
          <w:spacing w:val="-4"/>
          <w:sz w:val="24"/>
          <w:szCs w:val="24"/>
          <w:u w:val="single"/>
          <w:lang w:val="en-US" w:eastAsia="zh-CN"/>
        </w:rPr>
        <w:t>2</w:t>
      </w:r>
      <w:r>
        <w:rPr>
          <w:rFonts w:hint="eastAsia" w:asciiTheme="minorEastAsia" w:hAnsiTheme="minorEastAsia" w:eastAsiaTheme="minorEastAsia" w:cstheme="minorEastAsia"/>
          <w:spacing w:val="-4"/>
          <w:sz w:val="24"/>
          <w:szCs w:val="24"/>
          <w:u w:val="single"/>
          <w:lang w:eastAsia="zh-CN"/>
        </w:rPr>
        <w:t xml:space="preserve"> </w:t>
      </w:r>
      <w:r>
        <w:rPr>
          <w:rFonts w:hint="eastAsia" w:asciiTheme="minorEastAsia" w:hAnsiTheme="minorEastAsia" w:eastAsiaTheme="minorEastAsia" w:cstheme="minorEastAsia"/>
          <w:spacing w:val="-4"/>
          <w:sz w:val="24"/>
          <w:szCs w:val="24"/>
          <w:lang w:eastAsia="zh-CN"/>
        </w:rPr>
        <w:t>月</w:t>
      </w:r>
      <w:r>
        <w:rPr>
          <w:rFonts w:hint="eastAsia" w:asciiTheme="minorEastAsia" w:hAnsiTheme="minorEastAsia" w:eastAsiaTheme="minorEastAsia" w:cstheme="minorEastAsia"/>
          <w:spacing w:val="-4"/>
          <w:sz w:val="24"/>
          <w:szCs w:val="24"/>
          <w:u w:val="single"/>
          <w:lang w:eastAsia="zh-CN"/>
        </w:rPr>
        <w:t xml:space="preserve"> </w:t>
      </w:r>
      <w:r>
        <w:rPr>
          <w:rFonts w:hint="eastAsia" w:asciiTheme="minorEastAsia" w:hAnsiTheme="minorEastAsia" w:eastAsiaTheme="minorEastAsia" w:cstheme="minorEastAsia"/>
          <w:spacing w:val="-4"/>
          <w:sz w:val="24"/>
          <w:szCs w:val="24"/>
          <w:u w:val="single"/>
          <w:lang w:val="en-US" w:eastAsia="zh-CN"/>
        </w:rPr>
        <w:t>3</w:t>
      </w:r>
      <w:r>
        <w:rPr>
          <w:rFonts w:hint="eastAsia" w:asciiTheme="minorEastAsia" w:hAnsiTheme="minorEastAsia" w:eastAsiaTheme="minorEastAsia" w:cstheme="minorEastAsia"/>
          <w:spacing w:val="-4"/>
          <w:sz w:val="24"/>
          <w:szCs w:val="24"/>
          <w:u w:val="single"/>
          <w:lang w:eastAsia="zh-CN"/>
        </w:rPr>
        <w:t xml:space="preserve"> </w:t>
      </w:r>
      <w:r>
        <w:rPr>
          <w:rFonts w:hint="eastAsia" w:asciiTheme="minorEastAsia" w:hAnsiTheme="minorEastAsia" w:eastAsiaTheme="minorEastAsia" w:cstheme="minorEastAsia"/>
          <w:spacing w:val="-4"/>
          <w:sz w:val="24"/>
          <w:szCs w:val="24"/>
          <w:lang w:eastAsia="zh-CN"/>
        </w:rPr>
        <w:t>日</w:t>
      </w:r>
      <w:r>
        <w:rPr>
          <w:rFonts w:hint="eastAsia" w:asciiTheme="minorEastAsia" w:hAnsiTheme="minorEastAsia" w:eastAsiaTheme="minorEastAsia" w:cstheme="minorEastAsia"/>
          <w:spacing w:val="-4"/>
          <w:sz w:val="24"/>
          <w:szCs w:val="24"/>
          <w:u w:val="single"/>
          <w:lang w:eastAsia="zh-CN"/>
        </w:rPr>
        <w:t xml:space="preserve"> 9 </w:t>
      </w:r>
      <w:r>
        <w:rPr>
          <w:rFonts w:hint="eastAsia" w:asciiTheme="minorEastAsia" w:hAnsiTheme="minorEastAsia" w:eastAsiaTheme="minorEastAsia" w:cstheme="minorEastAsia"/>
          <w:spacing w:val="-4"/>
          <w:sz w:val="24"/>
          <w:szCs w:val="24"/>
          <w:lang w:eastAsia="zh-CN"/>
        </w:rPr>
        <w:t>点</w:t>
      </w:r>
      <w:r>
        <w:rPr>
          <w:rFonts w:hint="eastAsia" w:asciiTheme="minorEastAsia" w:hAnsiTheme="minorEastAsia" w:eastAsiaTheme="minorEastAsia" w:cstheme="minorEastAsia"/>
          <w:spacing w:val="-4"/>
          <w:sz w:val="24"/>
          <w:szCs w:val="24"/>
          <w:u w:val="single"/>
          <w:lang w:eastAsia="zh-CN"/>
        </w:rPr>
        <w:t xml:space="preserve"> 00 </w:t>
      </w:r>
      <w:r>
        <w:rPr>
          <w:rFonts w:hint="eastAsia" w:asciiTheme="minorEastAsia" w:hAnsiTheme="minorEastAsia" w:eastAsiaTheme="minorEastAsia" w:cstheme="minorEastAsia"/>
          <w:spacing w:val="-4"/>
          <w:sz w:val="24"/>
          <w:szCs w:val="24"/>
          <w:lang w:eastAsia="zh-CN"/>
        </w:rPr>
        <w:t>分（北</w:t>
      </w:r>
      <w:r>
        <w:rPr>
          <w:rFonts w:hint="eastAsia" w:asciiTheme="minorEastAsia" w:hAnsiTheme="minorEastAsia" w:eastAsiaTheme="minorEastAsia" w:cstheme="minorEastAsia"/>
          <w:spacing w:val="-15"/>
          <w:sz w:val="24"/>
          <w:szCs w:val="24"/>
          <w:lang w:eastAsia="zh-CN"/>
        </w:rPr>
        <w:t>京时间）。</w:t>
      </w:r>
    </w:p>
    <w:p w14:paraId="3B7BAEBC">
      <w:pPr>
        <w:pStyle w:val="6"/>
        <w:kinsoku/>
        <w:wordWrap w:val="0"/>
        <w:spacing w:line="360" w:lineRule="auto"/>
        <w:jc w:val="both"/>
        <w:rPr>
          <w:rFonts w:asciiTheme="minorEastAsia" w:hAnsiTheme="minorEastAsia" w:eastAsiaTheme="minorEastAsia" w:cstheme="minorEastAsia"/>
          <w:spacing w:val="-17"/>
          <w:sz w:val="24"/>
          <w:szCs w:val="24"/>
          <w:lang w:eastAsia="zh-CN"/>
        </w:rPr>
      </w:pPr>
      <w:r>
        <w:rPr>
          <w:rFonts w:hint="eastAsia" w:asciiTheme="minorEastAsia" w:hAnsiTheme="minorEastAsia" w:eastAsiaTheme="minorEastAsia" w:cstheme="minorEastAsia"/>
          <w:spacing w:val="-17"/>
          <w:sz w:val="24"/>
          <w:szCs w:val="24"/>
          <w:lang w:eastAsia="zh-CN"/>
        </w:rPr>
        <w:t>开标方式：不见面开标</w:t>
      </w:r>
    </w:p>
    <w:p w14:paraId="708F5EEA">
      <w:pPr>
        <w:pStyle w:val="6"/>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地点：</w:t>
      </w:r>
      <w:r>
        <w:rPr>
          <w:rFonts w:hint="eastAsia"/>
          <w:color w:val="000000" w:themeColor="text1"/>
          <w:spacing w:val="-17"/>
          <w:sz w:val="24"/>
          <w:szCs w:val="24"/>
          <w:lang w:eastAsia="zh-CN"/>
          <w14:textFill>
            <w14:solidFill>
              <w14:schemeClr w14:val="tx1"/>
            </w14:solidFill>
          </w14:textFill>
        </w:rPr>
        <w:t>不见面开标大厅（</w:t>
      </w:r>
      <w:r>
        <w:rPr>
          <w:rFonts w:hint="eastAsia" w:ascii="微软雅黑" w:hAnsi="微软雅黑" w:eastAsia="微软雅黑" w:cs="微软雅黑"/>
          <w:color w:val="000000" w:themeColor="text1"/>
          <w:sz w:val="21"/>
          <w:szCs w:val="21"/>
          <w:u w:val="single"/>
          <w:lang w:eastAsia="zh-CN"/>
          <w14:textFill>
            <w14:solidFill>
              <w14:schemeClr w14:val="tx1"/>
            </w14:solidFill>
          </w14:textFill>
        </w:rPr>
        <w:t>https://ggzyjy.nanyang.gov.cn/BidOpening/bidopeninghallaction/hall/login</w:t>
      </w:r>
      <w:r>
        <w:rPr>
          <w:rFonts w:hint="eastAsia"/>
          <w:color w:val="000000" w:themeColor="text1"/>
          <w:sz w:val="24"/>
          <w:szCs w:val="24"/>
          <w:u w:val="single"/>
          <w:lang w:eastAsia="zh-CN"/>
          <w14:textFill>
            <w14:solidFill>
              <w14:schemeClr w14:val="tx1"/>
            </w14:solidFill>
          </w14:textFill>
        </w:rPr>
        <w:t>）</w:t>
      </w:r>
      <w:r>
        <w:rPr>
          <w:rFonts w:hint="eastAsia" w:asciiTheme="minorEastAsia" w:hAnsiTheme="minorEastAsia" w:eastAsiaTheme="minorEastAsia" w:cstheme="minorEastAsia"/>
          <w:spacing w:val="-17"/>
          <w:sz w:val="24"/>
          <w:szCs w:val="24"/>
          <w:u w:val="single"/>
        </w:rPr>
        <w:t>。</w:t>
      </w:r>
    </w:p>
    <w:p w14:paraId="797F3934">
      <w:pPr>
        <w:kinsoku/>
        <w:wordWrap w:val="0"/>
        <w:spacing w:line="360" w:lineRule="auto"/>
        <w:ind w:firstLine="420" w:firstLineChars="200"/>
        <w:jc w:val="both"/>
        <w:rPr>
          <w:rFonts w:asciiTheme="minorEastAsia" w:hAnsiTheme="minorEastAsia" w:eastAsiaTheme="minorEastAsia" w:cstheme="minorEastAsia"/>
        </w:rPr>
      </w:pPr>
    </w:p>
    <w:p w14:paraId="68C01293">
      <w:pPr>
        <w:pStyle w:val="6"/>
        <w:kinsoku/>
        <w:wordWrap w:val="0"/>
        <w:spacing w:line="360" w:lineRule="auto"/>
        <w:jc w:val="both"/>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6" w14:cap="flat" w14:cmpd="sng" w14:algn="ctr">
            <w14:solidFill>
              <w14:srgbClr w14:val="000000"/>
            </w14:solidFill>
            <w14:prstDash w14:val="solid"/>
            <w14:miter w14:val="0"/>
          </w14:textOutline>
        </w:rPr>
        <w:t>、公告期限</w:t>
      </w:r>
    </w:p>
    <w:p w14:paraId="08F77524">
      <w:pPr>
        <w:pStyle w:val="6"/>
        <w:kinsoku/>
        <w:wordWrap w:val="0"/>
        <w:spacing w:line="360" w:lineRule="auto"/>
        <w:jc w:val="both"/>
        <w:outlineLvl w:val="1"/>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u w:val="single"/>
          <w:lang w:eastAsia="zh-CN"/>
        </w:rPr>
        <w:t>2024</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eastAsia="zh-CN"/>
        </w:rPr>
        <w:t xml:space="preserve"> 11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1</w:t>
      </w:r>
      <w:r>
        <w:rPr>
          <w:rFonts w:hint="eastAsia" w:asciiTheme="minorEastAsia" w:hAnsiTheme="minorEastAsia" w:eastAsiaTheme="minorEastAsia" w:cstheme="minorEastAsia"/>
          <w:spacing w:val="-13"/>
          <w:sz w:val="24"/>
          <w:szCs w:val="24"/>
          <w:u w:val="single"/>
          <w:lang w:eastAsia="zh-CN"/>
        </w:rPr>
        <w:t xml:space="preserve">5 </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u w:val="single"/>
          <w:lang w:eastAsia="zh-CN"/>
        </w:rPr>
        <w:t>2024</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eastAsia="zh-CN"/>
        </w:rPr>
        <w:t xml:space="preserve"> 11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25</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3"/>
          <w:sz w:val="24"/>
          <w:szCs w:val="24"/>
          <w:lang w:eastAsia="zh-CN"/>
        </w:rPr>
        <w:t>。</w:t>
      </w:r>
    </w:p>
    <w:p w14:paraId="325A57D9">
      <w:pPr>
        <w:pStyle w:val="6"/>
        <w:kinsoku/>
        <w:wordWrap w:val="0"/>
        <w:spacing w:line="360" w:lineRule="auto"/>
        <w:jc w:val="both"/>
        <w:outlineLvl w:val="1"/>
        <w:rPr>
          <w:rFonts w:asciiTheme="minorEastAsia" w:hAnsiTheme="minorEastAsia" w:eastAsiaTheme="minorEastAsia" w:cstheme="minorEastAsia"/>
          <w:spacing w:val="-13"/>
          <w:sz w:val="24"/>
          <w:szCs w:val="24"/>
        </w:rPr>
      </w:pPr>
    </w:p>
    <w:p w14:paraId="51B1ACB9">
      <w:pPr>
        <w:pStyle w:val="6"/>
        <w:kinsoku/>
        <w:wordWrap w:val="0"/>
        <w:spacing w:line="360" w:lineRule="auto"/>
        <w:jc w:val="both"/>
        <w:outlineLvl w:val="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八、其他补充事宜</w:t>
      </w:r>
    </w:p>
    <w:p w14:paraId="53ECBCD0">
      <w:pPr>
        <w:pStyle w:val="6"/>
        <w:kinsoku/>
        <w:wordWrap w:val="0"/>
        <w:spacing w:line="360" w:lineRule="auto"/>
        <w:jc w:val="both"/>
        <w:rPr>
          <w:rFonts w:asciiTheme="minorEastAsia" w:hAnsiTheme="minorEastAsia" w:eastAsiaTheme="minorEastAsia" w:cstheme="minorEastAsia"/>
          <w:spacing w:val="-4"/>
          <w:position w:val="16"/>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9"/>
          <w:sz w:val="24"/>
          <w:szCs w:val="24"/>
          <w:lang w:eastAsia="zh-CN"/>
        </w:rPr>
        <w:t>本次招标公告在河南省政府采购网、南阳市公共资源交易中心网发布。</w:t>
      </w:r>
    </w:p>
    <w:p w14:paraId="7F799F7C">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position w:val="16"/>
          <w:sz w:val="24"/>
          <w:szCs w:val="24"/>
          <w:lang w:eastAsia="zh-CN"/>
          <w14:textOutline w14:w="1536" w14:cap="flat" w14:cmpd="sng" w14:algn="ctr">
            <w14:solidFill>
              <w14:srgbClr w14:val="000000"/>
            </w14:solidFill>
            <w14:prstDash w14:val="solid"/>
            <w14:miter w14:val="0"/>
          </w14:textOutline>
        </w:rPr>
        <w:t>九、对本次招标提出询问，请按以下方式联系。</w:t>
      </w:r>
    </w:p>
    <w:p w14:paraId="53F9EAE6">
      <w:pPr>
        <w:pStyle w:val="6"/>
        <w:kinsoku/>
        <w:wordWrap w:val="0"/>
        <w:spacing w:line="360" w:lineRule="auto"/>
        <w:jc w:val="both"/>
        <w:rPr>
          <w:rFonts w:asciiTheme="minorEastAsia" w:hAnsiTheme="minorEastAsia" w:eastAsiaTheme="minorEastAsia" w:cstheme="minorEastAsia"/>
          <w:spacing w:val="5"/>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lang w:eastAsia="zh-CN"/>
          <w14:textOutline w14:w="1536" w14:cap="flat" w14:cmpd="sng" w14:algn="ctr">
            <w14:solidFill>
              <w14:srgbClr w14:val="000000"/>
            </w14:solidFill>
            <w14:prstDash w14:val="solid"/>
            <w14:miter w14:val="0"/>
          </w14:textOutline>
        </w:rPr>
        <w:t>1.采购人信息</w:t>
      </w:r>
    </w:p>
    <w:p w14:paraId="23030546">
      <w:pPr>
        <w:pStyle w:val="6"/>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名称：南阳市财政局</w:t>
      </w:r>
    </w:p>
    <w:p w14:paraId="2DE289FE">
      <w:pPr>
        <w:pStyle w:val="6"/>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地址：南阳市张衡路396号</w:t>
      </w:r>
    </w:p>
    <w:p w14:paraId="45618949">
      <w:pPr>
        <w:pStyle w:val="6"/>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联系人：裴先生</w:t>
      </w:r>
    </w:p>
    <w:p w14:paraId="1A1ADFF4">
      <w:pPr>
        <w:pStyle w:val="6"/>
        <w:kinsoku/>
        <w:wordWrap w:val="0"/>
        <w:spacing w:line="360" w:lineRule="auto"/>
        <w:jc w:val="both"/>
        <w:rPr>
          <w:rFonts w:asciiTheme="minorEastAsia" w:hAnsiTheme="minorEastAsia" w:eastAsiaTheme="minorEastAsia" w:cstheme="minorEastAsia"/>
          <w:b/>
          <w:bCs/>
          <w:spacing w:val="4"/>
          <w:sz w:val="24"/>
          <w:szCs w:val="24"/>
          <w:lang w:eastAsia="zh-CN"/>
        </w:rPr>
      </w:pPr>
      <w:r>
        <w:rPr>
          <w:rFonts w:hint="eastAsia" w:asciiTheme="minorEastAsia" w:hAnsiTheme="minorEastAsia" w:eastAsiaTheme="minorEastAsia" w:cstheme="minorEastAsia"/>
          <w:spacing w:val="-15"/>
          <w:sz w:val="24"/>
          <w:szCs w:val="24"/>
          <w:lang w:eastAsia="zh-CN"/>
        </w:rPr>
        <w:t>联系方式：0377-62376004</w:t>
      </w:r>
    </w:p>
    <w:p w14:paraId="57179CB3">
      <w:pPr>
        <w:pStyle w:val="6"/>
        <w:kinsoku/>
        <w:wordWrap w:val="0"/>
        <w:spacing w:line="360" w:lineRule="auto"/>
        <w:jc w:val="both"/>
        <w:outlineLvl w:val="1"/>
        <w:rPr>
          <w:rFonts w:asciiTheme="minorEastAsia" w:hAnsiTheme="minorEastAsia" w:eastAsiaTheme="minorEastAsia" w:cstheme="minorEastAsia"/>
          <w:spacing w:val="4"/>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lang w:eastAsia="zh-CN"/>
          <w14:textOutline w14:w="1536" w14:cap="flat" w14:cmpd="sng" w14:algn="ctr">
            <w14:solidFill>
              <w14:srgbClr w14:val="000000"/>
            </w14:solidFill>
            <w14:prstDash w14:val="solid"/>
            <w14:miter w14:val="0"/>
          </w14:textOutline>
        </w:rPr>
        <w:t>2.采购代理机构信息</w:t>
      </w:r>
    </w:p>
    <w:p w14:paraId="3763BECB">
      <w:pPr>
        <w:pStyle w:val="6"/>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名称：南阳市公共资源交易中心</w:t>
      </w:r>
    </w:p>
    <w:p w14:paraId="4BD53640">
      <w:pPr>
        <w:pStyle w:val="6"/>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地址：南阳市范蠡东路与南都路交叉口市民服务中心中区3号楼5楼</w:t>
      </w:r>
    </w:p>
    <w:p w14:paraId="07143DE6">
      <w:pPr>
        <w:pStyle w:val="6"/>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联系人：陈女士</w:t>
      </w:r>
    </w:p>
    <w:p w14:paraId="07840948">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5"/>
          <w:sz w:val="24"/>
          <w:szCs w:val="24"/>
          <w:lang w:eastAsia="zh-CN"/>
        </w:rPr>
        <w:t>联系方式：0377-61176177</w:t>
      </w:r>
    </w:p>
    <w:p w14:paraId="026E9205">
      <w:pPr>
        <w:pStyle w:val="6"/>
        <w:kinsoku/>
        <w:wordWrap w:val="0"/>
        <w:spacing w:line="360" w:lineRule="auto"/>
        <w:jc w:val="both"/>
        <w:outlineLvl w:val="1"/>
        <w:rPr>
          <w:rFonts w:asciiTheme="minorEastAsia" w:hAnsiTheme="minorEastAsia" w:eastAsiaTheme="minorEastAsia" w:cstheme="minorEastAsia"/>
          <w:b/>
          <w:bCs/>
          <w:spacing w:val="5"/>
          <w:sz w:val="24"/>
          <w:szCs w:val="24"/>
          <w:lang w:eastAsia="zh-CN"/>
        </w:rPr>
      </w:pPr>
    </w:p>
    <w:p w14:paraId="690CD410">
      <w:pPr>
        <w:pStyle w:val="6"/>
        <w:kinsoku/>
        <w:wordWrap w:val="0"/>
        <w:spacing w:line="360" w:lineRule="auto"/>
        <w:jc w:val="both"/>
        <w:outlineLvl w:val="1"/>
        <w:rPr>
          <w:rFonts w:asciiTheme="minorEastAsia" w:hAnsiTheme="minorEastAsia" w:eastAsiaTheme="minorEastAsia" w:cstheme="minorEastAsia"/>
          <w:b/>
          <w:bCs/>
          <w:spacing w:val="5"/>
          <w:sz w:val="24"/>
          <w:szCs w:val="24"/>
          <w:u w:val="single"/>
          <w:lang w:eastAsia="zh-CN"/>
        </w:rPr>
      </w:pPr>
      <w:r>
        <w:rPr>
          <w:rFonts w:hint="eastAsia" w:asciiTheme="minorEastAsia" w:hAnsiTheme="minorEastAsia" w:eastAsiaTheme="minorEastAsia" w:cstheme="minorEastAsia"/>
          <w:spacing w:val="4"/>
          <w:sz w:val="24"/>
          <w:szCs w:val="24"/>
          <w:lang w:eastAsia="zh-CN"/>
          <w14:textOutline w14:w="1536" w14:cap="flat" w14:cmpd="sng" w14:algn="ctr">
            <w14:solidFill>
              <w14:srgbClr w14:val="000000"/>
            </w14:solidFill>
            <w14:prstDash w14:val="solid"/>
            <w14:miter w14:val="0"/>
          </w14:textOutline>
        </w:rPr>
        <w:t>3.网址：</w:t>
      </w:r>
      <w:r>
        <w:fldChar w:fldCharType="begin"/>
      </w:r>
      <w:r>
        <w:instrText xml:space="preserve"> HYPERLINK "https://ggzyjy.nanyang.gov.cn" </w:instrText>
      </w:r>
      <w:r>
        <w:fldChar w:fldCharType="separate"/>
      </w:r>
      <w:r>
        <w:rPr>
          <w:rStyle w:val="22"/>
          <w:rFonts w:hint="eastAsia" w:asciiTheme="minorEastAsia" w:hAnsiTheme="minorEastAsia" w:eastAsiaTheme="minorEastAsia" w:cstheme="minorEastAsia"/>
          <w:spacing w:val="-15"/>
          <w:sz w:val="24"/>
          <w:szCs w:val="24"/>
          <w:lang w:eastAsia="zh-CN"/>
        </w:rPr>
        <w:t>https://ggzyjy.nanyang.gov.cn</w:t>
      </w:r>
      <w:r>
        <w:rPr>
          <w:rStyle w:val="22"/>
          <w:rFonts w:hint="eastAsia" w:asciiTheme="minorEastAsia" w:hAnsiTheme="minorEastAsia" w:eastAsiaTheme="minorEastAsia" w:cstheme="minorEastAsia"/>
          <w:spacing w:val="-15"/>
          <w:sz w:val="24"/>
          <w:szCs w:val="24"/>
          <w:lang w:eastAsia="zh-CN"/>
        </w:rPr>
        <w:fldChar w:fldCharType="end"/>
      </w:r>
      <w:r>
        <w:rPr>
          <w:rFonts w:hint="eastAsia" w:asciiTheme="minorEastAsia" w:hAnsiTheme="minorEastAsia" w:eastAsiaTheme="minorEastAsia" w:cstheme="minorEastAsia"/>
          <w:spacing w:val="-15"/>
          <w:sz w:val="24"/>
          <w:szCs w:val="24"/>
          <w:lang w:eastAsia="zh-CN"/>
        </w:rPr>
        <w:t xml:space="preserve">   E-mail::nyszfcgzx@126.com</w:t>
      </w:r>
    </w:p>
    <w:p w14:paraId="421EDE25">
      <w:pPr>
        <w:pStyle w:val="6"/>
        <w:kinsoku/>
        <w:wordWrap w:val="0"/>
        <w:spacing w:before="352" w:line="690" w:lineRule="exact"/>
        <w:jc w:val="both"/>
        <w:rPr>
          <w:rFonts w:ascii="仿宋_GB2312" w:eastAsia="仿宋_GB2312"/>
          <w:color w:val="0000FF"/>
          <w:sz w:val="28"/>
          <w:szCs w:val="28"/>
          <w:lang w:eastAsia="zh-CN"/>
        </w:rPr>
      </w:pPr>
    </w:p>
    <w:p w14:paraId="48AAFBBE">
      <w:pPr>
        <w:pStyle w:val="6"/>
        <w:kinsoku/>
        <w:wordWrap w:val="0"/>
        <w:spacing w:line="360" w:lineRule="auto"/>
        <w:ind w:firstLine="3990" w:firstLineChars="1900"/>
        <w:jc w:val="both"/>
        <w:outlineLvl w:val="1"/>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南阳市公共资源交易中心</w:t>
      </w:r>
    </w:p>
    <w:p w14:paraId="39D2E13F">
      <w:pPr>
        <w:pStyle w:val="6"/>
        <w:kinsoku/>
        <w:wordWrap w:val="0"/>
        <w:spacing w:line="360" w:lineRule="auto"/>
        <w:ind w:firstLine="3852" w:firstLineChars="1800"/>
        <w:jc w:val="both"/>
        <w:outlineLvl w:val="1"/>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3"/>
          <w:sz w:val="24"/>
          <w:szCs w:val="24"/>
          <w:lang w:eastAsia="zh-CN"/>
        </w:rPr>
        <w:t>日期：</w:t>
      </w:r>
      <w:r>
        <w:rPr>
          <w:rFonts w:hint="eastAsia" w:asciiTheme="minorEastAsia" w:hAnsiTheme="minorEastAsia" w:eastAsiaTheme="minorEastAsia" w:cstheme="minorEastAsia"/>
          <w:spacing w:val="-13"/>
          <w:sz w:val="24"/>
          <w:szCs w:val="24"/>
          <w:u w:val="single"/>
          <w:lang w:eastAsia="zh-CN"/>
        </w:rPr>
        <w:t>2024</w:t>
      </w:r>
      <w:r>
        <w:rPr>
          <w:rFonts w:hint="eastAsia" w:asciiTheme="minorEastAsia" w:hAnsiTheme="minorEastAsia" w:eastAsiaTheme="minorEastAsia" w:cstheme="minorEastAsia"/>
          <w:spacing w:val="-13"/>
          <w:sz w:val="24"/>
          <w:szCs w:val="24"/>
          <w:lang w:eastAsia="zh-CN"/>
        </w:rPr>
        <w:t>年</w:t>
      </w:r>
      <w:r>
        <w:rPr>
          <w:rFonts w:hint="eastAsia" w:asciiTheme="minorEastAsia" w:hAnsiTheme="minorEastAsia" w:eastAsiaTheme="minorEastAsia" w:cstheme="minorEastAsia"/>
          <w:spacing w:val="-13"/>
          <w:sz w:val="24"/>
          <w:szCs w:val="24"/>
          <w:u w:val="single"/>
          <w:lang w:eastAsia="zh-CN"/>
        </w:rPr>
        <w:t xml:space="preserve"> 11 </w:t>
      </w:r>
      <w:r>
        <w:rPr>
          <w:rFonts w:hint="eastAsia" w:asciiTheme="minorEastAsia" w:hAnsiTheme="minorEastAsia" w:eastAsiaTheme="minorEastAsia" w:cstheme="minorEastAsia"/>
          <w:spacing w:val="-13"/>
          <w:sz w:val="24"/>
          <w:szCs w:val="24"/>
          <w:lang w:eastAsia="zh-CN"/>
        </w:rPr>
        <w:t>月</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15</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lang w:eastAsia="zh-CN"/>
        </w:rPr>
        <w:t>日</w:t>
      </w:r>
    </w:p>
    <w:p w14:paraId="43BE2B00">
      <w:pPr>
        <w:pStyle w:val="6"/>
        <w:kinsoku/>
        <w:wordWrap w:val="0"/>
        <w:spacing w:line="360" w:lineRule="auto"/>
        <w:jc w:val="center"/>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11EA4EE1">
      <w:pPr>
        <w:pStyle w:val="6"/>
        <w:kinsoku/>
        <w:wordWrap w:val="0"/>
        <w:spacing w:line="360" w:lineRule="auto"/>
        <w:jc w:val="center"/>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19B498B5">
      <w:pPr>
        <w:pStyle w:val="6"/>
        <w:kinsoku/>
        <w:wordWrap w:val="0"/>
        <w:spacing w:line="360" w:lineRule="auto"/>
        <w:jc w:val="center"/>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4D2B0AB0">
      <w:pPr>
        <w:pStyle w:val="6"/>
        <w:kinsoku/>
        <w:wordWrap w:val="0"/>
        <w:spacing w:line="360" w:lineRule="auto"/>
        <w:jc w:val="center"/>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424F085A">
      <w:pPr>
        <w:pStyle w:val="6"/>
        <w:kinsoku/>
        <w:wordWrap w:val="0"/>
        <w:spacing w:before="353" w:line="360" w:lineRule="auto"/>
        <w:jc w:val="center"/>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第二章 采购需求</w:t>
      </w:r>
    </w:p>
    <w:p w14:paraId="64019357">
      <w:pPr>
        <w:kinsoku/>
        <w:wordWrap w:val="0"/>
        <w:spacing w:line="360" w:lineRule="auto"/>
        <w:ind w:firstLine="420" w:firstLineChars="200"/>
        <w:jc w:val="both"/>
        <w:rPr>
          <w:rFonts w:asciiTheme="minorEastAsia" w:hAnsiTheme="minorEastAsia" w:eastAsiaTheme="minorEastAsia" w:cstheme="minorEastAsia"/>
          <w:lang w:eastAsia="zh-CN"/>
        </w:rPr>
      </w:pPr>
    </w:p>
    <w:p w14:paraId="659B6EC7">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一、采购内容及要求</w:t>
      </w:r>
    </w:p>
    <w:p w14:paraId="3139AA24">
      <w:pPr>
        <w:pStyle w:val="6"/>
        <w:kinsoku/>
        <w:wordWrap w:val="0"/>
        <w:spacing w:line="360" w:lineRule="auto"/>
        <w:ind w:firstLine="478"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b/>
          <w:bCs/>
          <w:spacing w:val="-1"/>
          <w:sz w:val="24"/>
          <w:szCs w:val="24"/>
          <w:lang w:eastAsia="zh-CN"/>
        </w:rPr>
        <w:t>（一）项目背景</w:t>
      </w:r>
    </w:p>
    <w:p w14:paraId="418863F7">
      <w:pPr>
        <w:pStyle w:val="6"/>
        <w:kinsoku/>
        <w:wordWrap w:val="0"/>
        <w:spacing w:line="360" w:lineRule="auto"/>
        <w:ind w:firstLine="476" w:firstLineChars="200"/>
        <w:jc w:val="both"/>
        <w:rPr>
          <w:lang w:eastAsia="zh-CN"/>
        </w:rPr>
      </w:pPr>
      <w:r>
        <w:rPr>
          <w:rFonts w:asciiTheme="minorEastAsia" w:hAnsiTheme="minorEastAsia" w:eastAsiaTheme="minorEastAsia" w:cstheme="minorEastAsia"/>
          <w:spacing w:val="-1"/>
          <w:sz w:val="24"/>
          <w:szCs w:val="24"/>
          <w:lang w:eastAsia="zh-CN"/>
        </w:rPr>
        <w:t>根据《河南省财政厅关于转发财政部&lt;党政机关会议定点管理办法的通知&gt;的通知》（豫财行[2015]10号）、《河南省党政机关会议定点管理实施细则》（宛财行[2015]18号转印发）和《河南省财政厅关于开展2025-2026年党政机关会议定点场所政府采购工作的通知》等文件精神，南阳市财政局委托南阳市</w:t>
      </w:r>
      <w:r>
        <w:rPr>
          <w:rFonts w:hint="eastAsia" w:asciiTheme="minorEastAsia" w:hAnsiTheme="minorEastAsia" w:eastAsiaTheme="minorEastAsia" w:cstheme="minorEastAsia"/>
          <w:spacing w:val="-1"/>
          <w:sz w:val="24"/>
          <w:szCs w:val="24"/>
          <w:lang w:eastAsia="zh-CN"/>
        </w:rPr>
        <w:t>公共资源交易中心</w:t>
      </w:r>
      <w:r>
        <w:rPr>
          <w:rFonts w:asciiTheme="minorEastAsia" w:hAnsiTheme="minorEastAsia" w:eastAsiaTheme="minorEastAsia" w:cstheme="minorEastAsia"/>
          <w:spacing w:val="-1"/>
          <w:sz w:val="24"/>
          <w:szCs w:val="24"/>
          <w:lang w:eastAsia="zh-CN"/>
        </w:rPr>
        <w:t>对南阳市2025-2026年度党政机关会议实行服务定点进行公开招标。</w:t>
      </w:r>
    </w:p>
    <w:p w14:paraId="6C59297D">
      <w:pPr>
        <w:pStyle w:val="6"/>
        <w:kinsoku/>
        <w:wordWrap w:val="0"/>
        <w:spacing w:line="360" w:lineRule="auto"/>
        <w:ind w:firstLine="478" w:firstLineChars="200"/>
        <w:jc w:val="both"/>
        <w:rPr>
          <w:rFonts w:asciiTheme="minorEastAsia" w:hAnsiTheme="minorEastAsia" w:eastAsiaTheme="minorEastAsia" w:cstheme="minorEastAsia"/>
          <w:b/>
          <w:bCs/>
          <w:spacing w:val="-1"/>
          <w:sz w:val="24"/>
          <w:szCs w:val="24"/>
          <w:lang w:eastAsia="zh-CN"/>
        </w:rPr>
      </w:pPr>
      <w:r>
        <w:rPr>
          <w:rFonts w:hint="eastAsia" w:asciiTheme="minorEastAsia" w:hAnsiTheme="minorEastAsia" w:eastAsiaTheme="minorEastAsia" w:cstheme="minorEastAsia"/>
          <w:b/>
          <w:bCs/>
          <w:spacing w:val="-1"/>
          <w:sz w:val="24"/>
          <w:szCs w:val="24"/>
          <w:lang w:eastAsia="zh-CN"/>
        </w:rPr>
        <w:t>（二）服务内容及要求</w:t>
      </w:r>
    </w:p>
    <w:p w14:paraId="6218435F">
      <w:pPr>
        <w:pStyle w:val="6"/>
        <w:kinsoku/>
        <w:wordWrap w:val="0"/>
        <w:spacing w:line="360" w:lineRule="auto"/>
        <w:ind w:firstLine="476" w:firstLineChars="200"/>
        <w:jc w:val="both"/>
        <w:rPr>
          <w:rFonts w:asciiTheme="minorEastAsia" w:hAnsiTheme="minorEastAsia" w:eastAsiaTheme="minorEastAsia" w:cstheme="minorEastAsia"/>
          <w:spacing w:val="-25"/>
          <w:sz w:val="24"/>
          <w:szCs w:val="24"/>
          <w:lang w:eastAsia="zh-CN"/>
        </w:rPr>
      </w:pPr>
      <w:r>
        <w:rPr>
          <w:rFonts w:hint="eastAsia" w:asciiTheme="minorEastAsia" w:hAnsiTheme="minorEastAsia" w:eastAsiaTheme="minorEastAsia" w:cstheme="minorEastAsia"/>
          <w:spacing w:val="-1"/>
          <w:sz w:val="24"/>
          <w:szCs w:val="24"/>
          <w:lang w:eastAsia="zh-CN"/>
        </w:rPr>
        <w:t>1、</w:t>
      </w:r>
      <w:r>
        <w:rPr>
          <w:rFonts w:hint="eastAsia" w:asciiTheme="minorEastAsia" w:hAnsiTheme="minorEastAsia" w:eastAsiaTheme="minorEastAsia" w:cstheme="minorEastAsia"/>
          <w:spacing w:val="-25"/>
          <w:sz w:val="24"/>
          <w:szCs w:val="24"/>
          <w:lang w:eastAsia="zh-CN"/>
        </w:rPr>
        <w:t>本着“数量适当、布局合理、档次适中、价格优惠、公开公平、上下结合”的原则，确定一批位置适中、卫生整洁、价格合理、服务良好的宾馆、饭店作为党政机关举办会议实行服务的定点单位。</w:t>
      </w:r>
    </w:p>
    <w:p w14:paraId="4FF6148E">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2、定点场所应保证党政机关获得优先服务的权利，积极主动搞好配合服务，并在不超过承诺范围内完成会议服务工作。</w:t>
      </w:r>
    </w:p>
    <w:p w14:paraId="7A8CF3D9">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3、投标人将根据招标文件要求以及自己单位的具体情况做出明确的、详细的服务承诺和条款。</w:t>
      </w:r>
    </w:p>
    <w:p w14:paraId="0832F106">
      <w:pPr>
        <w:pStyle w:val="6"/>
        <w:kinsoku/>
        <w:wordWrap w:val="0"/>
        <w:spacing w:line="360" w:lineRule="auto"/>
        <w:ind w:firstLine="476" w:firstLineChars="200"/>
        <w:jc w:val="both"/>
        <w:rPr>
          <w:lang w:eastAsia="zh-CN"/>
        </w:rPr>
      </w:pPr>
      <w:r>
        <w:rPr>
          <w:rFonts w:hint="eastAsia" w:asciiTheme="minorEastAsia" w:hAnsiTheme="minorEastAsia" w:eastAsiaTheme="minorEastAsia" w:cstheme="minorEastAsia"/>
          <w:spacing w:val="-1"/>
          <w:sz w:val="24"/>
          <w:szCs w:val="24"/>
          <w:lang w:eastAsia="zh-CN"/>
        </w:rPr>
        <w:t>4、定点场所应设有固定联系电话及专职联系人，专职联系人须负责会议期间所有服务项目（包括会议场所、客房及用餐等所有事务），随时响应党政机关的服务要求。</w:t>
      </w:r>
    </w:p>
    <w:p w14:paraId="3194D08C">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5、根据《南阳市人民政府办公室关于印发南阳市市级会议费管理办法（试行）的通知》（宛政办【2014】65号），经研究确定本次招标价格上限。本次招标对住宿费、伙食费、会议室费用的报价设最高限价。</w:t>
      </w:r>
    </w:p>
    <w:p w14:paraId="0BB43466">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会议定点饭店食宿费最高限价分别为：</w:t>
      </w:r>
    </w:p>
    <w:p w14:paraId="1BEDF1C5">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 xml:space="preserve">四星级及以上：标准间330元/天；伙食费100元/人、天。 </w:t>
      </w:r>
    </w:p>
    <w:p w14:paraId="077BF36F">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三星级：标准间260元/天；伙食费90元/人、天。</w:t>
      </w:r>
    </w:p>
    <w:p w14:paraId="2AC9421D">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二星级及以下：标准间120元/天；伙食费90元/人、天。</w:t>
      </w:r>
    </w:p>
    <w:p w14:paraId="009E6930">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会议定点饭店会议室价格最高限价分别为：</w:t>
      </w:r>
    </w:p>
    <w:p w14:paraId="010E78A0">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容纳350人以上（含350人）的会议室，每半天5000元；</w:t>
      </w:r>
    </w:p>
    <w:p w14:paraId="3C03B3DF">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容纳200—349人（含200人）的会议室，每半天3000元；</w:t>
      </w:r>
    </w:p>
    <w:p w14:paraId="7013DA27">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容纳100—199人（含100人）的会议室，每半天2000元；</w:t>
      </w:r>
    </w:p>
    <w:p w14:paraId="63D625A8">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容纳50—99人（含50人）的会议室，每半天1000元；</w:t>
      </w:r>
    </w:p>
    <w:p w14:paraId="13261C88">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容纳50人以下的会议室，每半天800元。</w:t>
      </w:r>
    </w:p>
    <w:p w14:paraId="240B94C0">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对会议室实际使用不足1小时按半价收费。</w:t>
      </w:r>
    </w:p>
    <w:p w14:paraId="09BB7A95">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各投标人可在上述限价范围内自主报价。其中，会议室自主报价不得超过其门市价的60%。</w:t>
      </w:r>
    </w:p>
    <w:p w14:paraId="7197184C">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对上一轮次已纳入会议定点的场所：</w:t>
      </w:r>
    </w:p>
    <w:p w14:paraId="42DDD0B7">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本次会议室和客房的报价，要同时满足最高限价和不得高于上轮中标价两个条件</w:t>
      </w:r>
      <w:r>
        <w:rPr>
          <w:rFonts w:hint="eastAsia" w:asciiTheme="minorEastAsia" w:hAnsiTheme="minorEastAsia" w:eastAsiaTheme="minorEastAsia" w:cstheme="minorEastAsia"/>
          <w:b/>
          <w:bCs/>
          <w:color w:val="auto"/>
          <w:spacing w:val="-1"/>
          <w:sz w:val="24"/>
          <w:szCs w:val="24"/>
          <w:lang w:eastAsia="zh-CN"/>
        </w:rPr>
        <w:t>（需</w:t>
      </w:r>
      <w:r>
        <w:rPr>
          <w:rFonts w:asciiTheme="minorEastAsia" w:hAnsiTheme="minorEastAsia" w:eastAsiaTheme="minorEastAsia" w:cstheme="minorEastAsia"/>
          <w:b/>
          <w:bCs/>
          <w:color w:val="auto"/>
          <w:spacing w:val="-1"/>
          <w:sz w:val="24"/>
          <w:szCs w:val="24"/>
          <w:lang w:eastAsia="zh-CN"/>
        </w:rPr>
        <w:t>提供</w:t>
      </w:r>
      <w:r>
        <w:rPr>
          <w:rFonts w:hint="eastAsia" w:asciiTheme="minorEastAsia" w:hAnsiTheme="minorEastAsia" w:eastAsiaTheme="minorEastAsia" w:cstheme="minorEastAsia"/>
          <w:b/>
          <w:bCs/>
          <w:color w:val="auto"/>
          <w:spacing w:val="-1"/>
          <w:sz w:val="24"/>
          <w:szCs w:val="24"/>
          <w:lang w:eastAsia="zh-CN"/>
        </w:rPr>
        <w:t>不高于上轮次报价承诺书并加盖公章）</w:t>
      </w:r>
      <w:r>
        <w:rPr>
          <w:rFonts w:hint="eastAsia" w:asciiTheme="minorEastAsia" w:hAnsiTheme="minorEastAsia" w:eastAsiaTheme="minorEastAsia" w:cstheme="minorEastAsia"/>
          <w:spacing w:val="-1"/>
          <w:sz w:val="24"/>
          <w:szCs w:val="24"/>
          <w:lang w:eastAsia="zh-CN"/>
        </w:rPr>
        <w:t>；对星级晋升的，以新晋星级为准，但报价提高幅度不得超</w:t>
      </w:r>
      <w:r>
        <w:rPr>
          <w:rFonts w:asciiTheme="minorEastAsia" w:hAnsiTheme="minorEastAsia" w:eastAsiaTheme="minorEastAsia" w:cstheme="minorEastAsia"/>
          <w:spacing w:val="-1"/>
          <w:sz w:val="24"/>
          <w:szCs w:val="24"/>
          <w:lang w:eastAsia="zh-CN"/>
        </w:rPr>
        <w:t>过</w:t>
      </w:r>
      <w:r>
        <w:rPr>
          <w:rFonts w:hint="eastAsia" w:asciiTheme="minorEastAsia" w:hAnsiTheme="minorEastAsia" w:eastAsiaTheme="minorEastAsia" w:cstheme="minorEastAsia"/>
          <w:spacing w:val="-1"/>
          <w:sz w:val="24"/>
          <w:szCs w:val="24"/>
          <w:lang w:eastAsia="zh-CN"/>
        </w:rPr>
        <w:t>上轮报价的20%</w:t>
      </w:r>
      <w:r>
        <w:rPr>
          <w:rFonts w:hint="eastAsia" w:asciiTheme="minorEastAsia" w:hAnsiTheme="minorEastAsia" w:eastAsiaTheme="minorEastAsia" w:cstheme="minorEastAsia"/>
          <w:b/>
          <w:bCs/>
          <w:color w:val="auto"/>
          <w:spacing w:val="-1"/>
          <w:sz w:val="24"/>
          <w:szCs w:val="24"/>
          <w:lang w:eastAsia="zh-CN"/>
        </w:rPr>
        <w:t>（除</w:t>
      </w:r>
      <w:r>
        <w:rPr>
          <w:rFonts w:asciiTheme="minorEastAsia" w:hAnsiTheme="minorEastAsia" w:eastAsiaTheme="minorEastAsia" w:cstheme="minorEastAsia"/>
          <w:b/>
          <w:bCs/>
          <w:color w:val="auto"/>
          <w:spacing w:val="-1"/>
          <w:sz w:val="24"/>
          <w:szCs w:val="24"/>
          <w:lang w:eastAsia="zh-CN"/>
        </w:rPr>
        <w:t>按</w:t>
      </w:r>
      <w:r>
        <w:rPr>
          <w:rFonts w:hint="eastAsia" w:asciiTheme="minorEastAsia" w:hAnsiTheme="minorEastAsia" w:eastAsiaTheme="minorEastAsia" w:cstheme="minorEastAsia"/>
          <w:b/>
          <w:bCs/>
          <w:color w:val="auto"/>
          <w:spacing w:val="-1"/>
          <w:sz w:val="24"/>
          <w:szCs w:val="24"/>
          <w:lang w:eastAsia="zh-CN"/>
        </w:rPr>
        <w:t>资格要求提供新晋</w:t>
      </w:r>
      <w:r>
        <w:rPr>
          <w:rFonts w:asciiTheme="minorEastAsia" w:hAnsiTheme="minorEastAsia" w:eastAsiaTheme="minorEastAsia" w:cstheme="minorEastAsia"/>
          <w:b/>
          <w:bCs/>
          <w:color w:val="auto"/>
          <w:spacing w:val="-1"/>
          <w:sz w:val="24"/>
          <w:szCs w:val="24"/>
          <w:lang w:eastAsia="zh-CN"/>
        </w:rPr>
        <w:t>星级证</w:t>
      </w:r>
      <w:r>
        <w:rPr>
          <w:rFonts w:hint="eastAsia" w:asciiTheme="minorEastAsia" w:hAnsiTheme="minorEastAsia" w:eastAsiaTheme="minorEastAsia" w:cstheme="minorEastAsia"/>
          <w:b/>
          <w:bCs/>
          <w:color w:val="auto"/>
          <w:spacing w:val="-1"/>
          <w:sz w:val="24"/>
          <w:szCs w:val="24"/>
          <w:lang w:eastAsia="zh-CN"/>
        </w:rPr>
        <w:t>书或</w:t>
      </w:r>
      <w:r>
        <w:rPr>
          <w:rFonts w:asciiTheme="minorEastAsia" w:hAnsiTheme="minorEastAsia" w:eastAsiaTheme="minorEastAsia" w:cstheme="minorEastAsia"/>
          <w:b/>
          <w:bCs/>
          <w:color w:val="auto"/>
          <w:spacing w:val="-1"/>
          <w:sz w:val="24"/>
          <w:szCs w:val="24"/>
          <w:lang w:eastAsia="zh-CN"/>
        </w:rPr>
        <w:t>证明外，还</w:t>
      </w:r>
      <w:r>
        <w:rPr>
          <w:rFonts w:hint="eastAsia" w:asciiTheme="minorEastAsia" w:hAnsiTheme="minorEastAsia" w:eastAsiaTheme="minorEastAsia" w:cstheme="minorEastAsia"/>
          <w:b/>
          <w:bCs/>
          <w:color w:val="auto"/>
          <w:spacing w:val="-1"/>
          <w:sz w:val="24"/>
          <w:szCs w:val="24"/>
          <w:lang w:eastAsia="zh-CN"/>
        </w:rPr>
        <w:t>需</w:t>
      </w:r>
      <w:r>
        <w:rPr>
          <w:rFonts w:asciiTheme="minorEastAsia" w:hAnsiTheme="minorEastAsia" w:eastAsiaTheme="minorEastAsia" w:cstheme="minorEastAsia"/>
          <w:b/>
          <w:bCs/>
          <w:color w:val="auto"/>
          <w:spacing w:val="-1"/>
          <w:sz w:val="24"/>
          <w:szCs w:val="24"/>
          <w:lang w:eastAsia="zh-CN"/>
        </w:rPr>
        <w:t>提供</w:t>
      </w:r>
      <w:r>
        <w:rPr>
          <w:rFonts w:hint="eastAsia" w:asciiTheme="minorEastAsia" w:hAnsiTheme="minorEastAsia" w:eastAsiaTheme="minorEastAsia" w:cstheme="minorEastAsia"/>
          <w:b/>
          <w:bCs/>
          <w:color w:val="auto"/>
          <w:spacing w:val="-1"/>
          <w:sz w:val="24"/>
          <w:szCs w:val="24"/>
          <w:lang w:eastAsia="zh-CN"/>
        </w:rPr>
        <w:t>情况说明并加盖公章）；</w:t>
      </w:r>
      <w:r>
        <w:rPr>
          <w:rFonts w:hint="eastAsia" w:asciiTheme="minorEastAsia" w:hAnsiTheme="minorEastAsia" w:eastAsiaTheme="minorEastAsia" w:cstheme="minorEastAsia"/>
          <w:b w:val="0"/>
          <w:bCs w:val="0"/>
          <w:color w:val="auto"/>
          <w:spacing w:val="-1"/>
          <w:sz w:val="24"/>
          <w:szCs w:val="24"/>
          <w:lang w:eastAsia="zh-CN"/>
        </w:rPr>
        <w:t>对星级未晋升但部分房型因装修升级需提高报价的，报价提高幅度不得超过上轮报价的20%</w:t>
      </w:r>
      <w:r>
        <w:rPr>
          <w:rFonts w:hint="eastAsia" w:asciiTheme="minorEastAsia" w:hAnsiTheme="minorEastAsia" w:eastAsiaTheme="minorEastAsia" w:cstheme="minorEastAsia"/>
          <w:b/>
          <w:bCs/>
          <w:color w:val="auto"/>
          <w:spacing w:val="-1"/>
          <w:sz w:val="24"/>
          <w:szCs w:val="24"/>
          <w:lang w:eastAsia="zh-CN"/>
        </w:rPr>
        <w:t>(除提供装修合同</w:t>
      </w:r>
      <w:r>
        <w:rPr>
          <w:rFonts w:hint="eastAsia" w:asciiTheme="minorEastAsia" w:hAnsiTheme="minorEastAsia" w:eastAsiaTheme="minorEastAsia" w:cstheme="minorEastAsia"/>
          <w:b/>
          <w:bCs/>
          <w:color w:val="auto"/>
          <w:spacing w:val="-1"/>
          <w:sz w:val="24"/>
          <w:szCs w:val="24"/>
          <w:lang w:val="en-US" w:eastAsia="zh-CN"/>
        </w:rPr>
        <w:t>扫描件</w:t>
      </w:r>
      <w:r>
        <w:rPr>
          <w:rFonts w:hint="eastAsia" w:asciiTheme="minorEastAsia" w:hAnsiTheme="minorEastAsia" w:eastAsiaTheme="minorEastAsia" w:cstheme="minorEastAsia"/>
          <w:b/>
          <w:bCs/>
          <w:color w:val="auto"/>
          <w:spacing w:val="-1"/>
          <w:sz w:val="24"/>
          <w:szCs w:val="24"/>
          <w:lang w:eastAsia="zh-CN"/>
        </w:rPr>
        <w:t>外，还需提供情况说明并加盖公章)</w:t>
      </w:r>
      <w:r>
        <w:rPr>
          <w:rFonts w:hint="eastAsia" w:asciiTheme="minorEastAsia" w:hAnsiTheme="minorEastAsia" w:eastAsiaTheme="minorEastAsia" w:cstheme="minorEastAsia"/>
          <w:spacing w:val="-1"/>
          <w:sz w:val="24"/>
          <w:szCs w:val="24"/>
          <w:lang w:eastAsia="zh-CN"/>
        </w:rPr>
        <w:t>。</w:t>
      </w:r>
    </w:p>
    <w:p w14:paraId="6E34302C">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6、服务的基本原则</w:t>
      </w:r>
    </w:p>
    <w:p w14:paraId="1623B094">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（1）对客人一视同仁；</w:t>
      </w:r>
    </w:p>
    <w:p w14:paraId="33F81168">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（2）对客人礼貌、热情、友好；</w:t>
      </w:r>
    </w:p>
    <w:p w14:paraId="48F87663">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（3）对客人诚实、公平交易；</w:t>
      </w:r>
    </w:p>
    <w:p w14:paraId="6A617017">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（4）尊重民族习俗、不损害民族尊严；</w:t>
      </w:r>
    </w:p>
    <w:p w14:paraId="79F87C01">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（5）遵守国家法律、法规，保护客人合法权益。</w:t>
      </w:r>
    </w:p>
    <w:p w14:paraId="61A7AF7D">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7、服务的基本要求</w:t>
      </w:r>
    </w:p>
    <w:p w14:paraId="53E34FED">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（1）仪容仪表要求：服务人员的仪容仪表端庄、大方、整洁。服务人员应佩戴工牌，符合上岗要求；服务人员应表情自然、和蔼、亲切，提倡微笑服务；</w:t>
      </w:r>
    </w:p>
    <w:p w14:paraId="53ADD3AC">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（2）举止姿态要求：举止文明、姿态端正、主动服务、符合岗位规范；</w:t>
      </w:r>
    </w:p>
    <w:p w14:paraId="15C83C51">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（3）语言要求：语言要文明、礼貌、简明、清晰、提倡讲普通话；</w:t>
      </w:r>
    </w:p>
    <w:p w14:paraId="5E6F9005">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（4）对客人提出的问题无法解决时，应予以耐心解释，不推诿和应付；</w:t>
      </w:r>
    </w:p>
    <w:p w14:paraId="692EAAF8">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 xml:space="preserve">（5）服务业务能力与技能要求：服务人员应具备相应的业务知识和技能，并能熟练运用； </w:t>
      </w:r>
    </w:p>
    <w:p w14:paraId="0920B666">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（6）服务质量保证体系：具备适应本接待单位运行的、有效的整套管理制度和作业标准，有检查、督导及处理措施。</w:t>
      </w:r>
    </w:p>
    <w:p w14:paraId="40AC62A2">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8、餐饮服务和质量要求</w:t>
      </w:r>
    </w:p>
    <w:p w14:paraId="643AD656">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（1）确保饮食的原材料质量，其材料要求新鲜、卫生、不腐烂、不变质；</w:t>
      </w:r>
    </w:p>
    <w:p w14:paraId="1BEF691D">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（2）菜的品种齐全；</w:t>
      </w:r>
    </w:p>
    <w:p w14:paraId="2BC57F7A">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（3）菜应具备多种风味。</w:t>
      </w:r>
    </w:p>
    <w:p w14:paraId="537FA2E8">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9、其他要求</w:t>
      </w:r>
    </w:p>
    <w:p w14:paraId="6A11CE9B">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（1）应有全国性、区域性、有重要或有影响会议的接待经验；</w:t>
      </w:r>
    </w:p>
    <w:p w14:paraId="0BB7622B">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（2）具有针对各种紧急情况和突发事件的应对措施和协调处理能力；</w:t>
      </w:r>
    </w:p>
    <w:p w14:paraId="60FC483A">
      <w:pPr>
        <w:ind w:firstLine="476" w:firstLineChars="200"/>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（3）安全保卫应有健全的组织，符合公安等有关部门规定。</w:t>
      </w:r>
    </w:p>
    <w:p w14:paraId="283470F8">
      <w:pPr>
        <w:pStyle w:val="17"/>
        <w:ind w:firstLine="560"/>
      </w:pPr>
    </w:p>
    <w:p w14:paraId="4C7707B5">
      <w:pPr>
        <w:pStyle w:val="6"/>
        <w:kinsoku/>
        <w:wordWrap w:val="0"/>
        <w:spacing w:line="360" w:lineRule="auto"/>
        <w:ind w:firstLine="478" w:firstLineChars="200"/>
        <w:jc w:val="both"/>
        <w:rPr>
          <w:rFonts w:asciiTheme="minorEastAsia" w:hAnsiTheme="minorEastAsia" w:eastAsiaTheme="minorEastAsia" w:cstheme="minorEastAsia"/>
          <w:b/>
          <w:bCs/>
          <w:spacing w:val="-1"/>
          <w:sz w:val="24"/>
          <w:szCs w:val="24"/>
          <w:lang w:eastAsia="zh-CN"/>
        </w:rPr>
      </w:pPr>
      <w:r>
        <w:rPr>
          <w:rFonts w:hint="eastAsia" w:asciiTheme="minorEastAsia" w:hAnsiTheme="minorEastAsia" w:eastAsiaTheme="minorEastAsia" w:cstheme="minorEastAsia"/>
          <w:b/>
          <w:bCs/>
          <w:spacing w:val="-1"/>
          <w:sz w:val="24"/>
          <w:szCs w:val="24"/>
          <w:lang w:eastAsia="zh-CN"/>
        </w:rPr>
        <w:t>（三）基本设施要求及标准</w:t>
      </w:r>
    </w:p>
    <w:p w14:paraId="1C75DF24">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1、会议定点场所应当具备住宿、就餐、举办会议、停车场等基本条件和综合服务能力，其中会议室总数不低于二个。</w:t>
      </w:r>
    </w:p>
    <w:p w14:paraId="4D11144C">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2、饭店交通便利、布局合理，方便差旅、会议接待使用。</w:t>
      </w:r>
    </w:p>
    <w:p w14:paraId="06B6AD0B">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3、有空调设施，各区域通风良好。</w:t>
      </w:r>
    </w:p>
    <w:p w14:paraId="6AC1F768">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4、设施设备养护良好，达到整洁、卫生和有效。</w:t>
      </w:r>
    </w:p>
    <w:p w14:paraId="1835C061">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5、饭店的建筑、会议设施、住宿、餐饮、停车场等服务场所和运行管理应符合安全、消防、卫生、环境保护等现行的国家有关法规和标准。</w:t>
      </w:r>
    </w:p>
    <w:p w14:paraId="7499538B">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6、前厅</w:t>
      </w:r>
    </w:p>
    <w:p w14:paraId="07CFD027">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（1）有与接待能力相适应的前厅。有与饭店规模相适应的总服务台；</w:t>
      </w:r>
    </w:p>
    <w:p w14:paraId="495B7348">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（2）总服务台应有中英文标志，24小时有工作人员提供接待、问询、结账和留言服务；</w:t>
      </w:r>
    </w:p>
    <w:p w14:paraId="54536320">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（3）提供一次性总账单结账服务(商品除外)；</w:t>
      </w:r>
    </w:p>
    <w:p w14:paraId="0533ECB2">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 xml:space="preserve">（4）总服务台提供饭店服务项目宣传品，饭店价目表，本市交通图，主要交通工具时刻表、与住店客人相适应的报刊； </w:t>
      </w:r>
    </w:p>
    <w:p w14:paraId="569847E0">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（5）接受客房预订、餐饮预订；</w:t>
      </w:r>
    </w:p>
    <w:p w14:paraId="785278BC">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（6）有可替客人保管贵重物品保险箱；</w:t>
      </w:r>
    </w:p>
    <w:p w14:paraId="30BF3B3B">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（7）设有专用行李车，为客人提供行李服务。有小件行李存放服务；</w:t>
      </w:r>
    </w:p>
    <w:p w14:paraId="2D784972">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（8）设值班经理，24小时接待客人；</w:t>
      </w:r>
    </w:p>
    <w:p w14:paraId="630A564F">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（9）设客人休息场所。</w:t>
      </w:r>
    </w:p>
    <w:p w14:paraId="4658DFD8">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7、客房</w:t>
      </w:r>
    </w:p>
    <w:p w14:paraId="78C6996D">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装修良好、美观，有软垫床、梳妆台或写字台、衣橱及衣架、座椅或简易沙发、床头柜、床头灯等配套家具。室内满铺地毯、木地板或其他较高档材料。有空调、彩电、闭路电视系统，有至少两种规格的电源插座；</w:t>
      </w:r>
    </w:p>
    <w:p w14:paraId="6B7B757E">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（2）有门窥镜、防盗装置和安全通道，在显著位置张贴应急疏散图及相关说明；</w:t>
      </w:r>
    </w:p>
    <w:p w14:paraId="40F50B61">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（3）有卫生间，装有抽水马桶、梳妆台(配备面盆、梳妆镜)、浴缸或淋浴，配有浴帘或单独淋浴间。采取有效的防滑措施。有良好的照明，有良好的排风系统或排风器、电源插座。24小时供应冷、热水；</w:t>
      </w:r>
    </w:p>
    <w:p w14:paraId="06E269A0">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（4）有可直接拨通或通过总机拨通的国内和国际长途的电话。电话机旁备有使用说明；</w:t>
      </w:r>
    </w:p>
    <w:p w14:paraId="34425F95">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（5）房间具备有效的防噪音及隔音措施；</w:t>
      </w:r>
    </w:p>
    <w:p w14:paraId="4937AF24">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（6）有与饭店相适应的文具用品。有饭店服务指南、价目表、住宿规章等；</w:t>
      </w:r>
    </w:p>
    <w:p w14:paraId="613282DC">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（7）客房、卫生间每天全面整理1次，按客人需求更换床单、被单及枕套，客用品和消耗品补充齐全；</w:t>
      </w:r>
    </w:p>
    <w:p w14:paraId="12407FCB">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（8）床上用棉织品(床单、枕芯、枕套、棉被及被单等)及卫生间棉织品(浴衣、浴巾、毛巾等)材质良好、柔软舒适；</w:t>
      </w:r>
    </w:p>
    <w:p w14:paraId="59E0C2DA">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（9）24小时提供冷热饮用水及免费提供茶叶；</w:t>
      </w:r>
    </w:p>
    <w:p w14:paraId="4047A27D">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（10）客人在房间会客，可应要求免费提供桌椅和茶水服务；</w:t>
      </w:r>
    </w:p>
    <w:p w14:paraId="2435651D">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（11）提供开夜床、叫醒、留言、洗衣、送餐等服务。</w:t>
      </w:r>
    </w:p>
    <w:p w14:paraId="2F4844E4">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8、餐厅及酒吧</w:t>
      </w:r>
    </w:p>
    <w:p w14:paraId="4010FAA4">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（1）有餐厅，提供早餐和中、晚工作餐服务；</w:t>
      </w:r>
    </w:p>
    <w:p w14:paraId="038F43BF">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（2）总餐位数与客房接待能力相适应；</w:t>
      </w:r>
    </w:p>
    <w:p w14:paraId="45CCDF24">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（3）有中餐厅。晚餐结束客人点菜时间不早于21时；</w:t>
      </w:r>
    </w:p>
    <w:p w14:paraId="594F4639">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（4）能提供工作餐、自助餐及清真服务；</w:t>
      </w:r>
    </w:p>
    <w:p w14:paraId="07A3965C">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（5）餐具无破损，卫生、光洁。</w:t>
      </w:r>
    </w:p>
    <w:p w14:paraId="5260460C">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9、厨房</w:t>
      </w:r>
    </w:p>
    <w:p w14:paraId="3B6D0379">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（1）位置合理，墙面满铺瓷砖，用防滑材料满铺地面，有吊顶；</w:t>
      </w:r>
    </w:p>
    <w:p w14:paraId="1112B231">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（2）全部使用不锈钢工作台及优质的厨柜、厨具、用具，有洗刷、消毒等设备；</w:t>
      </w:r>
    </w:p>
    <w:p w14:paraId="3A2C467B">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（3）有足够的冷气设备。冷菜间、面点间应独立分隔，冷菜间温度符合食品卫生标准，内有空气消毒设施；</w:t>
      </w:r>
    </w:p>
    <w:p w14:paraId="326A10E4">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（4）粗加工间与其他操作间隔离，各操作间温度适宜；</w:t>
      </w:r>
    </w:p>
    <w:p w14:paraId="53114DBC">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（5）有必要的冷藏、冷冻设施；</w:t>
      </w:r>
    </w:p>
    <w:p w14:paraId="3A1C48D4">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（6）有专门放置临时垃圾的设施并保持其封闭；</w:t>
      </w:r>
    </w:p>
    <w:p w14:paraId="13DF042C">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（7）厨房与餐厅之间，有起隔音、隔热和隔气味作用的进出分开的弹簧门；</w:t>
      </w:r>
    </w:p>
    <w:p w14:paraId="259BB27C">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（8）采取有效的消杀蚊蝇、蟑螂等虫害措施。</w:t>
      </w:r>
    </w:p>
    <w:p w14:paraId="2D5F2987">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10、会议康乐设施：有会议康乐设施设备，并提供相应服务。</w:t>
      </w:r>
    </w:p>
    <w:p w14:paraId="557ED67E">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11、公共区域</w:t>
      </w:r>
    </w:p>
    <w:p w14:paraId="1DD08483">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（1）有与饭店规模相适应的停车场；</w:t>
      </w:r>
    </w:p>
    <w:p w14:paraId="05B44A97">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（2）住宿、会议接待免收任何形式的停车费；</w:t>
      </w:r>
    </w:p>
    <w:p w14:paraId="4715C374">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（3）住宿、会议接待期间，参会车辆的安全责任由饭店负责；</w:t>
      </w:r>
    </w:p>
    <w:p w14:paraId="4D4F2252">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（4）有与饭店规模相适应的客用电梯；</w:t>
      </w:r>
    </w:p>
    <w:p w14:paraId="19AE0E7D">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（5）有公用电话，并配备市内电话簿；</w:t>
      </w:r>
    </w:p>
    <w:p w14:paraId="000BD0B5">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（6）有男女分设公共卫生间；</w:t>
      </w:r>
    </w:p>
    <w:p w14:paraId="2BE37A5E">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（7）走廊地面满铺地毯或其他较高档材料，墙面整洁、有装修，24小时光线充足，无障碍物；</w:t>
      </w:r>
    </w:p>
    <w:p w14:paraId="367D494F">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（8）紧急出口标识清楚，位置合理。</w:t>
      </w:r>
    </w:p>
    <w:p w14:paraId="7A658AF5">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12、其他服务</w:t>
      </w:r>
    </w:p>
    <w:p w14:paraId="181BA0B8">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（1）代售邮票、代发信件，提供传真、复印等服务；</w:t>
      </w:r>
    </w:p>
    <w:p w14:paraId="3F1599E7">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（2）有应急供电专用线和应急照明灯；</w:t>
      </w:r>
    </w:p>
    <w:p w14:paraId="025EAEBE">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（3）有方便客人投诉的措施。</w:t>
      </w:r>
    </w:p>
    <w:p w14:paraId="019A66B0">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13、会议设施</w:t>
      </w:r>
    </w:p>
    <w:p w14:paraId="02CD6D0F">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（1）会议室须配备满足会议使用的音响设备和冷暖空调设备，有供租用的多媒体演示设备（电脑、实物投影仪、多媒体投影仪）；</w:t>
      </w:r>
    </w:p>
    <w:p w14:paraId="531B4CE0">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（2）有较宽敞的楼层厅堂和客人休息场所；</w:t>
      </w:r>
    </w:p>
    <w:p w14:paraId="49BC8298">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（3）能够根据会议需要设计、布置会议室；</w:t>
      </w:r>
    </w:p>
    <w:p w14:paraId="4A1085A2">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（4）会议室设专职服务员，能提供做会标、摆花、代购会议用品等服务；</w:t>
      </w:r>
    </w:p>
    <w:p w14:paraId="3F97DF2E">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 xml:space="preserve">（5）能够提供纸、笔等基本的会议用文具； </w:t>
      </w:r>
    </w:p>
    <w:p w14:paraId="27D5DB6B">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（6）能够提供会议明细账单。</w:t>
      </w:r>
      <w:bookmarkStart w:id="0" w:name="_Toc208392699"/>
      <w:bookmarkStart w:id="1" w:name="_Toc229904316"/>
    </w:p>
    <w:bookmarkEnd w:id="0"/>
    <w:bookmarkEnd w:id="1"/>
    <w:p w14:paraId="29B17D04">
      <w:pPr>
        <w:pStyle w:val="6"/>
        <w:kinsoku/>
        <w:wordWrap w:val="0"/>
        <w:spacing w:line="360" w:lineRule="auto"/>
        <w:jc w:val="both"/>
        <w:outlineLvl w:val="2"/>
        <w:rPr>
          <w:rFonts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pPr>
    </w:p>
    <w:p w14:paraId="5E3C0E95">
      <w:pPr>
        <w:pStyle w:val="6"/>
        <w:kinsoku/>
        <w:wordWrap w:val="0"/>
        <w:spacing w:line="360" w:lineRule="auto"/>
        <w:jc w:val="both"/>
        <w:outlineLvl w:val="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二、项目商务要求</w:t>
      </w:r>
    </w:p>
    <w:p w14:paraId="44E0235D">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1、定点场所确定后，党政机关在南阳市城区举办会议时，在此范围内选择。</w:t>
      </w:r>
    </w:p>
    <w:p w14:paraId="14BDF3E4">
      <w:pPr>
        <w:pStyle w:val="6"/>
        <w:kinsoku/>
        <w:wordWrap w:val="0"/>
        <w:spacing w:line="360" w:lineRule="auto"/>
        <w:ind w:firstLine="476" w:firstLineChars="200"/>
        <w:jc w:val="both"/>
        <w:rPr>
          <w:rFonts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2、会议定点服务期限：二年。</w:t>
      </w:r>
    </w:p>
    <w:p w14:paraId="13027A90">
      <w:pPr>
        <w:pStyle w:val="6"/>
        <w:kinsoku/>
        <w:wordWrap w:val="0"/>
        <w:spacing w:line="360" w:lineRule="auto"/>
        <w:ind w:firstLine="476" w:firstLineChars="200"/>
        <w:jc w:val="both"/>
        <w:rPr>
          <w:rFonts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3、定点服务协议：由南阳市财政局与中标供应商签订。</w:t>
      </w:r>
    </w:p>
    <w:p w14:paraId="494CB70D">
      <w:pPr>
        <w:pStyle w:val="6"/>
        <w:kinsoku/>
        <w:wordWrap w:val="0"/>
        <w:spacing w:line="360" w:lineRule="auto"/>
        <w:ind w:firstLine="472" w:firstLineChars="200"/>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4.付款方式（应符合南阳市财政局关于印发《关于压缩各环节时间进一步优化政府采购营商环境的通知》（宛财购〔2022〕5号）的要求）</w:t>
      </w:r>
    </w:p>
    <w:p w14:paraId="19DC6CAF">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5、定点场所对承接的会议定点服务业务，单独建立台账或账户核算。</w:t>
      </w:r>
    </w:p>
    <w:p w14:paraId="04ABEE37">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6、在定点服务有效期内，定点服务中标供应商必须接受南阳市财政局的管理与监督：</w:t>
      </w:r>
    </w:p>
    <w:p w14:paraId="1278B93C">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（1）遵守服务承诺条件，履行定点服务单位义务。</w:t>
      </w:r>
    </w:p>
    <w:p w14:paraId="75EFC5D9">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（2）采购人有权监督定点服务供应商在有效期内所提供的服务的质量、优惠率、服务承诺等情况，若出现违约情况，由采购人按合同约定的方式处理。</w:t>
      </w:r>
    </w:p>
    <w:p w14:paraId="4824C637">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（3）业务建档制度：定点供应商应建立单独的政府采购业务档案资料（包括业务清单、发票复印件、收费明细、会议月报表等）以备检查。</w:t>
      </w:r>
    </w:p>
    <w:p w14:paraId="6872ED80">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信息报告制度：定点供应商有义务在规定的网站上同步公布饭店空房数量、类型及价格等有关信息。在办理会议费用结账手续时，定点供应商有义务通过网络同步向南阳市财政局如实提供有关信息。会议情况主要包括：会议名称、举办单位、参会人员数量、会议时间、收费标准及金额等。若不报告或经常迟报，其定点服务资格将被取消，并没收其履约保证金。</w:t>
      </w:r>
    </w:p>
    <w:p w14:paraId="38F16B26">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5）对定点服务过程中出现的违规问题，采购人和被服务单位，均有权利向南阳市财政局及南阳市政府采购监督管理办公室反映和投诉。对有效的投诉，按相关规定处理。定点供应商应当接受监督检查，对市财政局及市政府采购监督管理部门提出的意见及时进行整改。</w:t>
      </w:r>
    </w:p>
    <w:p w14:paraId="604B87AA">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（6）会议定点场所如因餐饮质量、客房会议室标准以及服务质量被投诉，一经查证属实，对违规供应商处罚措施有以下几种：</w:t>
      </w:r>
    </w:p>
    <w:p w14:paraId="015615F3">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微软雅黑" w:hAnsi="微软雅黑" w:eastAsia="微软雅黑" w:cs="微软雅黑"/>
          <w:spacing w:val="-1"/>
          <w:sz w:val="24"/>
          <w:szCs w:val="24"/>
          <w:lang w:eastAsia="zh-CN"/>
        </w:rPr>
        <w:t>①</w:t>
      </w:r>
      <w:r>
        <w:rPr>
          <w:rFonts w:hint="eastAsia" w:asciiTheme="minorEastAsia" w:hAnsiTheme="minorEastAsia" w:eastAsiaTheme="minorEastAsia" w:cstheme="minorEastAsia"/>
          <w:spacing w:val="-1"/>
          <w:sz w:val="24"/>
          <w:szCs w:val="24"/>
          <w:lang w:eastAsia="zh-CN"/>
        </w:rPr>
        <w:t>取消定点服务供应商资格，有违法所得，没收违法所得，情节严重的由工商行政管理机关吊销营业执照；</w:t>
      </w:r>
    </w:p>
    <w:p w14:paraId="10913CBD">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微软雅黑" w:hAnsi="微软雅黑" w:eastAsia="微软雅黑" w:cs="微软雅黑"/>
          <w:spacing w:val="-1"/>
          <w:sz w:val="24"/>
          <w:szCs w:val="24"/>
          <w:lang w:eastAsia="zh-CN"/>
        </w:rPr>
        <w:t>②</w:t>
      </w:r>
      <w:r>
        <w:rPr>
          <w:rFonts w:hint="eastAsia" w:asciiTheme="minorEastAsia" w:hAnsiTheme="minorEastAsia" w:eastAsiaTheme="minorEastAsia" w:cstheme="minorEastAsia"/>
          <w:spacing w:val="-1"/>
          <w:sz w:val="24"/>
          <w:szCs w:val="24"/>
          <w:lang w:eastAsia="zh-CN"/>
        </w:rPr>
        <w:t>列入不良记录名单，1-3年内不准参加出差及会议定点政府采购招标活动；</w:t>
      </w:r>
    </w:p>
    <w:p w14:paraId="4C74F1F4">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微软雅黑" w:hAnsi="微软雅黑" w:eastAsia="微软雅黑" w:cs="微软雅黑"/>
          <w:spacing w:val="-1"/>
          <w:sz w:val="24"/>
          <w:szCs w:val="24"/>
          <w:lang w:eastAsia="zh-CN"/>
        </w:rPr>
        <w:t>③</w:t>
      </w:r>
      <w:r>
        <w:rPr>
          <w:rFonts w:hint="eastAsia" w:asciiTheme="minorEastAsia" w:hAnsiTheme="minorEastAsia" w:eastAsiaTheme="minorEastAsia" w:cstheme="minorEastAsia"/>
          <w:spacing w:val="-1"/>
          <w:sz w:val="24"/>
          <w:szCs w:val="24"/>
          <w:lang w:eastAsia="zh-CN"/>
        </w:rPr>
        <w:t>在政府采购指定媒体上公告处罚决定。</w:t>
      </w:r>
    </w:p>
    <w:p w14:paraId="401050D0">
      <w:pPr>
        <w:pStyle w:val="6"/>
        <w:kinsoku/>
        <w:wordWrap w:val="0"/>
        <w:spacing w:line="360" w:lineRule="auto"/>
        <w:ind w:firstLine="476" w:firstLineChars="200"/>
        <w:jc w:val="both"/>
        <w:rPr>
          <w:rFonts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spacing w:val="-1"/>
          <w:sz w:val="24"/>
          <w:szCs w:val="24"/>
          <w:lang w:eastAsia="zh-CN"/>
        </w:rPr>
        <w:t>（7）会议定点场所有以下行为之一的，经调查属实，第一次予以书面警告，第二次取消会议定点场所资格，情节严重的不得参加下一轮次的会议定点场</w:t>
      </w:r>
      <w:r>
        <w:rPr>
          <w:rFonts w:hint="eastAsia" w:asciiTheme="minorEastAsia" w:hAnsiTheme="minorEastAsia" w:eastAsiaTheme="minorEastAsia" w:cstheme="minorEastAsia"/>
          <w:color w:val="auto"/>
          <w:spacing w:val="-1"/>
          <w:sz w:val="24"/>
          <w:szCs w:val="24"/>
          <w:lang w:eastAsia="zh-CN"/>
        </w:rPr>
        <w:t>所政府采购：</w:t>
      </w:r>
    </w:p>
    <w:p w14:paraId="78DAF4BD">
      <w:pPr>
        <w:pStyle w:val="6"/>
        <w:kinsoku/>
        <w:wordWrap w:val="0"/>
        <w:spacing w:line="360" w:lineRule="auto"/>
        <w:ind w:firstLine="476" w:firstLineChars="200"/>
        <w:jc w:val="both"/>
        <w:rPr>
          <w:rFonts w:asciiTheme="minorEastAsia" w:hAnsiTheme="minorEastAsia" w:eastAsiaTheme="minorEastAsia" w:cstheme="minorEastAsia"/>
          <w:color w:val="auto"/>
          <w:spacing w:val="-1"/>
          <w:sz w:val="24"/>
          <w:szCs w:val="24"/>
          <w:lang w:eastAsia="zh-CN"/>
        </w:rPr>
      </w:pPr>
      <w:r>
        <w:rPr>
          <w:rFonts w:hint="eastAsia" w:ascii="微软雅黑" w:hAnsi="微软雅黑" w:eastAsia="微软雅黑" w:cs="微软雅黑"/>
          <w:color w:val="auto"/>
          <w:spacing w:val="-1"/>
          <w:sz w:val="24"/>
          <w:szCs w:val="24"/>
          <w:lang w:eastAsia="zh-CN"/>
        </w:rPr>
        <w:t>①</w:t>
      </w:r>
      <w:r>
        <w:rPr>
          <w:rFonts w:hint="eastAsia" w:asciiTheme="minorEastAsia" w:hAnsiTheme="minorEastAsia" w:eastAsiaTheme="minorEastAsia" w:cstheme="minorEastAsia"/>
          <w:color w:val="auto"/>
          <w:spacing w:val="-1"/>
          <w:sz w:val="24"/>
          <w:szCs w:val="24"/>
          <w:lang w:eastAsia="zh-CN"/>
        </w:rPr>
        <w:t>无正当理由拒绝接待党政机关会议的；</w:t>
      </w:r>
    </w:p>
    <w:p w14:paraId="4C8A58B4">
      <w:pPr>
        <w:pStyle w:val="6"/>
        <w:kinsoku/>
        <w:wordWrap w:val="0"/>
        <w:spacing w:line="360" w:lineRule="auto"/>
        <w:ind w:firstLine="476" w:firstLineChars="200"/>
        <w:jc w:val="both"/>
        <w:rPr>
          <w:rFonts w:asciiTheme="minorEastAsia" w:hAnsiTheme="minorEastAsia" w:eastAsiaTheme="minorEastAsia" w:cstheme="minorEastAsia"/>
          <w:color w:val="auto"/>
          <w:spacing w:val="-1"/>
          <w:sz w:val="24"/>
          <w:szCs w:val="24"/>
          <w:lang w:eastAsia="zh-CN"/>
        </w:rPr>
      </w:pPr>
      <w:r>
        <w:rPr>
          <w:rFonts w:hint="eastAsia" w:ascii="微软雅黑" w:hAnsi="微软雅黑" w:eastAsia="微软雅黑" w:cs="微软雅黑"/>
          <w:color w:val="auto"/>
          <w:spacing w:val="-1"/>
          <w:sz w:val="24"/>
          <w:szCs w:val="24"/>
          <w:lang w:eastAsia="zh-CN"/>
        </w:rPr>
        <w:t>②</w:t>
      </w:r>
      <w:r>
        <w:rPr>
          <w:rFonts w:hint="eastAsia" w:asciiTheme="minorEastAsia" w:hAnsiTheme="minorEastAsia" w:eastAsiaTheme="minorEastAsia" w:cstheme="minorEastAsia"/>
          <w:color w:val="auto"/>
          <w:spacing w:val="-1"/>
          <w:sz w:val="24"/>
          <w:szCs w:val="24"/>
          <w:lang w:eastAsia="zh-CN"/>
        </w:rPr>
        <w:t>超过协议价格收取费用或采取减少服务项目等降低服务质量的；</w:t>
      </w:r>
    </w:p>
    <w:p w14:paraId="796D61A6">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微软雅黑" w:hAnsi="微软雅黑" w:eastAsia="微软雅黑" w:cs="微软雅黑"/>
          <w:spacing w:val="-1"/>
          <w:sz w:val="24"/>
          <w:szCs w:val="24"/>
          <w:lang w:eastAsia="zh-CN"/>
        </w:rPr>
        <w:t>③</w:t>
      </w:r>
      <w:r>
        <w:rPr>
          <w:rFonts w:hint="eastAsia" w:asciiTheme="minorEastAsia" w:hAnsiTheme="minorEastAsia" w:eastAsiaTheme="minorEastAsia" w:cstheme="minorEastAsia"/>
          <w:spacing w:val="-1"/>
          <w:sz w:val="24"/>
          <w:szCs w:val="24"/>
          <w:lang w:eastAsia="zh-CN"/>
        </w:rPr>
        <w:t>提供虚假发票的；</w:t>
      </w:r>
    </w:p>
    <w:p w14:paraId="7FC1E849">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微软雅黑" w:hAnsi="微软雅黑" w:eastAsia="微软雅黑" w:cs="微软雅黑"/>
          <w:spacing w:val="-1"/>
          <w:sz w:val="24"/>
          <w:szCs w:val="24"/>
          <w:lang w:eastAsia="zh-CN"/>
        </w:rPr>
        <w:t>④</w:t>
      </w:r>
      <w:r>
        <w:rPr>
          <w:rFonts w:hint="eastAsia" w:asciiTheme="minorEastAsia" w:hAnsiTheme="minorEastAsia" w:eastAsiaTheme="minorEastAsia" w:cstheme="minorEastAsia"/>
          <w:spacing w:val="-1"/>
          <w:sz w:val="24"/>
          <w:szCs w:val="24"/>
          <w:lang w:eastAsia="zh-CN"/>
        </w:rPr>
        <w:t>未按规定提供发票、费用原始明细单据、电子结算单等凭证的；</w:t>
      </w:r>
    </w:p>
    <w:p w14:paraId="794600FD">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微软雅黑" w:hAnsi="微软雅黑" w:eastAsia="微软雅黑" w:cs="微软雅黑"/>
          <w:spacing w:val="-1"/>
          <w:sz w:val="24"/>
          <w:szCs w:val="24"/>
          <w:lang w:eastAsia="zh-CN"/>
        </w:rPr>
        <w:t>⑤</w:t>
      </w:r>
      <w:r>
        <w:rPr>
          <w:rFonts w:hint="eastAsia" w:asciiTheme="minorEastAsia" w:hAnsiTheme="minorEastAsia" w:eastAsiaTheme="minorEastAsia" w:cstheme="minorEastAsia"/>
          <w:spacing w:val="-1"/>
          <w:sz w:val="24"/>
          <w:szCs w:val="24"/>
          <w:lang w:eastAsia="zh-CN"/>
        </w:rPr>
        <w:t>不配合、甚至干扰阻挠财政部门正常核查工作的；</w:t>
      </w:r>
    </w:p>
    <w:p w14:paraId="0C1159E4">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微软雅黑" w:hAnsi="微软雅黑" w:eastAsia="微软雅黑" w:cs="微软雅黑"/>
          <w:spacing w:val="-1"/>
          <w:sz w:val="24"/>
          <w:szCs w:val="24"/>
          <w:lang w:eastAsia="zh-CN"/>
        </w:rPr>
        <w:t>⑥</w:t>
      </w:r>
      <w:r>
        <w:rPr>
          <w:rFonts w:hint="eastAsia" w:asciiTheme="minorEastAsia" w:hAnsiTheme="minorEastAsia" w:eastAsiaTheme="minorEastAsia" w:cstheme="minorEastAsia"/>
          <w:spacing w:val="-1"/>
          <w:sz w:val="24"/>
          <w:szCs w:val="24"/>
          <w:lang w:eastAsia="zh-CN"/>
        </w:rPr>
        <w:t>其他协议规定的其他事项的。</w:t>
      </w:r>
    </w:p>
    <w:p w14:paraId="7F814FC1">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8、会议定点场所在协议期内未经批准单方面终止履行协议或因违法经营行为受到行政处罚的，根据《政府采购法》等规定取消其会议定点场所资格，并不得参与下一轮次党政机关会议定点场所政府采购。</w:t>
      </w:r>
    </w:p>
    <w:p w14:paraId="2EB135F8">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9、定点接待场所提供的各种资料必须真实有效，否则取消其中标资格。</w:t>
      </w:r>
    </w:p>
    <w:p w14:paraId="6445FEA4">
      <w:pPr>
        <w:rPr>
          <w:lang w:eastAsia="zh-CN"/>
        </w:rPr>
      </w:pPr>
    </w:p>
    <w:p w14:paraId="28A12896">
      <w:pPr>
        <w:pStyle w:val="6"/>
        <w:kinsoku/>
        <w:wordWrap w:val="0"/>
        <w:spacing w:before="352" w:line="690" w:lineRule="exact"/>
        <w:jc w:val="both"/>
        <w:rPr>
          <w:rFonts w:asciiTheme="minorEastAsia" w:hAnsiTheme="minorEastAsia" w:eastAsiaTheme="minorEastAsia" w:cstheme="minorEastAsia"/>
          <w:spacing w:val="-1"/>
          <w:position w:val="24"/>
          <w:sz w:val="36"/>
          <w:szCs w:val="36"/>
          <w:lang w:eastAsia="zh-CN"/>
          <w14:textOutline w14:w="2311" w14:cap="flat" w14:cmpd="sng" w14:algn="ctr">
            <w14:solidFill>
              <w14:srgbClr w14:val="000000"/>
            </w14:solidFill>
            <w14:prstDash w14:val="solid"/>
            <w14:miter w14:val="0"/>
          </w14:textOutline>
        </w:rPr>
      </w:pPr>
    </w:p>
    <w:p w14:paraId="717C619C">
      <w:pPr>
        <w:rPr>
          <w:rFonts w:asciiTheme="minorEastAsia" w:hAnsiTheme="minorEastAsia" w:eastAsiaTheme="minorEastAsia" w:cstheme="minorEastAsia"/>
          <w:spacing w:val="-1"/>
          <w:position w:val="24"/>
          <w:sz w:val="36"/>
          <w:szCs w:val="36"/>
          <w:lang w:eastAsia="zh-CN"/>
          <w14:textOutline w14:w="2311" w14:cap="flat" w14:cmpd="sng" w14:algn="ctr">
            <w14:solidFill>
              <w14:srgbClr w14:val="000000"/>
            </w14:solidFill>
            <w14:prstDash w14:val="solid"/>
            <w14:miter w14:val="0"/>
          </w14:textOutline>
        </w:rPr>
      </w:pPr>
    </w:p>
    <w:p w14:paraId="2CF74328">
      <w:pPr>
        <w:pStyle w:val="17"/>
        <w:ind w:firstLine="718"/>
        <w:rPr>
          <w:rFonts w:asciiTheme="minorEastAsia" w:hAnsiTheme="minorEastAsia" w:eastAsiaTheme="minorEastAsia" w:cstheme="minorEastAsia"/>
          <w:spacing w:val="-1"/>
          <w:position w:val="24"/>
          <w:sz w:val="36"/>
          <w:szCs w:val="36"/>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14:textOutline w14:w="2311" w14:cap="flat" w14:cmpd="sng" w14:algn="ctr">
            <w14:solidFill>
              <w14:srgbClr w14:val="000000"/>
            </w14:solidFill>
            <w14:prstDash w14:val="solid"/>
            <w14:miter w14:val="0"/>
          </w14:textOutline>
        </w:rPr>
        <w:br w:type="textWrapping"/>
      </w:r>
    </w:p>
    <w:p w14:paraId="5BF2B34B">
      <w:pPr>
        <w:pStyle w:val="24"/>
      </w:pPr>
    </w:p>
    <w:p w14:paraId="71558DEE">
      <w:pPr>
        <w:pStyle w:val="6"/>
        <w:kinsoku/>
        <w:wordWrap w:val="0"/>
        <w:spacing w:before="353" w:line="360" w:lineRule="auto"/>
        <w:jc w:val="center"/>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第三章 投标人须知</w:t>
      </w:r>
    </w:p>
    <w:p w14:paraId="590BA334">
      <w:pPr>
        <w:pStyle w:val="6"/>
        <w:kinsoku/>
        <w:wordWrap w:val="0"/>
        <w:spacing w:line="360" w:lineRule="auto"/>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1"/>
          <w:sz w:val="28"/>
          <w:szCs w:val="28"/>
          <w:lang w:eastAsia="zh-CN"/>
          <w14:textOutline w14:w="1803" w14:cap="flat" w14:cmpd="sng" w14:algn="ctr">
            <w14:solidFill>
              <w14:srgbClr w14:val="000000"/>
            </w14:solidFill>
            <w14:prstDash w14:val="solid"/>
            <w14:miter w14:val="0"/>
          </w14:textOutline>
        </w:rPr>
        <w:t>投标人须知表</w:t>
      </w:r>
    </w:p>
    <w:tbl>
      <w:tblPr>
        <w:tblStyle w:val="18"/>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CDFF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vAlign w:val="center"/>
          </w:tcPr>
          <w:p w14:paraId="5C06831B">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vAlign w:val="center"/>
          </w:tcPr>
          <w:p w14:paraId="56BF687D">
            <w:pPr>
              <w:kinsoku/>
              <w:wordWrap w:val="0"/>
              <w:spacing w:line="240" w:lineRule="atLeast"/>
              <w:ind w:left="1080" w:leftChars="257" w:hanging="540"/>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7893E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5406D45B">
            <w:pPr>
              <w:kinsoku/>
              <w:wordWrap w:val="0"/>
              <w:spacing w:before="78" w:line="221"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vAlign w:val="center"/>
          </w:tcPr>
          <w:p w14:paraId="39EF9CE5">
            <w:pPr>
              <w:pStyle w:val="26"/>
              <w:kinsoku/>
              <w:wordWrap w:val="0"/>
              <w:spacing w:line="220" w:lineRule="auto"/>
              <w:ind w:left="126"/>
              <w:jc w:val="both"/>
              <w:rPr>
                <w:rFonts w:asciiTheme="minorEastAsia" w:hAnsiTheme="minorEastAsia" w:eastAsiaTheme="minorEastAsia" w:cstheme="minorEastAsia"/>
                <w:sz w:val="24"/>
                <w:szCs w:val="24"/>
              </w:rPr>
            </w:pPr>
            <w:r>
              <w:rPr>
                <w:rFonts w:ascii="Segoe UI Symbol" w:hAnsi="Segoe UI Symbol" w:cs="Segoe UI Symbol" w:eastAsia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58F6F281">
            <w:pPr>
              <w:pStyle w:val="26"/>
              <w:kinsoku/>
              <w:wordWrap w:val="0"/>
              <w:spacing w:before="25" w:line="207" w:lineRule="auto"/>
              <w:ind w:left="126"/>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19"/>
                <w:sz w:val="24"/>
                <w:szCs w:val="24"/>
              </w:rPr>
              <w:t>□货物</w:t>
            </w:r>
          </w:p>
        </w:tc>
      </w:tr>
      <w:tr w14:paraId="2C4C1B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26BF37A4">
            <w:pPr>
              <w:kinsoku/>
              <w:wordWrap w:val="0"/>
              <w:spacing w:before="78" w:line="219"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tcPr>
          <w:p w14:paraId="32A5113F">
            <w:pPr>
              <w:kinsoku/>
              <w:wordWrap w:val="0"/>
              <w:spacing w:before="37" w:line="238" w:lineRule="auto"/>
              <w:ind w:left="11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是否属于科研仪器设备采购项目：</w:t>
            </w:r>
          </w:p>
          <w:p w14:paraId="0687D39B">
            <w:pPr>
              <w:pStyle w:val="26"/>
              <w:kinsoku/>
              <w:wordWrap w:val="0"/>
              <w:spacing w:line="223" w:lineRule="auto"/>
              <w:ind w:left="12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62CD46E3">
            <w:pPr>
              <w:pStyle w:val="26"/>
              <w:kinsoku/>
              <w:wordWrap w:val="0"/>
              <w:spacing w:before="21" w:line="207" w:lineRule="auto"/>
              <w:ind w:left="126"/>
              <w:jc w:val="both"/>
              <w:rPr>
                <w:rFonts w:asciiTheme="minorEastAsia" w:hAnsiTheme="minorEastAsia" w:eastAsiaTheme="minorEastAsia" w:cstheme="minorEastAsia"/>
                <w:sz w:val="24"/>
                <w:szCs w:val="24"/>
                <w:lang w:eastAsia="zh-CN"/>
              </w:rPr>
            </w:pPr>
            <w:r>
              <w:rPr>
                <w:rFonts w:ascii="Segoe UI Symbol" w:hAnsi="Segoe UI Symbol" w:cs="Segoe UI Symbol" w:eastAsia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5FE19F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0E7F4645">
            <w:pPr>
              <w:kinsoku/>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vAlign w:val="center"/>
          </w:tcPr>
          <w:p w14:paraId="02DA3C4B">
            <w:pPr>
              <w:pStyle w:val="26"/>
              <w:kinsoku/>
              <w:wordWrap w:val="0"/>
              <w:rPr>
                <w:rFonts w:asciiTheme="minorEastAsia" w:hAnsiTheme="minorEastAsia" w:eastAsiaTheme="minorEastAsia" w:cstheme="minorEastAsia"/>
                <w:sz w:val="24"/>
                <w:szCs w:val="24"/>
                <w:lang w:eastAsia="zh-CN"/>
              </w:rPr>
            </w:pPr>
            <w:r>
              <w:rPr>
                <w:rFonts w:ascii="Segoe UI Symbol" w:hAnsi="Segoe UI Symbol" w:cs="Segoe UI Symbol" w:eastAsia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tc>
      </w:tr>
      <w:tr w14:paraId="20D795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4BCC3158">
            <w:pPr>
              <w:kinsoku/>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vAlign w:val="center"/>
          </w:tcPr>
          <w:p w14:paraId="735E5A49">
            <w:pPr>
              <w:pStyle w:val="26"/>
              <w:kinsoku/>
              <w:wordWrap w:val="0"/>
              <w:rPr>
                <w:rFonts w:asciiTheme="minorEastAsia" w:hAnsiTheme="minorEastAsia" w:eastAsiaTheme="minorEastAsia" w:cstheme="minorEastAsia"/>
                <w:sz w:val="24"/>
                <w:szCs w:val="24"/>
                <w:lang w:eastAsia="zh-CN"/>
              </w:rPr>
            </w:pPr>
            <w:r>
              <w:rPr>
                <w:rFonts w:ascii="Segoe UI Symbol" w:hAnsi="Segoe UI Symbol" w:cs="Segoe UI Symbol" w:eastAsia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tc>
      </w:tr>
      <w:tr w14:paraId="78B90C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021CFA5F">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vAlign w:val="center"/>
          </w:tcPr>
          <w:p w14:paraId="3228C1C5">
            <w:pPr>
              <w:pStyle w:val="26"/>
              <w:numPr>
                <w:ilvl w:val="0"/>
                <w:numId w:val="1"/>
              </w:numPr>
              <w:kinsoku/>
              <w:wordWrap w:val="0"/>
              <w:jc w:val="both"/>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本项目采购标的按照中小企业划分标准属于：住宿业、餐饮业</w:t>
            </w:r>
          </w:p>
          <w:p w14:paraId="6FAA8B78">
            <w:pPr>
              <w:pStyle w:val="26"/>
              <w:kinsoku/>
              <w:wordWrap w:val="0"/>
              <w:jc w:val="both"/>
              <w:rPr>
                <w:rFonts w:hint="eastAsia" w:asciiTheme="minorEastAsia" w:hAnsiTheme="minorEastAsia" w:eastAsiaTheme="minorEastAsia" w:cstheme="minorEastAsia"/>
                <w:spacing w:val="14"/>
                <w:sz w:val="24"/>
                <w:szCs w:val="24"/>
                <w:lang w:eastAsia="zh-CN"/>
              </w:rPr>
            </w:pPr>
            <w:r>
              <w:rPr>
                <w:rFonts w:hint="eastAsia" w:ascii="Segoe UI Symbol" w:hAnsi="Segoe UI Symbol" w:cs="Segoe UI Symbol" w:eastAsiaTheme="minorEastAsia"/>
                <w:spacing w:val="14"/>
                <w:sz w:val="24"/>
                <w:szCs w:val="24"/>
                <w:lang w:eastAsia="zh-CN"/>
              </w:rPr>
              <w:t>□</w:t>
            </w:r>
            <w:r>
              <w:rPr>
                <w:rFonts w:hint="eastAsia" w:asciiTheme="minorEastAsia" w:hAnsiTheme="minorEastAsia" w:eastAsiaTheme="minorEastAsia" w:cstheme="minorEastAsia"/>
                <w:spacing w:val="14"/>
                <w:sz w:val="24"/>
                <w:szCs w:val="24"/>
                <w:lang w:eastAsia="zh-CN"/>
              </w:rPr>
              <w:t>本项目专门面向中小企业采购。</w:t>
            </w:r>
          </w:p>
          <w:p w14:paraId="26304C1C">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napToGrid w:val="0"/>
                <w:color w:val="000000"/>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15  </w:t>
            </w:r>
            <w:r>
              <w:rPr>
                <w:rFonts w:hint="eastAsia" w:asciiTheme="minorEastAsia" w:hAnsiTheme="minorEastAsia" w:eastAsiaTheme="minorEastAsia" w:cstheme="minorEastAsia"/>
                <w:snapToGrid w:val="0"/>
                <w:color w:val="000000"/>
                <w:spacing w:val="29"/>
                <w:kern w:val="0"/>
                <w:sz w:val="24"/>
                <w:szCs w:val="24"/>
                <w:lang w:val="en-US" w:eastAsia="zh-CN" w:bidi="ar-SA"/>
              </w:rPr>
              <w:t>%。</w:t>
            </w:r>
          </w:p>
          <w:p w14:paraId="4A8754F5">
            <w:pPr>
              <w:kinsoku/>
              <w:wordWrap w:val="0"/>
              <w:autoSpaceDE/>
              <w:autoSpaceDN/>
              <w:adjustRightInd/>
              <w:snapToGrid/>
              <w:jc w:val="both"/>
              <w:textAlignment w:val="auto"/>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pacing w:val="14"/>
                <w:sz w:val="24"/>
                <w:szCs w:val="24"/>
                <w:lang w:eastAsia="zh-CN"/>
              </w:rPr>
              <w:t>2、中标供应商享受《政府采购促进中小企业发展管理办法》规定的中小企业扶持政策的，采购人、采购代理机构将随中标结果公开中标供应商的《中小企业声明函》。</w:t>
            </w:r>
          </w:p>
        </w:tc>
      </w:tr>
      <w:tr w14:paraId="6FDDAA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tcPr>
          <w:p w14:paraId="677B84ED">
            <w:pPr>
              <w:pStyle w:val="26"/>
              <w:kinsoku/>
              <w:wordWrap w:val="0"/>
              <w:spacing w:line="269" w:lineRule="auto"/>
              <w:jc w:val="both"/>
              <w:rPr>
                <w:rFonts w:asciiTheme="minorEastAsia" w:hAnsiTheme="minorEastAsia" w:eastAsiaTheme="minorEastAsia" w:cstheme="minorEastAsia"/>
                <w:lang w:eastAsia="zh-CN"/>
              </w:rPr>
            </w:pPr>
          </w:p>
          <w:p w14:paraId="3CB5A774">
            <w:pPr>
              <w:kinsoku/>
              <w:wordWrap w:val="0"/>
              <w:spacing w:before="78" w:line="219"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tcPr>
          <w:p w14:paraId="598FBC69">
            <w:pPr>
              <w:kinsoku/>
              <w:wordWrap w:val="0"/>
              <w:spacing w:before="40"/>
              <w:ind w:left="11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投标报价的特殊规定：</w:t>
            </w:r>
          </w:p>
          <w:p w14:paraId="0C8C0453">
            <w:pPr>
              <w:pStyle w:val="26"/>
              <w:kinsoku/>
              <w:wordWrap w:val="0"/>
              <w:spacing w:before="1" w:line="220" w:lineRule="auto"/>
              <w:ind w:left="12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□无</w:t>
            </w:r>
          </w:p>
          <w:p w14:paraId="7AEAC961">
            <w:pPr>
              <w:pStyle w:val="26"/>
              <w:kinsoku/>
              <w:wordWrap w:val="0"/>
              <w:spacing w:before="23" w:line="189" w:lineRule="auto"/>
              <w:ind w:left="126"/>
              <w:jc w:val="both"/>
              <w:rPr>
                <w:rFonts w:asciiTheme="minorEastAsia" w:hAnsiTheme="minorEastAsia" w:eastAsiaTheme="minorEastAsia" w:cstheme="minorEastAsia"/>
                <w:sz w:val="24"/>
                <w:szCs w:val="24"/>
                <w:lang w:eastAsia="zh-CN"/>
              </w:rPr>
            </w:pPr>
            <w:r>
              <w:rPr>
                <w:rFonts w:ascii="Segoe UI Symbol" w:hAnsi="Segoe UI Symbol" w:cs="Segoe UI Symbol" w:eastAsiaTheme="minorEastAsia"/>
                <w:spacing w:val="-13"/>
                <w:sz w:val="24"/>
                <w:szCs w:val="24"/>
                <w:lang w:eastAsia="zh-CN"/>
              </w:rPr>
              <w:t>☑</w:t>
            </w:r>
            <w:r>
              <w:rPr>
                <w:rFonts w:hint="eastAsia" w:asciiTheme="minorEastAsia" w:hAnsiTheme="minorEastAsia" w:eastAsiaTheme="minorEastAsia" w:cstheme="minorEastAsia"/>
                <w:spacing w:val="-13"/>
                <w:sz w:val="24"/>
                <w:szCs w:val="24"/>
                <w:lang w:eastAsia="zh-CN"/>
              </w:rPr>
              <w:t>有，具体情形：优惠率报价</w:t>
            </w:r>
          </w:p>
          <w:p w14:paraId="362F0614">
            <w:pPr>
              <w:pStyle w:val="26"/>
              <w:kinsoku/>
              <w:wordWrap w:val="0"/>
              <w:spacing w:line="19" w:lineRule="exact"/>
              <w:ind w:left="200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5A95EF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4D8B3053">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vAlign w:val="center"/>
          </w:tcPr>
          <w:p w14:paraId="7F33FBEF">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eastAsia="zh-CN"/>
              </w:rPr>
              <w:t>无</w:t>
            </w:r>
          </w:p>
        </w:tc>
      </w:tr>
      <w:tr w14:paraId="51A24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4510BF95">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vAlign w:val="center"/>
          </w:tcPr>
          <w:p w14:paraId="24CF914D">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开标之日起60</w:t>
            </w:r>
            <w:r>
              <w:rPr>
                <w:rFonts w:hint="eastAsia" w:asciiTheme="minorEastAsia" w:hAnsiTheme="minorEastAsia" w:eastAsiaTheme="minorEastAsia" w:cstheme="minorEastAsia"/>
                <w:sz w:val="24"/>
                <w:szCs w:val="24"/>
              </w:rPr>
              <w:t>日历日</w:t>
            </w:r>
          </w:p>
        </w:tc>
      </w:tr>
      <w:tr w14:paraId="72A2E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25220A62">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vAlign w:val="center"/>
          </w:tcPr>
          <w:p w14:paraId="6C19243E">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25F55B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7753EAF0">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vAlign w:val="center"/>
          </w:tcPr>
          <w:p w14:paraId="53F0BE7F">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eastAsia="zh-CN"/>
              </w:rPr>
              <w:t xml:space="preserve">2024 </w:t>
            </w:r>
            <w:r>
              <w:rPr>
                <w:rFonts w:hint="eastAsia" w:asciiTheme="minorEastAsia" w:hAnsiTheme="minorEastAsia" w:eastAsiaTheme="minorEastAsia" w:cstheme="minorEastAsia"/>
                <w:spacing w:val="-12"/>
                <w:sz w:val="24"/>
                <w:szCs w:val="24"/>
                <w:lang w:eastAsia="zh-CN"/>
              </w:rPr>
              <w:t>年</w:t>
            </w:r>
            <w:r>
              <w:rPr>
                <w:rFonts w:hint="eastAsia" w:asciiTheme="minorEastAsia" w:hAnsiTheme="minorEastAsia" w:eastAsiaTheme="minorEastAsia" w:cstheme="minorEastAsia"/>
                <w:spacing w:val="-12"/>
                <w:sz w:val="24"/>
                <w:szCs w:val="24"/>
                <w:u w:val="single"/>
                <w:lang w:eastAsia="zh-CN"/>
              </w:rPr>
              <w:t xml:space="preserve"> 1</w:t>
            </w:r>
            <w:r>
              <w:rPr>
                <w:rFonts w:hint="eastAsia" w:asciiTheme="minorEastAsia" w:hAnsiTheme="minorEastAsia" w:eastAsiaTheme="minorEastAsia" w:cstheme="minorEastAsia"/>
                <w:spacing w:val="-12"/>
                <w:sz w:val="24"/>
                <w:szCs w:val="24"/>
                <w:u w:val="single"/>
                <w:lang w:val="en-US" w:eastAsia="zh-CN"/>
              </w:rPr>
              <w:t>2</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月</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3</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日</w:t>
            </w:r>
            <w:r>
              <w:rPr>
                <w:rFonts w:hint="eastAsia" w:asciiTheme="minorEastAsia" w:hAnsiTheme="minorEastAsia" w:eastAsiaTheme="minorEastAsia" w:cstheme="minorEastAsia"/>
                <w:spacing w:val="-12"/>
                <w:sz w:val="24"/>
                <w:szCs w:val="24"/>
                <w:u w:val="single"/>
                <w:lang w:eastAsia="zh-CN"/>
              </w:rPr>
              <w:t xml:space="preserve"> 9 </w:t>
            </w:r>
            <w:r>
              <w:rPr>
                <w:rFonts w:hint="eastAsia" w:asciiTheme="minorEastAsia" w:hAnsiTheme="minorEastAsia" w:eastAsiaTheme="minorEastAsia" w:cstheme="minorEastAsia"/>
                <w:spacing w:val="-12"/>
                <w:sz w:val="24"/>
                <w:szCs w:val="24"/>
                <w:lang w:eastAsia="zh-CN"/>
              </w:rPr>
              <w:t>点</w:t>
            </w:r>
            <w:r>
              <w:rPr>
                <w:rFonts w:hint="eastAsia" w:asciiTheme="minorEastAsia" w:hAnsiTheme="minorEastAsia" w:eastAsiaTheme="minorEastAsia" w:cstheme="minorEastAsia"/>
                <w:spacing w:val="-12"/>
                <w:sz w:val="24"/>
                <w:szCs w:val="24"/>
                <w:u w:val="single"/>
                <w:lang w:eastAsia="zh-CN"/>
              </w:rPr>
              <w:t xml:space="preserve"> 00 </w:t>
            </w:r>
            <w:r>
              <w:rPr>
                <w:rFonts w:hint="eastAsia" w:asciiTheme="minorEastAsia" w:hAnsiTheme="minorEastAsia" w:eastAsiaTheme="minorEastAsia" w:cstheme="minorEastAsia"/>
                <w:spacing w:val="-12"/>
                <w:sz w:val="24"/>
                <w:szCs w:val="24"/>
                <w:lang w:eastAsia="zh-CN"/>
              </w:rPr>
              <w:t>分</w:t>
            </w:r>
            <w:r>
              <w:rPr>
                <w:rFonts w:hint="eastAsia" w:asciiTheme="minorEastAsia" w:hAnsiTheme="minorEastAsia" w:eastAsiaTheme="minorEastAsia" w:cstheme="minorEastAsia"/>
                <w:spacing w:val="14"/>
                <w:sz w:val="24"/>
                <w:szCs w:val="24"/>
                <w:lang w:eastAsia="zh-CN"/>
              </w:rPr>
              <w:t>（北京时间）</w:t>
            </w:r>
          </w:p>
        </w:tc>
      </w:tr>
      <w:tr w14:paraId="122FE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19CF6C12">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305" w:type="dxa"/>
            <w:tcBorders>
              <w:top w:val="single" w:color="auto" w:sz="6" w:space="0"/>
              <w:left w:val="single" w:color="auto" w:sz="6" w:space="0"/>
              <w:bottom w:val="single" w:color="auto" w:sz="6" w:space="0"/>
              <w:right w:val="single" w:color="auto" w:sz="12" w:space="0"/>
            </w:tcBorders>
            <w:vAlign w:val="center"/>
          </w:tcPr>
          <w:p w14:paraId="06B35120">
            <w:pPr>
              <w:kinsoku/>
              <w:wordWrap w:val="0"/>
              <w:spacing w:line="240" w:lineRule="atLeast"/>
              <w:jc w:val="both"/>
              <w:rPr>
                <w:rFonts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u w:val="single"/>
                <w:lang w:eastAsia="zh-CN"/>
              </w:rPr>
              <w:t xml:space="preserve">2024 </w:t>
            </w:r>
            <w:r>
              <w:rPr>
                <w:rFonts w:hint="eastAsia" w:asciiTheme="minorEastAsia" w:hAnsiTheme="minorEastAsia" w:eastAsiaTheme="minorEastAsia" w:cstheme="minorEastAsia"/>
                <w:spacing w:val="-12"/>
                <w:sz w:val="24"/>
                <w:szCs w:val="24"/>
                <w:lang w:eastAsia="zh-CN"/>
              </w:rPr>
              <w:t>年</w:t>
            </w:r>
            <w:r>
              <w:rPr>
                <w:rFonts w:hint="eastAsia" w:asciiTheme="minorEastAsia" w:hAnsiTheme="minorEastAsia" w:eastAsiaTheme="minorEastAsia" w:cstheme="minorEastAsia"/>
                <w:spacing w:val="-12"/>
                <w:sz w:val="24"/>
                <w:szCs w:val="24"/>
                <w:u w:val="single"/>
                <w:lang w:eastAsia="zh-CN"/>
              </w:rPr>
              <w:t xml:space="preserve"> 1</w:t>
            </w:r>
            <w:r>
              <w:rPr>
                <w:rFonts w:hint="eastAsia" w:asciiTheme="minorEastAsia" w:hAnsiTheme="minorEastAsia" w:eastAsiaTheme="minorEastAsia" w:cstheme="minorEastAsia"/>
                <w:spacing w:val="-12"/>
                <w:sz w:val="24"/>
                <w:szCs w:val="24"/>
                <w:u w:val="single"/>
                <w:lang w:val="en-US" w:eastAsia="zh-CN"/>
              </w:rPr>
              <w:t>2</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月</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3</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日</w:t>
            </w:r>
            <w:r>
              <w:rPr>
                <w:rFonts w:hint="eastAsia" w:asciiTheme="minorEastAsia" w:hAnsiTheme="minorEastAsia" w:eastAsiaTheme="minorEastAsia" w:cstheme="minorEastAsia"/>
                <w:spacing w:val="-12"/>
                <w:sz w:val="24"/>
                <w:szCs w:val="24"/>
                <w:u w:val="single"/>
                <w:lang w:eastAsia="zh-CN"/>
              </w:rPr>
              <w:t xml:space="preserve"> 9 </w:t>
            </w:r>
            <w:r>
              <w:rPr>
                <w:rFonts w:hint="eastAsia" w:asciiTheme="minorEastAsia" w:hAnsiTheme="minorEastAsia" w:eastAsiaTheme="minorEastAsia" w:cstheme="minorEastAsia"/>
                <w:spacing w:val="-12"/>
                <w:sz w:val="24"/>
                <w:szCs w:val="24"/>
                <w:lang w:eastAsia="zh-CN"/>
              </w:rPr>
              <w:t>点</w:t>
            </w:r>
            <w:r>
              <w:rPr>
                <w:rFonts w:hint="eastAsia" w:asciiTheme="minorEastAsia" w:hAnsiTheme="minorEastAsia" w:eastAsiaTheme="minorEastAsia" w:cstheme="minorEastAsia"/>
                <w:spacing w:val="-12"/>
                <w:sz w:val="24"/>
                <w:szCs w:val="24"/>
                <w:u w:val="single"/>
                <w:lang w:eastAsia="zh-CN"/>
              </w:rPr>
              <w:t xml:space="preserve"> 00 </w:t>
            </w:r>
            <w:r>
              <w:rPr>
                <w:rFonts w:hint="eastAsia" w:asciiTheme="minorEastAsia" w:hAnsiTheme="minorEastAsia" w:eastAsiaTheme="minorEastAsia" w:cstheme="minorEastAsia"/>
                <w:spacing w:val="-12"/>
                <w:sz w:val="24"/>
                <w:szCs w:val="24"/>
                <w:lang w:eastAsia="zh-CN"/>
              </w:rPr>
              <w:t>分</w:t>
            </w:r>
            <w:r>
              <w:rPr>
                <w:rFonts w:hint="eastAsia" w:asciiTheme="minorEastAsia" w:hAnsiTheme="minorEastAsia" w:eastAsiaTheme="minorEastAsia" w:cstheme="minorEastAsia"/>
                <w:color w:val="auto"/>
                <w:spacing w:val="-15"/>
                <w:sz w:val="24"/>
                <w:szCs w:val="24"/>
                <w:lang w:eastAsia="zh-CN"/>
              </w:rPr>
              <w:t>（北京时间）</w:t>
            </w:r>
          </w:p>
        </w:tc>
      </w:tr>
      <w:tr w14:paraId="547C74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4635A22B">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vAlign w:val="center"/>
          </w:tcPr>
          <w:p w14:paraId="584C2D0C">
            <w:pPr>
              <w:kinsoku/>
              <w:wordWrap w:val="0"/>
              <w:spacing w:line="240" w:lineRule="atLeast"/>
              <w:jc w:val="both"/>
              <w:rPr>
                <w:rFonts w:asciiTheme="minorEastAsia" w:hAnsiTheme="minorEastAsia" w:eastAsiaTheme="minorEastAsia" w:cstheme="minorEastAsia"/>
                <w:i/>
                <w:sz w:val="24"/>
                <w:szCs w:val="24"/>
                <w:lang w:eastAsia="zh-CN"/>
              </w:rPr>
            </w:pPr>
            <w:r>
              <w:rPr>
                <w:rFonts w:ascii="Segoe UI Symbol" w:hAnsi="Segoe UI Symbol" w:cs="Segoe UI Symbol" w:eastAsia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最低评标价法</w:t>
            </w:r>
          </w:p>
        </w:tc>
      </w:tr>
      <w:tr w14:paraId="1458C7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614F288F">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vAlign w:val="center"/>
          </w:tcPr>
          <w:p w14:paraId="2D0EF5F2">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采购人是否委托评标委员会直接确定中标人：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☑否</w:t>
            </w:r>
          </w:p>
        </w:tc>
      </w:tr>
      <w:tr w14:paraId="2903FD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vAlign w:val="center"/>
          </w:tcPr>
          <w:p w14:paraId="7FE659EE">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代理费</w:t>
            </w:r>
          </w:p>
        </w:tc>
        <w:tc>
          <w:tcPr>
            <w:tcW w:w="7305" w:type="dxa"/>
            <w:tcBorders>
              <w:top w:val="single" w:color="auto" w:sz="6" w:space="0"/>
              <w:left w:val="single" w:color="auto" w:sz="6" w:space="0"/>
              <w:bottom w:val="single" w:color="auto" w:sz="12" w:space="0"/>
              <w:right w:val="single" w:color="auto" w:sz="12" w:space="0"/>
            </w:tcBorders>
            <w:vAlign w:val="center"/>
          </w:tcPr>
          <w:p w14:paraId="651EA3CB">
            <w:pPr>
              <w:pStyle w:val="26"/>
              <w:kinsoku/>
              <w:wordWrap w:val="0"/>
              <w:spacing w:before="1" w:line="220" w:lineRule="auto"/>
              <w:ind w:left="126"/>
              <w:jc w:val="both"/>
              <w:rPr>
                <w:rFonts w:asciiTheme="minorEastAsia" w:hAnsiTheme="minorEastAsia" w:eastAsiaTheme="minorEastAsia" w:cstheme="minorEastAsia"/>
                <w:spacing w:val="-13"/>
                <w:sz w:val="24"/>
                <w:szCs w:val="24"/>
                <w:lang w:eastAsia="zh-CN"/>
              </w:rPr>
            </w:pPr>
            <w:r>
              <w:rPr>
                <w:rFonts w:ascii="Segoe UI Symbol" w:hAnsi="Segoe UI Symbol" w:cs="Segoe UI Symbol" w:eastAsiaTheme="minorEastAsia"/>
                <w:spacing w:val="29"/>
                <w:sz w:val="24"/>
                <w:szCs w:val="24"/>
                <w:lang w:eastAsia="zh-CN"/>
              </w:rPr>
              <w:t>☑</w:t>
            </w:r>
            <w:r>
              <w:rPr>
                <w:rFonts w:hint="eastAsia" w:asciiTheme="minorEastAsia" w:hAnsiTheme="minorEastAsia" w:eastAsiaTheme="minorEastAsia" w:cstheme="minorEastAsia"/>
                <w:sz w:val="24"/>
                <w:szCs w:val="24"/>
                <w:lang w:eastAsia="zh-CN"/>
              </w:rPr>
              <w:t>集中采购机构不收费</w:t>
            </w:r>
          </w:p>
        </w:tc>
      </w:tr>
    </w:tbl>
    <w:p w14:paraId="71B2DD08">
      <w:pPr>
        <w:pStyle w:val="6"/>
        <w:kinsoku/>
        <w:wordWrap w:val="0"/>
        <w:spacing w:before="91" w:line="221" w:lineRule="auto"/>
        <w:jc w:val="both"/>
        <w:rPr>
          <w:rFonts w:asciiTheme="minorEastAsia" w:hAnsiTheme="minorEastAsia" w:eastAsiaTheme="minorEastAsia" w:cstheme="minorEastAsia"/>
          <w:spacing w:val="-2"/>
          <w:sz w:val="28"/>
          <w:szCs w:val="28"/>
          <w14:textOutline w14:w="1803" w14:cap="flat" w14:cmpd="sng" w14:algn="ctr">
            <w14:solidFill>
              <w14:srgbClr w14:val="000000"/>
            </w14:solidFill>
            <w14:prstDash w14:val="solid"/>
            <w14:miter w14:val="0"/>
          </w14:textOutline>
        </w:rPr>
      </w:pPr>
    </w:p>
    <w:p w14:paraId="39954E1F">
      <w:pPr>
        <w:rPr>
          <w:rFonts w:asciiTheme="minorEastAsia" w:hAnsiTheme="minorEastAsia" w:eastAsiaTheme="minorEastAsia" w:cstheme="minorEastAsia"/>
          <w:spacing w:val="-2"/>
          <w:sz w:val="28"/>
          <w:szCs w:val="28"/>
          <w14:textOutline w14:w="1803" w14:cap="flat" w14:cmpd="sng" w14:algn="ctr">
            <w14:solidFill>
              <w14:srgbClr w14:val="000000"/>
            </w14:solidFill>
            <w14:prstDash w14:val="solid"/>
            <w14:miter w14:val="0"/>
          </w14:textOutline>
        </w:rPr>
      </w:pPr>
    </w:p>
    <w:p w14:paraId="5401FD9A">
      <w:pPr>
        <w:pStyle w:val="17"/>
        <w:ind w:firstLine="560"/>
      </w:pPr>
    </w:p>
    <w:p w14:paraId="3ACF6DE4">
      <w:pPr>
        <w:pStyle w:val="6"/>
        <w:kinsoku/>
        <w:wordWrap w:val="0"/>
        <w:spacing w:before="91" w:line="221" w:lineRule="auto"/>
        <w:jc w:val="both"/>
        <w:rPr>
          <w:rFonts w:asciiTheme="minorEastAsia" w:hAnsiTheme="minorEastAsia" w:eastAsiaTheme="minorEastAsia" w:cstheme="minorEastAsia"/>
          <w:spacing w:val="-2"/>
          <w:sz w:val="28"/>
          <w:szCs w:val="28"/>
          <w14:textOutline w14:w="1803" w14:cap="flat" w14:cmpd="sng" w14:algn="ctr">
            <w14:solidFill>
              <w14:srgbClr w14:val="000000"/>
            </w14:solidFill>
            <w14:prstDash w14:val="solid"/>
            <w14:miter w14:val="0"/>
          </w14:textOutline>
        </w:rPr>
      </w:pPr>
    </w:p>
    <w:p w14:paraId="445AF4ED">
      <w:pPr>
        <w:pStyle w:val="17"/>
        <w:ind w:left="0" w:leftChars="0" w:firstLine="0" w:firstLineChars="0"/>
      </w:pPr>
    </w:p>
    <w:p w14:paraId="321E65AC">
      <w:pPr>
        <w:pStyle w:val="6"/>
        <w:kinsoku/>
        <w:wordWrap w:val="0"/>
        <w:spacing w:before="91" w:line="221"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3" w14:cap="flat" w14:cmpd="sng" w14:algn="ctr">
            <w14:solidFill>
              <w14:srgbClr w14:val="000000"/>
            </w14:solidFill>
            <w14:prstDash w14:val="solid"/>
            <w14:miter w14:val="0"/>
          </w14:textOutline>
        </w:rPr>
        <w:t>投标人须知</w:t>
      </w:r>
    </w:p>
    <w:p w14:paraId="08BC9CED">
      <w:pPr>
        <w:pStyle w:val="6"/>
        <w:kinsoku/>
        <w:wordWrap w:val="0"/>
        <w:spacing w:before="268" w:line="360" w:lineRule="auto"/>
        <w:jc w:val="both"/>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3" w14:cap="flat" w14:cmpd="sng" w14:algn="ctr">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3" w14:cap="flat" w14:cmpd="sng" w14:algn="ctr">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3" w14:cap="flat" w14:cmpd="sng" w14:algn="ctr">
            <w14:solidFill>
              <w14:srgbClr w14:val="000000"/>
            </w14:solidFill>
            <w14:prstDash w14:val="solid"/>
            <w14:miter w14:val="0"/>
          </w14:textOutline>
        </w:rPr>
        <w:t>说明</w:t>
      </w:r>
    </w:p>
    <w:p w14:paraId="390B4458">
      <w:pPr>
        <w:pStyle w:val="6"/>
        <w:kinsoku/>
        <w:wordWrap w:val="0"/>
        <w:spacing w:line="360" w:lineRule="auto"/>
        <w:ind w:firstLine="478"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1.采购人、采购代理机构、投标人、联合体</w:t>
      </w:r>
    </w:p>
    <w:p w14:paraId="43476223">
      <w:pPr>
        <w:pStyle w:val="6"/>
        <w:kinsoku/>
        <w:wordWrap w:val="0"/>
        <w:spacing w:line="360" w:lineRule="auto"/>
        <w:ind w:firstLine="488"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1.1 采购人、采购代理机构：指依法进行政府采购的国家机关、事业单位、团体组织及其委托的采购代理机构。本项目采购人、采购代理机构见第一章《公开招标公告》。</w:t>
      </w:r>
    </w:p>
    <w:p w14:paraId="2BCB4598">
      <w:pPr>
        <w:pStyle w:val="6"/>
        <w:kinsoku/>
        <w:wordWrap w:val="0"/>
        <w:spacing w:line="360" w:lineRule="auto"/>
        <w:ind w:firstLine="488"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1.2 投标人（也称供应商、申请人）：指向采购人提供货物、工程或者服务的法人、其他组织或者自然人。</w:t>
      </w:r>
    </w:p>
    <w:p w14:paraId="5D3DCEDE">
      <w:pPr>
        <w:pStyle w:val="6"/>
        <w:kinsoku/>
        <w:wordWrap w:val="0"/>
        <w:spacing w:line="360" w:lineRule="auto"/>
        <w:ind w:firstLine="478" w:firstLineChars="200"/>
        <w:jc w:val="both"/>
        <w:rPr>
          <w:rFonts w:asciiTheme="minorEastAsia" w:hAnsiTheme="minorEastAsia" w:eastAsiaTheme="minorEastAsia" w:cstheme="minorEastAsia"/>
          <w:b/>
          <w:bCs/>
          <w:spacing w:val="-1"/>
          <w:sz w:val="24"/>
          <w:szCs w:val="24"/>
          <w:lang w:eastAsia="zh-CN"/>
        </w:rPr>
      </w:pPr>
      <w:r>
        <w:rPr>
          <w:rFonts w:hint="eastAsia" w:asciiTheme="minorEastAsia" w:hAnsiTheme="minorEastAsia" w:eastAsiaTheme="minorEastAsia" w:cstheme="minorEastAsia"/>
          <w:b/>
          <w:bCs/>
          <w:spacing w:val="-1"/>
          <w:sz w:val="24"/>
          <w:szCs w:val="24"/>
          <w:lang w:eastAsia="zh-CN"/>
        </w:rPr>
        <w:t>2.资金来源、项目属性、科研仪器设备采购、核心产品</w:t>
      </w:r>
    </w:p>
    <w:p w14:paraId="3E94C449">
      <w:pPr>
        <w:pStyle w:val="6"/>
        <w:kinsoku/>
        <w:wordWrap w:val="0"/>
        <w:spacing w:line="360" w:lineRule="auto"/>
        <w:ind w:firstLine="50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2.1 资金来源为财政性资金</w:t>
      </w:r>
      <w:r>
        <w:rPr>
          <w:rFonts w:hint="eastAsia" w:asciiTheme="minorEastAsia" w:hAnsiTheme="minorEastAsia" w:eastAsiaTheme="minorEastAsia" w:cstheme="minorEastAsia"/>
          <w:spacing w:val="-9"/>
          <w:sz w:val="24"/>
          <w:szCs w:val="24"/>
          <w:lang w:eastAsia="zh-CN"/>
        </w:rPr>
        <w:t>。</w:t>
      </w:r>
    </w:p>
    <w:p w14:paraId="2A6C2351">
      <w:pPr>
        <w:pStyle w:val="6"/>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2.2 项目属性见《投标人须知表》。</w:t>
      </w:r>
    </w:p>
    <w:p w14:paraId="66A4328D">
      <w:pPr>
        <w:pStyle w:val="6"/>
        <w:kinsoku/>
        <w:wordWrap w:val="0"/>
        <w:spacing w:line="360" w:lineRule="auto"/>
        <w:ind w:firstLine="46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 xml:space="preserve">2.3 是否属于科研仪器设备采购见《投标人须知表》。 </w:t>
      </w:r>
    </w:p>
    <w:p w14:paraId="103F4A85">
      <w:pPr>
        <w:pStyle w:val="6"/>
        <w:kinsoku/>
        <w:wordWrap w:val="0"/>
        <w:spacing w:line="360" w:lineRule="auto"/>
        <w:ind w:firstLine="46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position w:val="17"/>
          <w:sz w:val="24"/>
          <w:szCs w:val="24"/>
          <w:lang w:eastAsia="zh-CN"/>
        </w:rPr>
        <w:t>2.4 核心产品见《投标人须知表》。</w:t>
      </w:r>
    </w:p>
    <w:p w14:paraId="7B7901A5">
      <w:pPr>
        <w:pStyle w:val="6"/>
        <w:kinsoku/>
        <w:wordWrap w:val="0"/>
        <w:spacing w:line="360" w:lineRule="auto"/>
        <w:ind w:firstLine="48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3.现场考察、开标前答疑会</w:t>
      </w:r>
    </w:p>
    <w:p w14:paraId="3741CC25">
      <w:pPr>
        <w:pStyle w:val="6"/>
        <w:kinsoku/>
        <w:wordWrap w:val="0"/>
        <w:spacing w:line="360" w:lineRule="auto"/>
        <w:ind w:firstLine="49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3.1 若《投标人须知表》中规定了组</w:t>
      </w:r>
      <w:r>
        <w:rPr>
          <w:rFonts w:hint="eastAsia" w:asciiTheme="minorEastAsia" w:hAnsiTheme="minorEastAsia" w:eastAsiaTheme="minorEastAsia" w:cstheme="minorEastAsia"/>
          <w:spacing w:val="2"/>
          <w:sz w:val="24"/>
          <w:szCs w:val="24"/>
          <w:lang w:eastAsia="zh-CN"/>
        </w:rPr>
        <w:t>织现场考察、召开开标前答疑会，则投</w:t>
      </w:r>
      <w:r>
        <w:rPr>
          <w:rFonts w:hint="eastAsia" w:asciiTheme="minorEastAsia" w:hAnsiTheme="minorEastAsia" w:eastAsiaTheme="minorEastAsia" w:cstheme="minorEastAsia"/>
          <w:spacing w:val="-3"/>
          <w:sz w:val="24"/>
          <w:szCs w:val="24"/>
          <w:lang w:eastAsia="zh-CN"/>
        </w:rPr>
        <w:t>标人应按要求在规定的时间和地点参加。</w:t>
      </w:r>
    </w:p>
    <w:p w14:paraId="0D0485C2">
      <w:pPr>
        <w:pStyle w:val="6"/>
        <w:kinsoku/>
        <w:wordWrap w:val="0"/>
        <w:spacing w:line="360" w:lineRule="auto"/>
        <w:ind w:firstLine="488"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3.2 由于未参加现场考察或开标前答疑会而导致对项目实际情况不了解，影响投标文件编制、投标报价准确性、综合因素响应不全面等问题的，由投标人自行承担不利评审后果。</w:t>
      </w:r>
    </w:p>
    <w:p w14:paraId="10139EA2">
      <w:pPr>
        <w:pStyle w:val="6"/>
        <w:kinsoku/>
        <w:wordWrap w:val="0"/>
        <w:spacing w:line="360" w:lineRule="auto"/>
        <w:ind w:firstLine="478"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position w:val="17"/>
          <w:sz w:val="24"/>
          <w:szCs w:val="24"/>
          <w:lang w:eastAsia="zh-CN"/>
        </w:rPr>
        <w:t>4.政府采购政策（包括但不限于下列具体政策要求）</w:t>
      </w:r>
    </w:p>
    <w:p w14:paraId="3FE79CC3">
      <w:pPr>
        <w:pStyle w:val="6"/>
        <w:kinsoku/>
        <w:wordWrap w:val="0"/>
        <w:spacing w:line="360" w:lineRule="auto"/>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4.1 采购本国货物、工程和服务</w:t>
      </w:r>
    </w:p>
    <w:p w14:paraId="3231DCDF">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4.1.1 政府采购应当采购本国货物、工程和服务。但有《中华人民共和国政府采购法》第十条规定情形的除外。</w:t>
      </w:r>
    </w:p>
    <w:p w14:paraId="0F5E4397">
      <w:pPr>
        <w:pStyle w:val="6"/>
        <w:kinsoku/>
        <w:wordWrap w:val="0"/>
        <w:spacing w:line="360" w:lineRule="auto"/>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4.2 中小企业、监狱企业及残疾人福利性单位</w:t>
      </w:r>
    </w:p>
    <w:p w14:paraId="14A35ECC">
      <w:pPr>
        <w:pStyle w:val="6"/>
        <w:kinsoku/>
        <w:wordWrap w:val="0"/>
        <w:spacing w:line="360" w:lineRule="auto"/>
        <w:ind w:firstLine="47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4.2.1 中小企业定义：</w:t>
      </w:r>
    </w:p>
    <w:p w14:paraId="32BD551D">
      <w:pPr>
        <w:pStyle w:val="6"/>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1BBF20CB">
      <w:pPr>
        <w:pStyle w:val="6"/>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供应商提供的货物、工程或者服务符合下列情形的，享受中小企业扶持政策：</w:t>
      </w:r>
    </w:p>
    <w:p w14:paraId="6C947EA5">
      <w:pPr>
        <w:pStyle w:val="6"/>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（1）在货物采购项目中，货物由中小企业制造，即货物由中小企业生产且使用该中小企业商号或者注册商标；</w:t>
      </w:r>
    </w:p>
    <w:p w14:paraId="6BFF8AF0">
      <w:pPr>
        <w:pStyle w:val="6"/>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（2）在工程采购项目中，工程由中小企业承建，即工程施工单位为中小企业；</w:t>
      </w:r>
    </w:p>
    <w:p w14:paraId="3D70E834">
      <w:pPr>
        <w:pStyle w:val="6"/>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（3）在服务采购项目中，服务由中小企业承接，即提供服务的人员为中小企业依照《中华人民共和国劳动合同法》订立劳动合同的从业人员。</w:t>
      </w:r>
    </w:p>
    <w:p w14:paraId="2CC1960D">
      <w:pPr>
        <w:pStyle w:val="6"/>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在货物采购项目中，供应商提供的货物既有中小企业制造货物，也有大型企业制造货物的，不享受中小企业扶持政策。</w:t>
      </w:r>
    </w:p>
    <w:p w14:paraId="7714A14F">
      <w:pPr>
        <w:pStyle w:val="6"/>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以联合体形式参加政府采购活动，联合体各方均为中小企业的，联合体视同中小企业。其中，联合体各方均为小微企业的，联合体视同小微企业。</w:t>
      </w:r>
    </w:p>
    <w:p w14:paraId="00AF7EE0">
      <w:pPr>
        <w:pStyle w:val="6"/>
        <w:kinsoku/>
        <w:wordWrap w:val="0"/>
        <w:spacing w:line="360" w:lineRule="auto"/>
        <w:ind w:firstLine="46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4.2.2 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lang w:eastAsia="zh-CN"/>
        </w:rPr>
        <w:t>企业定义：是指由司法部认定的为罪犯、戒</w:t>
      </w:r>
      <w:r>
        <w:rPr>
          <w:rFonts w:hint="eastAsia" w:asciiTheme="minorEastAsia" w:hAnsiTheme="minorEastAsia" w:eastAsiaTheme="minorEastAsia" w:cstheme="minorEastAsia"/>
          <w:spacing w:val="-7"/>
          <w:sz w:val="24"/>
          <w:szCs w:val="24"/>
          <w:lang w:eastAsia="zh-CN"/>
        </w:rPr>
        <w:t>毒人员提供生产项目和劳</w:t>
      </w:r>
      <w:r>
        <w:rPr>
          <w:rFonts w:hint="eastAsia" w:asciiTheme="minorEastAsia" w:hAnsiTheme="minorEastAsia" w:eastAsiaTheme="minorEastAsia" w:cstheme="minorEastAsia"/>
          <w:spacing w:val="-8"/>
          <w:sz w:val="24"/>
          <w:szCs w:val="24"/>
          <w:lang w:eastAsia="zh-CN"/>
        </w:rPr>
        <w:t>动对象，且全部产权属于司法部监狱管理局、戒毒管理局、直属煤矿</w:t>
      </w:r>
      <w:r>
        <w:rPr>
          <w:rFonts w:hint="eastAsia" w:asciiTheme="minorEastAsia" w:hAnsiTheme="minorEastAsia" w:eastAsiaTheme="minorEastAsia" w:cstheme="minorEastAsia"/>
          <w:spacing w:val="-13"/>
          <w:sz w:val="24"/>
          <w:szCs w:val="24"/>
          <w:lang w:eastAsia="zh-CN"/>
        </w:rPr>
        <w:t>管理局，各省、自治区、直辖市监狱管理</w:t>
      </w:r>
      <w:r>
        <w:rPr>
          <w:rFonts w:hint="eastAsia" w:asciiTheme="minorEastAsia" w:hAnsiTheme="minorEastAsia" w:eastAsiaTheme="minorEastAsia" w:cstheme="minorEastAsia"/>
          <w:spacing w:val="-14"/>
          <w:sz w:val="24"/>
          <w:szCs w:val="24"/>
          <w:lang w:eastAsia="zh-CN"/>
        </w:rPr>
        <w:t>局、戒毒管理局，各地（设</w:t>
      </w:r>
      <w:r>
        <w:rPr>
          <w:rFonts w:hint="eastAsia" w:asciiTheme="minorEastAsia" w:hAnsiTheme="minorEastAsia" w:eastAsiaTheme="minorEastAsia" w:cstheme="minorEastAsia"/>
          <w:spacing w:val="-13"/>
          <w:sz w:val="24"/>
          <w:szCs w:val="24"/>
          <w:lang w:eastAsia="zh-CN"/>
        </w:rPr>
        <w:t>区的市）监狱、强制隔离戒毒所、戒毒康复所，以及新疆生产建设兵</w:t>
      </w:r>
      <w:r>
        <w:rPr>
          <w:rFonts w:hint="eastAsia" w:asciiTheme="minorEastAsia" w:hAnsiTheme="minorEastAsia" w:eastAsiaTheme="minorEastAsia" w:cstheme="minorEastAsia"/>
          <w:spacing w:val="-4"/>
          <w:sz w:val="24"/>
          <w:szCs w:val="24"/>
          <w:lang w:eastAsia="zh-CN"/>
        </w:rPr>
        <w:t>团监狱管理局、戒毒管理局的企业。</w:t>
      </w:r>
    </w:p>
    <w:p w14:paraId="3616C82D">
      <w:pPr>
        <w:pStyle w:val="6"/>
        <w:kinsoku/>
        <w:wordWrap w:val="0"/>
        <w:spacing w:line="360" w:lineRule="auto"/>
        <w:ind w:firstLine="44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4.2.3 在政府采购活动中，残疾人福利性单位视同小型、微型企业</w:t>
      </w:r>
      <w:r>
        <w:rPr>
          <w:rFonts w:hint="eastAsia" w:asciiTheme="minorEastAsia" w:hAnsiTheme="minorEastAsia" w:eastAsiaTheme="minorEastAsia" w:cstheme="minorEastAsia"/>
          <w:spacing w:val="-9"/>
          <w:sz w:val="24"/>
          <w:szCs w:val="24"/>
          <w:lang w:eastAsia="zh-CN"/>
        </w:rPr>
        <w:t>，享受预</w:t>
      </w:r>
      <w:r>
        <w:rPr>
          <w:rFonts w:hint="eastAsia" w:asciiTheme="minorEastAsia" w:hAnsiTheme="minorEastAsia" w:eastAsiaTheme="minorEastAsia" w:cstheme="minorEastAsia"/>
          <w:spacing w:val="-5"/>
          <w:sz w:val="24"/>
          <w:szCs w:val="24"/>
          <w:lang w:eastAsia="zh-CN"/>
        </w:rPr>
        <w:t>留份额、评审中价格扣除等促进中小企业发展的政府采购政策。残疾</w:t>
      </w:r>
      <w:r>
        <w:rPr>
          <w:rFonts w:hint="eastAsia" w:asciiTheme="minorEastAsia" w:hAnsiTheme="minorEastAsia" w:eastAsiaTheme="minorEastAsia" w:cstheme="minorEastAsia"/>
          <w:spacing w:val="-7"/>
          <w:sz w:val="24"/>
          <w:szCs w:val="24"/>
          <w:lang w:eastAsia="zh-CN"/>
        </w:rPr>
        <w:t>人福利性单位定义：享受政府采购支持政策的残疾人福利性单位应当</w:t>
      </w:r>
      <w:r>
        <w:rPr>
          <w:rFonts w:hint="eastAsia" w:asciiTheme="minorEastAsia" w:hAnsiTheme="minorEastAsia" w:eastAsiaTheme="minorEastAsia" w:cstheme="minorEastAsia"/>
          <w:spacing w:val="-9"/>
          <w:sz w:val="24"/>
          <w:szCs w:val="24"/>
          <w:lang w:eastAsia="zh-CN"/>
        </w:rPr>
        <w:t>同时满足以下条件：</w:t>
      </w:r>
    </w:p>
    <w:p w14:paraId="7EF6318C">
      <w:pPr>
        <w:pStyle w:val="6"/>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"5.2.3.1" </w:instrText>
      </w:r>
      <w:r>
        <w:fldChar w:fldCharType="separate"/>
      </w:r>
      <w:r>
        <w:rPr>
          <w:rFonts w:hint="eastAsia" w:asciiTheme="minorEastAsia" w:hAnsiTheme="minorEastAsia" w:eastAsiaTheme="minorEastAsia" w:cstheme="minorEastAsia"/>
          <w:spacing w:val="-8"/>
          <w:sz w:val="24"/>
          <w:szCs w:val="24"/>
          <w:lang w:eastAsia="zh-CN"/>
        </w:rPr>
        <w:t>4.2.3.1</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安置的残疾人占本单位在职职工人数的比例不低于25%（含25%），并且安置的残疾人人数不少于10人（含10人）；</w:t>
      </w:r>
    </w:p>
    <w:p w14:paraId="08BB3B4D">
      <w:pPr>
        <w:pStyle w:val="6"/>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"5.2.3.2" </w:instrText>
      </w:r>
      <w:r>
        <w:fldChar w:fldCharType="separate"/>
      </w:r>
      <w:r>
        <w:rPr>
          <w:rFonts w:hint="eastAsia" w:asciiTheme="minorEastAsia" w:hAnsiTheme="minorEastAsia" w:eastAsiaTheme="minorEastAsia" w:cstheme="minorEastAsia"/>
          <w:spacing w:val="-8"/>
          <w:sz w:val="24"/>
          <w:szCs w:val="24"/>
          <w:lang w:eastAsia="zh-CN"/>
        </w:rPr>
        <w:t>4.2.3.2</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依法与安置的每位残疾人签订了一年以上（含一年）的劳动合同或服务协议；</w:t>
      </w:r>
    </w:p>
    <w:p w14:paraId="2D0A066D">
      <w:pPr>
        <w:pStyle w:val="6"/>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"5.2.3.3" </w:instrText>
      </w:r>
      <w:r>
        <w:fldChar w:fldCharType="separate"/>
      </w:r>
      <w:r>
        <w:rPr>
          <w:rFonts w:hint="eastAsia" w:asciiTheme="minorEastAsia" w:hAnsiTheme="minorEastAsia" w:eastAsiaTheme="minorEastAsia" w:cstheme="minorEastAsia"/>
          <w:spacing w:val="-8"/>
          <w:sz w:val="24"/>
          <w:szCs w:val="24"/>
          <w:lang w:eastAsia="zh-CN"/>
        </w:rPr>
        <w:t>4.2.3.3</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为安置的每位残疾人按月足额缴纳了基本养老、医疗、失业、工伤和生育等社会保险费；</w:t>
      </w:r>
    </w:p>
    <w:p w14:paraId="67B56D7D">
      <w:pPr>
        <w:pStyle w:val="6"/>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"5.2.3.4" </w:instrText>
      </w:r>
      <w:r>
        <w:fldChar w:fldCharType="separate"/>
      </w:r>
      <w:r>
        <w:rPr>
          <w:rFonts w:hint="eastAsia" w:asciiTheme="minorEastAsia" w:hAnsiTheme="minorEastAsia" w:eastAsiaTheme="minorEastAsia" w:cstheme="minorEastAsia"/>
          <w:spacing w:val="-8"/>
          <w:sz w:val="24"/>
          <w:szCs w:val="24"/>
          <w:lang w:eastAsia="zh-CN"/>
        </w:rPr>
        <w:t>4.2.3.4</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通过银行等金融机构向安置的每位残疾人，按月支付了不低于单位所在区县的月最低工资标准的工资；</w:t>
      </w:r>
    </w:p>
    <w:p w14:paraId="6CB4AB5E">
      <w:pPr>
        <w:pStyle w:val="6"/>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"5.2.3.5" </w:instrText>
      </w:r>
      <w:r>
        <w:fldChar w:fldCharType="separate"/>
      </w:r>
      <w:r>
        <w:rPr>
          <w:rFonts w:hint="eastAsia" w:asciiTheme="minorEastAsia" w:hAnsiTheme="minorEastAsia" w:eastAsiaTheme="minorEastAsia" w:cstheme="minorEastAsia"/>
          <w:spacing w:val="-8"/>
          <w:sz w:val="24"/>
          <w:szCs w:val="24"/>
          <w:lang w:eastAsia="zh-CN"/>
        </w:rPr>
        <w:t>4.2.3.5</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提供本单位制造的货物、承担的工程或者服务（以下简称产品），或者提供其他残疾人福利性单位制造的货物（不包括使用非残疾人福利性单位注册商标的货物）；</w:t>
      </w:r>
    </w:p>
    <w:p w14:paraId="2698B6FD">
      <w:pPr>
        <w:pStyle w:val="6"/>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"5.2.3.6" </w:instrText>
      </w:r>
      <w:r>
        <w:fldChar w:fldCharType="separate"/>
      </w:r>
      <w:r>
        <w:rPr>
          <w:rFonts w:hint="eastAsia" w:asciiTheme="minorEastAsia" w:hAnsiTheme="minorEastAsia" w:eastAsiaTheme="minorEastAsia" w:cstheme="minorEastAsia"/>
          <w:spacing w:val="-8"/>
          <w:sz w:val="24"/>
          <w:szCs w:val="24"/>
          <w:lang w:eastAsia="zh-CN"/>
        </w:rPr>
        <w:t>4.2.3.6</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7E8D8E3E">
      <w:pPr>
        <w:pStyle w:val="6"/>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4.2.4 本项目是否专门面向中小企业预留采购份额见第一章《公开招标公告》。</w:t>
      </w:r>
    </w:p>
    <w:p w14:paraId="36469D19">
      <w:pPr>
        <w:pStyle w:val="6"/>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4.2.5 采购标的对应的中小企业划分标准所属行业见《投标人须知表》。</w:t>
      </w:r>
    </w:p>
    <w:p w14:paraId="3B054993">
      <w:pPr>
        <w:pStyle w:val="6"/>
        <w:kinsoku/>
        <w:wordWrap w:val="0"/>
        <w:spacing w:line="360" w:lineRule="auto"/>
        <w:ind w:firstLine="47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pacing w:val="-2"/>
          <w:sz w:val="24"/>
          <w:szCs w:val="24"/>
          <w:lang w:eastAsia="zh-CN"/>
        </w:rPr>
        <w:t>5.投标费用</w:t>
      </w:r>
    </w:p>
    <w:p w14:paraId="0AB103A1">
      <w:pPr>
        <w:pStyle w:val="6"/>
        <w:kinsoku/>
        <w:wordWrap w:val="0"/>
        <w:spacing w:line="360" w:lineRule="auto"/>
        <w:ind w:firstLine="46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投标人应自行承担所有与准备和招标有关的费用</w:t>
      </w:r>
      <w:r>
        <w:rPr>
          <w:rFonts w:hint="eastAsia" w:asciiTheme="minorEastAsia" w:hAnsiTheme="minorEastAsia" w:eastAsiaTheme="minorEastAsia" w:cstheme="minorEastAsia"/>
          <w:spacing w:val="-5"/>
          <w:sz w:val="24"/>
          <w:szCs w:val="24"/>
          <w:lang w:eastAsia="zh-CN"/>
        </w:rPr>
        <w:t>，无论招标的结果如何，</w:t>
      </w:r>
      <w:r>
        <w:rPr>
          <w:rFonts w:hint="eastAsia" w:asciiTheme="minorEastAsia" w:hAnsiTheme="minorEastAsia" w:eastAsiaTheme="minorEastAsia" w:cstheme="minorEastAsia"/>
          <w:spacing w:val="-1"/>
          <w:sz w:val="24"/>
          <w:szCs w:val="24"/>
          <w:lang w:eastAsia="zh-CN"/>
        </w:rPr>
        <w:t>采购人或采购代理机构在任何情况下均无承担</w:t>
      </w:r>
      <w:r>
        <w:rPr>
          <w:rFonts w:hint="eastAsia" w:asciiTheme="minorEastAsia" w:hAnsiTheme="minorEastAsia" w:eastAsiaTheme="minorEastAsia" w:cstheme="minorEastAsia"/>
          <w:spacing w:val="-2"/>
          <w:sz w:val="24"/>
          <w:szCs w:val="24"/>
          <w:lang w:eastAsia="zh-CN"/>
        </w:rPr>
        <w:t>这些费用的义务和责任。</w:t>
      </w:r>
    </w:p>
    <w:p w14:paraId="1D240D6D">
      <w:pPr>
        <w:kinsoku/>
        <w:wordWrap w:val="0"/>
        <w:spacing w:line="360" w:lineRule="auto"/>
        <w:ind w:firstLine="466" w:firstLineChars="200"/>
        <w:jc w:val="both"/>
        <w:rPr>
          <w:rFonts w:asciiTheme="minorEastAsia" w:hAnsiTheme="minorEastAsia" w:eastAsiaTheme="minorEastAsia" w:cstheme="minorEastAsia"/>
          <w:b/>
          <w:bCs/>
          <w:color w:val="auto"/>
          <w:spacing w:val="-4"/>
          <w:sz w:val="24"/>
          <w:szCs w:val="24"/>
          <w:lang w:eastAsia="zh-CN"/>
        </w:rPr>
      </w:pPr>
      <w:r>
        <w:rPr>
          <w:rFonts w:hint="eastAsia" w:asciiTheme="minorEastAsia" w:hAnsiTheme="minorEastAsia" w:eastAsiaTheme="minorEastAsia" w:cstheme="minorEastAsia"/>
          <w:b/>
          <w:bCs/>
          <w:color w:val="auto"/>
          <w:spacing w:val="-4"/>
          <w:sz w:val="24"/>
          <w:szCs w:val="24"/>
          <w:lang w:eastAsia="zh-CN"/>
        </w:rPr>
        <w:t>6.采购范围及适用法律</w:t>
      </w:r>
    </w:p>
    <w:p w14:paraId="6C6B6F66">
      <w:pPr>
        <w:kinsoku/>
        <w:wordWrap w:val="0"/>
        <w:spacing w:line="360" w:lineRule="auto"/>
        <w:ind w:firstLine="567"/>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6.1 本次招标适用的法律、法规为《中华人民共和国政府采购法》《中华人民共和国政府采购法实施条例》《政府采购货物和服务招标投标管理办法》《中华人民共和国民法典》以及其他相关政府采购法律法规。</w:t>
      </w:r>
    </w:p>
    <w:p w14:paraId="3CEF3FAB">
      <w:pPr>
        <w:kinsoku/>
        <w:wordWrap w:val="0"/>
        <w:spacing w:line="360" w:lineRule="auto"/>
        <w:ind w:firstLine="567"/>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4"/>
          <w:sz w:val="24"/>
          <w:szCs w:val="24"/>
          <w:lang w:eastAsia="zh-CN"/>
        </w:rPr>
        <w:t>6.2 “监督管理部门”是指</w:t>
      </w:r>
      <w:r>
        <w:rPr>
          <w:rFonts w:hint="eastAsia" w:asciiTheme="minorEastAsia" w:hAnsiTheme="minorEastAsia" w:eastAsiaTheme="minorEastAsia" w:cstheme="minorEastAsia"/>
          <w:spacing w:val="-2"/>
          <w:sz w:val="24"/>
          <w:szCs w:val="24"/>
          <w:u w:val="single"/>
          <w:lang w:eastAsia="zh-CN"/>
        </w:rPr>
        <w:t>南阳市财政局</w:t>
      </w:r>
      <w:r>
        <w:rPr>
          <w:rFonts w:hint="eastAsia" w:asciiTheme="minorEastAsia" w:hAnsiTheme="minorEastAsia" w:eastAsiaTheme="minorEastAsia" w:cstheme="minorEastAsia"/>
          <w:spacing w:val="-2"/>
          <w:sz w:val="24"/>
          <w:szCs w:val="24"/>
          <w:lang w:eastAsia="zh-CN"/>
        </w:rPr>
        <w:t>。</w:t>
      </w:r>
    </w:p>
    <w:p w14:paraId="0BAB303F">
      <w:pPr>
        <w:kinsoku/>
        <w:wordWrap w:val="0"/>
        <w:spacing w:line="360" w:lineRule="auto"/>
        <w:ind w:firstLine="567"/>
        <w:jc w:val="both"/>
        <w:rPr>
          <w:rFonts w:asciiTheme="minorEastAsia" w:hAnsiTheme="minorEastAsia" w:eastAsiaTheme="minorEastAsia" w:cstheme="minorEastAsia"/>
          <w:spacing w:val="-5"/>
          <w:sz w:val="28"/>
          <w:szCs w:val="28"/>
          <w:lang w:eastAsia="zh-CN"/>
          <w14:textOutline w14:w="1803"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lang w:eastAsia="zh-CN"/>
        </w:rPr>
        <w:t>6.3 “服务”指招标文件规定投标人应承担的</w:t>
      </w:r>
      <w:r>
        <w:rPr>
          <w:rFonts w:hint="eastAsia" w:asciiTheme="minorEastAsia" w:hAnsiTheme="minorEastAsia" w:eastAsiaTheme="minorEastAsia" w:cstheme="minorEastAsia"/>
          <w:spacing w:val="-2"/>
          <w:sz w:val="24"/>
          <w:szCs w:val="24"/>
          <w:u w:val="single"/>
          <w:lang w:eastAsia="zh-CN"/>
        </w:rPr>
        <w:t xml:space="preserve"> 会议定点 </w:t>
      </w:r>
      <w:r>
        <w:rPr>
          <w:rFonts w:hint="eastAsia" w:asciiTheme="minorEastAsia" w:hAnsiTheme="minorEastAsia" w:eastAsiaTheme="minorEastAsia" w:cstheme="minorEastAsia"/>
          <w:spacing w:val="-4"/>
          <w:sz w:val="24"/>
          <w:szCs w:val="24"/>
          <w:lang w:eastAsia="zh-CN"/>
        </w:rPr>
        <w:t>服务。</w:t>
      </w:r>
    </w:p>
    <w:p w14:paraId="56B77440">
      <w:pPr>
        <w:pStyle w:val="6"/>
        <w:kinsoku/>
        <w:wordWrap w:val="0"/>
        <w:spacing w:before="92" w:line="360" w:lineRule="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5"/>
          <w:sz w:val="28"/>
          <w:szCs w:val="28"/>
          <w:lang w:eastAsia="zh-CN"/>
          <w14:textOutline w14:w="1803" w14:cap="flat" w14:cmpd="sng" w14:algn="ctr">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lang w:eastAsia="zh-CN"/>
          <w14:textOutline w14:w="1803" w14:cap="flat" w14:cmpd="sng" w14:algn="ctr">
            <w14:solidFill>
              <w14:srgbClr w14:val="000000"/>
            </w14:solidFill>
            <w14:prstDash w14:val="solid"/>
            <w14:miter w14:val="0"/>
          </w14:textOutline>
        </w:rPr>
        <w:t>招标文件</w:t>
      </w:r>
    </w:p>
    <w:p w14:paraId="339D9E10">
      <w:pPr>
        <w:pStyle w:val="6"/>
        <w:kinsoku/>
        <w:wordWrap w:val="0"/>
        <w:spacing w:line="360" w:lineRule="auto"/>
        <w:ind w:firstLine="474" w:firstLineChars="200"/>
        <w:jc w:val="both"/>
        <w:rPr>
          <w:rFonts w:asciiTheme="minorEastAsia" w:hAnsiTheme="minorEastAsia" w:eastAsiaTheme="minorEastAsia" w:cstheme="minorEastAsia"/>
          <w:b/>
          <w:bCs/>
          <w:spacing w:val="-2"/>
          <w:sz w:val="24"/>
          <w:szCs w:val="24"/>
          <w:lang w:eastAsia="zh-CN"/>
        </w:rPr>
      </w:pPr>
      <w:r>
        <w:rPr>
          <w:rFonts w:hint="eastAsia" w:asciiTheme="minorEastAsia" w:hAnsiTheme="minorEastAsia" w:eastAsiaTheme="minorEastAsia" w:cstheme="minorEastAsia"/>
          <w:b/>
          <w:bCs/>
          <w:spacing w:val="-2"/>
          <w:sz w:val="24"/>
          <w:szCs w:val="24"/>
          <w:lang w:eastAsia="zh-CN"/>
        </w:rPr>
        <w:t>7.招标文件构成</w:t>
      </w:r>
    </w:p>
    <w:p w14:paraId="52E18662">
      <w:pPr>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7.1 招标文件包括以下部分：</w:t>
      </w:r>
    </w:p>
    <w:p w14:paraId="6298EE73">
      <w:pPr>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第一章 公开招标公告</w:t>
      </w:r>
    </w:p>
    <w:p w14:paraId="4C4601E9">
      <w:pPr>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第二章 采购需求</w:t>
      </w:r>
    </w:p>
    <w:p w14:paraId="795CA59B">
      <w:pPr>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第三章 投标人须知</w:t>
      </w:r>
    </w:p>
    <w:p w14:paraId="14D3255F">
      <w:pPr>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第四章 开、评标程序、评标方法和评标标准</w:t>
      </w:r>
    </w:p>
    <w:p w14:paraId="390F3D66">
      <w:pPr>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第五章 政府采购合同（草案）</w:t>
      </w:r>
    </w:p>
    <w:p w14:paraId="16AD1EA9">
      <w:pPr>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第六章 投标文件格式</w:t>
      </w:r>
    </w:p>
    <w:p w14:paraId="075B8EDE">
      <w:pPr>
        <w:pStyle w:val="6"/>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7.2 投标人应认真阅读招标文件的全部内容。投标人应按照招标文件要求提交投标文件并保证所提供的全部资料的真实性，并对招标文件做出实质性响应，否则投标无效。</w:t>
      </w:r>
    </w:p>
    <w:p w14:paraId="4FBE86D8">
      <w:pPr>
        <w:pStyle w:val="6"/>
        <w:kinsoku/>
        <w:wordWrap w:val="0"/>
        <w:spacing w:line="360" w:lineRule="auto"/>
        <w:ind w:firstLine="450"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b/>
          <w:bCs/>
          <w:spacing w:val="-8"/>
          <w:sz w:val="24"/>
          <w:szCs w:val="24"/>
          <w:lang w:eastAsia="zh-CN"/>
        </w:rPr>
        <w:t>8.对招标文件的澄清或修改</w:t>
      </w:r>
    </w:p>
    <w:p w14:paraId="4C519FB5">
      <w:pPr>
        <w:pStyle w:val="6"/>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8.1 采购人或采购代理机构对已发出的招标文件进行必要澄清或者修改的，将在原公告发布媒体上发布更正公告，不得改变采购标的和资格条件。</w:t>
      </w:r>
    </w:p>
    <w:p w14:paraId="06666120">
      <w:pPr>
        <w:pStyle w:val="6"/>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2036B739">
      <w:pPr>
        <w:pStyle w:val="6"/>
        <w:kinsoku/>
        <w:wordWrap w:val="0"/>
        <w:spacing w:line="360" w:lineRule="auto"/>
        <w:ind w:firstLine="450" w:firstLineChars="200"/>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14:paraId="2E806C6E">
      <w:pPr>
        <w:pStyle w:val="6"/>
        <w:kinsoku/>
        <w:wordWrap w:val="0"/>
        <w:spacing w:line="360" w:lineRule="auto"/>
        <w:ind w:firstLine="450" w:firstLineChars="200"/>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8.4 投标人应关注是否有发布最新的澄清更正公告和更正的最新招标文件（电子答疑文件），如有则需下载最新的招标文件，并在此基础上制作最新的投标文件并上传。</w:t>
      </w:r>
    </w:p>
    <w:p w14:paraId="58A1E6C5">
      <w:pPr>
        <w:pStyle w:val="6"/>
        <w:kinsoku/>
        <w:wordWrap w:val="0"/>
        <w:spacing w:line="360" w:lineRule="auto"/>
        <w:jc w:val="both"/>
        <w:rPr>
          <w:rFonts w:asciiTheme="minorEastAsia" w:hAnsiTheme="minorEastAsia" w:eastAsiaTheme="minorEastAsia" w:cstheme="minorEastAsia"/>
          <w:spacing w:val="-1"/>
          <w:sz w:val="28"/>
          <w:szCs w:val="28"/>
          <w:lang w:eastAsia="zh-CN"/>
          <w14:textOutline w14:w="1803" w14:cap="flat" w14:cmpd="sng" w14:algn="ctr">
            <w14:solidFill>
              <w14:srgbClr w14:val="000000"/>
            </w14:solidFill>
            <w14:prstDash w14:val="solid"/>
            <w14:miter w14:val="0"/>
          </w14:textOutline>
        </w:rPr>
      </w:pPr>
    </w:p>
    <w:p w14:paraId="1BE4B7B7">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8"/>
          <w:szCs w:val="28"/>
          <w:lang w:eastAsia="zh-CN"/>
          <w14:textOutline w14:w="1803" w14:cap="flat" w14:cmpd="sng" w14:algn="ctr">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lang w:eastAsia="zh-CN"/>
          <w14:textOutline w14:w="1803" w14:cap="flat" w14:cmpd="sng" w14:algn="ctr">
            <w14:solidFill>
              <w14:srgbClr w14:val="000000"/>
            </w14:solidFill>
            <w14:prstDash w14:val="solid"/>
            <w14:miter w14:val="0"/>
          </w14:textOutline>
        </w:rPr>
        <w:t>投标文件的编制</w:t>
      </w:r>
    </w:p>
    <w:p w14:paraId="72FD2141">
      <w:pPr>
        <w:kinsoku/>
        <w:wordWrap w:val="0"/>
        <w:spacing w:line="360" w:lineRule="auto"/>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9.投标范围、投标文件中计量单位的使用及投标语言</w:t>
      </w:r>
    </w:p>
    <w:p w14:paraId="3B80FC15">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9.1 本项目如划分采购包，投标人可以对本项目的其中一个采购包进行投标，也可同时对多个采购包进行投标。投标人应当对所投采购包对应第二章《采购需求》所列的全部内容进行投标，不得将一个采购包中的内容拆分投标，否则其对该采购包的投标将被认定为无效投标。</w:t>
      </w:r>
    </w:p>
    <w:p w14:paraId="0C76DC4D">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9.2 除招标文件有特殊要求外，本项目投标所使用的计量单位，应采用中华人民共和国法定计量单位。</w:t>
      </w:r>
    </w:p>
    <w:p w14:paraId="374DC406">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9.3 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04A2706">
      <w:pPr>
        <w:kinsoku/>
        <w:wordWrap w:val="0"/>
        <w:spacing w:line="360" w:lineRule="auto"/>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10.投标文件构成</w:t>
      </w:r>
    </w:p>
    <w:p w14:paraId="49D9198C">
      <w:pPr>
        <w:widowControl w:val="0"/>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10.1 投标人应当按照招标文件的要求编制投标文件。投标文件应由《开标一览表及资格证明文件》、《商务技术文件》两部分构成。投标文件的部分格式要求，见第六章《投标文件格式》。如有漏项或评标委员会认为其投标文件有明显缺陷的，造成的后果由投标人自己承担。</w:t>
      </w:r>
    </w:p>
    <w:p w14:paraId="4D1E1C8A">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10.2 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14:paraId="04B018AC">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10.3 电子投标文件应使用CA数字证书生成并在截止时间前上传其加密版本，根据招标文件中规定的下载平台要求，具体详见《投标文件制作工具操作手册》。</w:t>
      </w:r>
      <w:r>
        <w:rPr>
          <w:rFonts w:hint="eastAsia" w:asciiTheme="minorEastAsia" w:hAnsiTheme="minorEastAsia" w:eastAsiaTheme="minorEastAsia" w:cstheme="minorEastAsia"/>
          <w:b/>
          <w:bCs/>
          <w:sz w:val="24"/>
          <w:szCs w:val="24"/>
          <w:lang w:eastAsia="zh-CN"/>
        </w:rPr>
        <w:t>否则，被视为无效投标文件，将被平台系统拒绝。</w:t>
      </w:r>
    </w:p>
    <w:p w14:paraId="2946CBB4">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10.4 第四章《开评标程序、评标方法和评标标准》中涉及的证明文件。</w:t>
      </w:r>
    </w:p>
    <w:p w14:paraId="02854D9A">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10.5 对照第二章《采购需求》，说明所提供货物和服务已对第二章《采购需求》做出了响应，或申明与第二章《采购需求》的偏差和例外。如第二章《采购需求》中要求提供证明文件的，投标人应当按具体要求提供证明文件。</w:t>
      </w:r>
    </w:p>
    <w:p w14:paraId="309FC27F">
      <w:pPr>
        <w:kinsoku/>
        <w:wordWrap w:val="0"/>
        <w:spacing w:line="360" w:lineRule="auto"/>
        <w:ind w:firstLine="480" w:firstLineChars="200"/>
        <w:jc w:val="both"/>
        <w:rPr>
          <w:rFonts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lang w:eastAsia="zh-CN"/>
        </w:rPr>
        <w:t>10.6 投标人编制投标文件时，涉及营业执照、资质、业绩、财务、社保、纳税及各类证书、报告等内容，必须是原件的扫描件。</w:t>
      </w:r>
    </w:p>
    <w:p w14:paraId="68CAFE3A">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10.7 投标人认为应附的其他材料。</w:t>
      </w:r>
    </w:p>
    <w:p w14:paraId="35BF2844">
      <w:pPr>
        <w:kinsoku/>
        <w:wordWrap w:val="0"/>
        <w:spacing w:line="360" w:lineRule="auto"/>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11.投标报价</w:t>
      </w:r>
    </w:p>
    <w:p w14:paraId="0B8BBDFB">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11.1 所有投标均以人民币报价。</w:t>
      </w:r>
    </w:p>
    <w:p w14:paraId="50DB1FBC">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 投标人的报价应包括为完成本项目所发生的一切费用和税费，采购人将不再支付报价以外的任何费用。投标人的报价应包括但不限于下列内容，招标文件中有特殊规定的，从其规定。</w:t>
      </w:r>
    </w:p>
    <w:p w14:paraId="72E635CD">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718B9A9C">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（2）服务项目按照招标文件要求完成本项目的全部相关费用。</w:t>
      </w:r>
    </w:p>
    <w:p w14:paraId="730F2E83">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11.3 采购人不得向供应商索要或者接受其给予的赠品、回扣或者与采购无关的其他商品、服务。</w:t>
      </w:r>
    </w:p>
    <w:p w14:paraId="080F0B8B">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11.4 投标人不能提供任何有选择性或可调整的报价（招标文件另有规定的除外），否则其投标无效。</w:t>
      </w:r>
    </w:p>
    <w:p w14:paraId="168EF489">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11.5 本次招标设有预算，投标人报价超过预算的，评标委员会将不予评议。</w:t>
      </w:r>
    </w:p>
    <w:p w14:paraId="4A2D2AEA">
      <w:pPr>
        <w:kinsoku/>
        <w:wordWrap w:val="0"/>
        <w:spacing w:line="360" w:lineRule="auto"/>
        <w:ind w:firstLine="48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11.6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FB4AA64">
      <w:pPr>
        <w:kinsoku/>
        <w:wordWrap w:val="0"/>
        <w:spacing w:line="360" w:lineRule="auto"/>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12.投标有效期</w:t>
      </w:r>
    </w:p>
    <w:p w14:paraId="2BDAB07B">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12.1 投标文件应在本招标文件《投标人须知表》中规定的投标有效期内保持有效，投标有效期少于招标文件规定期限的，其投标无效。中标人的投标有效期延长至项目验收合格之日。</w:t>
      </w:r>
    </w:p>
    <w:p w14:paraId="6483F3D8">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12.2 特别情况下，采购代理机构、采购人可于投标有效期满之前要求投标人同意延长有效期，要求与答复均为书面形式。投标人可以拒绝上述要求。对于同意该要求的投标人，既不要求也不允许其修改投标文件。</w:t>
      </w:r>
    </w:p>
    <w:p w14:paraId="22318424">
      <w:pPr>
        <w:kinsoku/>
        <w:wordWrap w:val="0"/>
        <w:spacing w:line="360" w:lineRule="auto"/>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13.投标文件的签署、盖章</w:t>
      </w:r>
    </w:p>
    <w:p w14:paraId="4DDCA8C2">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13.1 电子投标文件必须在规定签章处电子签章或手写签字后扫描上传进投标文件。</w:t>
      </w:r>
    </w:p>
    <w:p w14:paraId="5F3C8527">
      <w:pPr>
        <w:kinsoku/>
        <w:wordWrap w:val="0"/>
        <w:spacing w:line="360" w:lineRule="auto"/>
        <w:ind w:firstLine="480" w:firstLineChars="20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sz w:val="24"/>
          <w:szCs w:val="24"/>
          <w:lang w:eastAsia="zh-CN"/>
        </w:rPr>
        <w:t>13.2 招标文件要求盖章的内容，一般通过CA加盖电子签章。</w:t>
      </w:r>
    </w:p>
    <w:p w14:paraId="401668B1">
      <w:pPr>
        <w:pStyle w:val="6"/>
        <w:kinsoku/>
        <w:wordWrap w:val="0"/>
        <w:spacing w:line="360" w:lineRule="auto"/>
        <w:jc w:val="both"/>
        <w:rPr>
          <w:rFonts w:asciiTheme="minorEastAsia" w:hAnsiTheme="minorEastAsia" w:eastAsiaTheme="minorEastAsia" w:cstheme="minorEastAsia"/>
          <w:b/>
          <w:bCs/>
          <w:spacing w:val="1"/>
          <w:sz w:val="24"/>
          <w:szCs w:val="24"/>
          <w:lang w:eastAsia="zh-CN"/>
        </w:rPr>
      </w:pPr>
      <w:r>
        <w:rPr>
          <w:rFonts w:hint="eastAsia" w:asciiTheme="minorEastAsia" w:hAnsiTheme="minorEastAsia" w:eastAsiaTheme="minorEastAsia" w:cstheme="minorEastAsia"/>
          <w:sz w:val="28"/>
          <w:szCs w:val="28"/>
          <w:lang w:eastAsia="zh-CN"/>
          <w14:textOutline w14:w="1803" w14:cap="flat" w14:cmpd="sng" w14:algn="ctr">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14:textOutline w14:w="1803" w14:cap="flat" w14:cmpd="sng" w14:algn="ctr">
            <w14:solidFill>
              <w14:srgbClr w14:val="000000"/>
            </w14:solidFill>
            <w14:prstDash w14:val="solid"/>
            <w14:miter w14:val="0"/>
          </w14:textOutline>
        </w:rPr>
        <w:t>投标文件的提交</w:t>
      </w:r>
    </w:p>
    <w:p w14:paraId="4A451A54">
      <w:pPr>
        <w:kinsoku/>
        <w:wordWrap w:val="0"/>
        <w:spacing w:line="360" w:lineRule="auto"/>
        <w:ind w:firstLine="486"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14.投标文件的提交</w:t>
      </w:r>
    </w:p>
    <w:p w14:paraId="1742E31C">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14.1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74BED354">
      <w:pPr>
        <w:pStyle w:val="6"/>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14.2 采购人及采购代理机构拒绝接受通过电子交易平台以外任何形式提交的投标文件。</w:t>
      </w:r>
    </w:p>
    <w:p w14:paraId="61AA7C30">
      <w:pPr>
        <w:pStyle w:val="6"/>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15.投标截止时间</w:t>
      </w:r>
    </w:p>
    <w:p w14:paraId="59A20136">
      <w:pPr>
        <w:pStyle w:val="6"/>
        <w:kinsoku/>
        <w:wordWrap w:val="0"/>
        <w:spacing w:line="360" w:lineRule="auto"/>
        <w:ind w:firstLine="49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lang w:eastAsia="zh-CN"/>
        </w:rPr>
        <w:t>子交易平台。</w:t>
      </w:r>
    </w:p>
    <w:p w14:paraId="6FB2E42D">
      <w:pPr>
        <w:pStyle w:val="6"/>
        <w:kinsoku/>
        <w:wordWrap w:val="0"/>
        <w:spacing w:line="360" w:lineRule="auto"/>
        <w:ind w:firstLine="478"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16.投标文件的修改与撤回</w:t>
      </w:r>
    </w:p>
    <w:p w14:paraId="5EB30549">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0CEAB652">
      <w:pPr>
        <w:pStyle w:val="6"/>
        <w:kinsoku/>
        <w:wordWrap w:val="0"/>
        <w:spacing w:line="219" w:lineRule="auto"/>
        <w:jc w:val="both"/>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5E56246A">
      <w:pPr>
        <w:pStyle w:val="6"/>
        <w:kinsoku/>
        <w:wordWrap w:val="0"/>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26620CE0">
      <w:pPr>
        <w:pStyle w:val="6"/>
        <w:kinsoku/>
        <w:wordWrap w:val="0"/>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55C9A08C">
      <w:pPr>
        <w:pStyle w:val="6"/>
        <w:kinsoku/>
        <w:wordWrap w:val="0"/>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3AA1DC23">
      <w:pPr>
        <w:pStyle w:val="6"/>
        <w:kinsoku/>
        <w:wordWrap w:val="0"/>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7DEBB7E7">
      <w:pPr>
        <w:pStyle w:val="6"/>
        <w:kinsoku/>
        <w:wordWrap w:val="0"/>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7B3C4689">
      <w:pPr>
        <w:pStyle w:val="6"/>
        <w:kinsoku/>
        <w:wordWrap w:val="0"/>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27AF878D">
      <w:pPr>
        <w:pStyle w:val="6"/>
        <w:kinsoku/>
        <w:wordWrap w:val="0"/>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418B3CCE">
      <w:pPr>
        <w:pStyle w:val="6"/>
        <w:kinsoku/>
        <w:wordWrap w:val="0"/>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367F0135">
      <w:pPr>
        <w:pStyle w:val="6"/>
        <w:kinsoku/>
        <w:wordWrap w:val="0"/>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0B4F7C27">
      <w:pPr>
        <w:pStyle w:val="6"/>
        <w:kinsoku/>
        <w:wordWrap w:val="0"/>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41096346">
      <w:pPr>
        <w:pStyle w:val="6"/>
        <w:kinsoku/>
        <w:wordWrap w:val="0"/>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31C7D3FA">
      <w:pPr>
        <w:pStyle w:val="6"/>
        <w:kinsoku/>
        <w:wordWrap w:val="0"/>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5626D405">
      <w:pPr>
        <w:pStyle w:val="6"/>
        <w:kinsoku/>
        <w:wordWrap w:val="0"/>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56BD7466">
      <w:pPr>
        <w:pStyle w:val="6"/>
        <w:kinsoku/>
        <w:wordWrap w:val="0"/>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685E4D0D">
      <w:pPr>
        <w:pStyle w:val="6"/>
        <w:kinsoku/>
        <w:wordWrap w:val="0"/>
        <w:spacing w:before="353" w:line="360" w:lineRule="auto"/>
        <w:jc w:val="center"/>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第四章 开、评标程序、评标方法和评标标准</w:t>
      </w:r>
    </w:p>
    <w:p w14:paraId="32394D8E">
      <w:pPr>
        <w:pStyle w:val="6"/>
        <w:kinsoku/>
        <w:wordWrap w:val="0"/>
        <w:spacing w:before="255" w:line="221" w:lineRule="auto"/>
        <w:ind w:left="3942"/>
        <w:jc w:val="both"/>
        <w:outlineLvl w:val="2"/>
        <w:rPr>
          <w:rFonts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pPr>
    </w:p>
    <w:p w14:paraId="014C66DC">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一、开标</w:t>
      </w:r>
    </w:p>
    <w:p w14:paraId="45E80022">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1.采购人或采购代理机构按招标公告中规定的时间开标，本项目使用不见面开标，投标人无需到开标现场。</w:t>
      </w:r>
    </w:p>
    <w:p w14:paraId="79706D8D">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2.开标：</w:t>
      </w:r>
    </w:p>
    <w:p w14:paraId="29AECDB6">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615E7A50">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645DB37D">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2.3 宣布开标结束。</w:t>
      </w:r>
    </w:p>
    <w:p w14:paraId="63B1BB98">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p>
    <w:p w14:paraId="21561043">
      <w:pPr>
        <w:pStyle w:val="6"/>
        <w:kinsoku/>
        <w:wordWrap w:val="0"/>
        <w:spacing w:line="360" w:lineRule="auto"/>
        <w:jc w:val="both"/>
        <w:outlineLvl w:val="2"/>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二、资格审查</w:t>
      </w:r>
    </w:p>
    <w:p w14:paraId="6313D690">
      <w:pPr>
        <w:pStyle w:val="6"/>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1.开标结束后，采购人或采购代理机构将根据资格审查要求中的规定，对投标人进行资格审查，并形成资格审查结果。</w:t>
      </w:r>
    </w:p>
    <w:p w14:paraId="566F6E6B">
      <w:pPr>
        <w:pStyle w:val="6"/>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2.投标人《资格证明文件》有任何一项不符合《资格审查要求》的，资格审查不合格，其投标无效。</w:t>
      </w:r>
    </w:p>
    <w:p w14:paraId="4A504A3A">
      <w:pPr>
        <w:pStyle w:val="6"/>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3.资格审查合格的投标人不足3家的，不进行评标。</w:t>
      </w:r>
    </w:p>
    <w:p w14:paraId="31A94FD6">
      <w:pPr>
        <w:pStyle w:val="24"/>
      </w:pPr>
    </w:p>
    <w:p w14:paraId="7B77D75D">
      <w:pPr>
        <w:pStyle w:val="24"/>
      </w:pPr>
    </w:p>
    <w:p w14:paraId="7217ECAF">
      <w:pPr>
        <w:pStyle w:val="24"/>
      </w:pPr>
    </w:p>
    <w:p w14:paraId="674EDE9F">
      <w:pPr>
        <w:pStyle w:val="24"/>
      </w:pPr>
    </w:p>
    <w:p w14:paraId="5C4B0C37">
      <w:pPr>
        <w:pStyle w:val="24"/>
      </w:pPr>
    </w:p>
    <w:p w14:paraId="6D9C5982">
      <w:pPr>
        <w:pStyle w:val="24"/>
      </w:pPr>
    </w:p>
    <w:p w14:paraId="2A76D1FC">
      <w:pPr>
        <w:pStyle w:val="24"/>
      </w:pPr>
    </w:p>
    <w:p w14:paraId="6790211A">
      <w:pPr>
        <w:pStyle w:val="24"/>
      </w:pPr>
    </w:p>
    <w:p w14:paraId="5F4DEE16">
      <w:pPr>
        <w:pStyle w:val="24"/>
      </w:pPr>
    </w:p>
    <w:p w14:paraId="2CCB1B1D">
      <w:pPr>
        <w:pStyle w:val="24"/>
      </w:pPr>
    </w:p>
    <w:p w14:paraId="6D1BD614">
      <w:pPr>
        <w:pStyle w:val="6"/>
        <w:kinsoku/>
        <w:wordWrap w:val="0"/>
        <w:spacing w:before="79" w:line="220" w:lineRule="auto"/>
        <w:jc w:val="center"/>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6" w14:cap="flat" w14:cmpd="sng" w14:algn="ctr">
            <w14:solidFill>
              <w14:srgbClr w14:val="000000"/>
            </w14:solidFill>
            <w14:prstDash w14:val="solid"/>
            <w14:miter w14:val="0"/>
          </w14:textOutline>
        </w:rPr>
        <w:t>资格审查要求</w:t>
      </w:r>
    </w:p>
    <w:p w14:paraId="35EBB89D">
      <w:pPr>
        <w:kinsoku/>
        <w:wordWrap w:val="0"/>
        <w:spacing w:line="146" w:lineRule="exact"/>
        <w:jc w:val="both"/>
        <w:rPr>
          <w:rFonts w:asciiTheme="minorEastAsia" w:hAnsiTheme="minorEastAsia" w:eastAsiaTheme="minorEastAsia" w:cstheme="minorEastAsia"/>
        </w:rPr>
      </w:pPr>
    </w:p>
    <w:tbl>
      <w:tblPr>
        <w:tblStyle w:val="25"/>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236FA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tcPr>
          <w:p w14:paraId="0B2E0732">
            <w:pPr>
              <w:kinsoku/>
              <w:wordWrap w:val="0"/>
              <w:spacing w:before="119" w:line="222"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6" w14:cap="flat" w14:cmpd="sng" w14:algn="ctr">
                  <w14:solidFill>
                    <w14:srgbClr w14:val="000000"/>
                  </w14:solidFill>
                  <w14:prstDash w14:val="solid"/>
                  <w14:miter w14:val="0"/>
                </w14:textOutline>
              </w:rPr>
              <w:t>序号</w:t>
            </w:r>
          </w:p>
        </w:tc>
        <w:tc>
          <w:tcPr>
            <w:tcW w:w="1061" w:type="dxa"/>
          </w:tcPr>
          <w:p w14:paraId="0455C093">
            <w:pPr>
              <w:kinsoku/>
              <w:wordWrap w:val="0"/>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审查因素</w:t>
            </w:r>
          </w:p>
        </w:tc>
        <w:tc>
          <w:tcPr>
            <w:tcW w:w="3600" w:type="dxa"/>
          </w:tcPr>
          <w:p w14:paraId="08A63B61">
            <w:pPr>
              <w:kinsoku/>
              <w:wordWrap w:val="0"/>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审查内容</w:t>
            </w:r>
          </w:p>
        </w:tc>
        <w:tc>
          <w:tcPr>
            <w:tcW w:w="2967" w:type="dxa"/>
          </w:tcPr>
          <w:p w14:paraId="5DC6EE3C">
            <w:pPr>
              <w:kinsoku/>
              <w:wordWrap w:val="0"/>
              <w:spacing w:before="119" w:line="22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备注</w:t>
            </w:r>
          </w:p>
        </w:tc>
      </w:tr>
      <w:tr w14:paraId="39112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23615BB0">
            <w:pPr>
              <w:pStyle w:val="26"/>
              <w:kinsoku/>
              <w:wordWrap w:val="0"/>
              <w:spacing w:line="454" w:lineRule="auto"/>
              <w:jc w:val="both"/>
              <w:rPr>
                <w:rFonts w:asciiTheme="minorEastAsia" w:hAnsiTheme="minorEastAsia" w:eastAsiaTheme="minorEastAsia" w:cstheme="minorEastAsia"/>
              </w:rPr>
            </w:pPr>
          </w:p>
          <w:p w14:paraId="58AD8E82">
            <w:pPr>
              <w:pStyle w:val="26"/>
              <w:kinsoku/>
              <w:wordWrap w:val="0"/>
              <w:spacing w:before="69" w:line="199" w:lineRule="auto"/>
              <w:ind w:left="37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2D32EBA0">
            <w:pPr>
              <w:kinsoku/>
              <w:wordWrap w:val="0"/>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满足第一章《公开招标公告》投标人具备的资格要求</w:t>
            </w:r>
          </w:p>
        </w:tc>
        <w:tc>
          <w:tcPr>
            <w:tcW w:w="3600" w:type="dxa"/>
          </w:tcPr>
          <w:p w14:paraId="17373D69">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4"/>
                <w:sz w:val="24"/>
                <w:szCs w:val="24"/>
                <w:lang w:eastAsia="zh-CN"/>
              </w:rPr>
              <w:t>1.</w:t>
            </w:r>
            <w:r>
              <w:rPr>
                <w:rFonts w:hint="eastAsia" w:asciiTheme="minorEastAsia" w:hAnsiTheme="minorEastAsia" w:eastAsiaTheme="minorEastAsia" w:cstheme="minorEastAsia"/>
                <w:spacing w:val="-2"/>
                <w:sz w:val="24"/>
                <w:szCs w:val="24"/>
                <w:lang w:eastAsia="zh-CN"/>
              </w:rPr>
              <w:t>注册于中华人民共和国境内，具有独立承担民事责任能力；</w:t>
            </w:r>
          </w:p>
          <w:p w14:paraId="76DD3F17">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2.具有良好的商业信誉和健全的财务会计制度；</w:t>
            </w:r>
          </w:p>
          <w:p w14:paraId="5CC8FBAA">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3.具有履行合同所必需的设备和专业技术能力；</w:t>
            </w:r>
          </w:p>
          <w:p w14:paraId="1E89A336">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4.有依法缴纳税收和社会保障资金的良好记录；</w:t>
            </w:r>
          </w:p>
          <w:p w14:paraId="68A61D5C">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5.</w:t>
            </w:r>
            <w:r>
              <w:rPr>
                <w:rFonts w:hint="eastAsia" w:asciiTheme="minorEastAsia" w:hAnsiTheme="minorEastAsia" w:eastAsiaTheme="minorEastAsia" w:cstheme="minorEastAsia"/>
                <w:spacing w:val="-14"/>
                <w:sz w:val="24"/>
                <w:szCs w:val="24"/>
                <w:lang w:eastAsia="zh-CN"/>
              </w:rPr>
              <w:t>参加政府采购活动前三年内，在经营活动中没有重大违法记录；</w:t>
            </w:r>
          </w:p>
          <w:p w14:paraId="57124E8F">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AC3EA40">
            <w:pPr>
              <w:kinsoku/>
              <w:wordWrap w:val="0"/>
              <w:spacing w:before="32" w:line="232" w:lineRule="auto"/>
              <w:ind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7.遵守国家有关法律、法规、规章。</w:t>
            </w:r>
          </w:p>
          <w:p w14:paraId="12CACD4B">
            <w:pPr>
              <w:pStyle w:val="17"/>
              <w:ind w:left="0" w:leftChars="0" w:firstLine="0" w:firstLineChars="0"/>
            </w:pPr>
            <w:r>
              <w:rPr>
                <w:rFonts w:hint="eastAsia" w:asciiTheme="minorEastAsia" w:hAnsiTheme="minorEastAsia" w:eastAsiaTheme="minorEastAsia" w:cstheme="minorEastAsia"/>
                <w:spacing w:val="-2"/>
                <w:sz w:val="24"/>
                <w:szCs w:val="24"/>
              </w:rPr>
              <w:t>8.</w:t>
            </w:r>
            <w:r>
              <w:rPr>
                <w:rFonts w:hint="eastAsia" w:asciiTheme="minorEastAsia" w:hAnsiTheme="minorEastAsia" w:eastAsiaTheme="minorEastAsia" w:cstheme="minorEastAsia"/>
                <w:spacing w:val="-14"/>
                <w:kern w:val="0"/>
                <w:sz w:val="24"/>
                <w:szCs w:val="24"/>
              </w:rPr>
              <w:t>具有工商行政管理部门颁发的有效三证合一营业执照、公安部门核发的特种行业许可证、具有消防部门出具的消防检查合格证明或检查意见书；卫生防疫部门核发的卫生许可证、</w:t>
            </w:r>
            <w:r>
              <w:rPr>
                <w:rFonts w:hint="eastAsia" w:asciiTheme="minorEastAsia" w:hAnsiTheme="minorEastAsia" w:eastAsiaTheme="minorEastAsia" w:cstheme="minorEastAsia"/>
                <w:color w:val="auto"/>
                <w:spacing w:val="-14"/>
                <w:kern w:val="0"/>
                <w:sz w:val="24"/>
                <w:szCs w:val="24"/>
              </w:rPr>
              <w:t>旅游管理部门核发的星级资质证书或具有评定星级标准实力的宾馆、饭店以相应市县区旅游主管部门出具的相关证明文件为依据</w:t>
            </w:r>
          </w:p>
        </w:tc>
        <w:tc>
          <w:tcPr>
            <w:tcW w:w="2967" w:type="dxa"/>
          </w:tcPr>
          <w:p w14:paraId="1A0D6C64">
            <w:pPr>
              <w:kinsoku/>
              <w:wordWrap w:val="0"/>
              <w:spacing w:before="32" w:line="232" w:lineRule="auto"/>
              <w:ind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投标人为企业（包括合伙企业、个体工商户）的，应提供有效的营业执照；</w:t>
            </w:r>
          </w:p>
          <w:p w14:paraId="233A54C1">
            <w:pPr>
              <w:kinsoku/>
              <w:wordWrap w:val="0"/>
              <w:spacing w:before="32" w:line="232" w:lineRule="auto"/>
              <w:ind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投标人为事业单位的，应提供有效的事业单位法人证书；</w:t>
            </w:r>
          </w:p>
          <w:p w14:paraId="701EE889">
            <w:pPr>
              <w:kinsoku/>
              <w:wordWrap w:val="0"/>
              <w:spacing w:before="32" w:line="232" w:lineRule="auto"/>
              <w:ind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投标人是非企业机构的，应提供有效的执业许可证、登记证书等证明文件；</w:t>
            </w:r>
          </w:p>
          <w:p w14:paraId="5DBD0DFC">
            <w:pPr>
              <w:kinsoku/>
              <w:wordWrap w:val="0"/>
              <w:spacing w:before="32" w:line="232" w:lineRule="auto"/>
              <w:ind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投标人是自然人的，应提供有效的自然人身份证明。</w:t>
            </w:r>
          </w:p>
          <w:p w14:paraId="1CD94426">
            <w:pPr>
              <w:kinsoku/>
              <w:wordWrap w:val="0"/>
              <w:spacing w:before="32" w:line="232" w:lineRule="auto"/>
              <w:ind w:right="105"/>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spacing w:val="-2"/>
                <w:sz w:val="24"/>
                <w:szCs w:val="24"/>
                <w:lang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bl>
    <w:p w14:paraId="33FE0C45">
      <w:pPr>
        <w:widowControl w:val="0"/>
        <w:kinsoku/>
        <w:wordWrap w:val="0"/>
        <w:snapToGrid/>
        <w:spacing w:line="360" w:lineRule="auto"/>
        <w:ind w:firstLine="482" w:firstLineChars="200"/>
        <w:jc w:val="both"/>
        <w:textAlignment w:val="auto"/>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z w:val="24"/>
          <w:szCs w:val="24"/>
          <w:lang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0BFB7A1B">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3D383367">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三、评标委员会</w:t>
      </w:r>
    </w:p>
    <w:p w14:paraId="530F19A9">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65CBCC88">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2DB7DF5C">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3.评标委员会应当严格遵守评审纪律，现场签订评审委员会评审承诺书，并按照客观、公正、审慎的原则，根据采购文件规定的评审程序、评审方法和评审标准进行独立评审。</w:t>
      </w:r>
    </w:p>
    <w:p w14:paraId="5A972870">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4.评标委员会应当在评审报告上签字，对自己评审意见承担法律责任。</w:t>
      </w:r>
    </w:p>
    <w:p w14:paraId="445F7B06">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5.评审专家未完成评审工作擅自离开评审现场，或者在评审活动中有违法违规行为的，不得获取劳务报酬和报销异地评审差旅费。评审专家以外的其他人员不得获取评审劳务报酬。</w:t>
      </w:r>
    </w:p>
    <w:p w14:paraId="4FAA3C31">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273D216">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7.评标委员会或者其成员存在下列情形导致评标结果无效的，采购人、采购代理机构可以重新组建评标委员会进行评标，并书面报告本级财政部门，但采购合同已经履行的除外：</w:t>
      </w:r>
    </w:p>
    <w:p w14:paraId="2C48D704">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（1）评标委员会组成不符合本办法规定的;</w:t>
      </w:r>
    </w:p>
    <w:p w14:paraId="3269E0E1">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（2）政府采购货物和服务招标投标管理办法（87号令）第六十二条第一至五项情形的;</w:t>
      </w:r>
    </w:p>
    <w:p w14:paraId="4383C415">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（3）评标委员会及其成员独立评标受到非法干预的;</w:t>
      </w:r>
    </w:p>
    <w:p w14:paraId="693EEDE7">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（4）有政府采购法实施条例第七十五条规定的违法行为的。</w:t>
      </w:r>
    </w:p>
    <w:p w14:paraId="1EDE3BC2">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有违法违规行为的原评标委员会成员不得参加重新组建的评标委员会。</w:t>
      </w:r>
    </w:p>
    <w:p w14:paraId="4C186693">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8.评审活动结束，按照《河南省政府采购评审专家劳务报酬支付标准》的通知(豫财购〔2017〕9号)的规定，发放劳务报酬。</w:t>
      </w:r>
    </w:p>
    <w:p w14:paraId="580783B3">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p>
    <w:p w14:paraId="5F1CABCB">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四、投标文件的审查</w:t>
      </w:r>
    </w:p>
    <w:p w14:paraId="766AB23A">
      <w:pPr>
        <w:pStyle w:val="6"/>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1.投标文件的符合性审查</w:t>
      </w:r>
    </w:p>
    <w:p w14:paraId="7EB4C974">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1.1 评标委员会对资格审查合格的投标人的投标文件进行符合性审查，以确定其是否满足招标文件的实质性要求。</w:t>
      </w:r>
    </w:p>
    <w:p w14:paraId="30DFEE28">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1.2 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3F3F58F2">
      <w:pPr>
        <w:rPr>
          <w:lang w:eastAsia="zh-CN"/>
        </w:rPr>
      </w:pPr>
    </w:p>
    <w:p w14:paraId="768D2F33">
      <w:pPr>
        <w:pStyle w:val="17"/>
        <w:ind w:firstLine="560"/>
      </w:pPr>
    </w:p>
    <w:p w14:paraId="37193350">
      <w:pPr>
        <w:pStyle w:val="6"/>
        <w:kinsoku/>
        <w:wordWrap w:val="0"/>
        <w:spacing w:before="178" w:line="220" w:lineRule="auto"/>
        <w:ind w:left="364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6" w14:cap="flat" w14:cmpd="sng" w14:algn="ctr">
            <w14:solidFill>
              <w14:srgbClr w14:val="000000"/>
            </w14:solidFill>
            <w14:prstDash w14:val="solid"/>
            <w14:miter w14:val="0"/>
          </w14:textOutline>
        </w:rPr>
        <w:t>符合性审查要求</w:t>
      </w:r>
    </w:p>
    <w:p w14:paraId="757D2F89">
      <w:pPr>
        <w:kinsoku/>
        <w:wordWrap w:val="0"/>
        <w:spacing w:line="145" w:lineRule="exact"/>
        <w:jc w:val="both"/>
        <w:rPr>
          <w:rFonts w:asciiTheme="minorEastAsia" w:hAnsiTheme="minorEastAsia" w:eastAsiaTheme="minorEastAsia" w:cstheme="minorEastAsia"/>
        </w:rPr>
      </w:pPr>
    </w:p>
    <w:tbl>
      <w:tblPr>
        <w:tblStyle w:val="25"/>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135BC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tcPr>
          <w:p w14:paraId="0C58F757">
            <w:pPr>
              <w:kinsoku/>
              <w:wordWrap w:val="0"/>
              <w:spacing w:before="41" w:line="207" w:lineRule="auto"/>
              <w:ind w:left="143"/>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6" w14:cap="flat" w14:cmpd="sng" w14:algn="ctr">
                  <w14:solidFill>
                    <w14:srgbClr w14:val="000000"/>
                  </w14:solidFill>
                  <w14:prstDash w14:val="solid"/>
                  <w14:miter w14:val="0"/>
                </w14:textOutline>
              </w:rPr>
              <w:t>序号</w:t>
            </w:r>
          </w:p>
        </w:tc>
        <w:tc>
          <w:tcPr>
            <w:tcW w:w="1812" w:type="dxa"/>
          </w:tcPr>
          <w:p w14:paraId="4B912FEF">
            <w:pPr>
              <w:kinsoku/>
              <w:wordWrap w:val="0"/>
              <w:spacing w:before="41" w:line="207" w:lineRule="auto"/>
              <w:ind w:left="439"/>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审查因素</w:t>
            </w:r>
          </w:p>
        </w:tc>
        <w:tc>
          <w:tcPr>
            <w:tcW w:w="5791" w:type="dxa"/>
          </w:tcPr>
          <w:p w14:paraId="5A1EEF90">
            <w:pPr>
              <w:kinsoku/>
              <w:wordWrap w:val="0"/>
              <w:spacing w:before="41" w:line="207" w:lineRule="auto"/>
              <w:ind w:left="289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审查内容</w:t>
            </w:r>
          </w:p>
        </w:tc>
      </w:tr>
      <w:tr w14:paraId="3C75D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7480D9A8">
            <w:pPr>
              <w:pStyle w:val="26"/>
              <w:kinsoku/>
              <w:wordWrap w:val="0"/>
              <w:spacing w:before="245" w:line="199" w:lineRule="auto"/>
              <w:ind w:left="32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tcPr>
          <w:p w14:paraId="1B670CB8">
            <w:pPr>
              <w:kinsoku/>
              <w:wordWrap w:val="0"/>
              <w:spacing w:before="222" w:line="219" w:lineRule="auto"/>
              <w:ind w:left="111"/>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tcPr>
          <w:p w14:paraId="03737B19">
            <w:pPr>
              <w:kinsoku/>
              <w:wordWrap w:val="0"/>
              <w:spacing w:before="222" w:line="184" w:lineRule="auto"/>
              <w:ind w:left="11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按招标文件要求提供授权委托书。</w:t>
            </w:r>
          </w:p>
        </w:tc>
      </w:tr>
      <w:tr w14:paraId="3BC4F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4F3F3C19">
            <w:pPr>
              <w:pStyle w:val="26"/>
              <w:kinsoku/>
              <w:wordWrap w:val="0"/>
              <w:spacing w:before="244" w:line="201" w:lineRule="auto"/>
              <w:ind w:left="3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10EDD9DB">
            <w:pPr>
              <w:kinsoku/>
              <w:wordWrap w:val="0"/>
              <w:spacing w:before="223" w:line="220"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58B5FA45">
            <w:pPr>
              <w:kinsoku/>
              <w:wordWrap w:val="0"/>
              <w:spacing w:before="222" w:line="184" w:lineRule="auto"/>
              <w:ind w:left="116"/>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未将一个采购包中的内容拆分投标；</w:t>
            </w:r>
          </w:p>
          <w:p w14:paraId="6340B31A">
            <w:pPr>
              <w:kinsoku/>
              <w:wordWrap w:val="0"/>
              <w:spacing w:before="222" w:line="184" w:lineRule="auto"/>
              <w:ind w:left="11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2721E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5CD597E4">
            <w:pPr>
              <w:pStyle w:val="26"/>
              <w:kinsoku/>
              <w:wordWrap w:val="0"/>
              <w:spacing w:before="245" w:line="201" w:lineRule="auto"/>
              <w:ind w:left="31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tcPr>
          <w:p w14:paraId="19320EB9">
            <w:pPr>
              <w:kinsoku/>
              <w:wordWrap w:val="0"/>
              <w:spacing w:before="221" w:line="219"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tcPr>
          <w:p w14:paraId="0572CB47">
            <w:pPr>
              <w:pStyle w:val="26"/>
              <w:kinsoku/>
              <w:wordWrap w:val="0"/>
              <w:spacing w:before="69" w:line="228" w:lineRule="auto"/>
              <w:ind w:left="117" w:right="29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投标报价未超过招标文件中规定的项目/采购包预算金额或者</w:t>
            </w:r>
            <w:r>
              <w:rPr>
                <w:rFonts w:hint="eastAsia" w:asciiTheme="minorEastAsia" w:hAnsiTheme="minorEastAsia" w:eastAsiaTheme="minorEastAsia" w:cstheme="minorEastAsia"/>
                <w:spacing w:val="-5"/>
                <w:sz w:val="24"/>
                <w:szCs w:val="24"/>
                <w:lang w:eastAsia="zh-CN"/>
              </w:rPr>
              <w:t>项目/采购包最高限价。</w:t>
            </w:r>
          </w:p>
        </w:tc>
      </w:tr>
      <w:tr w14:paraId="38DA2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2BE5A600">
            <w:pPr>
              <w:pStyle w:val="26"/>
              <w:kinsoku/>
              <w:wordWrap w:val="0"/>
              <w:spacing w:before="247" w:line="199" w:lineRule="auto"/>
              <w:ind w:left="309"/>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tcPr>
          <w:p w14:paraId="5C979B9B">
            <w:pPr>
              <w:kinsoku/>
              <w:wordWrap w:val="0"/>
              <w:spacing w:before="223" w:line="219" w:lineRule="auto"/>
              <w:ind w:left="11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tcPr>
          <w:p w14:paraId="4FCBB34B">
            <w:pPr>
              <w:kinsoku/>
              <w:wordWrap w:val="0"/>
              <w:spacing w:before="68" w:line="230" w:lineRule="auto"/>
              <w:ind w:left="133" w:right="136" w:hanging="1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投标文件未出现可选择性或可调整的报价（招标文件另有规定</w:t>
            </w:r>
            <w:r>
              <w:rPr>
                <w:rFonts w:hint="eastAsia" w:asciiTheme="minorEastAsia" w:hAnsiTheme="minorEastAsia" w:eastAsiaTheme="minorEastAsia" w:cstheme="minorEastAsia"/>
                <w:spacing w:val="-17"/>
                <w:sz w:val="24"/>
                <w:szCs w:val="24"/>
                <w:lang w:eastAsia="zh-CN"/>
              </w:rPr>
              <w:t>的除外</w:t>
            </w:r>
            <w:r>
              <w:rPr>
                <w:rFonts w:hint="eastAsia" w:asciiTheme="minorEastAsia" w:hAnsiTheme="minorEastAsia" w:eastAsiaTheme="minorEastAsia" w:cstheme="minorEastAsia"/>
                <w:spacing w:val="-9"/>
                <w:sz w:val="24"/>
                <w:szCs w:val="24"/>
                <w:lang w:eastAsia="zh-CN"/>
              </w:rPr>
              <w:t>）。</w:t>
            </w:r>
          </w:p>
        </w:tc>
      </w:tr>
      <w:tr w14:paraId="5735D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246F60BC">
            <w:pPr>
              <w:pStyle w:val="26"/>
              <w:kinsoku/>
              <w:wordWrap w:val="0"/>
              <w:spacing w:before="248" w:line="199" w:lineRule="auto"/>
              <w:ind w:left="31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tcPr>
          <w:p w14:paraId="45D9CB80">
            <w:pPr>
              <w:kinsoku/>
              <w:wordWrap w:val="0"/>
              <w:spacing w:before="222" w:line="221"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tcPr>
          <w:p w14:paraId="5DC7B784">
            <w:pPr>
              <w:kinsoku/>
              <w:wordWrap w:val="0"/>
              <w:spacing w:before="70" w:line="229" w:lineRule="auto"/>
              <w:ind w:left="117" w:right="13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投标文件中承诺的投标有效期满足招标文件中载明的投标有效</w:t>
            </w:r>
            <w:r>
              <w:rPr>
                <w:rFonts w:hint="eastAsia" w:asciiTheme="minorEastAsia" w:hAnsiTheme="minorEastAsia" w:eastAsiaTheme="minorEastAsia" w:cstheme="minorEastAsia"/>
                <w:spacing w:val="-15"/>
                <w:sz w:val="24"/>
                <w:szCs w:val="24"/>
                <w:lang w:eastAsia="zh-CN"/>
              </w:rPr>
              <w:t>期的。</w:t>
            </w:r>
          </w:p>
        </w:tc>
      </w:tr>
      <w:tr w14:paraId="65F0D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20A49EE6">
            <w:pPr>
              <w:pStyle w:val="26"/>
              <w:kinsoku/>
              <w:wordWrap w:val="0"/>
              <w:spacing w:before="244" w:line="202" w:lineRule="auto"/>
              <w:ind w:left="31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tcPr>
          <w:p w14:paraId="6494D7ED">
            <w:pPr>
              <w:kinsoku/>
              <w:wordWrap w:val="0"/>
              <w:spacing w:before="224" w:line="220" w:lineRule="auto"/>
              <w:ind w:left="118"/>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tcPr>
          <w:p w14:paraId="1C5EE102">
            <w:pPr>
              <w:kinsoku/>
              <w:wordWrap w:val="0"/>
              <w:spacing w:before="69" w:line="196" w:lineRule="auto"/>
              <w:ind w:left="122" w:right="129" w:hanging="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标记为</w:t>
            </w:r>
            <w:r>
              <w:rPr>
                <w:rFonts w:hint="eastAsia" w:asciiTheme="minorEastAsia" w:hAnsiTheme="minorEastAsia" w:eastAsiaTheme="minorEastAsia" w:cstheme="minorEastAsia"/>
                <w:spacing w:val="-1"/>
                <w:sz w:val="24"/>
                <w:szCs w:val="24"/>
                <w:lang w:eastAsia="zh-CN"/>
              </w:rPr>
              <w:t>实质性格式的文件均按招标文件要求提供且签署、盖</w:t>
            </w:r>
            <w:r>
              <w:rPr>
                <w:rFonts w:hint="eastAsia" w:asciiTheme="minorEastAsia" w:hAnsiTheme="minorEastAsia" w:eastAsiaTheme="minorEastAsia" w:cstheme="minorEastAsia"/>
                <w:spacing w:val="-17"/>
                <w:sz w:val="24"/>
                <w:szCs w:val="24"/>
                <w:lang w:eastAsia="zh-CN"/>
              </w:rPr>
              <w:t>章的。</w:t>
            </w:r>
          </w:p>
        </w:tc>
      </w:tr>
      <w:tr w14:paraId="43850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11823876">
            <w:pPr>
              <w:pStyle w:val="26"/>
              <w:kinsoku/>
              <w:wordWrap w:val="0"/>
              <w:spacing w:before="247" w:line="202"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7</w:t>
            </w:r>
          </w:p>
        </w:tc>
        <w:tc>
          <w:tcPr>
            <w:tcW w:w="1812" w:type="dxa"/>
          </w:tcPr>
          <w:p w14:paraId="002F1B3D">
            <w:pPr>
              <w:kinsoku/>
              <w:wordWrap w:val="0"/>
              <w:spacing w:before="72" w:line="230" w:lineRule="auto"/>
              <w:ind w:left="112" w:right="123" w:hanging="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tcPr>
          <w:p w14:paraId="5E484872">
            <w:pPr>
              <w:kinsoku/>
              <w:wordWrap w:val="0"/>
              <w:spacing w:before="72" w:line="229" w:lineRule="auto"/>
              <w:ind w:left="114" w:right="136" w:firstLine="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不涉及报价修正，或投标文件报价出现前后不一致时，投标人</w:t>
            </w:r>
            <w:r>
              <w:rPr>
                <w:rFonts w:hint="eastAsia" w:asciiTheme="minorEastAsia" w:hAnsiTheme="minorEastAsia" w:eastAsiaTheme="minorEastAsia" w:cstheme="minorEastAsia"/>
                <w:spacing w:val="-2"/>
                <w:sz w:val="24"/>
                <w:szCs w:val="24"/>
                <w:lang w:eastAsia="zh-CN"/>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7219C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tcPr>
          <w:p w14:paraId="58C0822C">
            <w:pPr>
              <w:pStyle w:val="26"/>
              <w:kinsoku/>
              <w:wordWrap w:val="0"/>
              <w:spacing w:line="304" w:lineRule="auto"/>
              <w:jc w:val="center"/>
              <w:rPr>
                <w:rFonts w:asciiTheme="minorEastAsia" w:hAnsiTheme="minorEastAsia" w:eastAsiaTheme="minorEastAsia" w:cstheme="minorEastAsia"/>
              </w:rPr>
            </w:pPr>
          </w:p>
          <w:p w14:paraId="05CF5D61">
            <w:pPr>
              <w:pStyle w:val="26"/>
              <w:kinsoku/>
              <w:wordWrap w:val="0"/>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8</w:t>
            </w:r>
          </w:p>
        </w:tc>
        <w:tc>
          <w:tcPr>
            <w:tcW w:w="1812" w:type="dxa"/>
          </w:tcPr>
          <w:p w14:paraId="4779476D">
            <w:pPr>
              <w:pStyle w:val="26"/>
              <w:kinsoku/>
              <w:wordWrap w:val="0"/>
              <w:spacing w:line="271" w:lineRule="auto"/>
              <w:jc w:val="both"/>
              <w:rPr>
                <w:rFonts w:asciiTheme="minorEastAsia" w:hAnsiTheme="minorEastAsia" w:eastAsiaTheme="minorEastAsia" w:cstheme="minorEastAsia"/>
              </w:rPr>
            </w:pPr>
          </w:p>
          <w:p w14:paraId="73D55C09">
            <w:pPr>
              <w:kinsoku/>
              <w:wordWrap w:val="0"/>
              <w:spacing w:before="78" w:line="219" w:lineRule="auto"/>
              <w:ind w:left="11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tcPr>
          <w:p w14:paraId="6D6154C3">
            <w:pPr>
              <w:kinsoku/>
              <w:wordWrap w:val="0"/>
              <w:spacing w:before="41" w:line="228" w:lineRule="auto"/>
              <w:ind w:left="113" w:right="13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lang w:eastAsia="zh-CN"/>
              </w:rPr>
              <w:t>评标委员会要求在规定时间内证明其报价合理性的。</w:t>
            </w:r>
          </w:p>
        </w:tc>
      </w:tr>
      <w:tr w14:paraId="7DF36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tcPr>
          <w:p w14:paraId="7EA51E3B">
            <w:pPr>
              <w:pStyle w:val="26"/>
              <w:kinsoku/>
              <w:wordWrap w:val="0"/>
              <w:spacing w:before="69" w:line="199" w:lineRule="auto"/>
              <w:jc w:val="center"/>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9</w:t>
            </w:r>
          </w:p>
        </w:tc>
        <w:tc>
          <w:tcPr>
            <w:tcW w:w="1812" w:type="dxa"/>
          </w:tcPr>
          <w:p w14:paraId="6D02AA80">
            <w:pPr>
              <w:kinsoku/>
              <w:wordWrap w:val="0"/>
              <w:spacing w:before="69" w:line="196" w:lineRule="auto"/>
              <w:ind w:left="122" w:right="129" w:hanging="7"/>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eastAsia="zh-CN"/>
              </w:rPr>
              <w:t>交货时间</w:t>
            </w:r>
          </w:p>
          <w:p w14:paraId="473D744B">
            <w:pPr>
              <w:kinsoku/>
              <w:wordWrap w:val="0"/>
              <w:spacing w:before="69" w:line="196" w:lineRule="auto"/>
              <w:ind w:left="122" w:right="129" w:hanging="7"/>
              <w:jc w:val="both"/>
              <w:rPr>
                <w:rFonts w:asciiTheme="minorEastAsia" w:hAnsiTheme="minorEastAsia" w:eastAsiaTheme="minorEastAsia" w:cstheme="minorEastAsia"/>
                <w:spacing w:val="-1"/>
                <w:sz w:val="24"/>
                <w:szCs w:val="24"/>
              </w:rPr>
            </w:pPr>
            <w:r>
              <w:rPr>
                <w:rFonts w:ascii="Segoe UI Symbol" w:hAnsi="Segoe UI Symbol" w:cs="Segoe UI Symbol" w:eastAsiaTheme="minorEastAsia"/>
                <w:spacing w:val="-1"/>
                <w:sz w:val="24"/>
                <w:szCs w:val="24"/>
                <w:lang w:eastAsia="zh-CN"/>
              </w:rPr>
              <w:t>☑</w:t>
            </w:r>
            <w:r>
              <w:rPr>
                <w:rFonts w:hint="eastAsia" w:asciiTheme="minorEastAsia" w:hAnsiTheme="minorEastAsia" w:eastAsiaTheme="minorEastAsia" w:cstheme="minorEastAsia"/>
                <w:spacing w:val="-1"/>
                <w:sz w:val="24"/>
                <w:szCs w:val="24"/>
                <w:lang w:eastAsia="zh-CN"/>
              </w:rPr>
              <w:t>服务期限</w:t>
            </w:r>
          </w:p>
        </w:tc>
        <w:tc>
          <w:tcPr>
            <w:tcW w:w="5791" w:type="dxa"/>
            <w:vAlign w:val="center"/>
          </w:tcPr>
          <w:p w14:paraId="0A4E0B5B">
            <w:pPr>
              <w:kinsoku/>
              <w:wordWrap w:val="0"/>
              <w:spacing w:before="69" w:line="196" w:lineRule="auto"/>
              <w:ind w:left="122" w:right="129" w:hanging="7"/>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0736C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1D15F50C">
            <w:pPr>
              <w:pStyle w:val="26"/>
              <w:kinsoku/>
              <w:wordWrap w:val="0"/>
              <w:spacing w:before="69" w:line="199" w:lineRule="auto"/>
              <w:jc w:val="center"/>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10</w:t>
            </w:r>
          </w:p>
        </w:tc>
        <w:tc>
          <w:tcPr>
            <w:tcW w:w="1812" w:type="dxa"/>
            <w:vAlign w:val="center"/>
          </w:tcPr>
          <w:p w14:paraId="43619456">
            <w:pPr>
              <w:kinsoku/>
              <w:wordWrap w:val="0"/>
              <w:spacing w:before="78" w:line="219" w:lineRule="auto"/>
              <w:ind w:left="11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eastAsia="zh-CN"/>
              </w:rPr>
              <w:t>质保期</w:t>
            </w:r>
          </w:p>
          <w:p w14:paraId="26C295B0">
            <w:pPr>
              <w:kinsoku/>
              <w:wordWrap w:val="0"/>
              <w:spacing w:before="78" w:line="219" w:lineRule="auto"/>
              <w:ind w:left="110"/>
              <w:jc w:val="both"/>
              <w:rPr>
                <w:rFonts w:asciiTheme="minorEastAsia" w:hAnsiTheme="minorEastAsia" w:eastAsiaTheme="minorEastAsia" w:cstheme="minorEastAsia"/>
                <w:spacing w:val="-2"/>
                <w:sz w:val="24"/>
                <w:szCs w:val="24"/>
                <w:lang w:eastAsia="zh-CN"/>
              </w:rPr>
            </w:pPr>
            <w:r>
              <w:rPr>
                <w:rFonts w:ascii="Segoe UI Symbol" w:hAnsi="Segoe UI Symbol" w:cs="Segoe UI Symbol" w:eastAsiaTheme="minorEastAsia"/>
                <w:spacing w:val="-1"/>
                <w:sz w:val="24"/>
                <w:szCs w:val="24"/>
                <w:lang w:eastAsia="zh-CN"/>
              </w:rPr>
              <w:t>☑</w:t>
            </w:r>
            <w:r>
              <w:rPr>
                <w:rFonts w:hint="eastAsia" w:asciiTheme="minorEastAsia" w:hAnsiTheme="minorEastAsia" w:eastAsiaTheme="minorEastAsia" w:cstheme="minorEastAsia"/>
                <w:spacing w:val="-1"/>
                <w:sz w:val="24"/>
                <w:szCs w:val="24"/>
                <w:lang w:eastAsia="zh-CN"/>
              </w:rPr>
              <w:t>服务质量</w:t>
            </w:r>
          </w:p>
        </w:tc>
        <w:tc>
          <w:tcPr>
            <w:tcW w:w="5791" w:type="dxa"/>
            <w:vAlign w:val="center"/>
          </w:tcPr>
          <w:p w14:paraId="068951BA">
            <w:pPr>
              <w:kinsoku/>
              <w:wordWrap w:val="0"/>
              <w:spacing w:before="41" w:line="228" w:lineRule="auto"/>
              <w:ind w:left="113" w:right="136"/>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2DB52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tcPr>
          <w:p w14:paraId="2EB99B7C">
            <w:pPr>
              <w:pStyle w:val="26"/>
              <w:kinsoku/>
              <w:wordWrap w:val="0"/>
              <w:spacing w:line="301" w:lineRule="auto"/>
              <w:jc w:val="center"/>
              <w:rPr>
                <w:rFonts w:asciiTheme="minorEastAsia" w:hAnsiTheme="minorEastAsia" w:eastAsiaTheme="minorEastAsia" w:cstheme="minorEastAsia"/>
              </w:rPr>
            </w:pPr>
          </w:p>
          <w:p w14:paraId="3A7BB095">
            <w:pPr>
              <w:pStyle w:val="26"/>
              <w:kinsoku/>
              <w:wordWrap w:val="0"/>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11</w:t>
            </w:r>
          </w:p>
        </w:tc>
        <w:tc>
          <w:tcPr>
            <w:tcW w:w="1812" w:type="dxa"/>
          </w:tcPr>
          <w:p w14:paraId="4525FF21">
            <w:pPr>
              <w:pStyle w:val="26"/>
              <w:kinsoku/>
              <w:wordWrap w:val="0"/>
              <w:spacing w:line="269" w:lineRule="auto"/>
              <w:jc w:val="both"/>
              <w:rPr>
                <w:rFonts w:asciiTheme="minorEastAsia" w:hAnsiTheme="minorEastAsia" w:eastAsiaTheme="minorEastAsia" w:cstheme="minorEastAsia"/>
              </w:rPr>
            </w:pPr>
          </w:p>
          <w:p w14:paraId="0CE7C08E">
            <w:pPr>
              <w:kinsoku/>
              <w:wordWrap w:val="0"/>
              <w:spacing w:before="78" w:line="220" w:lineRule="auto"/>
              <w:ind w:left="12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tcPr>
          <w:p w14:paraId="5D675068">
            <w:pPr>
              <w:kinsoku/>
              <w:wordWrap w:val="0"/>
              <w:spacing w:before="38" w:line="228" w:lineRule="auto"/>
              <w:ind w:left="113" w:right="136" w:firstLine="4"/>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lang w:eastAsia="zh-CN"/>
              </w:rPr>
              <w:t>情形的。</w:t>
            </w:r>
          </w:p>
        </w:tc>
      </w:tr>
      <w:tr w14:paraId="787FA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tcPr>
          <w:p w14:paraId="1E8492C6">
            <w:pPr>
              <w:pStyle w:val="26"/>
              <w:kinsoku/>
              <w:wordWrap w:val="0"/>
              <w:spacing w:line="307" w:lineRule="auto"/>
              <w:jc w:val="center"/>
              <w:rPr>
                <w:rFonts w:asciiTheme="minorEastAsia" w:hAnsiTheme="minorEastAsia" w:eastAsiaTheme="minorEastAsia" w:cstheme="minorEastAsia"/>
                <w:lang w:eastAsia="zh-CN"/>
              </w:rPr>
            </w:pPr>
          </w:p>
          <w:p w14:paraId="375EDBA6">
            <w:pPr>
              <w:pStyle w:val="26"/>
              <w:kinsoku/>
              <w:wordWrap w:val="0"/>
              <w:spacing w:line="307" w:lineRule="auto"/>
              <w:jc w:val="center"/>
              <w:rPr>
                <w:rFonts w:asciiTheme="minorEastAsia" w:hAnsiTheme="minorEastAsia" w:eastAsiaTheme="minorEastAsia" w:cstheme="minorEastAsia"/>
                <w:lang w:eastAsia="zh-CN"/>
              </w:rPr>
            </w:pPr>
          </w:p>
          <w:p w14:paraId="76EF16C2">
            <w:pPr>
              <w:pStyle w:val="26"/>
              <w:kinsoku/>
              <w:wordWrap w:val="0"/>
              <w:spacing w:line="307" w:lineRule="auto"/>
              <w:jc w:val="center"/>
              <w:rPr>
                <w:rFonts w:asciiTheme="minorEastAsia" w:hAnsiTheme="minorEastAsia" w:eastAsiaTheme="minorEastAsia" w:cstheme="minorEastAsia"/>
                <w:lang w:eastAsia="zh-CN"/>
              </w:rPr>
            </w:pPr>
          </w:p>
          <w:p w14:paraId="01E293AB">
            <w:pPr>
              <w:pStyle w:val="26"/>
              <w:kinsoku/>
              <w:wordWrap w:val="0"/>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12</w:t>
            </w:r>
          </w:p>
        </w:tc>
        <w:tc>
          <w:tcPr>
            <w:tcW w:w="1812" w:type="dxa"/>
          </w:tcPr>
          <w:p w14:paraId="5016A598">
            <w:pPr>
              <w:pStyle w:val="26"/>
              <w:kinsoku/>
              <w:wordWrap w:val="0"/>
              <w:spacing w:line="296" w:lineRule="auto"/>
              <w:jc w:val="both"/>
              <w:rPr>
                <w:rFonts w:asciiTheme="minorEastAsia" w:hAnsiTheme="minorEastAsia" w:eastAsiaTheme="minorEastAsia" w:cstheme="minorEastAsia"/>
              </w:rPr>
            </w:pPr>
          </w:p>
          <w:p w14:paraId="3AAB6307">
            <w:pPr>
              <w:pStyle w:val="26"/>
              <w:kinsoku/>
              <w:wordWrap w:val="0"/>
              <w:spacing w:line="296" w:lineRule="auto"/>
              <w:jc w:val="both"/>
              <w:rPr>
                <w:rFonts w:asciiTheme="minorEastAsia" w:hAnsiTheme="minorEastAsia" w:eastAsiaTheme="minorEastAsia" w:cstheme="minorEastAsia"/>
              </w:rPr>
            </w:pPr>
          </w:p>
          <w:p w14:paraId="09B298D2">
            <w:pPr>
              <w:pStyle w:val="26"/>
              <w:kinsoku/>
              <w:wordWrap w:val="0"/>
              <w:spacing w:line="297" w:lineRule="auto"/>
              <w:jc w:val="both"/>
              <w:rPr>
                <w:rFonts w:asciiTheme="minorEastAsia" w:hAnsiTheme="minorEastAsia" w:eastAsiaTheme="minorEastAsia" w:cstheme="minorEastAsia"/>
              </w:rPr>
            </w:pPr>
          </w:p>
          <w:p w14:paraId="030C5E55">
            <w:pPr>
              <w:kinsoku/>
              <w:wordWrap w:val="0"/>
              <w:spacing w:before="78" w:line="221" w:lineRule="auto"/>
              <w:ind w:left="13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tcPr>
          <w:p w14:paraId="28D40CA6">
            <w:pPr>
              <w:kinsoku/>
              <w:wordWrap w:val="0"/>
              <w:spacing w:before="42" w:line="234" w:lineRule="auto"/>
              <w:ind w:left="113" w:right="2" w:firstLine="5"/>
              <w:jc w:val="both"/>
              <w:rPr>
                <w:rFonts w:asciiTheme="minorEastAsia" w:hAnsiTheme="minorEastAsia" w:eastAsiaTheme="minorEastAsia" w:cstheme="minorEastAsia"/>
                <w:spacing w:val="-19"/>
                <w:sz w:val="24"/>
                <w:szCs w:val="24"/>
                <w:lang w:eastAsia="zh-CN"/>
              </w:rPr>
            </w:pPr>
            <w:r>
              <w:rPr>
                <w:rFonts w:hint="eastAsia" w:asciiTheme="minorEastAsia" w:hAnsiTheme="minorEastAsia" w:eastAsiaTheme="minorEastAsia" w:cstheme="minorEastAsia"/>
                <w:spacing w:val="-1"/>
                <w:sz w:val="24"/>
                <w:szCs w:val="24"/>
                <w:lang w:eastAsia="zh-CN"/>
              </w:rPr>
              <w:t>不存在《政府采购货物和服务招标投标管理办法》视为投标人</w:t>
            </w:r>
            <w:r>
              <w:rPr>
                <w:rFonts w:hint="eastAsia" w:asciiTheme="minorEastAsia" w:hAnsiTheme="minorEastAsia" w:eastAsiaTheme="minorEastAsia" w:cstheme="minorEastAsia"/>
                <w:spacing w:val="-7"/>
                <w:sz w:val="24"/>
                <w:szCs w:val="24"/>
                <w:lang w:eastAsia="zh-CN"/>
              </w:rPr>
              <w:t>串通投标的情形</w:t>
            </w: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7"/>
                <w:sz w:val="24"/>
                <w:szCs w:val="24"/>
                <w:lang w:eastAsia="zh-CN"/>
              </w:rPr>
              <w:t>一）不同投标人的投标文件由同一单位或者</w:t>
            </w:r>
            <w:r>
              <w:rPr>
                <w:rFonts w:hint="eastAsia" w:asciiTheme="minorEastAsia" w:hAnsiTheme="minorEastAsia" w:eastAsiaTheme="minorEastAsia" w:cstheme="minorEastAsia"/>
                <w:spacing w:val="-8"/>
                <w:sz w:val="24"/>
                <w:szCs w:val="24"/>
                <w:lang w:eastAsia="zh-CN"/>
              </w:rPr>
              <w:t>个人编制</w:t>
            </w:r>
            <w:r>
              <w:rPr>
                <w:rFonts w:hint="eastAsia" w:asciiTheme="minorEastAsia" w:hAnsiTheme="minorEastAsia" w:eastAsiaTheme="minorEastAsia" w:cstheme="minorEastAsia"/>
                <w:spacing w:val="-31"/>
                <w:sz w:val="24"/>
                <w:szCs w:val="24"/>
                <w:lang w:eastAsia="zh-CN"/>
              </w:rPr>
              <w:t>；（</w:t>
            </w:r>
            <w:r>
              <w:rPr>
                <w:rFonts w:hint="eastAsia" w:asciiTheme="minorEastAsia" w:hAnsiTheme="minorEastAsia" w:eastAsiaTheme="minorEastAsia" w:cstheme="minorEastAsia"/>
                <w:spacing w:val="-8"/>
                <w:sz w:val="24"/>
                <w:szCs w:val="24"/>
                <w:lang w:eastAsia="zh-CN"/>
              </w:rPr>
              <w:t>二）不同投标人委托同一单位或者个人办</w:t>
            </w:r>
            <w:r>
              <w:rPr>
                <w:rFonts w:hint="eastAsia" w:asciiTheme="minorEastAsia" w:hAnsiTheme="minorEastAsia" w:eastAsiaTheme="minorEastAsia" w:cstheme="minorEastAsia"/>
                <w:spacing w:val="-9"/>
                <w:sz w:val="24"/>
                <w:szCs w:val="24"/>
                <w:lang w:eastAsia="zh-CN"/>
              </w:rPr>
              <w:t>理投标事</w:t>
            </w:r>
            <w:r>
              <w:rPr>
                <w:rFonts w:hint="eastAsia" w:asciiTheme="minorEastAsia" w:hAnsiTheme="minorEastAsia" w:eastAsiaTheme="minorEastAsia" w:cstheme="minorEastAsia"/>
                <w:spacing w:val="-6"/>
                <w:sz w:val="24"/>
                <w:szCs w:val="24"/>
                <w:lang w:eastAsia="zh-CN"/>
              </w:rPr>
              <w:t>宜</w:t>
            </w:r>
            <w:r>
              <w:rPr>
                <w:rFonts w:hint="eastAsia" w:asciiTheme="minorEastAsia" w:hAnsiTheme="minorEastAsia" w:eastAsiaTheme="minorEastAsia" w:cstheme="minorEastAsia"/>
                <w:spacing w:val="-59"/>
                <w:sz w:val="24"/>
                <w:szCs w:val="24"/>
                <w:lang w:eastAsia="zh-CN"/>
              </w:rPr>
              <w:t>；（</w:t>
            </w:r>
            <w:r>
              <w:rPr>
                <w:rFonts w:hint="eastAsia" w:asciiTheme="minorEastAsia" w:hAnsiTheme="minorEastAsia" w:eastAsiaTheme="minorEastAsia" w:cstheme="minorEastAsia"/>
                <w:spacing w:val="-6"/>
                <w:sz w:val="24"/>
                <w:szCs w:val="24"/>
                <w:lang w:eastAsia="zh-CN"/>
              </w:rPr>
              <w:t>三）不同投标人的投标文件载明的项目管理成员或者联系人员为同一人</w:t>
            </w:r>
            <w:r>
              <w:rPr>
                <w:rFonts w:hint="eastAsia" w:asciiTheme="minorEastAsia" w:hAnsiTheme="minorEastAsia" w:eastAsiaTheme="minorEastAsia" w:cstheme="minorEastAsia"/>
                <w:spacing w:val="-57"/>
                <w:sz w:val="24"/>
                <w:szCs w:val="24"/>
                <w:lang w:eastAsia="zh-CN"/>
              </w:rPr>
              <w:t>；（</w:t>
            </w:r>
            <w:r>
              <w:rPr>
                <w:rFonts w:hint="eastAsia" w:asciiTheme="minorEastAsia" w:hAnsiTheme="minorEastAsia" w:eastAsiaTheme="minorEastAsia" w:cstheme="minorEastAsia"/>
                <w:spacing w:val="-6"/>
                <w:sz w:val="24"/>
                <w:szCs w:val="24"/>
                <w:lang w:eastAsia="zh-CN"/>
              </w:rPr>
              <w:t>四）不同投标人的投标文件异常一</w:t>
            </w:r>
            <w:r>
              <w:rPr>
                <w:rFonts w:hint="eastAsia" w:asciiTheme="minorEastAsia" w:hAnsiTheme="minorEastAsia" w:eastAsiaTheme="minorEastAsia" w:cstheme="minorEastAsia"/>
                <w:spacing w:val="-7"/>
                <w:sz w:val="24"/>
                <w:szCs w:val="24"/>
                <w:lang w:eastAsia="zh-CN"/>
              </w:rPr>
              <w:t>致或者投标</w:t>
            </w:r>
            <w:r>
              <w:rPr>
                <w:rFonts w:hint="eastAsia" w:asciiTheme="minorEastAsia" w:hAnsiTheme="minorEastAsia" w:eastAsiaTheme="minorEastAsia" w:cstheme="minorEastAsia"/>
                <w:spacing w:val="-18"/>
                <w:sz w:val="24"/>
                <w:szCs w:val="24"/>
                <w:lang w:eastAsia="zh-CN"/>
              </w:rPr>
              <w:t>报价呈规律性差异</w:t>
            </w:r>
            <w:r>
              <w:rPr>
                <w:rFonts w:hint="eastAsia" w:asciiTheme="minorEastAsia" w:hAnsiTheme="minorEastAsia" w:eastAsiaTheme="minorEastAsia" w:cstheme="minorEastAsia"/>
                <w:spacing w:val="-32"/>
                <w:sz w:val="24"/>
                <w:szCs w:val="24"/>
                <w:lang w:eastAsia="zh-CN"/>
              </w:rPr>
              <w:t>；（</w:t>
            </w:r>
            <w:r>
              <w:rPr>
                <w:rFonts w:hint="eastAsia" w:asciiTheme="minorEastAsia" w:hAnsiTheme="minorEastAsia" w:eastAsiaTheme="minorEastAsia" w:cstheme="minorEastAsia"/>
                <w:spacing w:val="-18"/>
                <w:sz w:val="24"/>
                <w:szCs w:val="24"/>
                <w:lang w:eastAsia="zh-CN"/>
              </w:rPr>
              <w:t>五）不同投标人的投标文件相互混装</w:t>
            </w:r>
            <w:r>
              <w:rPr>
                <w:rFonts w:hint="eastAsia" w:asciiTheme="minorEastAsia" w:hAnsiTheme="minorEastAsia" w:eastAsiaTheme="minorEastAsia" w:cstheme="minorEastAsia"/>
                <w:spacing w:val="-32"/>
                <w:sz w:val="24"/>
                <w:szCs w:val="24"/>
                <w:lang w:eastAsia="zh-CN"/>
              </w:rPr>
              <w:t>；（</w:t>
            </w:r>
            <w:r>
              <w:rPr>
                <w:rFonts w:hint="eastAsia" w:asciiTheme="minorEastAsia" w:hAnsiTheme="minorEastAsia" w:eastAsiaTheme="minorEastAsia" w:cstheme="minorEastAsia"/>
                <w:spacing w:val="-18"/>
                <w:sz w:val="24"/>
                <w:szCs w:val="24"/>
                <w:lang w:eastAsia="zh-CN"/>
              </w:rPr>
              <w:t>六）</w:t>
            </w:r>
            <w:r>
              <w:rPr>
                <w:rFonts w:hint="eastAsia" w:asciiTheme="minorEastAsia" w:hAnsiTheme="minorEastAsia" w:eastAsiaTheme="minorEastAsia" w:cstheme="minorEastAsia"/>
                <w:spacing w:val="-1"/>
                <w:sz w:val="24"/>
                <w:szCs w:val="24"/>
                <w:lang w:eastAsia="zh-CN"/>
              </w:rPr>
              <w:t>不同投标人的投标保证金从同一单位或者个人的账户转出；不存在南阳市财政局关于防范供应商串通投标促进政府采购公平竞争的通知（宛财购〔2022〕3号）投标人</w:t>
            </w:r>
            <w:r>
              <w:rPr>
                <w:rFonts w:hint="eastAsia" w:asciiTheme="minorEastAsia" w:hAnsiTheme="minorEastAsia" w:eastAsiaTheme="minorEastAsia" w:cstheme="minorEastAsia"/>
                <w:spacing w:val="-7"/>
                <w:sz w:val="24"/>
                <w:szCs w:val="24"/>
                <w:lang w:eastAsia="zh-CN"/>
              </w:rPr>
              <w:t>串通投标的情形</w:t>
            </w:r>
            <w:r>
              <w:rPr>
                <w:rFonts w:hint="eastAsia" w:asciiTheme="minorEastAsia" w:hAnsiTheme="minorEastAsia" w:eastAsiaTheme="minorEastAsia" w:cstheme="minorEastAsia"/>
                <w:spacing w:val="-19"/>
                <w:sz w:val="24"/>
                <w:szCs w:val="24"/>
                <w:lang w:eastAsia="zh-CN"/>
              </w:rPr>
              <w:t>：</w:t>
            </w:r>
          </w:p>
          <w:p w14:paraId="15E3D735">
            <w:pPr>
              <w:kinsoku/>
              <w:wordWrap w:val="0"/>
              <w:spacing w:line="234" w:lineRule="auto"/>
              <w:ind w:firstLine="5"/>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一）不同供应商的电子投标（响应）文件上传的计算机网卡MAC地址、CPU序列号和硬盘序列号等硬件信息相同的；（二）不同供应商的投标（响应）文件由同一电子设备编制、打印、加密或上传；（三）不同供应商的投标（响应）文件由同一电子设备打印、复印；（四）不同供应商的投标（响应）文件由同一人送达或分发，或者不同供应商的联系人为同一人或不同联系人的联系电话一致的；（五）不同供应商的投标（响应）文件内容存在两处以上细节错误一致；（六）不同供应商的法定代表人、委托代理人、项目经理、项目负责人等由同一单位缴纳社会保险或者领取报酬的；（七）不同供应商投标（响应）文件中的法定代表人或负责人签名出自同一人之手；（八）其他涉嫌串通的情形。</w:t>
            </w:r>
          </w:p>
        </w:tc>
      </w:tr>
      <w:tr w14:paraId="1330B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tcPr>
          <w:p w14:paraId="43F4FF18">
            <w:pPr>
              <w:pStyle w:val="26"/>
              <w:kinsoku/>
              <w:wordWrap w:val="0"/>
              <w:spacing w:before="69" w:line="199" w:lineRule="auto"/>
              <w:jc w:val="center"/>
              <w:rPr>
                <w:rFonts w:asciiTheme="minorEastAsia" w:hAnsiTheme="minorEastAsia" w:eastAsiaTheme="minorEastAsia" w:cstheme="minorEastAsia"/>
                <w:spacing w:val="5"/>
                <w:sz w:val="24"/>
                <w:szCs w:val="24"/>
                <w:lang w:eastAsia="zh-CN"/>
              </w:rPr>
            </w:pPr>
          </w:p>
        </w:tc>
        <w:tc>
          <w:tcPr>
            <w:tcW w:w="1812" w:type="dxa"/>
          </w:tcPr>
          <w:p w14:paraId="66F05ED8">
            <w:pPr>
              <w:kinsoku/>
              <w:wordWrap w:val="0"/>
              <w:spacing w:before="78" w:line="221" w:lineRule="auto"/>
              <w:ind w:left="134"/>
              <w:jc w:val="both"/>
              <w:rPr>
                <w:rFonts w:asciiTheme="minorEastAsia" w:hAnsiTheme="minorEastAsia" w:eastAsiaTheme="minorEastAsia" w:cstheme="minorEastAsia"/>
                <w:spacing w:val="-6"/>
                <w:sz w:val="24"/>
                <w:szCs w:val="24"/>
                <w:lang w:eastAsia="zh-CN"/>
              </w:rPr>
            </w:pPr>
          </w:p>
        </w:tc>
        <w:tc>
          <w:tcPr>
            <w:tcW w:w="5791" w:type="dxa"/>
            <w:vMerge w:val="continue"/>
          </w:tcPr>
          <w:p w14:paraId="3FB1D4C3">
            <w:pPr>
              <w:pStyle w:val="16"/>
              <w:shd w:val="clear" w:color="auto" w:fill="FFFFFF"/>
              <w:kinsoku/>
              <w:wordWrap w:val="0"/>
              <w:spacing w:beforeAutospacing="0" w:afterAutospacing="0"/>
              <w:jc w:val="both"/>
              <w:rPr>
                <w:rFonts w:asciiTheme="minorEastAsia" w:hAnsiTheme="minorEastAsia" w:eastAsiaTheme="minorEastAsia" w:cstheme="minorEastAsia"/>
                <w:spacing w:val="-1"/>
                <w:szCs w:val="24"/>
              </w:rPr>
            </w:pPr>
          </w:p>
        </w:tc>
      </w:tr>
      <w:tr w14:paraId="0BB51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6444B2FB">
            <w:pPr>
              <w:pStyle w:val="26"/>
              <w:kinsoku/>
              <w:wordWrap w:val="0"/>
              <w:spacing w:before="248" w:line="202"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eastAsia="zh-CN"/>
              </w:rPr>
              <w:t>3</w:t>
            </w:r>
          </w:p>
        </w:tc>
        <w:tc>
          <w:tcPr>
            <w:tcW w:w="1812" w:type="dxa"/>
          </w:tcPr>
          <w:p w14:paraId="0CCBDAC8">
            <w:pPr>
              <w:kinsoku/>
              <w:wordWrap w:val="0"/>
              <w:spacing w:before="228" w:line="219" w:lineRule="auto"/>
              <w:ind w:left="131"/>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tcPr>
          <w:p w14:paraId="269A2465">
            <w:pPr>
              <w:kinsoku/>
              <w:wordWrap w:val="0"/>
              <w:spacing w:before="228" w:line="219" w:lineRule="auto"/>
              <w:ind w:left="11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投标文件未含有采购人不能接受的附加条件</w:t>
            </w:r>
            <w:r>
              <w:rPr>
                <w:rFonts w:hint="eastAsia" w:asciiTheme="minorEastAsia" w:hAnsiTheme="minorEastAsia" w:eastAsiaTheme="minorEastAsia" w:cstheme="minorEastAsia"/>
                <w:spacing w:val="-4"/>
                <w:sz w:val="24"/>
                <w:szCs w:val="24"/>
                <w:lang w:eastAsia="zh-CN"/>
              </w:rPr>
              <w:t>的。</w:t>
            </w:r>
          </w:p>
        </w:tc>
      </w:tr>
      <w:tr w14:paraId="5A187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tcPr>
          <w:p w14:paraId="58598E5B">
            <w:pPr>
              <w:pStyle w:val="26"/>
              <w:kinsoku/>
              <w:wordWrap w:val="0"/>
              <w:spacing w:before="252"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eastAsia="zh-CN"/>
              </w:rPr>
              <w:t>4</w:t>
            </w:r>
          </w:p>
        </w:tc>
        <w:tc>
          <w:tcPr>
            <w:tcW w:w="1812" w:type="dxa"/>
          </w:tcPr>
          <w:p w14:paraId="4C7C4A40">
            <w:pPr>
              <w:kinsoku/>
              <w:wordWrap w:val="0"/>
              <w:spacing w:before="226" w:line="221" w:lineRule="auto"/>
              <w:ind w:left="113"/>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tcPr>
          <w:p w14:paraId="0B446680">
            <w:pPr>
              <w:kinsoku/>
              <w:wordWrap w:val="0"/>
              <w:spacing w:before="74" w:line="229" w:lineRule="auto"/>
              <w:ind w:left="115" w:right="136" w:firstLine="1"/>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投标人、投标文件不存在不符合法律、法规和招标文件规定的</w:t>
            </w:r>
            <w:r>
              <w:rPr>
                <w:rFonts w:hint="eastAsia" w:asciiTheme="minorEastAsia" w:hAnsiTheme="minorEastAsia" w:eastAsiaTheme="minorEastAsia" w:cstheme="minorEastAsia"/>
                <w:spacing w:val="-6"/>
                <w:sz w:val="24"/>
                <w:szCs w:val="24"/>
                <w:lang w:eastAsia="zh-CN"/>
              </w:rPr>
              <w:t>其他无效情形。</w:t>
            </w:r>
          </w:p>
        </w:tc>
      </w:tr>
    </w:tbl>
    <w:p w14:paraId="29406FEE">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2.技术审查</w:t>
      </w:r>
    </w:p>
    <w:p w14:paraId="27003D33">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审查投标人基本情况、基本设施、服务方案、人员配备方案及人员基本情况等是否符合招标要求。</w:t>
      </w:r>
    </w:p>
    <w:p w14:paraId="09297FE8">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评标委员会将通过审查确定每一投标人是否对招标文件做出了实质性响应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2CE78E69">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4.投标文件的澄清</w:t>
      </w:r>
    </w:p>
    <w:p w14:paraId="5CEB8DE6">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5A7D8D39">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6335C01E">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4.3 投标人的澄清、说明或补正文件是投标文件的组成部分，并取代投标文件中被澄清、说明或补正的部分。</w:t>
      </w:r>
    </w:p>
    <w:p w14:paraId="22BBDC8D">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p>
    <w:p w14:paraId="35CEC19C">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五.评标方法和评标标准</w:t>
      </w:r>
    </w:p>
    <w:p w14:paraId="114051BA">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1.本项目采用的评标方法为：</w:t>
      </w:r>
    </w:p>
    <w:p w14:paraId="56F28516">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ascii="Segoe UI Symbol" w:hAnsi="Segoe UI Symbol" w:cs="Segoe UI Symbol" w:eastAsia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lang w:eastAsia="zh-CN"/>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A0B6FFF">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2.确定中标候选人名单</w:t>
      </w:r>
    </w:p>
    <w:p w14:paraId="51BB3DCB">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2.1 采用综合评分法时，投标人的排名按得分顺序从高到低排列；得分相同的，按投标报价由低到高顺序排列；得分且投标报价相同的，按技术指标优劣顺序排列。</w:t>
      </w:r>
    </w:p>
    <w:p w14:paraId="2C91C8D2">
      <w:pPr>
        <w:pStyle w:val="6"/>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2.2 评标委员会要对评分汇总情况进行复核，特别是对排名第一的、报价最低的、投标文件被认定为无效的情形进行重点复核。</w:t>
      </w:r>
    </w:p>
    <w:p w14:paraId="00A90A17">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2.3 评标委员会将根据各投标人的评标排序，依次推荐本项目的中标候选人，起草并签署评标报告。</w:t>
      </w:r>
    </w:p>
    <w:p w14:paraId="4758221C">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3.报告违法行为</w:t>
      </w:r>
    </w:p>
    <w:p w14:paraId="2554F367">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评标委员会在评标过程中发现投标人有行贿、提供虚假材料或者串通等违法行为时，有向采购人、采购代理机构或者有关部门报告的职责。</w:t>
      </w:r>
    </w:p>
    <w:p w14:paraId="15873496">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4.确定中标人</w:t>
      </w:r>
    </w:p>
    <w:p w14:paraId="3E2EC2AC">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ascii="Segoe UI Symbol" w:hAnsi="Segoe UI Symbol" w:cs="Segoe UI Symbol" w:eastAsia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lang w:eastAsia="zh-CN"/>
        </w:rPr>
        <w:t>采购人应当在收到评标报告之日起5个工作日内，在评标报告确定的中标候选人名单中按顺序确定中标人。</w:t>
      </w:r>
    </w:p>
    <w:p w14:paraId="75CBD6D4">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5.投标人存在下列情况之一的，投标无效：</w:t>
      </w:r>
    </w:p>
    <w:p w14:paraId="6B2670CE">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（1）投标文件未按招标文件要求签署、盖章的；</w:t>
      </w:r>
    </w:p>
    <w:p w14:paraId="7C1E4899">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（2）不具备招标文件中规定的资格要求的；</w:t>
      </w:r>
    </w:p>
    <w:p w14:paraId="58E027DC">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（3）报价超过招标文件中规定的预算金额或者最高限价的；</w:t>
      </w:r>
    </w:p>
    <w:p w14:paraId="605CBF76">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（4）投标文件含有采购人不能接受的附加条件的；</w:t>
      </w:r>
    </w:p>
    <w:p w14:paraId="61003D3A">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（5）不符合应提交投标文件资料数量要求的；</w:t>
      </w:r>
    </w:p>
    <w:p w14:paraId="1377601B">
      <w:pPr>
        <w:widowControl w:val="0"/>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（6）开标解密时未在规定时间（30分钟）内进行解密成功的视为撤销其投标文件（因电子开标系统原因除外）；</w:t>
      </w:r>
    </w:p>
    <w:p w14:paraId="40945841">
      <w:pPr>
        <w:widowControl w:val="0"/>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（7）电子投标文件未使用CA认证并加密的；</w:t>
      </w:r>
    </w:p>
    <w:p w14:paraId="287BFE11">
      <w:pPr>
        <w:widowControl w:val="0"/>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（8）未在投标截止时间前完成上传的；</w:t>
      </w:r>
    </w:p>
    <w:p w14:paraId="419BBDB1">
      <w:pPr>
        <w:widowControl w:val="0"/>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（9）法律、法规和招标文件规定的其他无效情形。</w:t>
      </w:r>
    </w:p>
    <w:p w14:paraId="635E9EB9">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8.在招标采购中，出现下列情形之一的，应予废标：</w:t>
      </w:r>
    </w:p>
    <w:p w14:paraId="0E153CDE">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（1）符合专业条件的供应商或者对招标文件作实质性响应的供应商不足三家的；</w:t>
      </w:r>
    </w:p>
    <w:p w14:paraId="640890CB">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（2）出现影响采购公正的违法、违规行为的；</w:t>
      </w:r>
    </w:p>
    <w:p w14:paraId="522B1AEC">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（3）投标人的报价均超过了预算金额，采购人不能支付的；</w:t>
      </w:r>
    </w:p>
    <w:p w14:paraId="22463198">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（4）因重大变故，采购任务取消的。</w:t>
      </w:r>
    </w:p>
    <w:p w14:paraId="4A5CFE99">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废标后，应当在指定媒体发布公告，将废标理由通知所有投标人。</w:t>
      </w:r>
    </w:p>
    <w:p w14:paraId="2CAD3878">
      <w:pPr>
        <w:kinsoku/>
        <w:wordWrap w:val="0"/>
        <w:spacing w:line="256" w:lineRule="auto"/>
        <w:jc w:val="both"/>
        <w:rPr>
          <w:rFonts w:asciiTheme="minorEastAsia" w:hAnsiTheme="minorEastAsia" w:eastAsiaTheme="minorEastAsia" w:cstheme="minorEastAsia"/>
          <w:lang w:eastAsia="zh-CN"/>
        </w:rPr>
      </w:pPr>
    </w:p>
    <w:p w14:paraId="2A87F258">
      <w:pPr>
        <w:pStyle w:val="6"/>
        <w:kinsoku/>
        <w:wordWrap w:val="0"/>
        <w:spacing w:before="78" w:line="221" w:lineRule="auto"/>
        <w:jc w:val="center"/>
        <w:outlineLvl w:val="2"/>
        <w:rPr>
          <w:rFonts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14:textOutline w14:w="1536" w14:cap="flat" w14:cmpd="sng" w14:algn="ctr">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6" w14:cap="flat" w14:cmpd="sng" w14:algn="ctr">
            <w14:solidFill>
              <w14:srgbClr w14:val="000000"/>
            </w14:solidFill>
            <w14:prstDash w14:val="solid"/>
            <w14:miter w14:val="0"/>
          </w14:textOutline>
        </w:rPr>
        <w:t>标准</w:t>
      </w:r>
    </w:p>
    <w:p w14:paraId="6D6EA558">
      <w:pPr>
        <w:kinsoku/>
        <w:wordWrap w:val="0"/>
        <w:spacing w:before="39"/>
        <w:jc w:val="center"/>
        <w:rPr>
          <w:rFonts w:asciiTheme="minorEastAsia" w:hAnsiTheme="minorEastAsia" w:eastAsiaTheme="minorEastAsia" w:cstheme="minorEastAsia"/>
        </w:rPr>
      </w:pPr>
    </w:p>
    <w:tbl>
      <w:tblPr>
        <w:tblStyle w:val="25"/>
        <w:tblW w:w="9675" w:type="dxa"/>
        <w:tblInd w:w="-8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5"/>
        <w:gridCol w:w="1350"/>
        <w:gridCol w:w="840"/>
        <w:gridCol w:w="6180"/>
      </w:tblGrid>
      <w:tr w14:paraId="494DA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05" w:type="dxa"/>
          </w:tcPr>
          <w:p w14:paraId="407D92A0">
            <w:pPr>
              <w:kinsoku/>
              <w:wordWrap w:val="0"/>
              <w:spacing w:before="40" w:line="208"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评标项</w:t>
            </w:r>
          </w:p>
        </w:tc>
        <w:tc>
          <w:tcPr>
            <w:tcW w:w="1350" w:type="dxa"/>
          </w:tcPr>
          <w:p w14:paraId="7EC1CAA9">
            <w:pPr>
              <w:kinsoku/>
              <w:wordWrap w:val="0"/>
              <w:spacing w:before="40" w:line="208"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分项名称</w:t>
            </w:r>
          </w:p>
        </w:tc>
        <w:tc>
          <w:tcPr>
            <w:tcW w:w="840" w:type="dxa"/>
          </w:tcPr>
          <w:p w14:paraId="307F4648">
            <w:pPr>
              <w:kinsoku/>
              <w:wordWrap w:val="0"/>
              <w:spacing w:before="40" w:line="208"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分值</w:t>
            </w:r>
          </w:p>
        </w:tc>
        <w:tc>
          <w:tcPr>
            <w:tcW w:w="6180" w:type="dxa"/>
          </w:tcPr>
          <w:p w14:paraId="3013D637">
            <w:pPr>
              <w:kinsoku/>
              <w:wordWrap w:val="0"/>
              <w:spacing w:before="40" w:line="208"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6" w14:cap="flat" w14:cmpd="sng" w14:algn="ctr">
                  <w14:solidFill>
                    <w14:srgbClr w14:val="000000"/>
                  </w14:solidFill>
                  <w14:prstDash w14:val="solid"/>
                  <w14:miter w14:val="0"/>
                </w14:textOutline>
              </w:rPr>
              <w:t>评分标准</w:t>
            </w:r>
          </w:p>
        </w:tc>
      </w:tr>
      <w:tr w14:paraId="7E41C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8" w:hRule="atLeast"/>
        </w:trPr>
        <w:tc>
          <w:tcPr>
            <w:tcW w:w="1305" w:type="dxa"/>
            <w:vAlign w:val="center"/>
          </w:tcPr>
          <w:p w14:paraId="395AA871">
            <w:pPr>
              <w:pStyle w:val="26"/>
              <w:kinsoku/>
              <w:wordWrap w:val="0"/>
              <w:ind w:firstLine="210" w:firstLineChars="10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投标报价</w:t>
            </w:r>
          </w:p>
          <w:p w14:paraId="07F9E231">
            <w:pPr>
              <w:pStyle w:val="26"/>
              <w:kinsoku/>
              <w:wordWrap w:val="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（满分20分）</w:t>
            </w:r>
          </w:p>
        </w:tc>
        <w:tc>
          <w:tcPr>
            <w:tcW w:w="1350" w:type="dxa"/>
            <w:vAlign w:val="center"/>
          </w:tcPr>
          <w:p w14:paraId="0F3B42DA">
            <w:pPr>
              <w:kinsoku/>
              <w:wordWrap w:val="0"/>
              <w:spacing w:before="78" w:line="219" w:lineRule="auto"/>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报价得分</w:t>
            </w:r>
          </w:p>
        </w:tc>
        <w:tc>
          <w:tcPr>
            <w:tcW w:w="840" w:type="dxa"/>
            <w:vAlign w:val="center"/>
          </w:tcPr>
          <w:p w14:paraId="6CEB3E7F">
            <w:pPr>
              <w:pStyle w:val="26"/>
              <w:kinsoku/>
              <w:wordWrap w:val="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20分</w:t>
            </w:r>
          </w:p>
        </w:tc>
        <w:tc>
          <w:tcPr>
            <w:tcW w:w="6180" w:type="dxa"/>
            <w:vAlign w:val="center"/>
          </w:tcPr>
          <w:p w14:paraId="27037264">
            <w:pPr>
              <w:pStyle w:val="26"/>
              <w:kinsoku/>
              <w:wordWrap w:val="0"/>
              <w:spacing w:before="26" w:line="228" w:lineRule="auto"/>
              <w:ind w:left="111" w:right="103" w:firstLine="4"/>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以最高综合优惠率为基准优惠率，得20分，</w:t>
            </w:r>
          </w:p>
          <w:p w14:paraId="44242745">
            <w:pPr>
              <w:pStyle w:val="26"/>
              <w:kinsoku/>
              <w:wordWrap w:val="0"/>
              <w:spacing w:before="26" w:line="228" w:lineRule="auto"/>
              <w:ind w:left="111" w:right="103" w:firstLine="4"/>
              <w:rPr>
                <w:rFonts w:hint="eastAsia"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其余各投标人的综合优惠率得分=各投标人的综合优惠率÷基准优惠率×20分。</w:t>
            </w:r>
          </w:p>
          <w:p w14:paraId="209347E4">
            <w:pPr>
              <w:pStyle w:val="26"/>
              <w:kinsoku/>
              <w:wordWrap w:val="0"/>
              <w:spacing w:before="26" w:line="228" w:lineRule="auto"/>
              <w:ind w:left="111" w:right="103" w:firstLine="4"/>
              <w:rPr>
                <w:rFonts w:hint="eastAsia" w:asciiTheme="minorEastAsia" w:hAnsiTheme="minorEastAsia" w:eastAsiaTheme="minorEastAsia" w:cstheme="minorEastAsia"/>
                <w:spacing w:val="-12"/>
                <w:sz w:val="24"/>
                <w:szCs w:val="24"/>
                <w:lang w:eastAsia="zh-CN"/>
              </w:rPr>
            </w:pPr>
            <w:r>
              <w:rPr>
                <w:rFonts w:hint="eastAsia" w:ascii="宋体" w:hAnsi="宋体" w:cs="宋体"/>
                <w:b w:val="0"/>
                <w:bCs w:val="0"/>
                <w:snapToGrid w:val="0"/>
                <w:color w:val="000000"/>
                <w:kern w:val="2"/>
                <w:sz w:val="24"/>
                <w:szCs w:val="24"/>
                <w:lang w:val="en-US" w:eastAsia="zh-CN" w:bidi="ar-SA"/>
              </w:rPr>
              <w:t>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15%后参与评审。参与优惠企业的报价=投标报价*（1-15%）。对于同时属于小微企业、监狱企业或残疾人福利性单位的，不重复进行投标报价扣除。</w:t>
            </w:r>
          </w:p>
          <w:p w14:paraId="615BFE39">
            <w:pPr>
              <w:pStyle w:val="26"/>
              <w:kinsoku/>
              <w:wordWrap w:val="0"/>
              <w:spacing w:before="26" w:line="228" w:lineRule="auto"/>
              <w:ind w:right="103"/>
              <w:rPr>
                <w:rFonts w:hint="eastAsia" w:asciiTheme="minorEastAsia" w:hAnsiTheme="minorEastAsia" w:eastAsiaTheme="minorEastAsia" w:cstheme="minorEastAsia"/>
                <w:spacing w:val="-12"/>
                <w:sz w:val="24"/>
                <w:szCs w:val="24"/>
                <w:lang w:eastAsia="zh-CN"/>
              </w:rPr>
            </w:pPr>
          </w:p>
        </w:tc>
      </w:tr>
      <w:tr w14:paraId="1BD73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305" w:type="dxa"/>
            <w:vAlign w:val="center"/>
          </w:tcPr>
          <w:p w14:paraId="4FC97B22">
            <w:pPr>
              <w:pStyle w:val="26"/>
              <w:kinsoku/>
              <w:wordWrap w:val="0"/>
              <w:ind w:firstLine="210" w:firstLineChars="10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技术部分</w:t>
            </w:r>
          </w:p>
          <w:p w14:paraId="196BED9A">
            <w:pPr>
              <w:pStyle w:val="26"/>
              <w:kinsoku/>
              <w:wordWrap w:val="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（满分57分）</w:t>
            </w:r>
          </w:p>
        </w:tc>
        <w:tc>
          <w:tcPr>
            <w:tcW w:w="1350" w:type="dxa"/>
            <w:vAlign w:val="center"/>
          </w:tcPr>
          <w:p w14:paraId="09B8C460">
            <w:pPr>
              <w:kinsoku/>
              <w:wordWrap w:val="0"/>
              <w:spacing w:before="78" w:line="219" w:lineRule="auto"/>
              <w:jc w:val="center"/>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投标人的基本情况及实力</w:t>
            </w:r>
          </w:p>
        </w:tc>
        <w:tc>
          <w:tcPr>
            <w:tcW w:w="840" w:type="dxa"/>
            <w:vAlign w:val="center"/>
          </w:tcPr>
          <w:p w14:paraId="18C7511B">
            <w:pPr>
              <w:pStyle w:val="26"/>
              <w:kinsoku/>
              <w:wordWrap w:val="0"/>
              <w:jc w:val="center"/>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57分</w:t>
            </w:r>
          </w:p>
        </w:tc>
        <w:tc>
          <w:tcPr>
            <w:tcW w:w="6180" w:type="dxa"/>
          </w:tcPr>
          <w:p w14:paraId="0C729631">
            <w:pPr>
              <w:pStyle w:val="26"/>
              <w:kinsoku/>
              <w:wordWrap w:val="0"/>
              <w:spacing w:before="26" w:line="228" w:lineRule="auto"/>
              <w:ind w:left="111" w:right="103" w:firstLine="4"/>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1）评委会依据各宾馆饭店的等级进行打分，四星级或同等标准打6分，三星级或同等标准打4分，二星级或同等标准打2分，一星级标准及以下打1分（以星级资质证书或市旅游局出具的达到星级同等标准的证明文件为准）；</w:t>
            </w:r>
          </w:p>
          <w:p w14:paraId="4B709549">
            <w:pPr>
              <w:pStyle w:val="26"/>
              <w:kinsoku/>
              <w:wordWrap w:val="0"/>
              <w:spacing w:before="26" w:line="228" w:lineRule="auto"/>
              <w:ind w:left="111" w:right="103" w:firstLine="4"/>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2）评委会依据各投标人的会议室大小进行打分，具有350人以上（含350人）会议室的得5分，具有200-349人会议室的得4分，具有100人-199人会议室的得3分，具有50-99人会议室的得2分，具有50人以下会议室得1分，本项不累计得分，最多得5分。要求附图片及相关证明材料；</w:t>
            </w:r>
          </w:p>
          <w:p w14:paraId="325AF7AF">
            <w:pPr>
              <w:pStyle w:val="26"/>
              <w:kinsoku/>
              <w:wordWrap w:val="0"/>
              <w:spacing w:before="26" w:line="228" w:lineRule="auto"/>
              <w:ind w:left="111" w:right="103" w:firstLine="4"/>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（3）评委会依据各投标人的会议室数量进行打分，具有6个以上会议室的打5分，具有3-5个会议室的打3分，具有2个会议室的打1分。要求附图片及相关证明材料；</w:t>
            </w:r>
          </w:p>
          <w:p w14:paraId="6CFFF244">
            <w:pPr>
              <w:pStyle w:val="26"/>
              <w:kinsoku/>
              <w:wordWrap w:val="0"/>
              <w:spacing w:before="26" w:line="228" w:lineRule="auto"/>
              <w:ind w:left="111" w:right="103" w:firstLine="4"/>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（4）评委会依据各投标人的客房数量进行打分，具有80间以上的打5分，具有50-79间的打4分，具有30至49间的打3分，具有29间以下的打1-2分，要求附相关证明材料；</w:t>
            </w:r>
          </w:p>
          <w:p w14:paraId="36089A98">
            <w:pPr>
              <w:pStyle w:val="26"/>
              <w:kinsoku/>
              <w:wordWrap w:val="0"/>
              <w:spacing w:before="26" w:line="228" w:lineRule="auto"/>
              <w:ind w:left="111" w:right="103" w:firstLine="4"/>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5）评委会依据客房综合条件进行打分，客房综合条件好、布局合理、设施齐全，能很好地满足客人会议住宿各种需要的得3分，客房综合条件较好、布局较合理、设施较齐全，能满足客人会议住宿大部分需要的打2分，客房综合条件和布局一般、设施基本齐全，能满足客人会议住宿基本需要的打1分，要求附图片及相关证明材料；</w:t>
            </w:r>
          </w:p>
          <w:p w14:paraId="7E3C2930">
            <w:pPr>
              <w:pStyle w:val="26"/>
              <w:kinsoku/>
              <w:wordWrap w:val="0"/>
              <w:spacing w:before="26" w:line="228" w:lineRule="auto"/>
              <w:ind w:left="111" w:right="103" w:firstLine="4"/>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6）评委会依据各投标人的会议室条件进行打分，设施先进、功能齐全、能够满足各种会议需要的打4分，设施较好、功能较好、能够满足一般会议需要的打2-3分，会议室设施较全、基本满足会议需要的打1分，要求附图片及相关证明材料；</w:t>
            </w:r>
          </w:p>
          <w:p w14:paraId="7D1D3B6C">
            <w:pPr>
              <w:pStyle w:val="26"/>
              <w:kinsoku/>
              <w:wordWrap w:val="0"/>
              <w:spacing w:before="26" w:line="228" w:lineRule="auto"/>
              <w:ind w:left="111" w:right="103" w:firstLine="4"/>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7）评委会依据各投标人宾馆饭店的新旧程度进行打分，2020年1月以后新装修或内装饰为精细装修的打5分，2015-2020年之间装修或内装饰为精细装修的打3分，2010-2015年装修或内装饰为普通装修的打2分，其他不得分，要求附装修合同等证明材料；</w:t>
            </w:r>
          </w:p>
          <w:p w14:paraId="4B574956">
            <w:pPr>
              <w:pStyle w:val="26"/>
              <w:kinsoku/>
              <w:wordWrap w:val="0"/>
              <w:spacing w:before="26" w:line="228" w:lineRule="auto"/>
              <w:ind w:left="111" w:right="103" w:firstLine="4"/>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（8）评委会依据投标人绿化及周边环境进行打分，宾馆饭店绿化及周边环境好的打3分，宾馆饭店绿化及周边环境较好的打2分，宾馆饭店绿化及周边环境一般的打1分，要求附图片；</w:t>
            </w:r>
          </w:p>
          <w:p w14:paraId="6092A72F">
            <w:pPr>
              <w:pStyle w:val="26"/>
              <w:kinsoku/>
              <w:wordWrap w:val="0"/>
              <w:spacing w:before="26" w:line="228" w:lineRule="auto"/>
              <w:ind w:left="111" w:right="103" w:firstLine="4"/>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（9）评委会依据各投标人内部管理制度及措施进行打分，制度健全、内控良好的打4分，制度基本完整、内控较好的打2-3分，制度不健全、内控较差的打1分，要求附规章制度图片；</w:t>
            </w:r>
          </w:p>
          <w:p w14:paraId="77423954">
            <w:pPr>
              <w:pStyle w:val="26"/>
              <w:kinsoku/>
              <w:wordWrap w:val="0"/>
              <w:spacing w:before="26" w:line="228" w:lineRule="auto"/>
              <w:ind w:left="111" w:right="103" w:firstLine="4"/>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 xml:space="preserve"> （10）评委会依据各投标人主要管理及技术人员水平及相关证书进行打分，人员齐全、水平高、证书多的打3分，人员较全、水平较高、有证书的打2分，人员少、水平一般、无证书的打1分，要求附相关证明材料；</w:t>
            </w:r>
          </w:p>
          <w:p w14:paraId="0A9C4A2D">
            <w:pPr>
              <w:pStyle w:val="26"/>
              <w:kinsoku/>
              <w:wordWrap w:val="0"/>
              <w:spacing w:before="26" w:line="228" w:lineRule="auto"/>
              <w:ind w:left="111" w:right="103" w:firstLine="4"/>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 xml:space="preserve"> （11）评委会依据各投标人配餐方案进行打分，品种齐全，营养搭配好，价格合理，具备少数名族就餐条件的打6分；品种较全，营养搭配一般，价格一般，具备少数名族就餐条件的打4-5分；品种较少，营养搭配较差，价格不合理，不具备少数名族就餐条件的打2-3分，要求附相关证明材料；</w:t>
            </w:r>
          </w:p>
          <w:p w14:paraId="48BE035F">
            <w:pPr>
              <w:pStyle w:val="26"/>
              <w:kinsoku/>
              <w:wordWrap w:val="0"/>
              <w:spacing w:before="26" w:line="228" w:lineRule="auto"/>
              <w:ind w:left="111" w:right="103" w:firstLine="4"/>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 xml:space="preserve">（12）评委会依据各投标人停车场的条件进行打分，有50个以上停车位得5分，有40-49个停车位得4分，有30-39个停车位得3分，有29个以下停车位得1分，要求附图片及相关证明材料； </w:t>
            </w:r>
          </w:p>
          <w:p w14:paraId="176CCA1D">
            <w:pPr>
              <w:pStyle w:val="26"/>
              <w:kinsoku/>
              <w:wordWrap w:val="0"/>
              <w:spacing w:before="26" w:line="228" w:lineRule="auto"/>
              <w:ind w:left="111" w:right="103" w:firstLine="4"/>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（13）评委会依据各投标人安保、医疗设施的齐备程度进行打分，设施齐全、安全程度高的打3分，设施较全、安全程度较高的打2分，设施一般，安全程度低的打1分。</w:t>
            </w:r>
          </w:p>
        </w:tc>
      </w:tr>
      <w:tr w14:paraId="388EA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1305" w:type="dxa"/>
            <w:vMerge w:val="restart"/>
            <w:vAlign w:val="center"/>
          </w:tcPr>
          <w:p w14:paraId="41E9FDD4">
            <w:pPr>
              <w:pStyle w:val="26"/>
              <w:kinsoku/>
              <w:wordWrap w:val="0"/>
              <w:ind w:firstLine="210" w:firstLineChars="10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商务部分</w:t>
            </w:r>
          </w:p>
          <w:p w14:paraId="32B513A9">
            <w:pPr>
              <w:pStyle w:val="26"/>
              <w:kinsoku/>
              <w:wordWrap w:val="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（满分23分）</w:t>
            </w:r>
          </w:p>
        </w:tc>
        <w:tc>
          <w:tcPr>
            <w:tcW w:w="1350" w:type="dxa"/>
            <w:vAlign w:val="center"/>
          </w:tcPr>
          <w:p w14:paraId="7D1BF249">
            <w:pPr>
              <w:pStyle w:val="26"/>
              <w:kinsoku/>
              <w:wordWrap w:val="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业绩</w:t>
            </w:r>
          </w:p>
        </w:tc>
        <w:tc>
          <w:tcPr>
            <w:tcW w:w="840" w:type="dxa"/>
            <w:vAlign w:val="center"/>
          </w:tcPr>
          <w:p w14:paraId="67937B73">
            <w:pPr>
              <w:pStyle w:val="26"/>
              <w:kinsoku/>
              <w:wordWrap w:val="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3分</w:t>
            </w:r>
          </w:p>
        </w:tc>
        <w:tc>
          <w:tcPr>
            <w:tcW w:w="6180" w:type="dxa"/>
            <w:vAlign w:val="center"/>
          </w:tcPr>
          <w:p w14:paraId="09F05AFB">
            <w:pPr>
              <w:pStyle w:val="26"/>
              <w:kinsoku/>
              <w:wordWrap w:val="0"/>
              <w:ind w:firstLine="42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投标人近三年接待市级以上会议一次得1分，最多得3分，提供相对应合同原件扫描件，未提供不得分。</w:t>
            </w:r>
          </w:p>
        </w:tc>
      </w:tr>
      <w:tr w14:paraId="54082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1305" w:type="dxa"/>
            <w:vMerge w:val="continue"/>
            <w:vAlign w:val="center"/>
          </w:tcPr>
          <w:p w14:paraId="08EC0F77">
            <w:pPr>
              <w:pStyle w:val="26"/>
              <w:kinsoku/>
              <w:wordWrap w:val="0"/>
              <w:jc w:val="both"/>
              <w:rPr>
                <w:rFonts w:asciiTheme="minorEastAsia" w:hAnsiTheme="minorEastAsia" w:eastAsiaTheme="minorEastAsia" w:cstheme="minorEastAsia"/>
                <w:lang w:eastAsia="zh-CN"/>
              </w:rPr>
            </w:pPr>
          </w:p>
        </w:tc>
        <w:tc>
          <w:tcPr>
            <w:tcW w:w="1350" w:type="dxa"/>
            <w:vAlign w:val="center"/>
          </w:tcPr>
          <w:p w14:paraId="0B595670">
            <w:pPr>
              <w:pStyle w:val="26"/>
              <w:kinsoku/>
              <w:wordWrap w:val="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投标文件符合性响应程度</w:t>
            </w:r>
          </w:p>
        </w:tc>
        <w:tc>
          <w:tcPr>
            <w:tcW w:w="840" w:type="dxa"/>
            <w:vAlign w:val="center"/>
          </w:tcPr>
          <w:p w14:paraId="49645ECD">
            <w:pPr>
              <w:pStyle w:val="26"/>
              <w:kinsoku/>
              <w:wordWrap w:val="0"/>
              <w:jc w:val="center"/>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分</w:t>
            </w:r>
          </w:p>
        </w:tc>
        <w:tc>
          <w:tcPr>
            <w:tcW w:w="6180" w:type="dxa"/>
            <w:vAlign w:val="center"/>
          </w:tcPr>
          <w:p w14:paraId="697F1AEA">
            <w:pPr>
              <w:pStyle w:val="26"/>
              <w:kinsoku/>
              <w:wordWrap w:val="0"/>
              <w:ind w:firstLine="42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投标文件符合招标文件所有条款条件，标书制作规范最多得</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lang w:eastAsia="zh-CN"/>
              </w:rPr>
              <w:t>分；若投标文件与招标文件要求有偏离，但不影响到实质性响应，评委根据情况扣0.5-2分。</w:t>
            </w:r>
          </w:p>
        </w:tc>
      </w:tr>
      <w:tr w14:paraId="2BFA8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305" w:type="dxa"/>
            <w:vMerge w:val="continue"/>
            <w:vAlign w:val="center"/>
          </w:tcPr>
          <w:p w14:paraId="70D0DEF9">
            <w:pPr>
              <w:pStyle w:val="26"/>
              <w:kinsoku/>
              <w:wordWrap w:val="0"/>
              <w:jc w:val="both"/>
              <w:rPr>
                <w:rFonts w:asciiTheme="minorEastAsia" w:hAnsiTheme="minorEastAsia" w:eastAsiaTheme="minorEastAsia" w:cstheme="minorEastAsia"/>
                <w:lang w:eastAsia="zh-CN"/>
              </w:rPr>
            </w:pPr>
          </w:p>
        </w:tc>
        <w:tc>
          <w:tcPr>
            <w:tcW w:w="1350" w:type="dxa"/>
            <w:vAlign w:val="center"/>
          </w:tcPr>
          <w:p w14:paraId="53EA5298">
            <w:pPr>
              <w:pStyle w:val="26"/>
              <w:kinsoku/>
              <w:wordWrap w:val="0"/>
              <w:jc w:val="center"/>
              <w:rPr>
                <w:rFonts w:asciiTheme="minorEastAsia" w:hAnsiTheme="minorEastAsia" w:eastAsiaTheme="minorEastAsia" w:cstheme="minorEastAsia"/>
                <w:lang w:eastAsia="zh-CN"/>
              </w:rPr>
            </w:pPr>
            <w:r>
              <w:rPr>
                <w:rFonts w:asciiTheme="minorEastAsia" w:hAnsiTheme="minorEastAsia" w:eastAsiaTheme="minorEastAsia" w:cstheme="minorEastAsia"/>
                <w:lang w:eastAsia="zh-CN"/>
              </w:rPr>
              <w:t>定点接待服务方案及承诺</w:t>
            </w:r>
          </w:p>
        </w:tc>
        <w:tc>
          <w:tcPr>
            <w:tcW w:w="840" w:type="dxa"/>
            <w:vAlign w:val="center"/>
          </w:tcPr>
          <w:p w14:paraId="0D3CFC4B">
            <w:pPr>
              <w:pStyle w:val="26"/>
              <w:kinsoku/>
              <w:wordWrap w:val="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lang w:eastAsia="zh-CN"/>
              </w:rPr>
              <w:t>分</w:t>
            </w:r>
          </w:p>
        </w:tc>
        <w:tc>
          <w:tcPr>
            <w:tcW w:w="6180" w:type="dxa"/>
            <w:vAlign w:val="center"/>
          </w:tcPr>
          <w:p w14:paraId="3DC893FE">
            <w:pPr>
              <w:pStyle w:val="26"/>
              <w:kinsoku/>
              <w:wordWrap w:val="0"/>
              <w:ind w:firstLine="42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评委会依据各投标人提供的定点接待服务方案、服务保障措施、服务承诺等进行评定，服务方案针对性强、服务保障措施完备、服务承诺详细的得13-15分，服务方案针对性较强、服务保障措施基本完备、服务承诺比较详细的得10-12分，服务方案针对性不强、服务保障措施缺失、服务承诺不完善的得7-9分。</w:t>
            </w:r>
          </w:p>
        </w:tc>
      </w:tr>
      <w:tr w14:paraId="4467D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305" w:type="dxa"/>
            <w:vMerge w:val="continue"/>
            <w:vAlign w:val="center"/>
          </w:tcPr>
          <w:p w14:paraId="2E2D5465">
            <w:pPr>
              <w:pStyle w:val="26"/>
              <w:kinsoku/>
              <w:wordWrap w:val="0"/>
              <w:jc w:val="both"/>
              <w:rPr>
                <w:rFonts w:asciiTheme="minorEastAsia" w:hAnsiTheme="minorEastAsia" w:eastAsiaTheme="minorEastAsia" w:cstheme="minorEastAsia"/>
                <w:lang w:eastAsia="zh-CN"/>
              </w:rPr>
            </w:pPr>
          </w:p>
        </w:tc>
        <w:tc>
          <w:tcPr>
            <w:tcW w:w="1350" w:type="dxa"/>
            <w:vAlign w:val="center"/>
          </w:tcPr>
          <w:p w14:paraId="5893D825">
            <w:pPr>
              <w:pStyle w:val="26"/>
              <w:kinsoku/>
              <w:wordWrap w:val="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信用评价</w:t>
            </w:r>
          </w:p>
        </w:tc>
        <w:tc>
          <w:tcPr>
            <w:tcW w:w="840" w:type="dxa"/>
            <w:vAlign w:val="center"/>
          </w:tcPr>
          <w:p w14:paraId="68CF308B">
            <w:pPr>
              <w:pStyle w:val="26"/>
              <w:kinsoku/>
              <w:wordWrap w:val="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2分</w:t>
            </w:r>
          </w:p>
        </w:tc>
        <w:tc>
          <w:tcPr>
            <w:tcW w:w="6180" w:type="dxa"/>
            <w:vAlign w:val="center"/>
          </w:tcPr>
          <w:p w14:paraId="4304CC9B">
            <w:pPr>
              <w:pStyle w:val="26"/>
              <w:kinsoku/>
              <w:wordWrap w:val="0"/>
              <w:ind w:firstLine="42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根据《南阳市政府采购信用评价实施办法》，投标人登录“南阳市政府采购信用管理系统”打印并提交《南阳市政府采购供应商信用记录表》，诚信评价为三星级的加 1 分，四星级的加 2 分，其他不得分。</w:t>
            </w:r>
          </w:p>
        </w:tc>
      </w:tr>
      <w:tr w14:paraId="48BA7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2655" w:type="dxa"/>
            <w:gridSpan w:val="2"/>
          </w:tcPr>
          <w:p w14:paraId="6CBA95C4">
            <w:pPr>
              <w:kinsoku/>
              <w:wordWrap w:val="0"/>
              <w:spacing w:before="42" w:line="206" w:lineRule="auto"/>
              <w:ind w:left="932"/>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合计</w:t>
            </w:r>
          </w:p>
        </w:tc>
        <w:tc>
          <w:tcPr>
            <w:tcW w:w="840" w:type="dxa"/>
          </w:tcPr>
          <w:p w14:paraId="7A434CDE">
            <w:pPr>
              <w:pStyle w:val="26"/>
              <w:kinsoku/>
              <w:wordWrap w:val="0"/>
              <w:spacing w:before="59" w:line="202" w:lineRule="auto"/>
              <w:ind w:left="265"/>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100</w:t>
            </w:r>
          </w:p>
        </w:tc>
        <w:tc>
          <w:tcPr>
            <w:tcW w:w="6180" w:type="dxa"/>
          </w:tcPr>
          <w:p w14:paraId="1A27C523">
            <w:pPr>
              <w:pStyle w:val="26"/>
              <w:kinsoku/>
              <w:wordWrap w:val="0"/>
              <w:jc w:val="both"/>
              <w:rPr>
                <w:rFonts w:asciiTheme="minorEastAsia" w:hAnsiTheme="minorEastAsia" w:eastAsiaTheme="minorEastAsia" w:cstheme="minorEastAsia"/>
                <w:lang w:eastAsia="zh-CN"/>
              </w:rPr>
            </w:pPr>
          </w:p>
        </w:tc>
      </w:tr>
    </w:tbl>
    <w:p w14:paraId="3C4E82AA">
      <w:pPr>
        <w:kinsoku/>
        <w:wordWrap w:val="0"/>
        <w:spacing w:line="360" w:lineRule="auto"/>
        <w:ind w:firstLine="420" w:firstLineChars="200"/>
        <w:jc w:val="both"/>
        <w:rPr>
          <w:rFonts w:asciiTheme="minorEastAsia" w:hAnsiTheme="minorEastAsia" w:eastAsiaTheme="minorEastAsia" w:cstheme="minorEastAsia"/>
        </w:rPr>
      </w:pPr>
    </w:p>
    <w:p w14:paraId="27D48E49">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六.中标通知及签订合同</w:t>
      </w:r>
    </w:p>
    <w:p w14:paraId="6EA94661">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1.中标通知</w:t>
      </w:r>
    </w:p>
    <w:p w14:paraId="4CACE4A0">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1.1 中标人被正式确定后，将在“河南省政府采购网”和“南阳市公共资源交易中心网”上公告中标结果，同时向中标人发出《中标通知书》。</w:t>
      </w:r>
    </w:p>
    <w:p w14:paraId="222B8DB9">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1.2 《中标通知书》将作为签订合同的依据之一。</w:t>
      </w:r>
    </w:p>
    <w:p w14:paraId="6AF5E8C8">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6B996887">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2.签订合同</w:t>
      </w:r>
    </w:p>
    <w:p w14:paraId="779A12A2">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2.1中标供应商打印《中标通知书》后及时与采购人签订政府采购合同。合同签订后，采购人应通过“河南省电子化政府采购系统”(www.hngp.gov.cn)合同管理栏目上传合同原件扫描件完成备案。</w:t>
      </w:r>
    </w:p>
    <w:p w14:paraId="0F4EFBDE">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2.2招标文件、投标文件、答疑及澄清文件，均为签订合同的依据。</w:t>
      </w:r>
    </w:p>
    <w:p w14:paraId="69B989AD">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p>
    <w:p w14:paraId="5A704342">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七.质疑与答复</w:t>
      </w:r>
    </w:p>
    <w:p w14:paraId="041811A9">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w:t>
      </w:r>
      <w:r>
        <w:rPr>
          <w:rFonts w:asciiTheme="minorEastAsia" w:hAnsiTheme="minorEastAsia" w:eastAsiaTheme="minorEastAsia" w:cstheme="minorEastAsia"/>
          <w:spacing w:val="2"/>
          <w:position w:val="17"/>
          <w:sz w:val="24"/>
          <w:szCs w:val="24"/>
          <w:lang w:eastAsia="zh-CN"/>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6C0026F2">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w:t>
      </w:r>
      <w:r>
        <w:rPr>
          <w:rFonts w:asciiTheme="minorEastAsia" w:hAnsiTheme="minorEastAsia" w:eastAsiaTheme="minorEastAsia" w:cstheme="minorEastAsia"/>
          <w:spacing w:val="2"/>
          <w:position w:val="17"/>
          <w:sz w:val="24"/>
          <w:szCs w:val="24"/>
          <w:lang w:eastAsia="zh-CN"/>
        </w:rPr>
        <w:t>质疑函须按照财政</w:t>
      </w:r>
      <w:r>
        <w:rPr>
          <w:rFonts w:hint="eastAsia" w:asciiTheme="minorEastAsia" w:hAnsiTheme="minorEastAsia" w:eastAsiaTheme="minorEastAsia" w:cstheme="minorEastAsia"/>
          <w:spacing w:val="2"/>
          <w:position w:val="17"/>
          <w:sz w:val="24"/>
          <w:szCs w:val="24"/>
          <w:lang w:eastAsia="zh-CN"/>
        </w:rPr>
        <w:t>部门</w:t>
      </w:r>
      <w:r>
        <w:rPr>
          <w:rFonts w:asciiTheme="minorEastAsia" w:hAnsiTheme="minorEastAsia" w:eastAsiaTheme="minorEastAsia" w:cstheme="minorEastAsia"/>
          <w:spacing w:val="2"/>
          <w:position w:val="17"/>
          <w:sz w:val="24"/>
          <w:szCs w:val="24"/>
          <w:lang w:eastAsia="zh-CN"/>
        </w:rPr>
        <w:t>发布的质疑函范本格式编制，质疑事项应具体、明确，并有必要的事实依据和法律依据。</w:t>
      </w:r>
    </w:p>
    <w:p w14:paraId="0E90B5BA">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w:t>
      </w:r>
      <w:r>
        <w:rPr>
          <w:rFonts w:asciiTheme="minorEastAsia" w:hAnsiTheme="minorEastAsia" w:eastAsiaTheme="minorEastAsia" w:cstheme="minorEastAsia"/>
          <w:spacing w:val="2"/>
          <w:position w:val="17"/>
          <w:sz w:val="24"/>
          <w:szCs w:val="24"/>
          <w:lang w:eastAsia="zh-CN"/>
        </w:rPr>
        <w:t>接收质疑的方式：</w:t>
      </w:r>
    </w:p>
    <w:p w14:paraId="68939C76">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3.1 </w:t>
      </w:r>
      <w:r>
        <w:rPr>
          <w:rFonts w:asciiTheme="minorEastAsia" w:hAnsiTheme="minorEastAsia" w:eastAsiaTheme="minorEastAsia" w:cstheme="minorEastAsia"/>
          <w:spacing w:val="2"/>
          <w:position w:val="17"/>
          <w:sz w:val="24"/>
          <w:szCs w:val="24"/>
          <w:lang w:eastAsia="zh-CN"/>
        </w:rPr>
        <w:t>在线接收，请质疑人上传质疑函原件扫描件到南阳市公共资源交易系统并电话通知到项目负责人。</w:t>
      </w:r>
    </w:p>
    <w:p w14:paraId="65239BB5">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3.2 </w:t>
      </w:r>
      <w:r>
        <w:rPr>
          <w:rFonts w:asciiTheme="minorEastAsia" w:hAnsiTheme="minorEastAsia" w:eastAsiaTheme="minorEastAsia" w:cstheme="minorEastAsia"/>
          <w:spacing w:val="2"/>
          <w:position w:val="17"/>
          <w:sz w:val="24"/>
          <w:szCs w:val="24"/>
          <w:lang w:eastAsia="zh-CN"/>
        </w:rPr>
        <w:t>书面提交，请质疑人将质疑函原件送达或邮寄至采购单位联系人和</w:t>
      </w:r>
      <w:r>
        <w:rPr>
          <w:rFonts w:hint="eastAsia" w:asciiTheme="minorEastAsia" w:hAnsiTheme="minorEastAsia" w:eastAsiaTheme="minorEastAsia" w:cstheme="minorEastAsia"/>
          <w:spacing w:val="2"/>
          <w:position w:val="17"/>
          <w:sz w:val="24"/>
          <w:szCs w:val="24"/>
          <w:lang w:eastAsia="zh-CN"/>
        </w:rPr>
        <w:t>采购代理机构</w:t>
      </w:r>
      <w:r>
        <w:rPr>
          <w:rFonts w:asciiTheme="minorEastAsia" w:hAnsiTheme="minorEastAsia" w:eastAsiaTheme="minorEastAsia" w:cstheme="minorEastAsia"/>
          <w:spacing w:val="2"/>
          <w:position w:val="17"/>
          <w:sz w:val="24"/>
          <w:szCs w:val="24"/>
          <w:lang w:eastAsia="zh-CN"/>
        </w:rPr>
        <w:t>项目负责人，联系方式及地址详见采购公告。</w:t>
      </w:r>
    </w:p>
    <w:p w14:paraId="1695FD2E">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w:t>
      </w:r>
      <w:r>
        <w:rPr>
          <w:rFonts w:asciiTheme="minorEastAsia" w:hAnsiTheme="minorEastAsia" w:eastAsiaTheme="minorEastAsia" w:cstheme="minorEastAsia"/>
          <w:spacing w:val="2"/>
          <w:position w:val="17"/>
          <w:sz w:val="24"/>
          <w:szCs w:val="24"/>
          <w:lang w:eastAsia="zh-CN"/>
        </w:rPr>
        <w:t>超出法定质疑期的、重复提出的、分次提出的或内容、形式不符合《政府采购质疑和投诉办法》的，采购人和采购代理机构可以拒收，质疑供应商将依法承担不利后果。</w:t>
      </w:r>
    </w:p>
    <w:p w14:paraId="766C140A">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5.</w:t>
      </w:r>
      <w:r>
        <w:rPr>
          <w:rFonts w:asciiTheme="minorEastAsia" w:hAnsiTheme="minorEastAsia" w:eastAsiaTheme="minorEastAsia" w:cstheme="minorEastAsia"/>
          <w:spacing w:val="2"/>
          <w:position w:val="17"/>
          <w:sz w:val="24"/>
          <w:szCs w:val="24"/>
          <w:lang w:eastAsia="zh-CN"/>
        </w:rPr>
        <w:t>采购人和采购代理机构在收到质疑函后7个工作日内作出答复，并以书面形式通知质疑供应商和其他有关供应商。</w:t>
      </w:r>
    </w:p>
    <w:p w14:paraId="7A09C85D">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八、相关注意事项</w:t>
      </w:r>
    </w:p>
    <w:p w14:paraId="188BA042">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1.开标及询标时，投标人法定代表人（负责人）或授权代表务必携带有效的身份证明，否则产生的不利后果由投标人自行承担。</w:t>
      </w:r>
    </w:p>
    <w:p w14:paraId="0B981ABA">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2.各投标人应保证：投标文件中涉及到的所有内容，不会出现因第三方提出侵权而引发法律及经济纠纷，不论何种情况下若发生此类情况，其相应责任由投标人自行承担。</w:t>
      </w:r>
    </w:p>
    <w:p w14:paraId="0D2FFA8A">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3.3开标、评标期间，投标人不得向评委询问评标情况，不得进行旨在影响评标结果的活动。</w:t>
      </w:r>
    </w:p>
    <w:p w14:paraId="5B2515CD">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4.为了保证评标的公正性，除询标外，评委不得与投标人交换意见。无论评标工作结束与否，参与评标的任何人均不得私下向外透露评标中的任何情况。</w:t>
      </w:r>
    </w:p>
    <w:p w14:paraId="5C2D9F3B">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5.投标人应本着公平竞争的原则参与投标，不得用任何方式对其它投标人恶意攻击。</w:t>
      </w:r>
    </w:p>
    <w:p w14:paraId="659116F2">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6.投标人如有违反上述要求或违反国家法律、法规的行为，无论评标结果如何，其投标资格将被取消。</w:t>
      </w:r>
    </w:p>
    <w:p w14:paraId="43D97ACB">
      <w:pPr>
        <w:kinsoku/>
        <w:wordWrap w:val="0"/>
        <w:spacing w:line="360" w:lineRule="auto"/>
        <w:jc w:val="both"/>
        <w:rPr>
          <w:rFonts w:asciiTheme="minorEastAsia" w:hAnsiTheme="minorEastAsia" w:eastAsiaTheme="minorEastAsia" w:cstheme="minorEastAsia"/>
          <w:b/>
          <w:bCs/>
          <w:spacing w:val="2"/>
          <w:position w:val="17"/>
          <w:sz w:val="32"/>
          <w:szCs w:val="32"/>
          <w:lang w:eastAsia="zh-CN"/>
        </w:rPr>
      </w:pPr>
    </w:p>
    <w:p w14:paraId="6FEEAE91">
      <w:pPr>
        <w:kinsoku/>
        <w:wordWrap w:val="0"/>
        <w:spacing w:line="360" w:lineRule="auto"/>
        <w:jc w:val="both"/>
        <w:rPr>
          <w:rFonts w:asciiTheme="minorEastAsia" w:hAnsiTheme="minorEastAsia" w:eastAsiaTheme="minorEastAsia" w:cstheme="minorEastAsia"/>
          <w:b/>
          <w:bCs/>
          <w:spacing w:val="2"/>
          <w:position w:val="17"/>
          <w:sz w:val="32"/>
          <w:szCs w:val="32"/>
          <w:lang w:eastAsia="zh-CN"/>
        </w:rPr>
      </w:pPr>
    </w:p>
    <w:p w14:paraId="4F93B0A3">
      <w:pPr>
        <w:kinsoku/>
        <w:wordWrap w:val="0"/>
        <w:spacing w:line="360" w:lineRule="auto"/>
        <w:jc w:val="center"/>
        <w:rPr>
          <w:rFonts w:asciiTheme="minorEastAsia" w:hAnsiTheme="minorEastAsia" w:eastAsiaTheme="minorEastAsia" w:cstheme="minorEastAsia"/>
          <w:spacing w:val="2"/>
          <w:position w:val="17"/>
          <w:sz w:val="32"/>
          <w:szCs w:val="32"/>
          <w:lang w:eastAsia="zh-CN"/>
        </w:rPr>
      </w:pPr>
      <w:r>
        <w:rPr>
          <w:rFonts w:hint="eastAsia" w:asciiTheme="minorEastAsia" w:hAnsiTheme="minorEastAsia" w:eastAsiaTheme="minorEastAsia" w:cstheme="minorEastAsia"/>
          <w:b/>
          <w:bCs/>
          <w:spacing w:val="2"/>
          <w:position w:val="17"/>
          <w:sz w:val="32"/>
          <w:szCs w:val="32"/>
          <w:lang w:eastAsia="zh-CN"/>
        </w:rPr>
        <w:t>河南省政府采购合同融资政策告知函</w:t>
      </w:r>
    </w:p>
    <w:p w14:paraId="1C14E1F1">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p>
    <w:p w14:paraId="6822B918">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各供应商：</w:t>
      </w:r>
    </w:p>
    <w:p w14:paraId="316B00B2">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欢迎贵公司参与河南省政府采购活动!</w:t>
      </w:r>
    </w:p>
    <w:p w14:paraId="0791BAD7">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663DC053">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贷款渠道和提供贷款的金融机构，可在河南省政府采购网“河南省政府采购合同融资平台”查询联系。</w:t>
      </w:r>
    </w:p>
    <w:p w14:paraId="25F471E9">
      <w:pPr>
        <w:pStyle w:val="6"/>
        <w:kinsoku/>
        <w:wordWrap w:val="0"/>
        <w:spacing w:line="360" w:lineRule="auto"/>
        <w:ind w:firstLine="430" w:firstLineChars="200"/>
        <w:jc w:val="both"/>
        <w:rPr>
          <w:rFonts w:asciiTheme="minorEastAsia" w:hAnsiTheme="minorEastAsia" w:eastAsiaTheme="minorEastAsia" w:cstheme="minorEastAsia"/>
          <w:b/>
          <w:bCs/>
          <w:spacing w:val="-13"/>
          <w:sz w:val="24"/>
          <w:szCs w:val="24"/>
          <w:lang w:eastAsia="zh-CN"/>
        </w:rPr>
        <w:sectPr>
          <w:footerReference r:id="rId4" w:type="default"/>
          <w:pgSz w:w="11907" w:h="16840"/>
          <w:pgMar w:top="1440" w:right="1800" w:bottom="1440" w:left="1800" w:header="878" w:footer="886" w:gutter="0"/>
          <w:pgNumType w:start="1"/>
          <w:cols w:space="720" w:num="1"/>
        </w:sectPr>
      </w:pPr>
      <w:r>
        <w:rPr>
          <w:rFonts w:hint="eastAsia" w:asciiTheme="minorEastAsia" w:hAnsiTheme="minorEastAsia" w:eastAsiaTheme="minorEastAsia" w:cstheme="minorEastAsia"/>
          <w:b/>
          <w:bCs/>
          <w:spacing w:val="-13"/>
          <w:sz w:val="24"/>
          <w:szCs w:val="24"/>
          <w:lang w:eastAsia="zh-CN"/>
        </w:rPr>
        <w:t>为更大力度激发市场活力和社会创造力，增强发展动力，进一步加强政府采购合同线上融资一站式服务（简称“政采贷”），有需求的供应商，可按上述通知要求办理政采贷。</w:t>
      </w:r>
    </w:p>
    <w:p w14:paraId="2F5C12BF">
      <w:pPr>
        <w:pStyle w:val="6"/>
        <w:kinsoku/>
        <w:spacing w:before="353" w:line="540" w:lineRule="exact"/>
        <w:jc w:val="center"/>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第五章 政府采购合同（草案）</w:t>
      </w:r>
    </w:p>
    <w:p w14:paraId="47AD5F29">
      <w:pPr>
        <w:pStyle w:val="6"/>
        <w:kinsoku/>
        <w:spacing w:before="353" w:line="540" w:lineRule="exact"/>
        <w:jc w:val="center"/>
        <w:rPr>
          <w:rFonts w:ascii="仿宋_GB2312" w:eastAsia="仿宋_GB2312"/>
          <w:b/>
          <w:sz w:val="36"/>
          <w:szCs w:val="36"/>
          <w:lang w:eastAsia="zh-CN"/>
        </w:rPr>
      </w:pPr>
      <w:r>
        <w:rPr>
          <w:rFonts w:hint="eastAsia" w:ascii="仿宋_GB2312" w:eastAsia="仿宋_GB2312"/>
          <w:b/>
          <w:spacing w:val="-20"/>
          <w:sz w:val="36"/>
          <w:szCs w:val="36"/>
          <w:lang w:eastAsia="zh-CN"/>
        </w:rPr>
        <w:t>南阳市202</w:t>
      </w:r>
      <w:r>
        <w:rPr>
          <w:rFonts w:ascii="仿宋_GB2312" w:eastAsia="仿宋_GB2312"/>
          <w:b/>
          <w:spacing w:val="-20"/>
          <w:sz w:val="36"/>
          <w:szCs w:val="36"/>
          <w:lang w:eastAsia="zh-CN"/>
        </w:rPr>
        <w:t>5</w:t>
      </w:r>
      <w:r>
        <w:rPr>
          <w:rFonts w:hint="eastAsia" w:ascii="仿宋_GB2312" w:eastAsia="仿宋_GB2312"/>
          <w:b/>
          <w:spacing w:val="-20"/>
          <w:sz w:val="36"/>
          <w:szCs w:val="36"/>
          <w:lang w:eastAsia="zh-CN"/>
        </w:rPr>
        <w:t>—202</w:t>
      </w:r>
      <w:r>
        <w:rPr>
          <w:rFonts w:ascii="仿宋_GB2312" w:eastAsia="仿宋_GB2312"/>
          <w:b/>
          <w:spacing w:val="-20"/>
          <w:sz w:val="36"/>
          <w:szCs w:val="36"/>
          <w:lang w:eastAsia="zh-CN"/>
        </w:rPr>
        <w:t>6</w:t>
      </w:r>
      <w:r>
        <w:rPr>
          <w:rFonts w:hint="eastAsia" w:ascii="仿宋_GB2312" w:eastAsia="仿宋_GB2312"/>
          <w:b/>
          <w:spacing w:val="-20"/>
          <w:sz w:val="36"/>
          <w:szCs w:val="36"/>
          <w:lang w:eastAsia="zh-CN"/>
        </w:rPr>
        <w:t>年度党政机关会议定点场所协议书</w:t>
      </w:r>
    </w:p>
    <w:p w14:paraId="19A4D739">
      <w:pPr>
        <w:spacing w:line="540" w:lineRule="exact"/>
        <w:jc w:val="center"/>
        <w:rPr>
          <w:rFonts w:eastAsiaTheme="minorEastAsia"/>
          <w:b/>
          <w:bCs/>
          <w:sz w:val="36"/>
          <w:szCs w:val="36"/>
          <w:lang w:eastAsia="zh-CN"/>
        </w:rPr>
      </w:pPr>
      <w:r>
        <w:rPr>
          <w:rFonts w:hint="eastAsia" w:ascii="仿宋_GB2312" w:hAnsi="仿宋_GB2312" w:eastAsia="仿宋_GB2312" w:cs="仿宋_GB2312"/>
          <w:b/>
          <w:bCs/>
          <w:sz w:val="36"/>
          <w:szCs w:val="36"/>
          <w:lang w:eastAsia="zh-CN"/>
        </w:rPr>
        <w:t>（主要条款）</w:t>
      </w:r>
    </w:p>
    <w:p w14:paraId="78A89F8D">
      <w:pPr>
        <w:pStyle w:val="17"/>
        <w:spacing w:line="540" w:lineRule="exact"/>
        <w:ind w:firstLine="560"/>
        <w:rPr>
          <w:rFonts w:eastAsiaTheme="minorEastAsia"/>
        </w:rPr>
      </w:pPr>
    </w:p>
    <w:p w14:paraId="1C7D9E39">
      <w:pPr>
        <w:spacing w:line="60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协议名称：党政机关会议定点场所协议</w:t>
      </w:r>
    </w:p>
    <w:p w14:paraId="0F3418E8">
      <w:pPr>
        <w:spacing w:line="60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服务协议编号：</w:t>
      </w:r>
    </w:p>
    <w:p w14:paraId="06209A3A">
      <w:pPr>
        <w:spacing w:line="60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协议甲方：南阳市财政局</w:t>
      </w:r>
    </w:p>
    <w:p w14:paraId="73D26F5E">
      <w:pPr>
        <w:spacing w:line="60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协议乙方：</w:t>
      </w:r>
    </w:p>
    <w:p w14:paraId="35A88399">
      <w:pPr>
        <w:spacing w:line="60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服务协议签订地点：南阳市</w:t>
      </w:r>
    </w:p>
    <w:p w14:paraId="286AC668">
      <w:pPr>
        <w:spacing w:line="520" w:lineRule="exact"/>
        <w:ind w:firstLine="600" w:firstLineChars="200"/>
        <w:rPr>
          <w:rFonts w:ascii="仿宋_GB2312" w:hAnsi="仿宋_GB2312" w:eastAsia="仿宋_GB2312" w:cs="仿宋_GB2312"/>
          <w:sz w:val="30"/>
          <w:szCs w:val="30"/>
          <w:lang w:eastAsia="zh-CN"/>
        </w:rPr>
      </w:pPr>
    </w:p>
    <w:p w14:paraId="67339C58">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甲方和乙方根据《中华人民共和国政府采购法》、《中华人民共和国合同法》等相关法律法规、财政部、河南省财政厅有关文件，以及《南阳市202</w:t>
      </w:r>
      <w:r>
        <w:rPr>
          <w:rFonts w:ascii="仿宋_GB2312" w:hAnsi="仿宋_GB2312" w:eastAsia="仿宋_GB2312" w:cs="仿宋_GB2312"/>
          <w:sz w:val="30"/>
          <w:szCs w:val="30"/>
          <w:lang w:eastAsia="zh-CN"/>
        </w:rPr>
        <w:t>5</w:t>
      </w:r>
      <w:r>
        <w:rPr>
          <w:rFonts w:hint="eastAsia" w:ascii="仿宋_GB2312" w:hAnsi="仿宋_GB2312" w:eastAsia="仿宋_GB2312" w:cs="仿宋_GB2312"/>
          <w:sz w:val="30"/>
          <w:szCs w:val="30"/>
          <w:lang w:eastAsia="zh-CN"/>
        </w:rPr>
        <w:t>-202</w:t>
      </w:r>
      <w:r>
        <w:rPr>
          <w:rFonts w:ascii="仿宋_GB2312" w:hAnsi="仿宋_GB2312" w:eastAsia="仿宋_GB2312" w:cs="仿宋_GB2312"/>
          <w:sz w:val="30"/>
          <w:szCs w:val="30"/>
          <w:lang w:eastAsia="zh-CN"/>
        </w:rPr>
        <w:t>6</w:t>
      </w:r>
      <w:r>
        <w:rPr>
          <w:rFonts w:hint="eastAsia" w:ascii="仿宋_GB2312" w:hAnsi="仿宋_GB2312" w:eastAsia="仿宋_GB2312" w:cs="仿宋_GB2312"/>
          <w:sz w:val="30"/>
          <w:szCs w:val="30"/>
          <w:lang w:eastAsia="zh-CN"/>
        </w:rPr>
        <w:t>年度党政机关会议定点场所服务项目招标文件》，经平等协商，达成如下协议：</w:t>
      </w:r>
    </w:p>
    <w:p w14:paraId="32B13588">
      <w:pPr>
        <w:spacing w:line="520" w:lineRule="exact"/>
        <w:ind w:firstLine="567"/>
        <w:rPr>
          <w:rFonts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eastAsia="zh-CN"/>
        </w:rPr>
        <w:t>一、定义</w:t>
      </w:r>
    </w:p>
    <w:p w14:paraId="219C95E8">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除非另有特别约定，在本协议以及与本协议有关的甲乙双方另行签订的其他文件中，下列词语按如下定义进行解释：</w:t>
      </w:r>
    </w:p>
    <w:p w14:paraId="0395B4C8">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（一）“协议”是指甲方和乙方已达成的协议，即由双方签订的协议格式中的文件，包括所有的附件、附录和组成协议部分的所有其他文件。</w:t>
      </w:r>
    </w:p>
    <w:p w14:paraId="2E7561AA">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（二）“工作日”是指除公休日和国家法定节假日以外的日历日。</w:t>
      </w:r>
    </w:p>
    <w:p w14:paraId="0E5E4C62">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（三）“第三方”是指本协议以外的任何中国境内、境外的法人、自然人和其他组织。</w:t>
      </w:r>
    </w:p>
    <w:p w14:paraId="16D7A2C8">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（四）“附件”是指与本协议的订立、履行有关的，经甲乙双方认可的，对本协议约定的内容进行细化、补充、修改、变更的文件等资料。</w:t>
      </w:r>
    </w:p>
    <w:p w14:paraId="5B0145F1">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（五）“招标文件”是指《南阳市202</w:t>
      </w:r>
      <w:r>
        <w:rPr>
          <w:rFonts w:ascii="仿宋_GB2312" w:hAnsi="仿宋_GB2312" w:eastAsia="仿宋_GB2312" w:cs="仿宋_GB2312"/>
          <w:sz w:val="30"/>
          <w:szCs w:val="30"/>
          <w:lang w:eastAsia="zh-CN"/>
        </w:rPr>
        <w:t>5</w:t>
      </w:r>
      <w:r>
        <w:rPr>
          <w:rFonts w:hint="eastAsia" w:ascii="仿宋_GB2312" w:hAnsi="仿宋_GB2312" w:eastAsia="仿宋_GB2312" w:cs="仿宋_GB2312"/>
          <w:sz w:val="30"/>
          <w:szCs w:val="30"/>
          <w:lang w:eastAsia="zh-CN"/>
        </w:rPr>
        <w:t>—202</w:t>
      </w:r>
      <w:r>
        <w:rPr>
          <w:rFonts w:ascii="仿宋_GB2312" w:hAnsi="仿宋_GB2312" w:eastAsia="仿宋_GB2312" w:cs="仿宋_GB2312"/>
          <w:sz w:val="30"/>
          <w:szCs w:val="30"/>
          <w:lang w:eastAsia="zh-CN"/>
        </w:rPr>
        <w:t>6</w:t>
      </w:r>
      <w:r>
        <w:rPr>
          <w:rFonts w:hint="eastAsia" w:ascii="仿宋_GB2312" w:hAnsi="仿宋_GB2312" w:eastAsia="仿宋_GB2312" w:cs="仿宋_GB2312"/>
          <w:sz w:val="30"/>
          <w:szCs w:val="30"/>
          <w:lang w:eastAsia="zh-CN"/>
        </w:rPr>
        <w:t>年度党政机关会议定点场所采购项目》。</w:t>
      </w:r>
    </w:p>
    <w:p w14:paraId="5DAD0DE3">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（六）“服务对象”是指会议定点场所服务对象，即：党政机关（包括党政机关及直属事业单位和参照公务员法管理单位）。</w:t>
      </w:r>
    </w:p>
    <w:p w14:paraId="6BBA395D">
      <w:pPr>
        <w:spacing w:line="520" w:lineRule="exact"/>
        <w:ind w:firstLine="567"/>
        <w:rPr>
          <w:rFonts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eastAsia="zh-CN"/>
        </w:rPr>
        <w:t>二、适用范围</w:t>
      </w:r>
    </w:p>
    <w:p w14:paraId="42B154E6">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本协议条款仅适用于南阳市202</w:t>
      </w:r>
      <w:r>
        <w:rPr>
          <w:rFonts w:ascii="仿宋_GB2312" w:hAnsi="仿宋_GB2312" w:eastAsia="仿宋_GB2312" w:cs="仿宋_GB2312"/>
          <w:sz w:val="30"/>
          <w:szCs w:val="30"/>
          <w:lang w:eastAsia="zh-CN"/>
        </w:rPr>
        <w:t>5</w:t>
      </w:r>
      <w:r>
        <w:rPr>
          <w:rFonts w:hint="eastAsia" w:ascii="仿宋_GB2312" w:hAnsi="仿宋_GB2312" w:eastAsia="仿宋_GB2312" w:cs="仿宋_GB2312"/>
          <w:sz w:val="30"/>
          <w:szCs w:val="30"/>
          <w:lang w:eastAsia="zh-CN"/>
        </w:rPr>
        <w:t>—202</w:t>
      </w:r>
      <w:r>
        <w:rPr>
          <w:rFonts w:ascii="仿宋_GB2312" w:hAnsi="仿宋_GB2312" w:eastAsia="仿宋_GB2312" w:cs="仿宋_GB2312"/>
          <w:sz w:val="30"/>
          <w:szCs w:val="30"/>
          <w:lang w:eastAsia="zh-CN"/>
        </w:rPr>
        <w:t>6</w:t>
      </w:r>
      <w:r>
        <w:rPr>
          <w:rFonts w:hint="eastAsia" w:ascii="仿宋_GB2312" w:hAnsi="仿宋_GB2312" w:eastAsia="仿宋_GB2312" w:cs="仿宋_GB2312"/>
          <w:sz w:val="30"/>
          <w:szCs w:val="30"/>
          <w:lang w:eastAsia="zh-CN"/>
        </w:rPr>
        <w:t>年度党政机关会议定点场所采购项目。</w:t>
      </w:r>
    </w:p>
    <w:p w14:paraId="134502A7">
      <w:pPr>
        <w:spacing w:line="520" w:lineRule="exact"/>
        <w:ind w:firstLine="602" w:firstLineChars="200"/>
        <w:rPr>
          <w:rFonts w:ascii="仿宋_GB2312" w:hAnsi="仿宋_GB2312" w:eastAsia="仿宋_GB2312" w:cs="仿宋_GB2312"/>
          <w:b/>
          <w:bCs/>
          <w:sz w:val="30"/>
          <w:szCs w:val="30"/>
          <w:lang w:eastAsia="zh-CN"/>
        </w:rPr>
      </w:pPr>
      <w:r>
        <w:rPr>
          <w:rFonts w:hint="eastAsia" w:ascii="仿宋_GB2312" w:hAnsi="仿宋_GB2312" w:eastAsia="仿宋_GB2312" w:cs="仿宋_GB2312"/>
          <w:b/>
          <w:sz w:val="30"/>
          <w:szCs w:val="30"/>
          <w:lang w:eastAsia="zh-CN"/>
        </w:rPr>
        <w:t>三、协议的组成</w:t>
      </w:r>
    </w:p>
    <w:p w14:paraId="1A558E66">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（一）下列文件应作为本协议的组成部分：</w:t>
      </w:r>
    </w:p>
    <w:p w14:paraId="550E6AB3">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1.本协议条款；</w:t>
      </w:r>
    </w:p>
    <w:p w14:paraId="187520A0">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2.招标文件及招标文件的澄清、修改文件；</w:t>
      </w:r>
    </w:p>
    <w:p w14:paraId="53B12C99">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3.投标文件及投标文件的澄清、修改文件；</w:t>
      </w:r>
    </w:p>
    <w:p w14:paraId="5C745B9E">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4.中标通知书；</w:t>
      </w:r>
    </w:p>
    <w:p w14:paraId="6E507A2D">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5.形成协议的其他有关文件。</w:t>
      </w:r>
    </w:p>
    <w:p w14:paraId="6460AE95">
      <w:pPr>
        <w:spacing w:line="520" w:lineRule="exact"/>
        <w:ind w:firstLine="450" w:firstLineChars="15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（二）上述文件互为补充和解释，如有不清或相互矛盾之处，以所列顺序在前的为准，但甲、乙双方有特别约定的除外。</w:t>
      </w:r>
    </w:p>
    <w:p w14:paraId="6D0B3C3E">
      <w:pPr>
        <w:spacing w:line="520" w:lineRule="exact"/>
        <w:ind w:firstLine="567"/>
        <w:rPr>
          <w:rFonts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eastAsia="zh-CN"/>
        </w:rPr>
        <w:t>四、协议承诺</w:t>
      </w:r>
    </w:p>
    <w:p w14:paraId="0E46AFFF">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（一）从202</w:t>
      </w:r>
      <w:r>
        <w:rPr>
          <w:rFonts w:ascii="仿宋_GB2312" w:hAnsi="仿宋_GB2312" w:eastAsia="仿宋_GB2312" w:cs="仿宋_GB2312"/>
          <w:sz w:val="30"/>
          <w:szCs w:val="30"/>
          <w:lang w:eastAsia="zh-CN"/>
        </w:rPr>
        <w:t>5</w:t>
      </w:r>
      <w:r>
        <w:rPr>
          <w:rFonts w:hint="eastAsia" w:ascii="仿宋_GB2312" w:hAnsi="仿宋_GB2312" w:eastAsia="仿宋_GB2312" w:cs="仿宋_GB2312"/>
          <w:sz w:val="30"/>
          <w:szCs w:val="30"/>
          <w:lang w:eastAsia="zh-CN"/>
        </w:rPr>
        <w:t>年__月__日至202</w:t>
      </w:r>
      <w:r>
        <w:rPr>
          <w:rFonts w:ascii="仿宋_GB2312" w:hAnsi="仿宋_GB2312" w:eastAsia="仿宋_GB2312" w:cs="仿宋_GB2312"/>
          <w:sz w:val="30"/>
          <w:szCs w:val="30"/>
          <w:lang w:eastAsia="zh-CN"/>
        </w:rPr>
        <w:t>6</w:t>
      </w:r>
      <w:r>
        <w:rPr>
          <w:rFonts w:hint="eastAsia" w:ascii="仿宋_GB2312" w:hAnsi="仿宋_GB2312" w:eastAsia="仿宋_GB2312" w:cs="仿宋_GB2312"/>
          <w:sz w:val="30"/>
          <w:szCs w:val="30"/>
          <w:lang w:eastAsia="zh-CN"/>
        </w:rPr>
        <w:t>年__月__日，甲方确定乙方为南阳202</w:t>
      </w:r>
      <w:r>
        <w:rPr>
          <w:rFonts w:ascii="仿宋_GB2312" w:hAnsi="仿宋_GB2312" w:eastAsia="仿宋_GB2312" w:cs="仿宋_GB2312"/>
          <w:sz w:val="30"/>
          <w:szCs w:val="30"/>
          <w:lang w:eastAsia="zh-CN"/>
        </w:rPr>
        <w:t>5</w:t>
      </w:r>
      <w:r>
        <w:rPr>
          <w:rFonts w:hint="eastAsia" w:ascii="仿宋_GB2312" w:hAnsi="仿宋_GB2312" w:eastAsia="仿宋_GB2312" w:cs="仿宋_GB2312"/>
          <w:sz w:val="30"/>
          <w:szCs w:val="30"/>
          <w:lang w:eastAsia="zh-CN"/>
        </w:rPr>
        <w:t>—202</w:t>
      </w:r>
      <w:r>
        <w:rPr>
          <w:rFonts w:ascii="仿宋_GB2312" w:hAnsi="仿宋_GB2312" w:eastAsia="仿宋_GB2312" w:cs="仿宋_GB2312"/>
          <w:sz w:val="30"/>
          <w:szCs w:val="30"/>
          <w:lang w:eastAsia="zh-CN"/>
        </w:rPr>
        <w:t>6</w:t>
      </w:r>
      <w:r>
        <w:rPr>
          <w:rFonts w:hint="eastAsia" w:ascii="仿宋_GB2312" w:hAnsi="仿宋_GB2312" w:eastAsia="仿宋_GB2312" w:cs="仿宋_GB2312"/>
          <w:sz w:val="30"/>
          <w:szCs w:val="30"/>
          <w:lang w:eastAsia="zh-CN"/>
        </w:rPr>
        <w:t>年党政机关会议定点场所。乙方应按甲方要求为服务对象提供接待服务。</w:t>
      </w:r>
    </w:p>
    <w:p w14:paraId="7F00ED6F">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（二）甲方的权利：</w:t>
      </w:r>
    </w:p>
    <w:p w14:paraId="30CB0DC8">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1.对乙方承诺的服务和实际提供的服务以及相关事项进行监督检查；</w:t>
      </w:r>
    </w:p>
    <w:p w14:paraId="70488932">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2.对乙方承诺的协议价格执行情况进行监督检查；</w:t>
      </w:r>
    </w:p>
    <w:p w14:paraId="6BC212A4">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3.有权要求乙方对不符合协议的行为进行调整，如服务对象对乙方无正当理由拒绝提供承诺的服务和价格或提供的服务质量问题想甲方投诉，甲方接到投诉后有权进行核查，如情况属实可要求乙方及时纠正，或根据《党政机关会议定点管理办法》的有关规定，取消乙方的会议定点资格；</w:t>
      </w:r>
    </w:p>
    <w:p w14:paraId="076AB120">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4.甲方通过“党政机关会议定点场所管理系统”对乙方接待党政机关会议业绩自动统计，作为下一轮党政机关会议定点场所政府采购的参考依据；</w:t>
      </w:r>
    </w:p>
    <w:p w14:paraId="21FD67D9">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5.有权在媒体上公布乙方履行协议情况。</w:t>
      </w:r>
    </w:p>
    <w:p w14:paraId="51F2A8AF">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（三）甲方的义务：</w:t>
      </w:r>
    </w:p>
    <w:p w14:paraId="43C4C1E1">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1.公务定点场所的名称、地理位置及协议价格等信息；</w:t>
      </w:r>
    </w:p>
    <w:p w14:paraId="49E70C21">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2.依据党政机关会议定点管理制度及国库集中支付和公务卡结算方式等财务管理手段，约束党政机关到定点场所开会。</w:t>
      </w:r>
    </w:p>
    <w:p w14:paraId="7D7B527E">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（四）乙方的权利：</w:t>
      </w:r>
    </w:p>
    <w:p w14:paraId="275A3F52">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1.会议举办单位不能出示有效证件，证明其属于协议服务范围的，乙方有权拒绝向其提供协议价格的服务；</w:t>
      </w:r>
    </w:p>
    <w:p w14:paraId="72DA473D">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2.会议举办单位要求虚开发票、提取现金、开支与会议无关费用的，乙方有权拒绝。</w:t>
      </w:r>
    </w:p>
    <w:p w14:paraId="12644D5B">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（五）乙方的义务：</w:t>
      </w:r>
    </w:p>
    <w:p w14:paraId="097A8B33">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1.乙方应按照招标文件的要求，提供本协议规定的会议接待服务。</w:t>
      </w:r>
    </w:p>
    <w:p w14:paraId="67ED42F5">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在协议期内，乙方必须持有和确保下列证照处于合法有效企内：营业执照、中华人民共和国组织机构代码证、客房、餐饮卫生许可证、特种行业许可证、消防安全检查合格证、锅炉、电梯（未安装使用的除外）安全检查合格证明。</w:t>
      </w:r>
    </w:p>
    <w:p w14:paraId="3622222B">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2.在协议期内，乙方要按照本协议的规定，接待党政机关举办会议，并执行协议价格。</w:t>
      </w:r>
    </w:p>
    <w:p w14:paraId="0A9B8F01">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协议有效期内，乙方应保持各种设备、设施完好，具备履行协议的能力；如乙方设备、设施发生足以影响解能力的重大变化，应在变化发生后3日内书面通知甲方，甲方根据实际情况决定是否继续履行协议。如甲方解除协议，应在乙方书面通知到达30日内书面通知乙方并于乙方签订解除协议确认书。</w:t>
      </w:r>
    </w:p>
    <w:p w14:paraId="695D87AB">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3.乙方的设施设备、清洁闻声、服务质量等要符合国家规定标准，不得因价格优惠而减少服务项目、降低服务质量。</w:t>
      </w:r>
    </w:p>
    <w:p w14:paraId="3D95992F">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4.乙方向单位举办会议提供如下协议价格：</w:t>
      </w:r>
    </w:p>
    <w:p w14:paraId="63A7F30E">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（1）各类客房（主要是标准间）的价格（元/天），当协议客房数</w:t>
      </w:r>
      <w:r>
        <w:rPr>
          <w:rFonts w:ascii="仿宋_GB2312" w:hAnsi="仿宋_GB2312" w:eastAsia="仿宋_GB2312" w:cs="仿宋_GB2312"/>
          <w:sz w:val="30"/>
          <w:szCs w:val="30"/>
          <w:lang w:eastAsia="zh-CN"/>
        </w:rPr>
        <w:t>量不</w:t>
      </w:r>
      <w:r>
        <w:rPr>
          <w:rFonts w:hint="eastAsia" w:ascii="仿宋_GB2312" w:hAnsi="仿宋_GB2312" w:eastAsia="仿宋_GB2312" w:cs="仿宋_GB2312"/>
          <w:sz w:val="30"/>
          <w:szCs w:val="30"/>
          <w:lang w:eastAsia="zh-CN"/>
        </w:rPr>
        <w:t>能满足</w:t>
      </w:r>
      <w:r>
        <w:rPr>
          <w:rFonts w:ascii="仿宋_GB2312" w:hAnsi="仿宋_GB2312" w:eastAsia="仿宋_GB2312" w:cs="仿宋_GB2312"/>
          <w:sz w:val="30"/>
          <w:szCs w:val="30"/>
          <w:lang w:eastAsia="zh-CN"/>
        </w:rPr>
        <w:t>已</w:t>
      </w:r>
      <w:r>
        <w:rPr>
          <w:rFonts w:hint="eastAsia" w:ascii="仿宋_GB2312" w:hAnsi="仿宋_GB2312" w:eastAsia="仿宋_GB2312" w:cs="仿宋_GB2312"/>
          <w:sz w:val="30"/>
          <w:szCs w:val="30"/>
          <w:lang w:eastAsia="zh-CN"/>
        </w:rPr>
        <w:t>承接</w:t>
      </w:r>
      <w:r>
        <w:rPr>
          <w:rFonts w:ascii="仿宋_GB2312" w:hAnsi="仿宋_GB2312" w:eastAsia="仿宋_GB2312" w:cs="仿宋_GB2312"/>
          <w:sz w:val="30"/>
          <w:szCs w:val="30"/>
          <w:lang w:eastAsia="zh-CN"/>
        </w:rPr>
        <w:t>会议需要，</w:t>
      </w:r>
      <w:r>
        <w:rPr>
          <w:rFonts w:hint="eastAsia" w:ascii="仿宋_GB2312" w:hAnsi="仿宋_GB2312" w:eastAsia="仿宋_GB2312" w:cs="仿宋_GB2312"/>
          <w:sz w:val="30"/>
          <w:szCs w:val="30"/>
          <w:lang w:eastAsia="zh-CN"/>
        </w:rPr>
        <w:t>需</w:t>
      </w:r>
      <w:r>
        <w:rPr>
          <w:rFonts w:ascii="仿宋_GB2312" w:hAnsi="仿宋_GB2312" w:eastAsia="仿宋_GB2312" w:cs="仿宋_GB2312"/>
          <w:sz w:val="30"/>
          <w:szCs w:val="30"/>
          <w:lang w:eastAsia="zh-CN"/>
        </w:rPr>
        <w:t>提供</w:t>
      </w:r>
      <w:r>
        <w:rPr>
          <w:rFonts w:hint="eastAsia" w:ascii="仿宋_GB2312" w:hAnsi="仿宋_GB2312" w:eastAsia="仿宋_GB2312" w:cs="仿宋_GB2312"/>
          <w:sz w:val="30"/>
          <w:szCs w:val="30"/>
          <w:lang w:eastAsia="zh-CN"/>
        </w:rPr>
        <w:t>其它客房进行</w:t>
      </w:r>
      <w:r>
        <w:rPr>
          <w:rFonts w:ascii="仿宋_GB2312" w:hAnsi="仿宋_GB2312" w:eastAsia="仿宋_GB2312" w:cs="仿宋_GB2312"/>
          <w:sz w:val="30"/>
          <w:szCs w:val="30"/>
          <w:lang w:eastAsia="zh-CN"/>
        </w:rPr>
        <w:t>补充</w:t>
      </w:r>
      <w:r>
        <w:rPr>
          <w:rFonts w:hint="eastAsia" w:ascii="仿宋_GB2312" w:hAnsi="仿宋_GB2312" w:eastAsia="仿宋_GB2312" w:cs="仿宋_GB2312"/>
          <w:sz w:val="30"/>
          <w:szCs w:val="30"/>
          <w:lang w:eastAsia="zh-CN"/>
        </w:rPr>
        <w:t>时，应</w:t>
      </w:r>
      <w:r>
        <w:rPr>
          <w:rFonts w:ascii="仿宋_GB2312" w:hAnsi="仿宋_GB2312" w:eastAsia="仿宋_GB2312" w:cs="仿宋_GB2312"/>
          <w:sz w:val="30"/>
          <w:szCs w:val="30"/>
          <w:lang w:eastAsia="zh-CN"/>
        </w:rPr>
        <w:t>以</w:t>
      </w:r>
      <w:r>
        <w:rPr>
          <w:rFonts w:hint="eastAsia" w:ascii="仿宋_GB2312" w:hAnsi="仿宋_GB2312" w:eastAsia="仿宋_GB2312" w:cs="仿宋_GB2312"/>
          <w:sz w:val="30"/>
          <w:szCs w:val="30"/>
          <w:lang w:eastAsia="zh-CN"/>
        </w:rPr>
        <w:t>不</w:t>
      </w:r>
      <w:r>
        <w:rPr>
          <w:rFonts w:ascii="仿宋_GB2312" w:hAnsi="仿宋_GB2312" w:eastAsia="仿宋_GB2312" w:cs="仿宋_GB2312"/>
          <w:sz w:val="30"/>
          <w:szCs w:val="30"/>
          <w:lang w:eastAsia="zh-CN"/>
        </w:rPr>
        <w:t>高于</w:t>
      </w:r>
      <w:r>
        <w:rPr>
          <w:rFonts w:hint="eastAsia" w:ascii="仿宋_GB2312" w:hAnsi="仿宋_GB2312" w:eastAsia="仿宋_GB2312" w:cs="仿宋_GB2312"/>
          <w:sz w:val="30"/>
          <w:szCs w:val="30"/>
          <w:lang w:eastAsia="zh-CN"/>
        </w:rPr>
        <w:t>协议价收费。</w:t>
      </w:r>
    </w:p>
    <w:p w14:paraId="2DFFB637">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（2）各种会议室（大、中、小）的价格（元/半天），当会议</w:t>
      </w:r>
      <w:r>
        <w:rPr>
          <w:rFonts w:ascii="仿宋_GB2312" w:hAnsi="仿宋_GB2312" w:eastAsia="仿宋_GB2312" w:cs="仿宋_GB2312"/>
          <w:sz w:val="30"/>
          <w:szCs w:val="30"/>
          <w:lang w:eastAsia="zh-CN"/>
        </w:rPr>
        <w:t>室</w:t>
      </w:r>
      <w:r>
        <w:rPr>
          <w:rFonts w:hint="eastAsia" w:ascii="仿宋_GB2312" w:hAnsi="仿宋_GB2312" w:eastAsia="仿宋_GB2312" w:cs="仿宋_GB2312"/>
          <w:sz w:val="30"/>
          <w:szCs w:val="30"/>
          <w:lang w:eastAsia="zh-CN"/>
        </w:rPr>
        <w:t>实际</w:t>
      </w:r>
      <w:r>
        <w:rPr>
          <w:rFonts w:ascii="仿宋_GB2312" w:hAnsi="仿宋_GB2312" w:eastAsia="仿宋_GB2312" w:cs="仿宋_GB2312"/>
          <w:sz w:val="30"/>
          <w:szCs w:val="30"/>
          <w:lang w:eastAsia="zh-CN"/>
        </w:rPr>
        <w:t>使用</w:t>
      </w:r>
      <w:r>
        <w:rPr>
          <w:rFonts w:hint="eastAsia" w:ascii="仿宋_GB2312" w:hAnsi="仿宋_GB2312" w:eastAsia="仿宋_GB2312" w:cs="仿宋_GB2312"/>
          <w:sz w:val="30"/>
          <w:szCs w:val="30"/>
          <w:lang w:eastAsia="zh-CN"/>
        </w:rPr>
        <w:t>时间</w:t>
      </w:r>
      <w:r>
        <w:rPr>
          <w:rFonts w:ascii="仿宋_GB2312" w:hAnsi="仿宋_GB2312" w:eastAsia="仿宋_GB2312" w:cs="仿宋_GB2312"/>
          <w:sz w:val="30"/>
          <w:szCs w:val="30"/>
          <w:lang w:eastAsia="zh-CN"/>
        </w:rPr>
        <w:t>不足</w:t>
      </w:r>
      <w:r>
        <w:rPr>
          <w:rFonts w:hint="eastAsia" w:ascii="仿宋_GB2312" w:hAnsi="仿宋_GB2312" w:eastAsia="仿宋_GB2312" w:cs="仿宋_GB2312"/>
          <w:sz w:val="30"/>
          <w:szCs w:val="30"/>
          <w:lang w:eastAsia="zh-CN"/>
        </w:rPr>
        <w:t>1小时</w:t>
      </w:r>
      <w:r>
        <w:rPr>
          <w:rFonts w:ascii="仿宋_GB2312" w:hAnsi="仿宋_GB2312" w:eastAsia="仿宋_GB2312" w:cs="仿宋_GB2312"/>
          <w:sz w:val="30"/>
          <w:szCs w:val="30"/>
          <w:lang w:eastAsia="zh-CN"/>
        </w:rPr>
        <w:t>，</w:t>
      </w:r>
      <w:r>
        <w:rPr>
          <w:rFonts w:hint="eastAsia" w:ascii="仿宋_GB2312" w:hAnsi="仿宋_GB2312" w:eastAsia="仿宋_GB2312" w:cs="仿宋_GB2312"/>
          <w:sz w:val="30"/>
          <w:szCs w:val="30"/>
          <w:lang w:eastAsia="zh-CN"/>
        </w:rPr>
        <w:t>应按协议价</w:t>
      </w:r>
      <w:r>
        <w:rPr>
          <w:rFonts w:ascii="仿宋_GB2312" w:hAnsi="仿宋_GB2312" w:eastAsia="仿宋_GB2312" w:cs="仿宋_GB2312"/>
          <w:sz w:val="30"/>
          <w:szCs w:val="30"/>
          <w:lang w:eastAsia="zh-CN"/>
        </w:rPr>
        <w:t>半价</w:t>
      </w:r>
      <w:r>
        <w:rPr>
          <w:rFonts w:hint="eastAsia" w:ascii="仿宋_GB2312" w:hAnsi="仿宋_GB2312" w:eastAsia="仿宋_GB2312" w:cs="仿宋_GB2312"/>
          <w:sz w:val="30"/>
          <w:szCs w:val="30"/>
          <w:lang w:eastAsia="zh-CN"/>
        </w:rPr>
        <w:t>收费</w:t>
      </w:r>
      <w:r>
        <w:rPr>
          <w:rFonts w:ascii="仿宋_GB2312" w:hAnsi="仿宋_GB2312" w:eastAsia="仿宋_GB2312" w:cs="仿宋_GB2312"/>
          <w:sz w:val="30"/>
          <w:szCs w:val="30"/>
          <w:lang w:eastAsia="zh-CN"/>
        </w:rPr>
        <w:t>。</w:t>
      </w:r>
    </w:p>
    <w:p w14:paraId="06C6A480">
      <w:pPr>
        <w:pStyle w:val="9"/>
        <w:spacing w:line="520" w:lineRule="exact"/>
        <w:ind w:firstLine="525"/>
        <w:rPr>
          <w:rFonts w:ascii="仿宋_GB2312" w:hAnsi="仿宋_GB2312" w:eastAsia="仿宋_GB2312" w:cs="仿宋_GB2312"/>
          <w:kern w:val="2"/>
          <w:sz w:val="30"/>
          <w:szCs w:val="30"/>
          <w:lang w:eastAsia="zh-CN"/>
        </w:rPr>
      </w:pPr>
      <w:r>
        <w:rPr>
          <w:rFonts w:hint="eastAsia" w:ascii="仿宋_GB2312" w:hAnsi="仿宋_GB2312" w:eastAsia="仿宋_GB2312" w:cs="仿宋_GB2312"/>
          <w:kern w:val="2"/>
          <w:sz w:val="30"/>
          <w:szCs w:val="30"/>
          <w:lang w:eastAsia="zh-CN"/>
        </w:rPr>
        <w:t>（3）伙食费的价格（元/天或单餐价格），提供</w:t>
      </w:r>
      <w:r>
        <w:rPr>
          <w:rFonts w:ascii="仿宋_GB2312" w:hAnsi="仿宋_GB2312" w:eastAsia="仿宋_GB2312" w:cs="仿宋_GB2312"/>
          <w:kern w:val="2"/>
          <w:sz w:val="30"/>
          <w:szCs w:val="30"/>
          <w:lang w:eastAsia="zh-CN"/>
        </w:rPr>
        <w:t>房</w:t>
      </w:r>
      <w:r>
        <w:rPr>
          <w:rFonts w:hint="eastAsia" w:ascii="仿宋_GB2312" w:hAnsi="仿宋_GB2312" w:eastAsia="仿宋_GB2312" w:cs="仿宋_GB2312"/>
          <w:kern w:val="2"/>
          <w:sz w:val="30"/>
          <w:szCs w:val="30"/>
          <w:lang w:eastAsia="zh-CN"/>
        </w:rPr>
        <w:t>含早餐协议服务</w:t>
      </w:r>
      <w:r>
        <w:rPr>
          <w:rFonts w:ascii="仿宋_GB2312" w:hAnsi="仿宋_GB2312" w:eastAsia="仿宋_GB2312" w:cs="仿宋_GB2312"/>
          <w:kern w:val="2"/>
          <w:sz w:val="30"/>
          <w:szCs w:val="30"/>
          <w:lang w:eastAsia="zh-CN"/>
        </w:rPr>
        <w:t>的</w:t>
      </w:r>
      <w:r>
        <w:rPr>
          <w:rFonts w:hint="eastAsia" w:ascii="仿宋_GB2312" w:hAnsi="仿宋_GB2312" w:eastAsia="仿宋_GB2312" w:cs="仿宋_GB2312"/>
          <w:kern w:val="2"/>
          <w:sz w:val="30"/>
          <w:szCs w:val="30"/>
          <w:lang w:eastAsia="zh-CN"/>
        </w:rPr>
        <w:t>，</w:t>
      </w:r>
      <w:r>
        <w:rPr>
          <w:rFonts w:ascii="仿宋_GB2312" w:hAnsi="仿宋_GB2312" w:eastAsia="仿宋_GB2312" w:cs="仿宋_GB2312"/>
          <w:kern w:val="2"/>
          <w:sz w:val="30"/>
          <w:szCs w:val="30"/>
          <w:lang w:eastAsia="zh-CN"/>
        </w:rPr>
        <w:t>应</w:t>
      </w:r>
      <w:r>
        <w:rPr>
          <w:rFonts w:hint="eastAsia" w:ascii="仿宋_GB2312" w:hAnsi="仿宋_GB2312" w:eastAsia="仿宋_GB2312" w:cs="仿宋_GB2312"/>
          <w:kern w:val="2"/>
          <w:sz w:val="30"/>
          <w:szCs w:val="30"/>
          <w:lang w:eastAsia="zh-CN"/>
        </w:rPr>
        <w:t>落实</w:t>
      </w:r>
      <w:r>
        <w:rPr>
          <w:rFonts w:ascii="仿宋_GB2312" w:hAnsi="仿宋_GB2312" w:eastAsia="仿宋_GB2312" w:cs="仿宋_GB2312"/>
          <w:kern w:val="2"/>
          <w:sz w:val="30"/>
          <w:szCs w:val="30"/>
          <w:lang w:eastAsia="zh-CN"/>
        </w:rPr>
        <w:t>双</w:t>
      </w:r>
      <w:r>
        <w:rPr>
          <w:rFonts w:hint="eastAsia" w:ascii="仿宋_GB2312" w:hAnsi="仿宋_GB2312" w:eastAsia="仿宋_GB2312" w:cs="仿宋_GB2312"/>
          <w:kern w:val="2"/>
          <w:sz w:val="30"/>
          <w:szCs w:val="30"/>
          <w:lang w:eastAsia="zh-CN"/>
        </w:rPr>
        <w:t>人</w:t>
      </w:r>
      <w:r>
        <w:rPr>
          <w:rFonts w:ascii="仿宋_GB2312" w:hAnsi="仿宋_GB2312" w:eastAsia="仿宋_GB2312" w:cs="仿宋_GB2312"/>
          <w:kern w:val="2"/>
          <w:sz w:val="30"/>
          <w:szCs w:val="30"/>
          <w:lang w:eastAsia="zh-CN"/>
        </w:rPr>
        <w:t>双</w:t>
      </w:r>
      <w:r>
        <w:rPr>
          <w:rFonts w:hint="eastAsia" w:ascii="仿宋_GB2312" w:hAnsi="仿宋_GB2312" w:eastAsia="仿宋_GB2312" w:cs="仿宋_GB2312"/>
          <w:kern w:val="2"/>
          <w:sz w:val="30"/>
          <w:szCs w:val="30"/>
          <w:lang w:eastAsia="zh-CN"/>
        </w:rPr>
        <w:t>早。</w:t>
      </w:r>
    </w:p>
    <w:p w14:paraId="0185F231">
      <w:pPr>
        <w:spacing w:line="520" w:lineRule="exact"/>
        <w:ind w:firstLine="600" w:firstLineChars="200"/>
        <w:rPr>
          <w:rFonts w:ascii="仿宋_GB2312" w:hAnsi="仿宋_GB2312" w:eastAsia="仿宋_GB2312" w:cs="仿宋_GB2312"/>
          <w:color w:val="FF0000"/>
          <w:sz w:val="30"/>
          <w:szCs w:val="30"/>
          <w:lang w:eastAsia="zh-CN"/>
        </w:rPr>
      </w:pPr>
      <w:r>
        <w:rPr>
          <w:rFonts w:hint="eastAsia" w:ascii="仿宋_GB2312" w:hAnsi="仿宋_GB2312" w:eastAsia="仿宋_GB2312" w:cs="仿宋_GB2312"/>
          <w:sz w:val="30"/>
          <w:szCs w:val="30"/>
          <w:lang w:eastAsia="zh-CN"/>
        </w:rPr>
        <w:t>乙方承诺提供的协议价格不得随市场价格波动而提高</w:t>
      </w:r>
      <w:r>
        <w:rPr>
          <w:rFonts w:hint="eastAsia" w:ascii="仿宋_GB2312" w:hAnsi="仿宋_GB2312" w:eastAsia="仿宋_GB2312" w:cs="仿宋_GB2312"/>
          <w:color w:val="FF0000"/>
          <w:sz w:val="30"/>
          <w:szCs w:val="30"/>
          <w:lang w:eastAsia="zh-CN"/>
        </w:rPr>
        <w:t>。</w:t>
      </w:r>
    </w:p>
    <w:p w14:paraId="1FEC0B94">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当服务对象与乙方的价格和服务方面发生争议时，乙方有义务主动出示本协议书。</w:t>
      </w:r>
    </w:p>
    <w:p w14:paraId="3EF35158">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5.乙方的名称（包括发票开具单位的名称）、地址、联系方式等发生变化时，要及时通知甲方，并在“党政机关会议定点场所管理系统”上做相应更改。</w:t>
      </w:r>
    </w:p>
    <w:p w14:paraId="1CAB8707">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6.乙方应具备上网条件，应当在结算时通过“党政机关会议定点场所管理系统”打印电子结算单，供会议举办单位报销使用。</w:t>
      </w:r>
    </w:p>
    <w:p w14:paraId="4FDBCDF7">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7.乙方应如实开具发票，提供费用原始明细单据，供会议举办单位报销使用。</w:t>
      </w:r>
    </w:p>
    <w:p w14:paraId="2BD77A3E">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8.乙方应具备信用卡收款条件，方便使用公务卡结算。</w:t>
      </w:r>
    </w:p>
    <w:p w14:paraId="6E9AF770">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9.乙方应与本协议签署后的7个工作日内，在“党政机关会议定点场所管理系统”上完成饭店的注册、协议价格等信息填报、本协议的影印件、饭店位置图的上传等工作，并通知甲方进行审核。</w:t>
      </w:r>
    </w:p>
    <w:p w14:paraId="3D81CB11">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10.乙方在“党政机关会议定点场所管理系统”注册的饭店名称与发票开局单位名称不一致的，应在网上注明。</w:t>
      </w:r>
    </w:p>
    <w:p w14:paraId="4FE793FE">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11.乙方应接受甲方的监督检查，对甲方提出的意见及时进行整改。</w:t>
      </w:r>
    </w:p>
    <w:p w14:paraId="7ABE4591">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（六）结算</w:t>
      </w:r>
    </w:p>
    <w:p w14:paraId="189EFB3D">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会议费用由会议举办单位按照会议费管理办法规定向乙方支付，乙方应保存好所有结算单据，甲方有权根据会议费用管理办法等检验结算单据。</w:t>
      </w:r>
    </w:p>
    <w:p w14:paraId="0B7431A5">
      <w:pPr>
        <w:spacing w:line="520" w:lineRule="exact"/>
        <w:ind w:firstLine="602" w:firstLineChars="200"/>
        <w:rPr>
          <w:rFonts w:ascii="仿宋_GB2312" w:hAnsi="仿宋_GB2312" w:eastAsia="仿宋_GB2312" w:cs="仿宋_GB2312"/>
          <w:b/>
          <w:bCs/>
          <w:sz w:val="30"/>
          <w:szCs w:val="30"/>
          <w:lang w:eastAsia="zh-CN"/>
        </w:rPr>
      </w:pPr>
      <w:r>
        <w:rPr>
          <w:rFonts w:hint="eastAsia" w:ascii="仿宋_GB2312" w:hAnsi="仿宋_GB2312" w:eastAsia="仿宋_GB2312" w:cs="仿宋_GB2312"/>
          <w:b/>
          <w:sz w:val="30"/>
          <w:szCs w:val="30"/>
          <w:lang w:eastAsia="zh-CN"/>
        </w:rPr>
        <w:t>五、违约责任</w:t>
      </w:r>
    </w:p>
    <w:p w14:paraId="1329D032">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乙方有一下违约行为的，经调查属实，第一次予以书面警告；第二次取消定点场所资格，并不得参加下一轮次的会议定点场所政府采购。</w:t>
      </w:r>
    </w:p>
    <w:p w14:paraId="5ED5E62A">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（一）无正当理由拒绝接待党政机关会议的；</w:t>
      </w:r>
    </w:p>
    <w:p w14:paraId="04B58821">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（二）超过协议价格收取费用或采取减少服务项目等降低服务质量的；</w:t>
      </w:r>
    </w:p>
    <w:p w14:paraId="77565384">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（三）提供虚假发票的；</w:t>
      </w:r>
    </w:p>
    <w:p w14:paraId="0FD0DF96">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（四）未按规定提供发票、费用原始明细单据、电子结算单等凭证的；</w:t>
      </w:r>
    </w:p>
    <w:p w14:paraId="1C95A7A9">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（五）违反其他协议规定事项的。</w:t>
      </w:r>
    </w:p>
    <w:p w14:paraId="19276AB0">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乙方在协议期内未经批准单方面中止履行协议的，取消其会议定点场所资格，并不得参与下一轮次党政机关会议定点场所政府采购。</w:t>
      </w:r>
    </w:p>
    <w:p w14:paraId="18E60C39">
      <w:pPr>
        <w:spacing w:line="520" w:lineRule="exact"/>
        <w:ind w:firstLine="567"/>
        <w:rPr>
          <w:rFonts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eastAsia="zh-CN"/>
        </w:rPr>
        <w:t>六、不可抗力</w:t>
      </w:r>
    </w:p>
    <w:p w14:paraId="5D29D56E">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一）不可抗力事件是指甲乙双方在缔结协议时所不能遇见的，且它的发生及其后果是无法避免和无法克服的事故，诸如战争、骚乱、瘟疫、严重火灾、洪水、台风、地震等，包括乙方破产、解散、清算、停业以及其他原因无法提供服务。</w:t>
      </w:r>
    </w:p>
    <w:p w14:paraId="5CD9D9CB">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二）遭受不可抗力一方应在不可抗力事故发生后尽快以书面形式通知对方，并于事故发生后14日内将有关部门出具的证明文件、详细情况报告以及不可抗力对履行协议影响程度的说明用特快专递或挂号信机给对方。</w:t>
      </w:r>
    </w:p>
    <w:p w14:paraId="6FB0E44E">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三）发生不可抗力时，任何一方均不对因不可抗力无法履行或延迟履行本协议义务而使另一方蒙受损失承担责任，但遭受不可抗力乙方有责任尽可能及时采取适当或必要措施减少或消除不可抗力的影响，遭受不可抗力的一方对因未尽本项义务而造成的损失承担赔偿责任。</w:t>
      </w:r>
    </w:p>
    <w:p w14:paraId="4BFBEB8D">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(四）一旦不可抗力事故的影响持续120天以上，甲乙双方通过友好协商，在合理的时间内打成进一步履行协议或终止协议的协议。</w:t>
      </w:r>
    </w:p>
    <w:p w14:paraId="25EB22DB">
      <w:pPr>
        <w:spacing w:line="520" w:lineRule="exact"/>
        <w:ind w:firstLine="567"/>
        <w:rPr>
          <w:rFonts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eastAsia="zh-CN"/>
        </w:rPr>
        <w:t>七、保密条款</w:t>
      </w:r>
    </w:p>
    <w:p w14:paraId="161375FC">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一）除甲乙双方共同认可的信息发布外，任何乙方对其获知的本协议涉及的所有有形、无形的信息及资料（包括但不限于甲乙双方的往来书面文字文件、电子邮件等）中另一方的商业秘密或国家秘密负有保密义务。</w:t>
      </w:r>
    </w:p>
    <w:p w14:paraId="08E3EE8F">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二）除非法律、法规另有规定或得到本协议之另一方的书面许可，任何一方不得向第三人泄漏前款规定的商业秘密或国家秘密。保密期限自任何一方获知该商业秘密或国家秘密之日起至本条规定的秘密称为公众信息之日止。</w:t>
      </w:r>
    </w:p>
    <w:p w14:paraId="0BD1B3B3">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（三）乙方不得以任何形式向第三方泄漏参加会议人员的个人信息。</w:t>
      </w:r>
    </w:p>
    <w:p w14:paraId="27C39320">
      <w:pPr>
        <w:spacing w:line="520" w:lineRule="exact"/>
        <w:ind w:firstLine="567"/>
        <w:rPr>
          <w:rFonts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eastAsia="zh-CN"/>
        </w:rPr>
        <w:t>八、协议的解释</w:t>
      </w:r>
    </w:p>
    <w:p w14:paraId="77133372">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（一）任何一方对本协议及其附件的解释均应遵循诚实信用原则，依照本协议签订时有效的中华人民共和国的法律、法规以及人们通常的理解进行。</w:t>
      </w:r>
    </w:p>
    <w:p w14:paraId="41C13D83">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（二）本协议标题仅供查阅方便，并非对本协议的的诠释或解释，本协议中以日表述的时间期限均指公历日。</w:t>
      </w:r>
    </w:p>
    <w:p w14:paraId="3C58AE71">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（三）对本协议的任何解释均应以书面作出。</w:t>
      </w:r>
    </w:p>
    <w:p w14:paraId="53C6D5CB">
      <w:pPr>
        <w:spacing w:line="520" w:lineRule="exact"/>
        <w:ind w:firstLine="567"/>
        <w:rPr>
          <w:rFonts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eastAsia="zh-CN"/>
        </w:rPr>
        <w:t>九、争议的解决</w:t>
      </w:r>
    </w:p>
    <w:p w14:paraId="180785BE">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一）在执行本协议中发生的与本协议有关的争端、甲乙双方应通过友好协商解决，经协商在60天内不能达成协议时，甲乙双方同意将争议递交XXX仲裁委员会按照该会仲裁规则进行种菜。仲裁裁决是终局的，对双方均有约束力。</w:t>
      </w:r>
    </w:p>
    <w:p w14:paraId="3ACD6CE6">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（二）除另有裁决外，仲裁费用应由败诉方负担。</w:t>
      </w:r>
    </w:p>
    <w:p w14:paraId="1FD90367">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（三）在仲裁期间，除正在进行的仲裁部分外，协议其他部分继续执行。</w:t>
      </w:r>
    </w:p>
    <w:p w14:paraId="7154C630">
      <w:pPr>
        <w:spacing w:line="520" w:lineRule="exact"/>
        <w:ind w:firstLine="602" w:firstLineChars="200"/>
        <w:rPr>
          <w:rFonts w:ascii="仿宋_GB2312" w:hAnsi="仿宋_GB2312" w:eastAsia="仿宋_GB2312" w:cs="仿宋_GB2312"/>
          <w:b/>
          <w:bCs/>
          <w:sz w:val="30"/>
          <w:szCs w:val="30"/>
          <w:lang w:eastAsia="zh-CN"/>
        </w:rPr>
      </w:pPr>
      <w:r>
        <w:rPr>
          <w:rFonts w:hint="eastAsia" w:ascii="仿宋_GB2312" w:hAnsi="仿宋_GB2312" w:eastAsia="仿宋_GB2312" w:cs="仿宋_GB2312"/>
          <w:b/>
          <w:sz w:val="30"/>
          <w:szCs w:val="30"/>
          <w:lang w:eastAsia="zh-CN"/>
        </w:rPr>
        <w:t>十、协议的终止</w:t>
      </w:r>
    </w:p>
    <w:p w14:paraId="5065140C">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（一）本协议有效期为202</w:t>
      </w:r>
      <w:r>
        <w:rPr>
          <w:rFonts w:ascii="仿宋_GB2312" w:hAnsi="仿宋_GB2312" w:eastAsia="仿宋_GB2312" w:cs="仿宋_GB2312"/>
          <w:sz w:val="30"/>
          <w:szCs w:val="30"/>
          <w:lang w:eastAsia="zh-CN"/>
        </w:rPr>
        <w:t>5</w:t>
      </w:r>
      <w:r>
        <w:rPr>
          <w:rFonts w:hint="eastAsia" w:ascii="仿宋_GB2312" w:hAnsi="仿宋_GB2312" w:eastAsia="仿宋_GB2312" w:cs="仿宋_GB2312"/>
          <w:sz w:val="30"/>
          <w:szCs w:val="30"/>
          <w:lang w:eastAsia="zh-CN"/>
        </w:rPr>
        <w:t>年__月__日至202</w:t>
      </w:r>
      <w:r>
        <w:rPr>
          <w:rFonts w:ascii="仿宋_GB2312" w:hAnsi="仿宋_GB2312" w:eastAsia="仿宋_GB2312" w:cs="仿宋_GB2312"/>
          <w:sz w:val="30"/>
          <w:szCs w:val="30"/>
          <w:lang w:eastAsia="zh-CN"/>
        </w:rPr>
        <w:t>6</w:t>
      </w:r>
      <w:r>
        <w:rPr>
          <w:rFonts w:hint="eastAsia" w:ascii="仿宋_GB2312" w:hAnsi="仿宋_GB2312" w:eastAsia="仿宋_GB2312" w:cs="仿宋_GB2312"/>
          <w:sz w:val="30"/>
          <w:szCs w:val="30"/>
          <w:lang w:eastAsia="zh-CN"/>
        </w:rPr>
        <w:t>年__月__日。协议期满后，经双方协商一致，本轮次的定点场所可以续签下一轮次的协议，继续保留定点场所资格；也可以自愿退出，定点场所资格自动取消。协议期内任何一方不得擅自终止协议；否则应承担所造成的一切损失，如一方因己方缘故需终止协议，必须提前3个月书面通知另一方，经双方打成一致意见后，方可终止。</w:t>
      </w:r>
    </w:p>
    <w:p w14:paraId="00CFC0C0">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（二）出现下列情况时本协议自行终止；</w:t>
      </w:r>
    </w:p>
    <w:p w14:paraId="321F82DB">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1.本协议正常履行完毕；</w:t>
      </w:r>
    </w:p>
    <w:p w14:paraId="0DBA96C6">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2.甲乙双方协议终止本协议的履行；</w:t>
      </w:r>
    </w:p>
    <w:p w14:paraId="425AE450">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3.不可抗力导致本协议无法履行或履行不必要时；</w:t>
      </w:r>
    </w:p>
    <w:p w14:paraId="6B2FE3B8">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4.一方不履行协议条款，造成另一方无法执行协议，协商又不能求得解决。责任方赔偿损失后，协议终止。</w:t>
      </w:r>
    </w:p>
    <w:p w14:paraId="179910D6">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（三）除本协议另有约定外，发生任何以下一种情况，甲方有权解除本协议，对于由此给乙方造成的损失甲方不承担赔偿责任，对于由此给甲方造成的损失，乙方应负赔偿责任；</w:t>
      </w:r>
    </w:p>
    <w:p w14:paraId="3182161E">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1.乙方设备设施发生重大变化，不满足招标文件提出的要求或者不具备接待能力的；</w:t>
      </w:r>
    </w:p>
    <w:p w14:paraId="2F4854E6">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2.乙方发生第五项“违约责任”所列违约行为达到2次衣裳的；</w:t>
      </w:r>
    </w:p>
    <w:p w14:paraId="7AF33887">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3.乙方出现组织卖淫嫖娼、赌博、贩卖毒品、危害国家安全等违法行为的。</w:t>
      </w:r>
    </w:p>
    <w:p w14:paraId="2CDDDB8D">
      <w:pPr>
        <w:spacing w:line="520" w:lineRule="exact"/>
        <w:ind w:firstLine="567"/>
        <w:rPr>
          <w:rFonts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eastAsia="zh-CN"/>
        </w:rPr>
        <w:t>十一、法律适用</w:t>
      </w:r>
    </w:p>
    <w:p w14:paraId="3088CF8D">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xml:space="preserve"> 本协议及附件的订立、效力、解释、履行、争议的解决等适用本协议签订时有效的中华人民共和国法律、法规的有关规定。</w:t>
      </w:r>
    </w:p>
    <w:p w14:paraId="187D8950">
      <w:pPr>
        <w:spacing w:line="520" w:lineRule="exact"/>
        <w:ind w:firstLine="602" w:firstLineChars="200"/>
        <w:rPr>
          <w:rFonts w:ascii="仿宋_GB2312" w:hAnsi="仿宋_GB2312" w:eastAsia="仿宋_GB2312" w:cs="仿宋_GB2312"/>
          <w:b/>
          <w:bCs/>
          <w:sz w:val="30"/>
          <w:szCs w:val="30"/>
          <w:lang w:eastAsia="zh-CN"/>
        </w:rPr>
      </w:pPr>
      <w:r>
        <w:rPr>
          <w:rFonts w:hint="eastAsia" w:ascii="仿宋_GB2312" w:hAnsi="仿宋_GB2312" w:eastAsia="仿宋_GB2312" w:cs="仿宋_GB2312"/>
          <w:b/>
          <w:sz w:val="30"/>
          <w:szCs w:val="30"/>
          <w:lang w:eastAsia="zh-CN"/>
        </w:rPr>
        <w:t>十二、权利的保留</w:t>
      </w:r>
    </w:p>
    <w:p w14:paraId="57845A46">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一）任何一方没有行使其权利或没有就违约方的违约行为采取任何行动，不应被视为是对其权利的放弃或对追求其他各方违约责任权利的放弃。任何一方放弃针对违约方的某种权利，或放弃追究违约方的某种责任，不应视为对其他权利或追究其他责任的放弃。</w:t>
      </w:r>
    </w:p>
    <w:p w14:paraId="7FF5389B">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二）如果本协议部分条款依据现行有关法律、法规倍确认为无效或无法履行；切该部分无效或无法履行的条款不影响本协议其他条款的效的，本协议其他条款继续有效；同时，协议各方应根据现行有关法律、法规对该部分无效或无法履行的条款进行调整，使其依法成为有效条款，并尽量符合本协议所体现的原则和精神。</w:t>
      </w:r>
    </w:p>
    <w:p w14:paraId="17BFBB73">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（三)在本协议履行期间，因中国法律、法规、政策的变化致使本协议的部分条款相冲突、无效或失去可强制执行效力时，甲乙双方应尽快修改本协议中相冲突或无效或失去可强制执行效力的条款。</w:t>
      </w:r>
    </w:p>
    <w:p w14:paraId="5EF2C899">
      <w:pPr>
        <w:spacing w:line="520" w:lineRule="exact"/>
        <w:ind w:firstLine="567"/>
        <w:rPr>
          <w:rFonts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eastAsia="zh-CN"/>
        </w:rPr>
        <w:t>十三、主导语言与计量单位</w:t>
      </w:r>
    </w:p>
    <w:p w14:paraId="032ADFFC">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（一）协议书写应用中为，甲乙双方所有的来往信函，以及协议有关的文件均应以中文书写。</w:t>
      </w:r>
    </w:p>
    <w:p w14:paraId="3F366E91">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（二）除协议另有规定外，计量单位均使用中华人民共和国法定计量单位。</w:t>
      </w:r>
    </w:p>
    <w:p w14:paraId="6FBB8777">
      <w:pPr>
        <w:spacing w:line="520" w:lineRule="exact"/>
        <w:ind w:firstLine="567"/>
        <w:rPr>
          <w:rFonts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eastAsia="zh-CN"/>
        </w:rPr>
        <w:t>十四、协议修改</w:t>
      </w:r>
    </w:p>
    <w:p w14:paraId="128B6694">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（一）对于本协议的未尽事宜，需进行修改、补充或完善的，甲乙双方必须就所修改的内容签订书面的协议修改书，作为本协议的补充协议。</w:t>
      </w:r>
    </w:p>
    <w:p w14:paraId="51545B99">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（二）补充协议与本协议具有同等法律效力。</w:t>
      </w:r>
    </w:p>
    <w:p w14:paraId="7A4F6708">
      <w:pPr>
        <w:spacing w:line="520" w:lineRule="exact"/>
        <w:ind w:firstLine="567"/>
        <w:rPr>
          <w:rFonts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eastAsia="zh-CN"/>
        </w:rPr>
        <w:t>十五、附加条款</w:t>
      </w:r>
    </w:p>
    <w:p w14:paraId="7FC022A1">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本协议签署后，由于乙方没有及时在“党政机关会议定点场所管理系统”上注册、发布相关信息，无法取得各级党政机关认可，所造成的损失由乙方负责。</w:t>
      </w:r>
    </w:p>
    <w:p w14:paraId="3C40C3A0">
      <w:pPr>
        <w:spacing w:line="520" w:lineRule="exact"/>
        <w:ind w:firstLine="602" w:firstLineChars="200"/>
        <w:rPr>
          <w:rFonts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eastAsia="zh-CN"/>
        </w:rPr>
        <w:t>十六、协议生效</w:t>
      </w:r>
    </w:p>
    <w:p w14:paraId="4EEDA6AA">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（一）除非协议中另有说明，本协议经甲乙双方法定代表人或授权代表签字盖章，即开始生效。本协议有效期至202</w:t>
      </w:r>
      <w:r>
        <w:rPr>
          <w:rFonts w:ascii="仿宋_GB2312" w:hAnsi="仿宋_GB2312" w:eastAsia="仿宋_GB2312" w:cs="仿宋_GB2312"/>
          <w:sz w:val="30"/>
          <w:szCs w:val="30"/>
          <w:lang w:eastAsia="zh-CN"/>
        </w:rPr>
        <w:t>6</w:t>
      </w:r>
      <w:r>
        <w:rPr>
          <w:rFonts w:hint="eastAsia" w:ascii="仿宋_GB2312" w:hAnsi="仿宋_GB2312" w:eastAsia="仿宋_GB2312" w:cs="仿宋_GB2312"/>
          <w:sz w:val="30"/>
          <w:szCs w:val="30"/>
          <w:lang w:eastAsia="zh-CN"/>
        </w:rPr>
        <w:t>年—月—日。</w:t>
      </w:r>
    </w:p>
    <w:p w14:paraId="5DCDCD74">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（二）本协议中附件均为本协议不可分割的部分。与本协议具有同等的法律效力。</w:t>
      </w:r>
    </w:p>
    <w:p w14:paraId="5BDAD682">
      <w:pPr>
        <w:spacing w:line="520" w:lineRule="exact"/>
        <w:ind w:firstLine="600" w:firstLineChars="200"/>
        <w:rPr>
          <w:sz w:val="30"/>
          <w:szCs w:val="30"/>
          <w:lang w:eastAsia="zh-CN"/>
        </w:rPr>
      </w:pPr>
      <w:r>
        <w:rPr>
          <w:rFonts w:hint="eastAsia" w:ascii="仿宋_GB2312" w:hAnsi="仿宋_GB2312" w:eastAsia="仿宋_GB2312" w:cs="仿宋_GB2312"/>
          <w:sz w:val="30"/>
          <w:szCs w:val="30"/>
          <w:lang w:eastAsia="zh-CN"/>
        </w:rPr>
        <w:t>（三）本协议正本一式三份，甲方、乙方各一份，招标代理机构一份，每份正本具有同等法律效力。</w:t>
      </w:r>
    </w:p>
    <w:p w14:paraId="59DAFABC">
      <w:pPr>
        <w:spacing w:line="520" w:lineRule="exact"/>
        <w:ind w:firstLine="600" w:firstLineChars="200"/>
        <w:rPr>
          <w:rFonts w:eastAsiaTheme="minorEastAsia"/>
          <w:sz w:val="30"/>
          <w:szCs w:val="30"/>
          <w:lang w:eastAsia="zh-CN"/>
        </w:rPr>
      </w:pPr>
    </w:p>
    <w:p w14:paraId="4F538AB4">
      <w:pPr>
        <w:pStyle w:val="17"/>
        <w:spacing w:line="520" w:lineRule="exact"/>
        <w:ind w:firstLine="560"/>
        <w:rPr>
          <w:rFonts w:eastAsiaTheme="minorEastAsia"/>
        </w:rPr>
      </w:pPr>
    </w:p>
    <w:p w14:paraId="2D4C0D49">
      <w:pPr>
        <w:spacing w:line="520" w:lineRule="exact"/>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甲方单位名称（公章）：           乙方单位名称（公章）：</w:t>
      </w:r>
    </w:p>
    <w:p w14:paraId="32C38530">
      <w:pPr>
        <w:spacing w:line="520" w:lineRule="exact"/>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单位地址：                       单位地址：</w:t>
      </w:r>
    </w:p>
    <w:p w14:paraId="78765DD8">
      <w:pPr>
        <w:spacing w:line="520" w:lineRule="exact"/>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法人授权代表：                   法人授权代表：</w:t>
      </w:r>
    </w:p>
    <w:p w14:paraId="481D5FE8">
      <w:pPr>
        <w:spacing w:line="520" w:lineRule="exact"/>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电    话：                       电    话：</w:t>
      </w:r>
    </w:p>
    <w:p w14:paraId="1F86EAEE">
      <w:pPr>
        <w:spacing w:line="520" w:lineRule="exact"/>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xml:space="preserve">日期：  年  月  日              </w:t>
      </w:r>
      <w:r>
        <w:rPr>
          <w:rFonts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lang w:eastAsia="zh-CN"/>
        </w:rPr>
        <w:t>日期：  年  月  日</w:t>
      </w:r>
    </w:p>
    <w:p w14:paraId="01040481">
      <w:pPr>
        <w:kinsoku/>
        <w:spacing w:line="520" w:lineRule="exact"/>
        <w:jc w:val="both"/>
        <w:rPr>
          <w:rFonts w:asciiTheme="minorEastAsia" w:hAnsiTheme="minorEastAsia" w:eastAsiaTheme="minorEastAsia" w:cstheme="minorEastAsia"/>
          <w:sz w:val="24"/>
          <w:szCs w:val="24"/>
          <w:lang w:eastAsia="zh-CN"/>
        </w:rPr>
      </w:pPr>
    </w:p>
    <w:p w14:paraId="66292994">
      <w:pPr>
        <w:pStyle w:val="3"/>
        <w:spacing w:line="520" w:lineRule="exact"/>
        <w:jc w:val="center"/>
        <w:rPr>
          <w:rFonts w:ascii="黑体" w:hAnsi="黑体" w:eastAsia="黑体"/>
          <w:sz w:val="28"/>
          <w:szCs w:val="28"/>
          <w:lang w:eastAsia="zh-CN"/>
        </w:rPr>
      </w:pPr>
      <w:bookmarkStart w:id="2" w:name="_Toc22209"/>
    </w:p>
    <w:p w14:paraId="16FA9E4F">
      <w:pPr>
        <w:spacing w:line="520" w:lineRule="exact"/>
        <w:rPr>
          <w:rFonts w:ascii="黑体" w:hAnsi="黑体" w:eastAsia="黑体"/>
          <w:sz w:val="28"/>
          <w:szCs w:val="28"/>
          <w:lang w:eastAsia="zh-CN"/>
        </w:rPr>
      </w:pPr>
    </w:p>
    <w:p w14:paraId="4FA3ED35">
      <w:pPr>
        <w:pStyle w:val="17"/>
        <w:spacing w:line="520" w:lineRule="exact"/>
        <w:ind w:firstLine="560"/>
        <w:rPr>
          <w:rFonts w:ascii="黑体" w:hAnsi="黑体" w:eastAsia="黑体"/>
          <w:szCs w:val="28"/>
        </w:rPr>
      </w:pPr>
    </w:p>
    <w:p w14:paraId="00A976CD">
      <w:pPr>
        <w:spacing w:line="520" w:lineRule="exact"/>
        <w:rPr>
          <w:rFonts w:ascii="黑体" w:hAnsi="黑体" w:eastAsia="黑体"/>
          <w:sz w:val="28"/>
          <w:szCs w:val="28"/>
          <w:lang w:eastAsia="zh-CN"/>
        </w:rPr>
      </w:pPr>
    </w:p>
    <w:p w14:paraId="78BE13A4">
      <w:pPr>
        <w:pStyle w:val="17"/>
        <w:spacing w:line="520" w:lineRule="exact"/>
        <w:ind w:firstLine="560"/>
        <w:rPr>
          <w:rFonts w:ascii="黑体" w:hAnsi="黑体" w:eastAsia="黑体"/>
          <w:szCs w:val="28"/>
        </w:rPr>
      </w:pPr>
    </w:p>
    <w:p w14:paraId="419F38A1">
      <w:pPr>
        <w:spacing w:line="520" w:lineRule="exact"/>
        <w:rPr>
          <w:rFonts w:ascii="黑体" w:hAnsi="黑体" w:eastAsia="黑体"/>
          <w:sz w:val="28"/>
          <w:szCs w:val="28"/>
          <w:lang w:eastAsia="zh-CN"/>
        </w:rPr>
      </w:pPr>
    </w:p>
    <w:p w14:paraId="16B20C80">
      <w:pPr>
        <w:pStyle w:val="17"/>
        <w:spacing w:line="520" w:lineRule="exact"/>
        <w:ind w:firstLine="560"/>
        <w:rPr>
          <w:rFonts w:ascii="黑体" w:hAnsi="黑体" w:eastAsia="黑体"/>
          <w:szCs w:val="28"/>
        </w:rPr>
      </w:pPr>
    </w:p>
    <w:bookmarkEnd w:id="2"/>
    <w:p w14:paraId="041AFD61">
      <w:pPr>
        <w:pStyle w:val="6"/>
        <w:kinsoku/>
        <w:wordWrap w:val="0"/>
        <w:spacing w:before="353" w:line="360" w:lineRule="auto"/>
        <w:jc w:val="center"/>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第六章 投标文件格式</w:t>
      </w:r>
    </w:p>
    <w:p w14:paraId="36E05439">
      <w:pPr>
        <w:kinsoku/>
        <w:wordWrap w:val="0"/>
        <w:spacing w:line="253" w:lineRule="auto"/>
        <w:jc w:val="both"/>
        <w:rPr>
          <w:rFonts w:asciiTheme="minorEastAsia" w:hAnsiTheme="minorEastAsia" w:eastAsiaTheme="minorEastAsia" w:cstheme="minorEastAsia"/>
          <w:lang w:eastAsia="zh-CN"/>
        </w:rPr>
      </w:pPr>
    </w:p>
    <w:p w14:paraId="41BE1CC6">
      <w:pPr>
        <w:pStyle w:val="6"/>
        <w:kinsoku/>
        <w:wordWrap w:val="0"/>
        <w:spacing w:before="78" w:line="360" w:lineRule="auto"/>
        <w:ind w:left="154"/>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投标人编制文件须知</w:t>
      </w:r>
    </w:p>
    <w:p w14:paraId="59292F4C">
      <w:pPr>
        <w:pStyle w:val="6"/>
        <w:kinsoku/>
        <w:wordWrap w:val="0"/>
        <w:spacing w:line="360" w:lineRule="auto"/>
        <w:ind w:firstLine="46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1.投标人按照本部分的顺序编制投标文件（资格证明文件）、投标</w:t>
      </w:r>
      <w:r>
        <w:rPr>
          <w:rFonts w:hint="eastAsia" w:asciiTheme="minorEastAsia" w:hAnsiTheme="minorEastAsia" w:eastAsiaTheme="minorEastAsia" w:cstheme="minorEastAsia"/>
          <w:spacing w:val="-4"/>
          <w:sz w:val="24"/>
          <w:szCs w:val="24"/>
          <w:lang w:eastAsia="zh-CN"/>
        </w:rPr>
        <w:t>文件（商务技术文</w:t>
      </w:r>
      <w:r>
        <w:rPr>
          <w:rFonts w:hint="eastAsia" w:asciiTheme="minorEastAsia" w:hAnsiTheme="minorEastAsia" w:eastAsiaTheme="minorEastAsia" w:cstheme="minorEastAsia"/>
          <w:spacing w:val="-8"/>
          <w:sz w:val="24"/>
          <w:szCs w:val="24"/>
          <w:lang w:eastAsia="zh-CN"/>
        </w:rPr>
        <w:t>件</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8"/>
          <w:sz w:val="24"/>
          <w:szCs w:val="24"/>
          <w:lang w:eastAsia="zh-CN"/>
        </w:rPr>
        <w:t>编制中涉及格式资料的，应按照本部分提供的内容和格式（所有表格的格式可扩</w:t>
      </w:r>
      <w:r>
        <w:rPr>
          <w:rFonts w:hint="eastAsia" w:asciiTheme="minorEastAsia" w:hAnsiTheme="minorEastAsia" w:eastAsiaTheme="minorEastAsia" w:cstheme="minorEastAsia"/>
          <w:spacing w:val="-3"/>
          <w:sz w:val="24"/>
          <w:szCs w:val="24"/>
          <w:lang w:eastAsia="zh-CN"/>
        </w:rPr>
        <w:t>展）填写提交。</w:t>
      </w:r>
    </w:p>
    <w:p w14:paraId="27DBD5EF">
      <w:pPr>
        <w:pStyle w:val="6"/>
        <w:kinsoku/>
        <w:wordWrap w:val="0"/>
        <w:spacing w:line="360" w:lineRule="auto"/>
        <w:ind w:firstLine="46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2.</w:t>
      </w:r>
      <w:r>
        <w:rPr>
          <w:rFonts w:hint="eastAsia" w:asciiTheme="minorEastAsia" w:hAnsiTheme="minorEastAsia" w:eastAsiaTheme="minorEastAsia" w:cstheme="minorEastAsia"/>
          <w:spacing w:val="-1"/>
          <w:sz w:val="24"/>
          <w:szCs w:val="24"/>
          <w:lang w:eastAsia="zh-CN"/>
        </w:rPr>
        <w:t>全部声明和问题的回答及所附材料必须是真实的、准确的和完整</w:t>
      </w:r>
      <w:r>
        <w:rPr>
          <w:rFonts w:hint="eastAsia" w:asciiTheme="minorEastAsia" w:hAnsiTheme="minorEastAsia" w:eastAsiaTheme="minorEastAsia" w:cstheme="minorEastAsia"/>
          <w:spacing w:val="-2"/>
          <w:sz w:val="24"/>
          <w:szCs w:val="24"/>
          <w:lang w:eastAsia="zh-CN"/>
        </w:rPr>
        <w:t>的。</w:t>
      </w:r>
    </w:p>
    <w:p w14:paraId="5DE497E1">
      <w:pPr>
        <w:kinsoku/>
        <w:wordWrap w:val="0"/>
        <w:spacing w:line="219" w:lineRule="auto"/>
        <w:jc w:val="both"/>
        <w:rPr>
          <w:rFonts w:asciiTheme="minorEastAsia" w:hAnsiTheme="minorEastAsia" w:eastAsiaTheme="minorEastAsia" w:cstheme="minorEastAsia"/>
          <w:sz w:val="24"/>
          <w:szCs w:val="24"/>
          <w:lang w:eastAsia="zh-CN"/>
        </w:rPr>
        <w:sectPr>
          <w:headerReference r:id="rId5" w:type="default"/>
          <w:footerReference r:id="rId6" w:type="default"/>
          <w:pgSz w:w="11907" w:h="16840"/>
          <w:pgMar w:top="1440" w:right="1800" w:bottom="1440" w:left="1800" w:header="878" w:footer="886" w:gutter="0"/>
          <w:cols w:space="720" w:num="1"/>
        </w:sectPr>
      </w:pPr>
    </w:p>
    <w:p w14:paraId="26997514">
      <w:pPr>
        <w:pStyle w:val="6"/>
        <w:kinsoku/>
        <w:wordWrap w:val="0"/>
        <w:spacing w:before="78" w:line="360" w:lineRule="auto"/>
        <w:ind w:left="13"/>
        <w:jc w:val="both"/>
        <w:outlineLvl w:val="2"/>
        <w:rPr>
          <w:rFonts w:asciiTheme="minorEastAsia" w:hAnsiTheme="minorEastAsia" w:eastAsiaTheme="minorEastAsia" w:cstheme="minorEastAsia"/>
          <w:sz w:val="21"/>
          <w:lang w:eastAsia="zh-CN"/>
        </w:rPr>
      </w:pP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一、资格证明文件格式</w:t>
      </w:r>
    </w:p>
    <w:p w14:paraId="3FD5BDE9">
      <w:pPr>
        <w:kinsoku/>
        <w:wordWrap w:val="0"/>
        <w:spacing w:line="360" w:lineRule="auto"/>
        <w:jc w:val="both"/>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1.开标一览表</w:t>
      </w:r>
    </w:p>
    <w:p w14:paraId="12C928B9">
      <w:pPr>
        <w:pStyle w:val="17"/>
        <w:ind w:firstLine="560"/>
      </w:pPr>
    </w:p>
    <w:p w14:paraId="6BFA3BEC">
      <w:pPr>
        <w:pStyle w:val="17"/>
        <w:ind w:firstLine="1681" w:firstLineChars="600"/>
        <w:rPr>
          <w:b/>
          <w:bCs/>
        </w:rPr>
      </w:pPr>
      <w:r>
        <w:rPr>
          <w:rFonts w:hint="eastAsia" w:ascii="微软雅黑" w:hAnsi="微软雅黑" w:eastAsia="微软雅黑" w:cs="微软雅黑"/>
          <w:b/>
          <w:bCs/>
        </w:rPr>
        <w:t>会</w:t>
      </w:r>
      <w:r>
        <w:rPr>
          <w:rFonts w:hint="eastAsia"/>
          <w:b/>
          <w:bCs/>
        </w:rPr>
        <w:t>议定点场所开标一览表</w:t>
      </w:r>
    </w:p>
    <w:p w14:paraId="6C09DC3F">
      <w:pPr>
        <w:pStyle w:val="17"/>
        <w:ind w:firstLine="1401" w:firstLineChars="500"/>
        <w:rPr>
          <w:b/>
          <w:bCs/>
        </w:rPr>
      </w:pPr>
      <w:r>
        <w:rPr>
          <w:rFonts w:hint="eastAsia" w:ascii="微软雅黑" w:hAnsi="微软雅黑" w:eastAsia="微软雅黑" w:cs="微软雅黑"/>
          <w:b/>
          <w:bCs/>
        </w:rPr>
        <w:t>（</w:t>
      </w:r>
      <w:r>
        <w:rPr>
          <w:rFonts w:hint="eastAsia"/>
          <w:b/>
          <w:bCs/>
        </w:rPr>
        <w:t>含住宿、自助餐、会议室）</w:t>
      </w:r>
    </w:p>
    <w:tbl>
      <w:tblPr>
        <w:tblStyle w:val="18"/>
        <w:tblW w:w="9090" w:type="dxa"/>
        <w:tblInd w:w="-2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1230"/>
        <w:gridCol w:w="945"/>
        <w:gridCol w:w="1080"/>
        <w:gridCol w:w="1110"/>
        <w:gridCol w:w="1305"/>
        <w:gridCol w:w="765"/>
        <w:gridCol w:w="1305"/>
      </w:tblGrid>
      <w:tr w14:paraId="647B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350" w:type="dxa"/>
            <w:vAlign w:val="center"/>
          </w:tcPr>
          <w:p w14:paraId="4F3E302D">
            <w:pPr>
              <w:pStyle w:val="17"/>
              <w:ind w:left="0" w:leftChars="0" w:firstLine="0" w:firstLineChars="0"/>
              <w:jc w:val="center"/>
              <w:rPr>
                <w:sz w:val="24"/>
                <w:szCs w:val="20"/>
              </w:rPr>
            </w:pPr>
            <w:r>
              <w:rPr>
                <w:rFonts w:hint="eastAsia" w:ascii="微软雅黑" w:hAnsi="微软雅黑" w:eastAsia="微软雅黑" w:cs="微软雅黑"/>
                <w:sz w:val="24"/>
                <w:szCs w:val="20"/>
              </w:rPr>
              <w:t>饭</w:t>
            </w:r>
            <w:r>
              <w:rPr>
                <w:rFonts w:hint="eastAsia"/>
                <w:sz w:val="24"/>
                <w:szCs w:val="20"/>
              </w:rPr>
              <w:t>店名称</w:t>
            </w:r>
          </w:p>
        </w:tc>
        <w:tc>
          <w:tcPr>
            <w:tcW w:w="1230" w:type="dxa"/>
            <w:vAlign w:val="center"/>
          </w:tcPr>
          <w:p w14:paraId="514519D3">
            <w:pPr>
              <w:pStyle w:val="17"/>
              <w:ind w:left="0" w:leftChars="0" w:firstLine="0" w:firstLineChars="0"/>
              <w:jc w:val="center"/>
              <w:rPr>
                <w:sz w:val="24"/>
                <w:szCs w:val="20"/>
              </w:rPr>
            </w:pPr>
            <w:r>
              <w:rPr>
                <w:rFonts w:hint="eastAsia" w:ascii="微软雅黑" w:hAnsi="微软雅黑" w:eastAsia="微软雅黑" w:cs="微软雅黑"/>
                <w:sz w:val="24"/>
                <w:szCs w:val="20"/>
              </w:rPr>
              <w:t>星</w:t>
            </w:r>
            <w:r>
              <w:rPr>
                <w:rFonts w:hint="eastAsia"/>
                <w:sz w:val="24"/>
                <w:szCs w:val="20"/>
              </w:rPr>
              <w:t>级标准</w:t>
            </w:r>
          </w:p>
        </w:tc>
        <w:tc>
          <w:tcPr>
            <w:tcW w:w="945" w:type="dxa"/>
            <w:vAlign w:val="center"/>
          </w:tcPr>
          <w:p w14:paraId="5F04E52D">
            <w:pPr>
              <w:pStyle w:val="17"/>
              <w:ind w:left="0" w:leftChars="0" w:firstLine="0" w:firstLineChars="0"/>
              <w:jc w:val="center"/>
              <w:rPr>
                <w:sz w:val="24"/>
                <w:szCs w:val="20"/>
              </w:rPr>
            </w:pPr>
            <w:r>
              <w:rPr>
                <w:rFonts w:hint="eastAsia" w:ascii="微软雅黑" w:hAnsi="微软雅黑" w:eastAsia="微软雅黑" w:cs="微软雅黑"/>
                <w:sz w:val="24"/>
                <w:szCs w:val="20"/>
              </w:rPr>
              <w:t>住</w:t>
            </w:r>
            <w:r>
              <w:rPr>
                <w:rFonts w:hint="eastAsia"/>
                <w:sz w:val="24"/>
                <w:szCs w:val="20"/>
              </w:rPr>
              <w:t>宿</w:t>
            </w:r>
          </w:p>
          <w:p w14:paraId="40C10F1F">
            <w:pPr>
              <w:pStyle w:val="17"/>
              <w:ind w:left="0" w:leftChars="0" w:firstLine="0" w:firstLineChars="0"/>
              <w:jc w:val="center"/>
              <w:rPr>
                <w:sz w:val="24"/>
                <w:szCs w:val="20"/>
              </w:rPr>
            </w:pPr>
            <w:r>
              <w:rPr>
                <w:rFonts w:hint="eastAsia" w:ascii="微软雅黑" w:hAnsi="微软雅黑" w:eastAsia="微软雅黑" w:cs="微软雅黑"/>
                <w:sz w:val="24"/>
                <w:szCs w:val="20"/>
              </w:rPr>
              <w:t>优</w:t>
            </w:r>
            <w:r>
              <w:rPr>
                <w:rFonts w:hint="eastAsia"/>
                <w:sz w:val="24"/>
                <w:szCs w:val="20"/>
              </w:rPr>
              <w:t>惠率</w:t>
            </w:r>
          </w:p>
        </w:tc>
        <w:tc>
          <w:tcPr>
            <w:tcW w:w="1080" w:type="dxa"/>
            <w:vAlign w:val="center"/>
          </w:tcPr>
          <w:p w14:paraId="2CF52AA2">
            <w:pPr>
              <w:pStyle w:val="17"/>
              <w:ind w:left="0" w:leftChars="0" w:firstLine="0" w:firstLineChars="0"/>
              <w:jc w:val="center"/>
              <w:rPr>
                <w:sz w:val="24"/>
                <w:szCs w:val="20"/>
              </w:rPr>
            </w:pPr>
            <w:r>
              <w:rPr>
                <w:rFonts w:hint="eastAsia" w:ascii="微软雅黑" w:hAnsi="微软雅黑" w:eastAsia="微软雅黑" w:cs="微软雅黑"/>
                <w:sz w:val="24"/>
                <w:szCs w:val="20"/>
              </w:rPr>
              <w:t>自</w:t>
            </w:r>
            <w:r>
              <w:rPr>
                <w:rFonts w:hint="eastAsia"/>
                <w:sz w:val="24"/>
                <w:szCs w:val="20"/>
              </w:rPr>
              <w:t>助餐</w:t>
            </w:r>
          </w:p>
          <w:p w14:paraId="1186F40A">
            <w:pPr>
              <w:pStyle w:val="17"/>
              <w:ind w:left="0" w:leftChars="0" w:firstLine="0" w:firstLineChars="0"/>
              <w:jc w:val="center"/>
              <w:rPr>
                <w:sz w:val="24"/>
                <w:szCs w:val="20"/>
              </w:rPr>
            </w:pPr>
            <w:r>
              <w:rPr>
                <w:rFonts w:hint="eastAsia" w:ascii="微软雅黑" w:hAnsi="微软雅黑" w:eastAsia="微软雅黑" w:cs="微软雅黑"/>
                <w:sz w:val="24"/>
                <w:szCs w:val="20"/>
              </w:rPr>
              <w:t>优</w:t>
            </w:r>
            <w:r>
              <w:rPr>
                <w:rFonts w:hint="eastAsia"/>
                <w:sz w:val="24"/>
                <w:szCs w:val="20"/>
              </w:rPr>
              <w:t>惠率</w:t>
            </w:r>
          </w:p>
        </w:tc>
        <w:tc>
          <w:tcPr>
            <w:tcW w:w="1110" w:type="dxa"/>
            <w:vAlign w:val="center"/>
          </w:tcPr>
          <w:p w14:paraId="740C996D">
            <w:pPr>
              <w:pStyle w:val="17"/>
              <w:ind w:left="0" w:leftChars="0" w:firstLine="0" w:firstLineChars="0"/>
              <w:jc w:val="center"/>
              <w:rPr>
                <w:sz w:val="24"/>
                <w:szCs w:val="20"/>
              </w:rPr>
            </w:pPr>
            <w:r>
              <w:rPr>
                <w:rFonts w:hint="eastAsia" w:ascii="微软雅黑" w:hAnsi="微软雅黑" w:eastAsia="微软雅黑" w:cs="微软雅黑"/>
                <w:sz w:val="24"/>
                <w:szCs w:val="20"/>
              </w:rPr>
              <w:t>会</w:t>
            </w:r>
            <w:r>
              <w:rPr>
                <w:rFonts w:hint="eastAsia"/>
                <w:sz w:val="24"/>
                <w:szCs w:val="20"/>
              </w:rPr>
              <w:t>议室综合优惠率</w:t>
            </w:r>
          </w:p>
        </w:tc>
        <w:tc>
          <w:tcPr>
            <w:tcW w:w="1305" w:type="dxa"/>
            <w:vAlign w:val="center"/>
          </w:tcPr>
          <w:p w14:paraId="0659DBD0">
            <w:pPr>
              <w:pStyle w:val="17"/>
              <w:ind w:left="0" w:leftChars="0" w:firstLine="0" w:firstLineChars="0"/>
              <w:jc w:val="center"/>
              <w:rPr>
                <w:sz w:val="24"/>
                <w:szCs w:val="20"/>
              </w:rPr>
            </w:pPr>
            <w:r>
              <w:rPr>
                <w:rFonts w:hint="eastAsia" w:ascii="微软雅黑" w:hAnsi="微软雅黑" w:eastAsia="微软雅黑" w:cs="微软雅黑"/>
                <w:sz w:val="24"/>
                <w:szCs w:val="20"/>
              </w:rPr>
              <w:t>综</w:t>
            </w:r>
            <w:r>
              <w:rPr>
                <w:rFonts w:hint="eastAsia"/>
                <w:sz w:val="24"/>
                <w:szCs w:val="20"/>
              </w:rPr>
              <w:t>合优惠率</w:t>
            </w:r>
          </w:p>
        </w:tc>
        <w:tc>
          <w:tcPr>
            <w:tcW w:w="765" w:type="dxa"/>
            <w:vAlign w:val="center"/>
          </w:tcPr>
          <w:p w14:paraId="1D159A4D">
            <w:pPr>
              <w:pStyle w:val="17"/>
              <w:ind w:left="0" w:leftChars="0" w:firstLine="0" w:firstLineChars="0"/>
              <w:jc w:val="center"/>
              <w:rPr>
                <w:sz w:val="24"/>
                <w:szCs w:val="20"/>
              </w:rPr>
            </w:pPr>
            <w:r>
              <w:rPr>
                <w:rFonts w:hint="eastAsia" w:ascii="微软雅黑" w:hAnsi="微软雅黑" w:eastAsia="微软雅黑" w:cs="微软雅黑"/>
                <w:sz w:val="24"/>
                <w:szCs w:val="20"/>
              </w:rPr>
              <w:t>服</w:t>
            </w:r>
            <w:r>
              <w:rPr>
                <w:rFonts w:hint="eastAsia"/>
                <w:sz w:val="24"/>
                <w:szCs w:val="20"/>
              </w:rPr>
              <w:t>务期限</w:t>
            </w:r>
          </w:p>
        </w:tc>
        <w:tc>
          <w:tcPr>
            <w:tcW w:w="1305" w:type="dxa"/>
            <w:vAlign w:val="center"/>
          </w:tcPr>
          <w:p w14:paraId="4C4E128D">
            <w:pPr>
              <w:pStyle w:val="17"/>
              <w:ind w:left="0" w:leftChars="0" w:firstLine="0" w:firstLineChars="0"/>
              <w:jc w:val="center"/>
              <w:rPr>
                <w:sz w:val="24"/>
                <w:szCs w:val="20"/>
              </w:rPr>
            </w:pPr>
            <w:r>
              <w:rPr>
                <w:rFonts w:hint="eastAsia" w:ascii="微软雅黑" w:hAnsi="微软雅黑" w:eastAsia="微软雅黑" w:cs="微软雅黑"/>
                <w:sz w:val="24"/>
                <w:szCs w:val="20"/>
              </w:rPr>
              <w:t>服</w:t>
            </w:r>
            <w:r>
              <w:rPr>
                <w:rFonts w:hint="eastAsia"/>
                <w:sz w:val="24"/>
                <w:szCs w:val="20"/>
              </w:rPr>
              <w:t>务质量</w:t>
            </w:r>
          </w:p>
        </w:tc>
      </w:tr>
      <w:tr w14:paraId="2877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350" w:type="dxa"/>
            <w:vAlign w:val="center"/>
          </w:tcPr>
          <w:p w14:paraId="34B2D1AD">
            <w:pPr>
              <w:pStyle w:val="17"/>
              <w:ind w:firstLine="480"/>
              <w:jc w:val="center"/>
              <w:rPr>
                <w:sz w:val="24"/>
                <w:szCs w:val="20"/>
              </w:rPr>
            </w:pPr>
          </w:p>
        </w:tc>
        <w:tc>
          <w:tcPr>
            <w:tcW w:w="1230" w:type="dxa"/>
            <w:vAlign w:val="center"/>
          </w:tcPr>
          <w:p w14:paraId="4746C183">
            <w:pPr>
              <w:pStyle w:val="17"/>
              <w:ind w:firstLine="480"/>
              <w:jc w:val="center"/>
              <w:rPr>
                <w:sz w:val="24"/>
                <w:szCs w:val="20"/>
              </w:rPr>
            </w:pPr>
          </w:p>
        </w:tc>
        <w:tc>
          <w:tcPr>
            <w:tcW w:w="945" w:type="dxa"/>
            <w:vAlign w:val="center"/>
          </w:tcPr>
          <w:p w14:paraId="5C8EF458">
            <w:pPr>
              <w:pStyle w:val="17"/>
              <w:ind w:firstLine="480"/>
              <w:jc w:val="center"/>
              <w:rPr>
                <w:sz w:val="24"/>
                <w:szCs w:val="20"/>
              </w:rPr>
            </w:pPr>
          </w:p>
        </w:tc>
        <w:tc>
          <w:tcPr>
            <w:tcW w:w="1080" w:type="dxa"/>
            <w:vAlign w:val="center"/>
          </w:tcPr>
          <w:p w14:paraId="4209547A">
            <w:pPr>
              <w:pStyle w:val="17"/>
              <w:ind w:firstLine="480"/>
              <w:jc w:val="center"/>
              <w:rPr>
                <w:sz w:val="24"/>
                <w:szCs w:val="20"/>
              </w:rPr>
            </w:pPr>
          </w:p>
        </w:tc>
        <w:tc>
          <w:tcPr>
            <w:tcW w:w="1110" w:type="dxa"/>
            <w:vAlign w:val="center"/>
          </w:tcPr>
          <w:p w14:paraId="78A3A0A2">
            <w:pPr>
              <w:pStyle w:val="17"/>
              <w:ind w:firstLine="480"/>
              <w:jc w:val="center"/>
              <w:rPr>
                <w:sz w:val="24"/>
                <w:szCs w:val="20"/>
              </w:rPr>
            </w:pPr>
          </w:p>
        </w:tc>
        <w:tc>
          <w:tcPr>
            <w:tcW w:w="1305" w:type="dxa"/>
            <w:vAlign w:val="center"/>
          </w:tcPr>
          <w:p w14:paraId="7DD7012E">
            <w:pPr>
              <w:pStyle w:val="17"/>
              <w:ind w:firstLine="480"/>
              <w:jc w:val="center"/>
              <w:rPr>
                <w:sz w:val="24"/>
                <w:szCs w:val="20"/>
              </w:rPr>
            </w:pPr>
          </w:p>
        </w:tc>
        <w:tc>
          <w:tcPr>
            <w:tcW w:w="765" w:type="dxa"/>
            <w:vAlign w:val="center"/>
          </w:tcPr>
          <w:p w14:paraId="69C7613A">
            <w:pPr>
              <w:pStyle w:val="17"/>
              <w:ind w:firstLine="480"/>
              <w:jc w:val="center"/>
              <w:rPr>
                <w:sz w:val="24"/>
                <w:szCs w:val="20"/>
              </w:rPr>
            </w:pPr>
          </w:p>
        </w:tc>
        <w:tc>
          <w:tcPr>
            <w:tcW w:w="1305" w:type="dxa"/>
            <w:vAlign w:val="center"/>
          </w:tcPr>
          <w:p w14:paraId="015709B6">
            <w:pPr>
              <w:pStyle w:val="17"/>
              <w:ind w:firstLine="480"/>
              <w:jc w:val="center"/>
              <w:rPr>
                <w:sz w:val="24"/>
                <w:szCs w:val="20"/>
              </w:rPr>
            </w:pPr>
          </w:p>
        </w:tc>
      </w:tr>
    </w:tbl>
    <w:p w14:paraId="69D69808">
      <w:pPr>
        <w:pStyle w:val="17"/>
        <w:ind w:left="0" w:leftChars="0" w:firstLine="560"/>
      </w:pPr>
      <w:r>
        <w:rPr>
          <w:rFonts w:hint="eastAsia" w:ascii="微软雅黑" w:hAnsi="微软雅黑" w:eastAsia="微软雅黑" w:cs="微软雅黑"/>
        </w:rPr>
        <w:t>本</w:t>
      </w:r>
      <w:r>
        <w:rPr>
          <w:rFonts w:hint="eastAsia"/>
        </w:rPr>
        <w:t>表中的住宿、自助餐、会议室三方面的优惠率应和“投标分项报价表”中对应项目一致，三方的算求平均值为本表中最后的综合优惠率，此综合优惠率评标时作为投标报价分值计算的依据。</w:t>
      </w:r>
    </w:p>
    <w:p w14:paraId="7CDC31B5">
      <w:pPr>
        <w:kinsoku/>
        <w:spacing w:line="360" w:lineRule="auto"/>
        <w:ind w:firstLine="337" w:firstLineChars="150"/>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注：“开标一览表”报优惠率。（</w:t>
      </w:r>
      <w:r>
        <w:rPr>
          <w:rFonts w:hint="eastAsia" w:asciiTheme="minorEastAsia" w:hAnsiTheme="minorEastAsia" w:eastAsiaTheme="minorEastAsia" w:cstheme="minorEastAsia"/>
          <w:b/>
          <w:bCs/>
          <w:spacing w:val="-8"/>
          <w:sz w:val="24"/>
          <w:szCs w:val="24"/>
          <w:lang w:val="en-US" w:eastAsia="zh-CN"/>
        </w:rPr>
        <w:t>如</w:t>
      </w:r>
      <w:r>
        <w:rPr>
          <w:rFonts w:hint="eastAsia" w:asciiTheme="minorEastAsia" w:hAnsiTheme="minorEastAsia" w:eastAsiaTheme="minorEastAsia" w:cstheme="minorEastAsia"/>
          <w:b/>
          <w:bCs/>
          <w:spacing w:val="-8"/>
          <w:sz w:val="24"/>
          <w:szCs w:val="24"/>
          <w:lang w:eastAsia="zh-CN"/>
        </w:rPr>
        <w:t>优惠率10%，报优惠率</w:t>
      </w:r>
      <w:r>
        <w:rPr>
          <w:rFonts w:hint="eastAsia" w:asciiTheme="minorEastAsia" w:hAnsiTheme="minorEastAsia" w:eastAsiaTheme="minorEastAsia" w:cstheme="minorEastAsia"/>
          <w:b/>
          <w:bCs/>
          <w:spacing w:val="-8"/>
          <w:sz w:val="24"/>
          <w:szCs w:val="24"/>
          <w:lang w:val="en-US" w:eastAsia="zh-CN"/>
        </w:rPr>
        <w:t>10</w:t>
      </w:r>
      <w:r>
        <w:rPr>
          <w:rFonts w:hint="eastAsia" w:asciiTheme="minorEastAsia" w:hAnsiTheme="minorEastAsia" w:eastAsiaTheme="minorEastAsia" w:cstheme="minorEastAsia"/>
          <w:b/>
          <w:bCs/>
          <w:spacing w:val="-8"/>
          <w:sz w:val="24"/>
          <w:szCs w:val="24"/>
          <w:lang w:eastAsia="zh-CN"/>
        </w:rPr>
        <w:t>）</w:t>
      </w:r>
    </w:p>
    <w:p w14:paraId="61D313DB">
      <w:pPr>
        <w:kinsoku/>
        <w:wordWrap w:val="0"/>
        <w:spacing w:line="360" w:lineRule="auto"/>
        <w:jc w:val="both"/>
        <w:rPr>
          <w:rFonts w:asciiTheme="minorEastAsia" w:hAnsiTheme="minorEastAsia" w:eastAsiaTheme="minorEastAsia" w:cstheme="minorEastAsia"/>
          <w:b/>
          <w:bCs/>
          <w:spacing w:val="-8"/>
          <w:sz w:val="24"/>
          <w:szCs w:val="24"/>
          <w:lang w:eastAsia="zh-CN"/>
        </w:rPr>
      </w:pPr>
    </w:p>
    <w:p w14:paraId="31AD1E30">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投标人（公章）：法定代表人（负责人）或授权代表（签字）：</w:t>
      </w:r>
    </w:p>
    <w:p w14:paraId="1F3FB4FD">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日期：</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年</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月</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日</w:t>
      </w:r>
    </w:p>
    <w:p w14:paraId="0AD150D3">
      <w:pPr>
        <w:kinsoku/>
        <w:wordWrap w:val="0"/>
        <w:spacing w:line="360" w:lineRule="auto"/>
        <w:jc w:val="both"/>
        <w:rPr>
          <w:rFonts w:asciiTheme="minorEastAsia" w:hAnsiTheme="minorEastAsia" w:eastAsiaTheme="minorEastAsia" w:cstheme="minorEastAsia"/>
          <w:b/>
          <w:sz w:val="24"/>
          <w:szCs w:val="24"/>
          <w:lang w:eastAsia="zh-CN"/>
        </w:rPr>
      </w:pPr>
    </w:p>
    <w:p w14:paraId="787947E4">
      <w:pPr>
        <w:kinsoku/>
        <w:wordWrap w:val="0"/>
        <w:spacing w:line="360" w:lineRule="auto"/>
        <w:jc w:val="both"/>
        <w:rPr>
          <w:rFonts w:asciiTheme="minorEastAsia" w:hAnsiTheme="minorEastAsia" w:eastAsiaTheme="minorEastAsia" w:cstheme="minorEastAsia"/>
          <w:b/>
          <w:sz w:val="24"/>
          <w:szCs w:val="24"/>
          <w:lang w:eastAsia="zh-CN"/>
        </w:rPr>
      </w:pPr>
    </w:p>
    <w:p w14:paraId="3D899698">
      <w:pPr>
        <w:kinsoku/>
        <w:wordWrap w:val="0"/>
        <w:spacing w:line="360" w:lineRule="auto"/>
        <w:jc w:val="both"/>
        <w:rPr>
          <w:rFonts w:asciiTheme="minorEastAsia" w:hAnsiTheme="minorEastAsia" w:eastAsiaTheme="minorEastAsia" w:cstheme="minorEastAsia"/>
          <w:b/>
          <w:sz w:val="24"/>
          <w:szCs w:val="24"/>
          <w:lang w:eastAsia="zh-CN"/>
        </w:rPr>
      </w:pPr>
    </w:p>
    <w:p w14:paraId="7CA7F9EC">
      <w:pPr>
        <w:kinsoku/>
        <w:wordWrap w:val="0"/>
        <w:spacing w:line="360" w:lineRule="auto"/>
        <w:jc w:val="both"/>
        <w:rPr>
          <w:rFonts w:asciiTheme="minorEastAsia" w:hAnsiTheme="minorEastAsia" w:eastAsiaTheme="minorEastAsia" w:cstheme="minorEastAsia"/>
          <w:b/>
          <w:sz w:val="24"/>
          <w:szCs w:val="24"/>
          <w:lang w:eastAsia="zh-CN"/>
        </w:rPr>
      </w:pPr>
    </w:p>
    <w:p w14:paraId="43114BD2">
      <w:pPr>
        <w:kinsoku/>
        <w:wordWrap w:val="0"/>
        <w:spacing w:line="360" w:lineRule="auto"/>
        <w:jc w:val="both"/>
        <w:rPr>
          <w:rFonts w:asciiTheme="minorEastAsia" w:hAnsiTheme="minorEastAsia" w:eastAsiaTheme="minorEastAsia" w:cstheme="minorEastAsia"/>
          <w:b/>
          <w:sz w:val="24"/>
          <w:szCs w:val="24"/>
          <w:lang w:eastAsia="zh-CN"/>
        </w:rPr>
      </w:pPr>
    </w:p>
    <w:p w14:paraId="6B17FA08">
      <w:pPr>
        <w:kinsoku/>
        <w:wordWrap w:val="0"/>
        <w:spacing w:line="360" w:lineRule="auto"/>
        <w:jc w:val="both"/>
        <w:rPr>
          <w:rFonts w:asciiTheme="minorEastAsia" w:hAnsiTheme="minorEastAsia" w:eastAsiaTheme="minorEastAsia" w:cstheme="minorEastAsia"/>
          <w:b/>
          <w:sz w:val="24"/>
          <w:szCs w:val="24"/>
          <w:lang w:eastAsia="zh-CN"/>
        </w:rPr>
      </w:pPr>
    </w:p>
    <w:p w14:paraId="182BDE4C">
      <w:pPr>
        <w:pStyle w:val="17"/>
        <w:ind w:firstLine="560"/>
      </w:pPr>
    </w:p>
    <w:p w14:paraId="4F4F2851">
      <w:pPr>
        <w:pStyle w:val="17"/>
        <w:ind w:firstLine="482"/>
        <w:rPr>
          <w:rFonts w:asciiTheme="minorEastAsia" w:hAnsiTheme="minorEastAsia" w:eastAsiaTheme="minorEastAsia" w:cstheme="minorEastAsia"/>
          <w:b/>
          <w:sz w:val="24"/>
          <w:szCs w:val="24"/>
        </w:rPr>
      </w:pPr>
    </w:p>
    <w:p w14:paraId="66F40572">
      <w:pPr>
        <w:rPr>
          <w:rFonts w:asciiTheme="minorEastAsia" w:hAnsiTheme="minorEastAsia" w:eastAsiaTheme="minorEastAsia" w:cstheme="minorEastAsia"/>
          <w:b/>
          <w:sz w:val="24"/>
          <w:szCs w:val="24"/>
          <w:lang w:eastAsia="zh-CN"/>
        </w:rPr>
      </w:pPr>
    </w:p>
    <w:p w14:paraId="5992B45A">
      <w:pPr>
        <w:pStyle w:val="17"/>
        <w:ind w:firstLine="482"/>
        <w:rPr>
          <w:rFonts w:asciiTheme="minorEastAsia" w:hAnsiTheme="minorEastAsia" w:eastAsiaTheme="minorEastAsia" w:cstheme="minorEastAsia"/>
          <w:b/>
          <w:sz w:val="24"/>
          <w:szCs w:val="24"/>
        </w:rPr>
      </w:pPr>
    </w:p>
    <w:p w14:paraId="2B9F5609">
      <w:pPr>
        <w:rPr>
          <w:rFonts w:asciiTheme="minorEastAsia" w:hAnsiTheme="minorEastAsia" w:eastAsiaTheme="minorEastAsia" w:cstheme="minorEastAsia"/>
          <w:b/>
          <w:sz w:val="24"/>
          <w:szCs w:val="24"/>
          <w:lang w:eastAsia="zh-CN"/>
        </w:rPr>
      </w:pPr>
    </w:p>
    <w:p w14:paraId="5EA4A700">
      <w:pPr>
        <w:pStyle w:val="17"/>
        <w:ind w:firstLine="560"/>
      </w:pPr>
    </w:p>
    <w:p w14:paraId="0936A56A">
      <w:pPr>
        <w:kinsoku/>
        <w:wordWrap w:val="0"/>
        <w:spacing w:line="360" w:lineRule="auto"/>
        <w:jc w:val="both"/>
        <w:rPr>
          <w:rFonts w:asciiTheme="minorEastAsia" w:hAnsiTheme="minorEastAsia" w:eastAsiaTheme="minorEastAsia" w:cstheme="minorEastAsia"/>
          <w:b/>
          <w:sz w:val="24"/>
          <w:szCs w:val="24"/>
          <w:lang w:eastAsia="zh-CN"/>
        </w:rPr>
      </w:pPr>
    </w:p>
    <w:p w14:paraId="390EC3E7">
      <w:pPr>
        <w:kinsoku/>
        <w:wordWrap w:val="0"/>
        <w:spacing w:line="360" w:lineRule="auto"/>
        <w:jc w:val="both"/>
        <w:rPr>
          <w:rFonts w:asciiTheme="minorEastAsia" w:hAnsiTheme="minorEastAsia" w:eastAsiaTheme="minorEastAsia" w:cstheme="minorEastAsia"/>
          <w:b/>
          <w:sz w:val="24"/>
          <w:szCs w:val="24"/>
          <w:lang w:eastAsia="zh-CN"/>
        </w:rPr>
      </w:pPr>
    </w:p>
    <w:p w14:paraId="1D89F39E">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2.授权书格式</w:t>
      </w:r>
    </w:p>
    <w:p w14:paraId="35926FBE">
      <w:pPr>
        <w:kinsoku/>
        <w:wordWrap w:val="0"/>
        <w:spacing w:line="360" w:lineRule="auto"/>
        <w:ind w:firstLine="567"/>
        <w:jc w:val="center"/>
        <w:rPr>
          <w:rFonts w:asciiTheme="minorEastAsia" w:hAnsiTheme="minorEastAsia" w:eastAsiaTheme="minorEastAsia" w:cstheme="minorEastAsia"/>
          <w:b/>
          <w:sz w:val="24"/>
          <w:szCs w:val="24"/>
          <w:lang w:eastAsia="zh-CN"/>
        </w:rPr>
      </w:pPr>
    </w:p>
    <w:p w14:paraId="038B38B9">
      <w:pPr>
        <w:kinsoku/>
        <w:wordWrap w:val="0"/>
        <w:spacing w:line="360" w:lineRule="auto"/>
        <w:ind w:firstLine="567"/>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5A308F04">
      <w:pPr>
        <w:kinsoku/>
        <w:wordWrap w:val="0"/>
        <w:spacing w:line="360" w:lineRule="auto"/>
        <w:ind w:firstLine="567"/>
        <w:jc w:val="both"/>
        <w:rPr>
          <w:rFonts w:asciiTheme="minorEastAsia" w:hAnsiTheme="minorEastAsia" w:eastAsiaTheme="minorEastAsia" w:cstheme="minorEastAsia"/>
          <w:sz w:val="24"/>
          <w:szCs w:val="24"/>
          <w:lang w:eastAsia="zh-CN"/>
        </w:rPr>
      </w:pPr>
    </w:p>
    <w:p w14:paraId="274199AE">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3140BE17">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64071848">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6759CF86">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7EB6FA9B">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15091BC9">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59DD7A09">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5CD0E66D">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1C3A5404">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07C7433F">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3D9ED4E4">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1C76A846">
      <w:pPr>
        <w:pStyle w:val="17"/>
        <w:kinsoku/>
        <w:wordWrap w:val="0"/>
        <w:ind w:firstLine="480"/>
        <w:jc w:val="both"/>
        <w:rPr>
          <w:rFonts w:asciiTheme="minorEastAsia" w:hAnsiTheme="minorEastAsia" w:eastAsiaTheme="minorEastAsia" w:cstheme="minorEastAsia"/>
          <w:sz w:val="24"/>
          <w:szCs w:val="24"/>
        </w:rPr>
      </w:pPr>
    </w:p>
    <w:p w14:paraId="02E3633E">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563636E9">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55286A4E">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5337A159">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144B9B23">
      <w:pPr>
        <w:kinsoku/>
        <w:wordWrap w:val="0"/>
        <w:spacing w:line="360" w:lineRule="auto"/>
        <w:ind w:firstLine="567"/>
        <w:jc w:val="both"/>
        <w:rPr>
          <w:rFonts w:asciiTheme="minorEastAsia" w:hAnsiTheme="minorEastAsia" w:eastAsiaTheme="minorEastAsia" w:cstheme="minorEastAsia"/>
          <w:sz w:val="24"/>
          <w:szCs w:val="24"/>
          <w:lang w:eastAsia="zh-CN"/>
        </w:rPr>
      </w:pPr>
    </w:p>
    <w:p w14:paraId="1615209E">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4E429D01">
      <w:pPr>
        <w:kinsoku/>
        <w:wordWrap w:val="0"/>
        <w:spacing w:line="360" w:lineRule="auto"/>
        <w:jc w:val="both"/>
        <w:rPr>
          <w:rFonts w:asciiTheme="minorEastAsia" w:hAnsiTheme="minorEastAsia" w:eastAsiaTheme="minorEastAsia" w:cstheme="minorEastAsia"/>
          <w:sz w:val="24"/>
          <w:szCs w:val="24"/>
          <w:lang w:eastAsia="zh-CN"/>
        </w:rPr>
      </w:pPr>
    </w:p>
    <w:p w14:paraId="6E6C4490">
      <w:pPr>
        <w:kinsoku/>
        <w:wordWrap w:val="0"/>
        <w:spacing w:line="360" w:lineRule="auto"/>
        <w:jc w:val="both"/>
        <w:rPr>
          <w:rFonts w:asciiTheme="minorEastAsia" w:hAnsiTheme="minorEastAsia" w:eastAsiaTheme="minorEastAsia" w:cstheme="minorEastAsia"/>
          <w:sz w:val="24"/>
          <w:szCs w:val="24"/>
          <w:lang w:eastAsia="zh-CN"/>
        </w:rPr>
      </w:pPr>
    </w:p>
    <w:p w14:paraId="6C7E983A">
      <w:pPr>
        <w:kinsoku/>
        <w:wordWrap w:val="0"/>
        <w:spacing w:line="360" w:lineRule="auto"/>
        <w:jc w:val="both"/>
        <w:rPr>
          <w:rFonts w:asciiTheme="minorEastAsia" w:hAnsiTheme="minorEastAsia" w:eastAsiaTheme="minorEastAsia" w:cstheme="minorEastAsia"/>
          <w:sz w:val="24"/>
          <w:szCs w:val="24"/>
          <w:lang w:eastAsia="zh-CN"/>
        </w:rPr>
      </w:pPr>
    </w:p>
    <w:p w14:paraId="76A8954D">
      <w:pPr>
        <w:kinsoku/>
        <w:wordWrap w:val="0"/>
        <w:spacing w:line="360" w:lineRule="auto"/>
        <w:jc w:val="both"/>
        <w:rPr>
          <w:rFonts w:asciiTheme="minorEastAsia" w:hAnsiTheme="minorEastAsia" w:eastAsiaTheme="minorEastAsia" w:cstheme="minorEastAsia"/>
          <w:sz w:val="24"/>
          <w:szCs w:val="24"/>
          <w:lang w:eastAsia="zh-CN"/>
        </w:rPr>
      </w:pPr>
    </w:p>
    <w:p w14:paraId="7C54B681">
      <w:pPr>
        <w:kinsoku/>
        <w:wordWrap w:val="0"/>
        <w:spacing w:line="360" w:lineRule="auto"/>
        <w:jc w:val="both"/>
        <w:rPr>
          <w:rFonts w:asciiTheme="minorEastAsia" w:hAnsiTheme="minorEastAsia" w:eastAsiaTheme="minorEastAsia" w:cstheme="minorEastAsia"/>
          <w:sz w:val="24"/>
          <w:szCs w:val="24"/>
          <w:lang w:eastAsia="zh-CN"/>
        </w:rPr>
      </w:pPr>
    </w:p>
    <w:p w14:paraId="751E4A1A">
      <w:pPr>
        <w:kinsoku/>
        <w:wordWrap w:val="0"/>
        <w:spacing w:line="360" w:lineRule="auto"/>
        <w:jc w:val="both"/>
        <w:rPr>
          <w:rFonts w:asciiTheme="minorEastAsia" w:hAnsiTheme="minorEastAsia" w:eastAsiaTheme="minorEastAsia" w:cstheme="minorEastAsia"/>
          <w:sz w:val="24"/>
          <w:szCs w:val="24"/>
          <w:lang w:eastAsia="zh-CN"/>
        </w:rPr>
      </w:pPr>
    </w:p>
    <w:p w14:paraId="204B3066">
      <w:pPr>
        <w:kinsoku/>
        <w:wordWrap w:val="0"/>
        <w:spacing w:line="360" w:lineRule="auto"/>
        <w:jc w:val="both"/>
        <w:rPr>
          <w:rFonts w:asciiTheme="minorEastAsia" w:hAnsiTheme="minorEastAsia" w:eastAsiaTheme="minorEastAsia" w:cstheme="minorEastAsia"/>
          <w:sz w:val="24"/>
          <w:szCs w:val="24"/>
          <w:lang w:eastAsia="zh-CN"/>
        </w:rPr>
      </w:pPr>
    </w:p>
    <w:p w14:paraId="4CD1D351">
      <w:pPr>
        <w:kinsoku/>
        <w:wordWrap w:val="0"/>
        <w:spacing w:line="360" w:lineRule="auto"/>
        <w:jc w:val="both"/>
        <w:rPr>
          <w:rFonts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3.资格声明函格式</w:t>
      </w:r>
    </w:p>
    <w:p w14:paraId="7E77A87D">
      <w:pPr>
        <w:kinsoku/>
        <w:wordWrap w:val="0"/>
        <w:spacing w:line="360" w:lineRule="auto"/>
        <w:jc w:val="center"/>
        <w:rPr>
          <w:rFonts w:asciiTheme="minorEastAsia" w:hAnsiTheme="minorEastAsia" w:eastAsiaTheme="minorEastAsia" w:cstheme="minorEastAsia"/>
          <w:b/>
          <w:sz w:val="24"/>
          <w:szCs w:val="24"/>
          <w:lang w:eastAsia="zh-CN"/>
        </w:rPr>
      </w:pPr>
    </w:p>
    <w:p w14:paraId="13B472CB">
      <w:pPr>
        <w:kinsoku/>
        <w:wordWrap w:val="0"/>
        <w:spacing w:line="360" w:lineRule="auto"/>
        <w:jc w:val="center"/>
        <w:rPr>
          <w:rFonts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45F8DCF8">
      <w:pPr>
        <w:pStyle w:val="6"/>
        <w:kinsoku/>
        <w:wordWrap w:val="0"/>
        <w:spacing w:line="360" w:lineRule="auto"/>
        <w:jc w:val="both"/>
        <w:rPr>
          <w:rFonts w:asciiTheme="minorEastAsia" w:hAnsiTheme="minorEastAsia" w:eastAsiaTheme="minorEastAsia" w:cstheme="minorEastAsia"/>
          <w:spacing w:val="-3"/>
          <w:sz w:val="24"/>
          <w:szCs w:val="24"/>
          <w:lang w:eastAsia="zh-CN"/>
        </w:rPr>
      </w:pPr>
    </w:p>
    <w:p w14:paraId="51122BB6">
      <w:pPr>
        <w:pStyle w:val="6"/>
        <w:kinsoku/>
        <w:wordWrap w:val="0"/>
        <w:spacing w:line="360" w:lineRule="auto"/>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采购人或代理机构名称：</w:t>
      </w:r>
    </w:p>
    <w:p w14:paraId="0BBDDE89">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79AC235A">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591DC012">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66EC2465">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5E9B767A">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76A17935">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34D14FB7">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3F825244">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49AEA7BE">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p>
    <w:p w14:paraId="345B3B69">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p>
    <w:p w14:paraId="66029ECF">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0D4AF85F">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p>
    <w:p w14:paraId="4722CD23">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日期：</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7FA30909">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p>
    <w:p w14:paraId="786630C2">
      <w:pPr>
        <w:pStyle w:val="6"/>
        <w:kinsoku/>
        <w:wordWrap w:val="0"/>
        <w:spacing w:line="360" w:lineRule="auto"/>
        <w:ind w:firstLine="470" w:firstLineChars="200"/>
        <w:jc w:val="both"/>
        <w:rPr>
          <w:rFonts w:asciiTheme="minorEastAsia" w:hAnsiTheme="minorEastAsia" w:eastAsiaTheme="minorEastAsia" w:cstheme="minorEastAsia"/>
          <w:sz w:val="24"/>
          <w:szCs w:val="24"/>
          <w:lang w:eastAsia="zh-CN"/>
        </w:rPr>
        <w:sectPr>
          <w:headerReference r:id="rId7" w:type="default"/>
          <w:footerReference r:id="rId8"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b/>
          <w:bCs/>
          <w:spacing w:val="-3"/>
          <w:sz w:val="24"/>
          <w:szCs w:val="24"/>
          <w:lang w:eastAsia="zh-CN"/>
        </w:rPr>
        <w:t>说明：供应商承诺不实的，依据《中华人民共和国政府采购法》第七十七条</w:t>
      </w:r>
      <w:r>
        <w:rPr>
          <w:rFonts w:hint="eastAsia" w:asciiTheme="minorEastAsia" w:hAnsiTheme="minorEastAsia" w:eastAsiaTheme="minorEastAsia" w:cstheme="minorEastAsia"/>
          <w:b/>
          <w:bCs/>
          <w:spacing w:val="8"/>
          <w:sz w:val="24"/>
          <w:szCs w:val="24"/>
          <w:lang w:eastAsia="zh-CN"/>
        </w:rPr>
        <w:t>供虚假材料谋取中标、</w:t>
      </w:r>
      <w:r>
        <w:rPr>
          <w:rFonts w:hint="eastAsia" w:asciiTheme="minorEastAsia" w:hAnsiTheme="minorEastAsia" w:eastAsiaTheme="minorEastAsia" w:cstheme="minorEastAsia"/>
          <w:b/>
          <w:bCs/>
          <w:spacing w:val="-4"/>
          <w:sz w:val="24"/>
          <w:szCs w:val="24"/>
          <w:lang w:eastAsia="zh-CN"/>
        </w:rPr>
        <w:t>成交的</w:t>
      </w:r>
      <w:r>
        <w:rPr>
          <w:rFonts w:hint="eastAsia" w:asciiTheme="minorEastAsia" w:hAnsiTheme="minorEastAsia" w:eastAsiaTheme="minorEastAsia" w:cstheme="minorEastAsia"/>
          <w:b/>
          <w:bCs/>
          <w:position w:val="11"/>
          <w:sz w:val="24"/>
          <w:szCs w:val="24"/>
          <w:lang w:eastAsia="zh-CN"/>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9"/>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lang w:eastAsia="zh-CN"/>
        </w:rPr>
        <w:t>有关规定予以处</w:t>
      </w:r>
    </w:p>
    <w:p w14:paraId="7F8B9837">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4.承诺函格式</w:t>
      </w:r>
    </w:p>
    <w:p w14:paraId="22FEBAF7">
      <w:pPr>
        <w:kinsoku/>
        <w:wordWrap w:val="0"/>
        <w:spacing w:line="360" w:lineRule="auto"/>
        <w:jc w:val="center"/>
        <w:rPr>
          <w:rFonts w:asciiTheme="minorEastAsia" w:hAnsiTheme="minorEastAsia" w:eastAsiaTheme="minorEastAsia" w:cstheme="minorEastAsia"/>
          <w:b/>
          <w:bCs/>
          <w:sz w:val="24"/>
          <w:szCs w:val="24"/>
          <w:lang w:eastAsia="zh-CN"/>
        </w:rPr>
      </w:pPr>
    </w:p>
    <w:p w14:paraId="2B9D2615">
      <w:pPr>
        <w:kinsoku/>
        <w:wordWrap w:val="0"/>
        <w:spacing w:line="36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投标人承诺函</w:t>
      </w:r>
    </w:p>
    <w:p w14:paraId="0276BFF4">
      <w:pPr>
        <w:pStyle w:val="6"/>
        <w:kinsoku/>
        <w:wordWrap w:val="0"/>
        <w:spacing w:line="360" w:lineRule="auto"/>
        <w:jc w:val="both"/>
        <w:rPr>
          <w:rFonts w:asciiTheme="minorEastAsia" w:hAnsiTheme="minorEastAsia" w:eastAsiaTheme="minorEastAsia" w:cstheme="minorEastAsia"/>
          <w:spacing w:val="-3"/>
          <w:sz w:val="24"/>
          <w:szCs w:val="24"/>
          <w:lang w:eastAsia="zh-CN"/>
        </w:rPr>
      </w:pPr>
    </w:p>
    <w:p w14:paraId="4CEC8706">
      <w:pPr>
        <w:pStyle w:val="6"/>
        <w:kinsoku/>
        <w:wordWrap w:val="0"/>
        <w:spacing w:line="360" w:lineRule="auto"/>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采购人或代理机构名称：</w:t>
      </w:r>
    </w:p>
    <w:p w14:paraId="42F7D2B4">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4D917976">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42EE52D9">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04917DFA">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77E8B349">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0A530118">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71C39E47">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45913B14">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5D1B749D">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7ECD6D57">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7EE09650">
      <w:pPr>
        <w:kinsoku/>
        <w:wordWrap w:val="0"/>
        <w:spacing w:line="360" w:lineRule="auto"/>
        <w:ind w:firstLine="720" w:firstLineChars="3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6355D573">
      <w:pPr>
        <w:kinsoku/>
        <w:wordWrap w:val="0"/>
        <w:spacing w:line="256" w:lineRule="auto"/>
        <w:jc w:val="both"/>
        <w:rPr>
          <w:rFonts w:asciiTheme="minorEastAsia" w:hAnsiTheme="minorEastAsia" w:eastAsiaTheme="minorEastAsia" w:cstheme="minorEastAsia"/>
          <w:lang w:eastAsia="zh-CN"/>
        </w:rPr>
      </w:pPr>
    </w:p>
    <w:p w14:paraId="338D32B4">
      <w:pPr>
        <w:kinsoku/>
        <w:wordWrap w:val="0"/>
        <w:spacing w:line="256" w:lineRule="auto"/>
        <w:jc w:val="both"/>
        <w:rPr>
          <w:rFonts w:asciiTheme="minorEastAsia" w:hAnsiTheme="minorEastAsia" w:eastAsiaTheme="minorEastAsia" w:cstheme="minorEastAsia"/>
          <w:lang w:eastAsia="zh-CN"/>
        </w:rPr>
      </w:pPr>
    </w:p>
    <w:p w14:paraId="409AF741">
      <w:pPr>
        <w:kinsoku/>
        <w:wordWrap w:val="0"/>
        <w:spacing w:line="256" w:lineRule="auto"/>
        <w:jc w:val="both"/>
        <w:rPr>
          <w:rFonts w:asciiTheme="minorEastAsia" w:hAnsiTheme="minorEastAsia" w:eastAsiaTheme="minorEastAsia" w:cstheme="minorEastAsia"/>
          <w:lang w:eastAsia="zh-CN"/>
        </w:rPr>
      </w:pPr>
    </w:p>
    <w:p w14:paraId="2E907714">
      <w:pPr>
        <w:kinsoku/>
        <w:wordWrap w:val="0"/>
        <w:spacing w:line="360" w:lineRule="auto"/>
        <w:jc w:val="both"/>
        <w:rPr>
          <w:rFonts w:asciiTheme="minorEastAsia" w:hAnsiTheme="minorEastAsia" w:eastAsiaTheme="minorEastAsia" w:cstheme="minorEastAsia"/>
          <w:b/>
          <w:bCs/>
          <w:sz w:val="24"/>
          <w:szCs w:val="24"/>
          <w:lang w:eastAsia="zh-CN"/>
        </w:rPr>
      </w:pPr>
    </w:p>
    <w:p w14:paraId="5E9FCB52">
      <w:pPr>
        <w:kinsoku/>
        <w:wordWrap w:val="0"/>
        <w:spacing w:line="360" w:lineRule="auto"/>
        <w:jc w:val="both"/>
        <w:rPr>
          <w:rFonts w:asciiTheme="minorEastAsia" w:hAnsiTheme="minorEastAsia" w:eastAsiaTheme="minorEastAsia" w:cstheme="minorEastAsia"/>
          <w:b/>
          <w:bCs/>
          <w:sz w:val="24"/>
          <w:szCs w:val="24"/>
          <w:lang w:eastAsia="zh-CN"/>
        </w:rPr>
      </w:pPr>
    </w:p>
    <w:p w14:paraId="097E7213">
      <w:pPr>
        <w:kinsoku/>
        <w:wordWrap w:val="0"/>
        <w:spacing w:line="360" w:lineRule="auto"/>
        <w:jc w:val="both"/>
        <w:rPr>
          <w:rFonts w:asciiTheme="minorEastAsia" w:hAnsiTheme="minorEastAsia" w:eastAsiaTheme="minorEastAsia" w:cstheme="minorEastAsia"/>
          <w:b/>
          <w:bCs/>
          <w:sz w:val="24"/>
          <w:szCs w:val="24"/>
          <w:lang w:eastAsia="zh-CN"/>
        </w:rPr>
      </w:pPr>
    </w:p>
    <w:p w14:paraId="7B3ACA99">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5.营业执照副本或其他资格证明文件</w:t>
      </w:r>
    </w:p>
    <w:p w14:paraId="5C27BCFD">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6.具有履行合同所必需的设备和专业技术能力的承诺</w:t>
      </w:r>
    </w:p>
    <w:p w14:paraId="50B9B356">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7.依法缴纳税收和社会保障资金的缴费凭证(提供近半年内任意三个月的有效凭证)</w:t>
      </w:r>
    </w:p>
    <w:p w14:paraId="0155CB7E">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8.良好的商业信誉和健全的财务会计制度的证明文件</w:t>
      </w:r>
    </w:p>
    <w:p w14:paraId="52DAE50E">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1）提供本单位上年度经会计师事务所出具的审计报告或本公司出具的财务报表或提供银行出具的证明文件。银行出具的证明文件应能说明该投标人与银行之间业务往来正常，企业信誉良好等。（2）投标人提供企业有关财务会计制度。</w:t>
      </w:r>
    </w:p>
    <w:p w14:paraId="7C85DC36">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9.投标人出具参加政府采购活动前三年内，在经营活动中没有重大违法记录的书面声明（加盖单位公章）</w:t>
      </w:r>
    </w:p>
    <w:p w14:paraId="06E0DFB9">
      <w:pPr>
        <w:kinsoku/>
        <w:wordWrap w:val="0"/>
        <w:spacing w:line="360" w:lineRule="auto"/>
        <w:jc w:val="both"/>
        <w:rPr>
          <w:rFonts w:asciiTheme="minorEastAsia" w:hAnsiTheme="minorEastAsia" w:eastAsiaTheme="minorEastAsia" w:cstheme="minorEastAsia"/>
          <w:b/>
          <w:bCs/>
          <w:sz w:val="24"/>
          <w:szCs w:val="24"/>
          <w:lang w:eastAsia="zh-CN"/>
        </w:rPr>
      </w:pPr>
    </w:p>
    <w:p w14:paraId="26ECE9F8">
      <w:pPr>
        <w:kinsoku/>
        <w:wordWrap w:val="0"/>
        <w:spacing w:line="360" w:lineRule="auto"/>
        <w:jc w:val="both"/>
        <w:rPr>
          <w:rFonts w:asciiTheme="minorEastAsia" w:hAnsiTheme="minorEastAsia" w:eastAsiaTheme="minorEastAsia" w:cstheme="minorEastAsia"/>
          <w:b/>
          <w:bCs/>
          <w:sz w:val="24"/>
          <w:szCs w:val="24"/>
          <w:lang w:eastAsia="zh-CN"/>
        </w:rPr>
      </w:pPr>
    </w:p>
    <w:p w14:paraId="19F232EC">
      <w:pPr>
        <w:kinsoku/>
        <w:wordWrap w:val="0"/>
        <w:spacing w:line="360" w:lineRule="auto"/>
        <w:jc w:val="both"/>
        <w:rPr>
          <w:rFonts w:asciiTheme="minorEastAsia" w:hAnsiTheme="minorEastAsia" w:eastAsiaTheme="minorEastAsia" w:cstheme="minorEastAsia"/>
          <w:b/>
          <w:bCs/>
          <w:sz w:val="24"/>
          <w:szCs w:val="24"/>
          <w:lang w:eastAsia="zh-CN"/>
        </w:rPr>
      </w:pPr>
    </w:p>
    <w:p w14:paraId="27709AAC">
      <w:pPr>
        <w:kinsoku/>
        <w:wordWrap w:val="0"/>
        <w:spacing w:line="360" w:lineRule="auto"/>
        <w:jc w:val="both"/>
        <w:rPr>
          <w:rFonts w:asciiTheme="minorEastAsia" w:hAnsiTheme="minorEastAsia" w:eastAsiaTheme="minorEastAsia" w:cstheme="minorEastAsia"/>
          <w:b/>
          <w:bCs/>
          <w:sz w:val="24"/>
          <w:szCs w:val="24"/>
          <w:lang w:eastAsia="zh-CN"/>
        </w:rPr>
      </w:pPr>
    </w:p>
    <w:p w14:paraId="18D826A5">
      <w:pPr>
        <w:kinsoku/>
        <w:wordWrap w:val="0"/>
        <w:spacing w:line="360" w:lineRule="auto"/>
        <w:jc w:val="both"/>
        <w:rPr>
          <w:rFonts w:asciiTheme="minorEastAsia" w:hAnsiTheme="minorEastAsia" w:eastAsiaTheme="minorEastAsia" w:cstheme="minorEastAsia"/>
          <w:b/>
          <w:bCs/>
          <w:sz w:val="24"/>
          <w:szCs w:val="24"/>
          <w:lang w:eastAsia="zh-CN"/>
        </w:rPr>
      </w:pPr>
    </w:p>
    <w:p w14:paraId="4F292230">
      <w:pPr>
        <w:kinsoku/>
        <w:wordWrap w:val="0"/>
        <w:spacing w:line="360" w:lineRule="auto"/>
        <w:jc w:val="both"/>
        <w:rPr>
          <w:rFonts w:asciiTheme="minorEastAsia" w:hAnsiTheme="minorEastAsia" w:eastAsiaTheme="minorEastAsia" w:cstheme="minorEastAsia"/>
          <w:b/>
          <w:bCs/>
          <w:sz w:val="24"/>
          <w:szCs w:val="24"/>
          <w:lang w:eastAsia="zh-CN"/>
        </w:rPr>
      </w:pPr>
    </w:p>
    <w:p w14:paraId="539612AA">
      <w:pPr>
        <w:kinsoku/>
        <w:wordWrap w:val="0"/>
        <w:spacing w:line="360" w:lineRule="auto"/>
        <w:jc w:val="both"/>
        <w:rPr>
          <w:rFonts w:asciiTheme="minorEastAsia" w:hAnsiTheme="minorEastAsia" w:eastAsiaTheme="minorEastAsia" w:cstheme="minorEastAsia"/>
          <w:b/>
          <w:bCs/>
          <w:sz w:val="24"/>
          <w:szCs w:val="24"/>
          <w:lang w:eastAsia="zh-CN"/>
        </w:rPr>
      </w:pPr>
    </w:p>
    <w:p w14:paraId="624BACE6">
      <w:pPr>
        <w:kinsoku/>
        <w:wordWrap w:val="0"/>
        <w:spacing w:line="360" w:lineRule="auto"/>
        <w:jc w:val="both"/>
        <w:rPr>
          <w:rFonts w:asciiTheme="minorEastAsia" w:hAnsiTheme="minorEastAsia" w:eastAsiaTheme="minorEastAsia" w:cstheme="minorEastAsia"/>
          <w:b/>
          <w:bCs/>
          <w:sz w:val="24"/>
          <w:szCs w:val="24"/>
          <w:lang w:eastAsia="zh-CN"/>
        </w:rPr>
      </w:pPr>
    </w:p>
    <w:p w14:paraId="5C931E62">
      <w:pPr>
        <w:kinsoku/>
        <w:wordWrap w:val="0"/>
        <w:spacing w:line="360" w:lineRule="auto"/>
        <w:jc w:val="both"/>
        <w:rPr>
          <w:rFonts w:asciiTheme="minorEastAsia" w:hAnsiTheme="minorEastAsia" w:eastAsiaTheme="minorEastAsia" w:cstheme="minorEastAsia"/>
          <w:b/>
          <w:bCs/>
          <w:sz w:val="24"/>
          <w:szCs w:val="24"/>
          <w:lang w:eastAsia="zh-CN"/>
        </w:rPr>
      </w:pPr>
    </w:p>
    <w:p w14:paraId="66DEDF19">
      <w:pPr>
        <w:kinsoku/>
        <w:wordWrap w:val="0"/>
        <w:spacing w:line="360" w:lineRule="auto"/>
        <w:jc w:val="both"/>
        <w:rPr>
          <w:rFonts w:asciiTheme="minorEastAsia" w:hAnsiTheme="minorEastAsia" w:eastAsiaTheme="minorEastAsia" w:cstheme="minorEastAsia"/>
          <w:b/>
          <w:bCs/>
          <w:sz w:val="24"/>
          <w:szCs w:val="24"/>
          <w:lang w:eastAsia="zh-CN"/>
        </w:rPr>
      </w:pPr>
    </w:p>
    <w:p w14:paraId="4EDF35B2">
      <w:pPr>
        <w:kinsoku/>
        <w:wordWrap w:val="0"/>
        <w:spacing w:line="360" w:lineRule="auto"/>
        <w:jc w:val="both"/>
        <w:rPr>
          <w:rFonts w:asciiTheme="minorEastAsia" w:hAnsiTheme="minorEastAsia" w:eastAsiaTheme="minorEastAsia" w:cstheme="minorEastAsia"/>
          <w:b/>
          <w:bCs/>
          <w:sz w:val="24"/>
          <w:szCs w:val="24"/>
          <w:lang w:eastAsia="zh-CN"/>
        </w:rPr>
      </w:pPr>
    </w:p>
    <w:p w14:paraId="530BCEAF">
      <w:pPr>
        <w:kinsoku/>
        <w:wordWrap w:val="0"/>
        <w:spacing w:line="360" w:lineRule="auto"/>
        <w:jc w:val="both"/>
        <w:rPr>
          <w:rFonts w:asciiTheme="minorEastAsia" w:hAnsiTheme="minorEastAsia" w:eastAsiaTheme="minorEastAsia" w:cstheme="minorEastAsia"/>
          <w:b/>
          <w:bCs/>
          <w:sz w:val="24"/>
          <w:szCs w:val="24"/>
          <w:lang w:eastAsia="zh-CN"/>
        </w:rPr>
      </w:pPr>
    </w:p>
    <w:p w14:paraId="0CFE3808">
      <w:pPr>
        <w:kinsoku/>
        <w:wordWrap w:val="0"/>
        <w:spacing w:line="360" w:lineRule="auto"/>
        <w:jc w:val="both"/>
        <w:rPr>
          <w:rFonts w:asciiTheme="minorEastAsia" w:hAnsiTheme="minorEastAsia" w:eastAsiaTheme="minorEastAsia" w:cstheme="minorEastAsia"/>
          <w:b/>
          <w:bCs/>
          <w:sz w:val="24"/>
          <w:szCs w:val="24"/>
          <w:lang w:eastAsia="zh-CN"/>
        </w:rPr>
      </w:pPr>
    </w:p>
    <w:p w14:paraId="475F8119">
      <w:pPr>
        <w:kinsoku/>
        <w:wordWrap w:val="0"/>
        <w:spacing w:line="360" w:lineRule="auto"/>
        <w:jc w:val="both"/>
        <w:rPr>
          <w:rFonts w:asciiTheme="minorEastAsia" w:hAnsiTheme="minorEastAsia" w:eastAsiaTheme="minorEastAsia" w:cstheme="minorEastAsia"/>
          <w:b/>
          <w:bCs/>
          <w:sz w:val="24"/>
          <w:szCs w:val="24"/>
          <w:lang w:eastAsia="zh-CN"/>
        </w:rPr>
      </w:pPr>
    </w:p>
    <w:p w14:paraId="440FFBB6">
      <w:pPr>
        <w:kinsoku/>
        <w:wordWrap w:val="0"/>
        <w:spacing w:line="360" w:lineRule="auto"/>
        <w:jc w:val="both"/>
        <w:rPr>
          <w:rFonts w:asciiTheme="minorEastAsia" w:hAnsiTheme="minorEastAsia" w:eastAsiaTheme="minorEastAsia" w:cstheme="minorEastAsia"/>
          <w:b/>
          <w:bCs/>
          <w:sz w:val="24"/>
          <w:szCs w:val="24"/>
          <w:lang w:eastAsia="zh-CN"/>
        </w:rPr>
      </w:pPr>
    </w:p>
    <w:p w14:paraId="752648B2">
      <w:pPr>
        <w:kinsoku/>
        <w:wordWrap w:val="0"/>
        <w:spacing w:line="360" w:lineRule="auto"/>
        <w:jc w:val="both"/>
        <w:rPr>
          <w:rFonts w:asciiTheme="minorEastAsia" w:hAnsiTheme="minorEastAsia" w:eastAsiaTheme="minorEastAsia" w:cstheme="minorEastAsia"/>
          <w:b/>
          <w:bCs/>
          <w:sz w:val="24"/>
          <w:szCs w:val="24"/>
          <w:lang w:eastAsia="zh-CN"/>
        </w:rPr>
      </w:pPr>
    </w:p>
    <w:p w14:paraId="672F9029">
      <w:pPr>
        <w:kinsoku/>
        <w:wordWrap w:val="0"/>
        <w:spacing w:line="360" w:lineRule="auto"/>
        <w:jc w:val="both"/>
        <w:rPr>
          <w:rFonts w:asciiTheme="minorEastAsia" w:hAnsiTheme="minorEastAsia" w:eastAsiaTheme="minorEastAsia" w:cstheme="minorEastAsia"/>
          <w:b/>
          <w:bCs/>
          <w:sz w:val="24"/>
          <w:szCs w:val="24"/>
          <w:lang w:eastAsia="zh-CN"/>
        </w:rPr>
      </w:pPr>
    </w:p>
    <w:p w14:paraId="37726A2B">
      <w:pPr>
        <w:kinsoku/>
        <w:wordWrap w:val="0"/>
        <w:spacing w:line="360" w:lineRule="auto"/>
        <w:jc w:val="both"/>
        <w:rPr>
          <w:rFonts w:asciiTheme="minorEastAsia" w:hAnsiTheme="minorEastAsia" w:eastAsiaTheme="minorEastAsia" w:cstheme="minorEastAsia"/>
          <w:b/>
          <w:bCs/>
          <w:sz w:val="24"/>
          <w:szCs w:val="24"/>
          <w:lang w:eastAsia="zh-CN"/>
        </w:rPr>
      </w:pPr>
    </w:p>
    <w:p w14:paraId="27520D16">
      <w:pPr>
        <w:kinsoku/>
        <w:wordWrap w:val="0"/>
        <w:spacing w:line="360" w:lineRule="auto"/>
        <w:jc w:val="both"/>
        <w:rPr>
          <w:rFonts w:asciiTheme="minorEastAsia" w:hAnsiTheme="minorEastAsia" w:eastAsiaTheme="minorEastAsia" w:cstheme="minorEastAsia"/>
          <w:b/>
          <w:bCs/>
          <w:sz w:val="24"/>
          <w:szCs w:val="24"/>
          <w:lang w:eastAsia="zh-CN"/>
        </w:rPr>
      </w:pPr>
    </w:p>
    <w:p w14:paraId="7B035AF1">
      <w:pPr>
        <w:pStyle w:val="17"/>
        <w:ind w:firstLine="560"/>
        <w:rPr>
          <w:rFonts w:eastAsiaTheme="minorEastAsia"/>
        </w:rPr>
      </w:pPr>
    </w:p>
    <w:p w14:paraId="56C27EB0">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10.投标人诚信承诺书</w:t>
      </w:r>
    </w:p>
    <w:p w14:paraId="5C42611D">
      <w:pPr>
        <w:kinsoku/>
        <w:spacing w:line="360" w:lineRule="auto"/>
        <w:jc w:val="center"/>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29060947">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0117FAC6">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为维护市场公平竞争，营造诚实守信的公共资源交易环境，本公司郑重承诺：</w:t>
      </w:r>
    </w:p>
    <w:p w14:paraId="32A76939">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118E27CD">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2、本公司在参加本项目过程中严格遵守各项诚信廉洁规定，如有违反，自愿按规定接受处罚。</w:t>
      </w:r>
    </w:p>
    <w:p w14:paraId="75C3CC16">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4F90BEA0">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承诺人法定名称（盖章）：</w:t>
      </w:r>
    </w:p>
    <w:p w14:paraId="582F866F">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承诺人法定地址：</w:t>
      </w:r>
    </w:p>
    <w:p w14:paraId="09B5F128">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授权代表（签字或盖章）：</w:t>
      </w:r>
    </w:p>
    <w:p w14:paraId="480D8707">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电话：</w:t>
      </w:r>
    </w:p>
    <w:p w14:paraId="76692BE3">
      <w:pPr>
        <w:kinsoku/>
        <w:wordWrap w:val="0"/>
        <w:spacing w:line="360" w:lineRule="auto"/>
        <w:ind w:firstLine="672" w:firstLineChars="3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675A11E8">
      <w:pPr>
        <w:kinsoku/>
        <w:wordWrap w:val="0"/>
        <w:spacing w:line="360" w:lineRule="auto"/>
        <w:ind w:firstLine="607" w:firstLineChars="252"/>
        <w:jc w:val="both"/>
        <w:rPr>
          <w:rFonts w:asciiTheme="minorEastAsia" w:hAnsiTheme="minorEastAsia" w:eastAsiaTheme="minorEastAsia" w:cstheme="minorEastAsia"/>
          <w:b/>
          <w:bCs/>
          <w:sz w:val="24"/>
          <w:szCs w:val="24"/>
          <w:lang w:eastAsia="zh-CN"/>
        </w:rPr>
      </w:pPr>
    </w:p>
    <w:p w14:paraId="479F4D6A">
      <w:pPr>
        <w:kinsoku/>
        <w:wordWrap w:val="0"/>
        <w:spacing w:line="360" w:lineRule="auto"/>
        <w:ind w:firstLine="607" w:firstLineChars="252"/>
        <w:jc w:val="both"/>
        <w:rPr>
          <w:rFonts w:asciiTheme="minorEastAsia" w:hAnsiTheme="minorEastAsia" w:eastAsiaTheme="minorEastAsia" w:cstheme="minorEastAsia"/>
          <w:b/>
          <w:bCs/>
          <w:sz w:val="24"/>
          <w:szCs w:val="24"/>
          <w:lang w:eastAsia="zh-CN"/>
        </w:rPr>
      </w:pPr>
    </w:p>
    <w:p w14:paraId="75295701">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11.投标人出具信用记录查询结果网页截图</w:t>
      </w:r>
    </w:p>
    <w:p w14:paraId="5A8E1CE7">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12.其他资格证明</w:t>
      </w:r>
    </w:p>
    <w:p w14:paraId="613A4A30">
      <w:pPr>
        <w:kinsoku/>
        <w:wordWrap w:val="0"/>
        <w:spacing w:line="360" w:lineRule="auto"/>
        <w:jc w:val="both"/>
        <w:rPr>
          <w:rFonts w:asciiTheme="minorEastAsia" w:hAnsiTheme="minorEastAsia" w:eastAsiaTheme="minorEastAsia" w:cstheme="minorEastAsia"/>
          <w:b/>
          <w:bCs/>
          <w:sz w:val="24"/>
          <w:szCs w:val="24"/>
          <w:lang w:eastAsia="zh-CN"/>
        </w:rPr>
      </w:pPr>
    </w:p>
    <w:p w14:paraId="0F3C11A1">
      <w:pPr>
        <w:kinsoku/>
        <w:wordWrap w:val="0"/>
        <w:spacing w:line="360" w:lineRule="auto"/>
        <w:ind w:firstLine="482" w:firstLineChars="200"/>
        <w:jc w:val="both"/>
        <w:rPr>
          <w:rFonts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上述5-9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6D0A5390">
      <w:pPr>
        <w:pStyle w:val="6"/>
        <w:kinsoku/>
        <w:wordWrap w:val="0"/>
        <w:spacing w:line="360" w:lineRule="auto"/>
        <w:jc w:val="center"/>
        <w:rPr>
          <w:rFonts w:asciiTheme="minorEastAsia" w:hAnsiTheme="minorEastAsia" w:eastAsiaTheme="minorEastAsia" w:cstheme="minorEastAsia"/>
          <w:b/>
          <w:bCs/>
          <w:sz w:val="32"/>
          <w:szCs w:val="32"/>
          <w:lang w:val="zh-CN" w:eastAsia="zh-CN"/>
        </w:rPr>
      </w:pPr>
      <w:r>
        <w:rPr>
          <w:rFonts w:hint="eastAsia" w:asciiTheme="minorEastAsia" w:hAnsiTheme="minorEastAsia" w:eastAsiaTheme="minorEastAsia" w:cstheme="minorEastAsia"/>
          <w:b/>
          <w:bCs/>
          <w:sz w:val="32"/>
          <w:szCs w:val="32"/>
          <w:lang w:val="zh-CN" w:eastAsia="zh-CN"/>
        </w:rPr>
        <w:t>南阳市政府采购供应商信用承诺函</w:t>
      </w:r>
    </w:p>
    <w:p w14:paraId="031502EF">
      <w:pPr>
        <w:widowControl w:val="0"/>
        <w:kinsoku/>
        <w:wordWrap w:val="0"/>
        <w:spacing w:line="360" w:lineRule="auto"/>
        <w:jc w:val="both"/>
        <w:rPr>
          <w:rFonts w:asciiTheme="minorEastAsia" w:hAnsiTheme="minorEastAsia" w:eastAsiaTheme="minorEastAsia" w:cstheme="minorEastAsia"/>
          <w:b/>
          <w:bCs/>
          <w:sz w:val="24"/>
          <w:szCs w:val="24"/>
          <w:lang w:val="zh-CN" w:eastAsia="zh-CN"/>
        </w:rPr>
      </w:pPr>
    </w:p>
    <w:p w14:paraId="5CD3E602">
      <w:pPr>
        <w:widowControl w:val="0"/>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zh-CN" w:eastAsia="zh-CN"/>
        </w:rPr>
        <w:t>致（采购人或</w:t>
      </w:r>
      <w:r>
        <w:rPr>
          <w:rFonts w:hint="eastAsia" w:asciiTheme="minorEastAsia" w:hAnsiTheme="minorEastAsia" w:eastAsiaTheme="minorEastAsia" w:cstheme="minorEastAsia"/>
          <w:sz w:val="24"/>
          <w:szCs w:val="24"/>
          <w:lang w:eastAsia="zh-CN"/>
        </w:rPr>
        <w:t>采购代理机构</w:t>
      </w:r>
      <w:r>
        <w:rPr>
          <w:rFonts w:hint="eastAsia" w:asciiTheme="minorEastAsia" w:hAnsiTheme="minorEastAsia" w:eastAsiaTheme="minorEastAsia" w:cstheme="minorEastAsia"/>
          <w:sz w:val="24"/>
          <w:szCs w:val="24"/>
          <w:lang w:val="zh-CN" w:eastAsia="zh-CN"/>
        </w:rPr>
        <w:t>）：</w:t>
      </w:r>
    </w:p>
    <w:p w14:paraId="7165D86F">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单位名称：</w:t>
      </w:r>
    </w:p>
    <w:p w14:paraId="3E606F1E">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统一社会信用代码：</w:t>
      </w:r>
    </w:p>
    <w:p w14:paraId="5CCA5003">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法定代表人：</w:t>
      </w:r>
    </w:p>
    <w:p w14:paraId="0FB894F8">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联系地址和电话：</w:t>
      </w:r>
    </w:p>
    <w:p w14:paraId="768E1B77">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5A2ED34F">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（一）具有独立承担民事责任的能力；</w:t>
      </w:r>
    </w:p>
    <w:p w14:paraId="1AE6862E">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（二）具有良好的商业信誉和健全的财务会计制度；</w:t>
      </w:r>
    </w:p>
    <w:p w14:paraId="7C717EBF">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（三）具有履行合同所必需的设备和专业技术能力；</w:t>
      </w:r>
    </w:p>
    <w:p w14:paraId="0EB65A43">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（四）有依法缴纳税收和社会保障资金的良好记录；</w:t>
      </w:r>
    </w:p>
    <w:p w14:paraId="66F23B84">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（五）参加政府采购活动前三年内，在经营活动中没有重大违法记录；</w:t>
      </w:r>
    </w:p>
    <w:p w14:paraId="4EAE7032">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（六）法律、行政法规规定的其他条件。</w:t>
      </w:r>
    </w:p>
    <w:p w14:paraId="7A70C121">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我单位保证上述承诺事项的真实性，如有弄虚作假或其他违法违规行为，愿意承担一切法律责任，并承担因此所造成的一切损失。</w:t>
      </w:r>
    </w:p>
    <w:p w14:paraId="19F96E50">
      <w:pPr>
        <w:widowControl w:val="0"/>
        <w:kinsoku/>
        <w:wordWrap w:val="0"/>
        <w:spacing w:line="360" w:lineRule="auto"/>
        <w:jc w:val="both"/>
        <w:rPr>
          <w:rFonts w:asciiTheme="minorEastAsia" w:hAnsiTheme="minorEastAsia" w:eastAsiaTheme="minorEastAsia" w:cstheme="minorEastAsia"/>
          <w:sz w:val="24"/>
          <w:szCs w:val="24"/>
          <w:lang w:eastAsia="zh-CN"/>
        </w:rPr>
      </w:pPr>
    </w:p>
    <w:p w14:paraId="69BA90B6">
      <w:pPr>
        <w:widowControl w:val="0"/>
        <w:kinsoku/>
        <w:wordWrap w:val="0"/>
        <w:spacing w:line="360" w:lineRule="auto"/>
        <w:jc w:val="both"/>
        <w:rPr>
          <w:rFonts w:asciiTheme="minorEastAsia" w:hAnsiTheme="minorEastAsia" w:eastAsiaTheme="minorEastAsia" w:cstheme="minorEastAsia"/>
          <w:sz w:val="24"/>
          <w:szCs w:val="24"/>
          <w:lang w:eastAsia="zh-CN"/>
        </w:rPr>
      </w:pPr>
    </w:p>
    <w:p w14:paraId="55FF5E78">
      <w:pPr>
        <w:widowControl w:val="0"/>
        <w:kinsoku/>
        <w:wordWrap w:val="0"/>
        <w:spacing w:line="360" w:lineRule="auto"/>
        <w:ind w:firstLine="2160" w:firstLineChars="9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投标人（企业电子章）：</w:t>
      </w:r>
    </w:p>
    <w:p w14:paraId="6F5385CB">
      <w:pPr>
        <w:widowControl w:val="0"/>
        <w:kinsoku/>
        <w:wordWrap w:val="0"/>
        <w:spacing w:line="360" w:lineRule="auto"/>
        <w:ind w:firstLine="2160" w:firstLineChars="9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法定代表人或授权代表（签字或电子印章）：</w:t>
      </w:r>
    </w:p>
    <w:p w14:paraId="554B37BE">
      <w:pPr>
        <w:widowControl w:val="0"/>
        <w:kinsoku/>
        <w:wordWrap w:val="0"/>
        <w:spacing w:line="360" w:lineRule="auto"/>
        <w:ind w:firstLine="2160" w:firstLineChars="9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7070979F">
      <w:pPr>
        <w:widowControl w:val="0"/>
        <w:kinsoku/>
        <w:wordWrap w:val="0"/>
        <w:spacing w:line="360" w:lineRule="auto"/>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注：</w:t>
      </w:r>
    </w:p>
    <w:p w14:paraId="6A5ADE8B">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1、投标人须在投标文件中按此模板提供承诺函，未提供视为未实质性响应招标文件要求，按无效投标处理。</w:t>
      </w:r>
    </w:p>
    <w:p w14:paraId="21F03BE1">
      <w:pPr>
        <w:kinsoku/>
        <w:wordWrap w:val="0"/>
        <w:spacing w:line="360" w:lineRule="auto"/>
        <w:ind w:firstLine="480" w:firstLineChars="200"/>
        <w:jc w:val="both"/>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zh-CN" w:eastAsia="zh-CN"/>
        </w:rPr>
        <w:t>2、投标人的法定代表人或者授权代表的签字或盖章应真实、有效，如由授权代表签字或盖章的，应提供“法定代表人授权书”。</w:t>
      </w:r>
    </w:p>
    <w:p w14:paraId="56D44381">
      <w:pPr>
        <w:pStyle w:val="6"/>
        <w:kinsoku/>
        <w:wordWrap w:val="0"/>
        <w:spacing w:before="78" w:line="360" w:lineRule="auto"/>
        <w:jc w:val="both"/>
        <w:outlineLvl w:val="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二、商务技术文件格式</w:t>
      </w:r>
    </w:p>
    <w:p w14:paraId="6D82D176">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1.投标书格式</w:t>
      </w:r>
    </w:p>
    <w:p w14:paraId="521AA143">
      <w:pPr>
        <w:kinsoku/>
        <w:wordWrap w:val="0"/>
        <w:spacing w:line="360" w:lineRule="auto"/>
        <w:ind w:firstLine="607" w:firstLineChars="252"/>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投标书</w:t>
      </w:r>
    </w:p>
    <w:p w14:paraId="63873B6F">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159143A6">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致：采购人或采购代理机构</w:t>
      </w:r>
    </w:p>
    <w:p w14:paraId="75B5F85D">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根据贵方招标编号为（）的公开招标公告，签字代表（全名、职务）经正式授权并代表投标人（投标人名称、地址）提交电子投标文件一份，并对之负法律责任。</w:t>
      </w:r>
    </w:p>
    <w:p w14:paraId="00D301CF">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投标文件组成资格证明文件第1至</w:t>
      </w:r>
      <w:r>
        <w:rPr>
          <w:rFonts w:hint="eastAsia" w:asciiTheme="minorEastAsia" w:hAnsiTheme="minorEastAsia" w:eastAsiaTheme="minorEastAsia" w:cstheme="minorEastAsia"/>
          <w:color w:val="auto"/>
          <w:sz w:val="24"/>
          <w:szCs w:val="24"/>
          <w:u w:val="single"/>
          <w:lang w:eastAsia="zh-CN"/>
        </w:rPr>
        <w:t xml:space="preserve">  </w:t>
      </w:r>
      <w:r>
        <w:rPr>
          <w:rFonts w:hint="eastAsia" w:asciiTheme="minorEastAsia" w:hAnsiTheme="minorEastAsia" w:eastAsiaTheme="minorEastAsia" w:cstheme="minorEastAsia"/>
          <w:color w:val="auto"/>
          <w:sz w:val="24"/>
          <w:szCs w:val="24"/>
          <w:lang w:eastAsia="zh-CN"/>
        </w:rPr>
        <w:t>项</w:t>
      </w:r>
      <w:r>
        <w:rPr>
          <w:rFonts w:hint="eastAsia" w:asciiTheme="minorEastAsia" w:hAnsiTheme="minorEastAsia" w:eastAsiaTheme="minorEastAsia" w:cstheme="minorEastAsia"/>
          <w:sz w:val="24"/>
          <w:szCs w:val="24"/>
          <w:lang w:eastAsia="zh-CN"/>
        </w:rPr>
        <w:t>，商务技术文件第1</w:t>
      </w:r>
      <w:r>
        <w:rPr>
          <w:rFonts w:hint="eastAsia" w:asciiTheme="minorEastAsia" w:hAnsiTheme="minorEastAsia" w:eastAsiaTheme="minorEastAsia" w:cstheme="minorEastAsia"/>
          <w:color w:val="auto"/>
          <w:sz w:val="24"/>
          <w:szCs w:val="24"/>
          <w:lang w:eastAsia="zh-CN"/>
        </w:rPr>
        <w:t>至</w:t>
      </w:r>
      <w:r>
        <w:rPr>
          <w:rFonts w:hint="eastAsia" w:asciiTheme="minorEastAsia" w:hAnsiTheme="minorEastAsia" w:eastAsiaTheme="minorEastAsia" w:cstheme="minorEastAsia"/>
          <w:color w:val="auto"/>
          <w:sz w:val="24"/>
          <w:szCs w:val="24"/>
          <w:u w:val="single"/>
          <w:lang w:eastAsia="zh-CN"/>
        </w:rPr>
        <w:t xml:space="preserve">  </w:t>
      </w:r>
      <w:r>
        <w:rPr>
          <w:rFonts w:hint="eastAsia" w:asciiTheme="minorEastAsia" w:hAnsiTheme="minorEastAsia" w:eastAsiaTheme="minorEastAsia" w:cstheme="minorEastAsia"/>
          <w:color w:val="auto"/>
          <w:sz w:val="24"/>
          <w:szCs w:val="24"/>
          <w:lang w:eastAsia="zh-CN"/>
        </w:rPr>
        <w:t>项</w:t>
      </w:r>
      <w:r>
        <w:rPr>
          <w:rFonts w:hint="eastAsia" w:asciiTheme="minorEastAsia" w:hAnsiTheme="minorEastAsia" w:eastAsiaTheme="minorEastAsia" w:cstheme="minorEastAsia"/>
          <w:sz w:val="24"/>
          <w:szCs w:val="24"/>
          <w:lang w:eastAsia="zh-CN"/>
        </w:rPr>
        <w:t>。</w:t>
      </w:r>
    </w:p>
    <w:p w14:paraId="417F93CB">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据此函，签字代表宣布同意如下：</w:t>
      </w:r>
    </w:p>
    <w:p w14:paraId="07A4141C">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1、所附服务报价为以开标一览表为准。</w:t>
      </w:r>
    </w:p>
    <w:p w14:paraId="3159D684">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2、如果我们的投标书被接受，我们将履行招标文件中规定的每一项要求，按期、按质、按量履行合同。</w:t>
      </w:r>
    </w:p>
    <w:p w14:paraId="2F3FB380">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3、我方愿按《中华人民共和国政府采购法》和《中华人民共和国民法典》履行我方的全部责任。</w:t>
      </w:r>
    </w:p>
    <w:p w14:paraId="1A8E5A70">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4、我方已详细审查全部招标文件，包括修改文件以及全部参考资料和有关附件。我们完全理解并同意放弃对这方面有不明白及误解的权力。</w:t>
      </w:r>
    </w:p>
    <w:p w14:paraId="4B564DCF">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5、本投标自开标之日起有效期为60天。</w:t>
      </w:r>
    </w:p>
    <w:p w14:paraId="3CF8E7F8">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w:t>
      </w:r>
    </w:p>
    <w:p w14:paraId="1C59C40C">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电话（传真）：</w:t>
      </w:r>
    </w:p>
    <w:p w14:paraId="7C7E9867">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w:t>
      </w:r>
    </w:p>
    <w:p w14:paraId="6E3F2328">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投标人名称（公章）：</w:t>
      </w:r>
    </w:p>
    <w:p w14:paraId="63AE83A5">
      <w:pPr>
        <w:kinsoku/>
        <w:wordWrap w:val="0"/>
        <w:spacing w:line="360" w:lineRule="auto"/>
        <w:ind w:firstLine="604" w:firstLineChars="252"/>
        <w:jc w:val="both"/>
        <w:rPr>
          <w:rFonts w:asciiTheme="minorEastAsia" w:hAnsiTheme="minorEastAsia" w:eastAsiaTheme="minorEastAsia" w:cstheme="minorEastAsia"/>
          <w:sz w:val="24"/>
          <w:szCs w:val="24"/>
          <w:lang w:eastAsia="zh-CN"/>
        </w:rPr>
        <w:sectPr>
          <w:headerReference r:id="rId9" w:type="default"/>
          <w:footerReference r:id="rId10"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51DF28C4">
      <w:pPr>
        <w:spacing w:line="360" w:lineRule="auto"/>
        <w:rPr>
          <w:rFonts w:ascii="仿宋_GB2312" w:hAnsi="宋体" w:eastAsia="仿宋_GB2312"/>
          <w:b/>
          <w:sz w:val="28"/>
          <w:szCs w:val="28"/>
          <w:lang w:eastAsia="zh-CN"/>
        </w:rPr>
      </w:pPr>
      <w:r>
        <w:rPr>
          <w:rFonts w:hint="eastAsia" w:asciiTheme="minorEastAsia" w:hAnsiTheme="minorEastAsia" w:eastAsiaTheme="minorEastAsia" w:cstheme="minorEastAsia"/>
          <w:b/>
          <w:sz w:val="24"/>
          <w:szCs w:val="24"/>
          <w:lang w:eastAsia="zh-CN"/>
        </w:rPr>
        <w:t>2.</w:t>
      </w: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投标分项报价一览表</w:t>
      </w:r>
    </w:p>
    <w:p w14:paraId="47A0A6D5">
      <w:pPr>
        <w:spacing w:line="360" w:lineRule="auto"/>
        <w:jc w:val="center"/>
        <w:rPr>
          <w:rFonts w:ascii="仿宋_GB2312" w:hAnsi="仿宋_GB2312" w:eastAsia="仿宋_GB2312" w:cs="仿宋_GB2312"/>
          <w:b/>
          <w:spacing w:val="10"/>
          <w:sz w:val="32"/>
          <w:szCs w:val="32"/>
          <w:lang w:eastAsia="zh-CN"/>
        </w:rPr>
      </w:pPr>
    </w:p>
    <w:p w14:paraId="4B2253E8">
      <w:pPr>
        <w:spacing w:line="360" w:lineRule="auto"/>
        <w:jc w:val="center"/>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spacing w:val="10"/>
          <w:sz w:val="24"/>
          <w:szCs w:val="24"/>
          <w:lang w:eastAsia="zh-CN"/>
        </w:rPr>
        <w:t>会议定点场所</w:t>
      </w:r>
      <w:r>
        <w:rPr>
          <w:rFonts w:hint="eastAsia" w:asciiTheme="minorEastAsia" w:hAnsiTheme="minorEastAsia" w:eastAsiaTheme="minorEastAsia" w:cstheme="minorEastAsia"/>
          <w:b/>
          <w:bCs/>
          <w:sz w:val="24"/>
          <w:szCs w:val="24"/>
          <w:lang w:eastAsia="zh-CN"/>
        </w:rPr>
        <w:t>投标分项报价表</w:t>
      </w:r>
    </w:p>
    <w:p w14:paraId="569EF5FA">
      <w:pPr>
        <w:spacing w:line="360" w:lineRule="auto"/>
        <w:jc w:val="center"/>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（表一）住宿</w:t>
      </w:r>
    </w:p>
    <w:p w14:paraId="4A0E6822">
      <w:pPr>
        <w:spacing w:line="360" w:lineRule="auto"/>
        <w:ind w:left="-59" w:leftChars="-28" w:firstLine="103" w:firstLineChars="49"/>
        <w:rPr>
          <w:rFonts w:ascii="仿宋_GB2312" w:hAnsi="仿宋_GB2312" w:eastAsia="仿宋_GB2312" w:cs="仿宋_GB2312"/>
          <w:b/>
          <w:bCs/>
          <w:lang w:eastAsia="zh-CN"/>
        </w:rPr>
      </w:pPr>
      <w:r>
        <w:rPr>
          <w:rFonts w:hint="eastAsia" w:ascii="仿宋_GB2312" w:hAnsi="仿宋_GB2312" w:eastAsia="仿宋_GB2312" w:cs="仿宋_GB2312"/>
          <w:b/>
          <w:bCs/>
          <w:lang w:eastAsia="zh-CN"/>
        </w:rPr>
        <w:t>项目名称：                                         项目编号：</w:t>
      </w:r>
    </w:p>
    <w:tbl>
      <w:tblPr>
        <w:tblStyle w:val="18"/>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876"/>
        <w:gridCol w:w="1094"/>
        <w:gridCol w:w="876"/>
        <w:gridCol w:w="838"/>
        <w:gridCol w:w="876"/>
        <w:gridCol w:w="876"/>
        <w:gridCol w:w="816"/>
        <w:gridCol w:w="780"/>
        <w:gridCol w:w="1116"/>
      </w:tblGrid>
      <w:tr w14:paraId="62A0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36" w:type="dxa"/>
            <w:vMerge w:val="restart"/>
            <w:vAlign w:val="center"/>
          </w:tcPr>
          <w:p w14:paraId="30A4B681">
            <w:pPr>
              <w:jc w:val="center"/>
              <w:rPr>
                <w:rFonts w:ascii="仿宋_GB2312" w:hAnsi="仿宋_GB2312" w:eastAsia="仿宋_GB2312" w:cs="仿宋_GB2312"/>
              </w:rPr>
            </w:pPr>
            <w:r>
              <w:rPr>
                <w:rFonts w:hint="eastAsia" w:ascii="仿宋_GB2312" w:hAnsi="仿宋_GB2312" w:eastAsia="仿宋_GB2312" w:cs="仿宋_GB2312"/>
              </w:rPr>
              <w:t>饭店</w:t>
            </w:r>
          </w:p>
          <w:p w14:paraId="531D5B9F">
            <w:pPr>
              <w:jc w:val="center"/>
              <w:rPr>
                <w:rFonts w:ascii="仿宋_GB2312" w:hAnsi="仿宋_GB2312" w:eastAsia="仿宋_GB2312" w:cs="仿宋_GB2312"/>
              </w:rPr>
            </w:pPr>
            <w:r>
              <w:rPr>
                <w:rFonts w:hint="eastAsia" w:ascii="仿宋_GB2312" w:hAnsi="仿宋_GB2312" w:eastAsia="仿宋_GB2312" w:cs="仿宋_GB2312"/>
              </w:rPr>
              <w:t>名称</w:t>
            </w:r>
          </w:p>
        </w:tc>
        <w:tc>
          <w:tcPr>
            <w:tcW w:w="876" w:type="dxa"/>
            <w:vMerge w:val="restart"/>
            <w:vAlign w:val="center"/>
          </w:tcPr>
          <w:p w14:paraId="1E404174">
            <w:pPr>
              <w:jc w:val="center"/>
              <w:rPr>
                <w:rFonts w:ascii="仿宋_GB2312" w:hAnsi="仿宋_GB2312" w:eastAsia="仿宋_GB2312" w:cs="仿宋_GB2312"/>
              </w:rPr>
            </w:pPr>
            <w:r>
              <w:rPr>
                <w:rFonts w:hint="eastAsia" w:ascii="仿宋_GB2312" w:hAnsi="仿宋_GB2312" w:eastAsia="仿宋_GB2312" w:cs="仿宋_GB2312"/>
              </w:rPr>
              <w:t>星级</w:t>
            </w:r>
          </w:p>
          <w:p w14:paraId="5FF216E4">
            <w:pPr>
              <w:jc w:val="center"/>
              <w:rPr>
                <w:rFonts w:ascii="仿宋_GB2312" w:hAnsi="仿宋_GB2312" w:eastAsia="仿宋_GB2312" w:cs="仿宋_GB2312"/>
              </w:rPr>
            </w:pPr>
            <w:r>
              <w:rPr>
                <w:rFonts w:hint="eastAsia" w:ascii="仿宋_GB2312" w:hAnsi="仿宋_GB2312" w:eastAsia="仿宋_GB2312" w:cs="仿宋_GB2312"/>
              </w:rPr>
              <w:t>标准</w:t>
            </w:r>
          </w:p>
        </w:tc>
        <w:tc>
          <w:tcPr>
            <w:tcW w:w="7272" w:type="dxa"/>
            <w:gridSpan w:val="8"/>
            <w:vAlign w:val="center"/>
          </w:tcPr>
          <w:p w14:paraId="736EFE93">
            <w:pPr>
              <w:spacing w:line="360" w:lineRule="auto"/>
              <w:jc w:val="right"/>
              <w:rPr>
                <w:rFonts w:ascii="仿宋_GB2312" w:hAnsi="仿宋_GB2312" w:eastAsia="仿宋_GB2312" w:cs="仿宋_GB2312"/>
                <w:lang w:eastAsia="zh-CN"/>
              </w:rPr>
            </w:pPr>
            <w:r>
              <w:rPr>
                <w:rFonts w:hint="eastAsia" w:ascii="仿宋_GB2312" w:hAnsi="仿宋_GB2312" w:eastAsia="仿宋_GB2312" w:cs="仿宋_GB2312"/>
                <w:lang w:eastAsia="zh-CN"/>
              </w:rPr>
              <w:t>客房（数量：间； 价格：元/天）</w:t>
            </w:r>
          </w:p>
        </w:tc>
      </w:tr>
      <w:tr w14:paraId="4287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36" w:type="dxa"/>
            <w:vMerge w:val="continue"/>
            <w:vAlign w:val="center"/>
          </w:tcPr>
          <w:p w14:paraId="3751C344">
            <w:pPr>
              <w:jc w:val="center"/>
              <w:rPr>
                <w:rFonts w:ascii="仿宋_GB2312" w:hAnsi="仿宋_GB2312" w:eastAsia="仿宋_GB2312" w:cs="仿宋_GB2312"/>
                <w:lang w:eastAsia="zh-CN"/>
              </w:rPr>
            </w:pPr>
          </w:p>
        </w:tc>
        <w:tc>
          <w:tcPr>
            <w:tcW w:w="876" w:type="dxa"/>
            <w:vMerge w:val="continue"/>
            <w:vAlign w:val="center"/>
          </w:tcPr>
          <w:p w14:paraId="1A354DCA">
            <w:pPr>
              <w:jc w:val="center"/>
              <w:rPr>
                <w:rFonts w:ascii="仿宋_GB2312" w:hAnsi="仿宋_GB2312" w:eastAsia="仿宋_GB2312" w:cs="仿宋_GB2312"/>
                <w:lang w:eastAsia="zh-CN"/>
              </w:rPr>
            </w:pPr>
          </w:p>
        </w:tc>
        <w:tc>
          <w:tcPr>
            <w:tcW w:w="1094" w:type="dxa"/>
            <w:vAlign w:val="center"/>
          </w:tcPr>
          <w:p w14:paraId="501C5C20">
            <w:pPr>
              <w:jc w:val="center"/>
              <w:rPr>
                <w:rFonts w:ascii="仿宋_GB2312" w:hAnsi="仿宋_GB2312" w:eastAsia="仿宋_GB2312" w:cs="仿宋_GB2312"/>
              </w:rPr>
            </w:pPr>
            <w:r>
              <w:rPr>
                <w:rFonts w:hint="eastAsia" w:ascii="仿宋_GB2312" w:hAnsi="仿宋_GB2312" w:eastAsia="仿宋_GB2312" w:cs="仿宋_GB2312"/>
              </w:rPr>
              <w:t>房型</w:t>
            </w:r>
          </w:p>
        </w:tc>
        <w:tc>
          <w:tcPr>
            <w:tcW w:w="876" w:type="dxa"/>
            <w:vAlign w:val="center"/>
          </w:tcPr>
          <w:p w14:paraId="0CFB508E">
            <w:pPr>
              <w:jc w:val="center"/>
              <w:rPr>
                <w:rFonts w:ascii="仿宋_GB2312" w:hAnsi="仿宋_GB2312" w:eastAsia="仿宋_GB2312" w:cs="仿宋_GB2312"/>
              </w:rPr>
            </w:pPr>
            <w:r>
              <w:rPr>
                <w:rFonts w:hint="eastAsia" w:ascii="仿宋_GB2312" w:hAnsi="仿宋_GB2312" w:eastAsia="仿宋_GB2312" w:cs="仿宋_GB2312"/>
              </w:rPr>
              <w:t>总间数</w:t>
            </w:r>
          </w:p>
        </w:tc>
        <w:tc>
          <w:tcPr>
            <w:tcW w:w="838" w:type="dxa"/>
            <w:vAlign w:val="center"/>
          </w:tcPr>
          <w:p w14:paraId="02CAE60A">
            <w:pPr>
              <w:jc w:val="center"/>
              <w:rPr>
                <w:rFonts w:ascii="仿宋_GB2312" w:hAnsi="仿宋_GB2312" w:eastAsia="仿宋_GB2312" w:cs="仿宋_GB2312"/>
              </w:rPr>
            </w:pPr>
            <w:r>
              <w:rPr>
                <w:rFonts w:hint="eastAsia" w:ascii="仿宋_GB2312" w:hAnsi="仿宋_GB2312" w:eastAsia="仿宋_GB2312" w:cs="仿宋_GB2312"/>
              </w:rPr>
              <w:t>协议间数</w:t>
            </w:r>
          </w:p>
        </w:tc>
        <w:tc>
          <w:tcPr>
            <w:tcW w:w="876" w:type="dxa"/>
            <w:vAlign w:val="center"/>
          </w:tcPr>
          <w:p w14:paraId="5DEA34F8">
            <w:pPr>
              <w:jc w:val="center"/>
              <w:rPr>
                <w:rFonts w:ascii="仿宋_GB2312" w:hAnsi="仿宋_GB2312" w:eastAsia="仿宋_GB2312" w:cs="仿宋_GB2312"/>
              </w:rPr>
            </w:pPr>
            <w:r>
              <w:rPr>
                <w:rFonts w:hint="eastAsia" w:ascii="仿宋_GB2312" w:hAnsi="仿宋_GB2312" w:eastAsia="仿宋_GB2312" w:cs="仿宋_GB2312"/>
              </w:rPr>
              <w:t>门市价</w:t>
            </w:r>
          </w:p>
        </w:tc>
        <w:tc>
          <w:tcPr>
            <w:tcW w:w="876" w:type="dxa"/>
            <w:vAlign w:val="center"/>
          </w:tcPr>
          <w:p w14:paraId="13AEBD13">
            <w:pPr>
              <w:jc w:val="center"/>
              <w:rPr>
                <w:rFonts w:ascii="仿宋_GB2312" w:hAnsi="仿宋_GB2312" w:eastAsia="仿宋_GB2312" w:cs="仿宋_GB2312"/>
              </w:rPr>
            </w:pPr>
            <w:r>
              <w:rPr>
                <w:rFonts w:hint="eastAsia" w:ascii="仿宋_GB2312" w:hAnsi="仿宋_GB2312" w:eastAsia="仿宋_GB2312" w:cs="仿宋_GB2312"/>
              </w:rPr>
              <w:t>限额</w:t>
            </w:r>
          </w:p>
          <w:p w14:paraId="1E3FBACD">
            <w:pPr>
              <w:jc w:val="center"/>
              <w:rPr>
                <w:rFonts w:ascii="仿宋_GB2312" w:hAnsi="仿宋_GB2312" w:eastAsia="仿宋_GB2312" w:cs="仿宋_GB2312"/>
              </w:rPr>
            </w:pPr>
            <w:r>
              <w:rPr>
                <w:rFonts w:hint="eastAsia" w:ascii="仿宋_GB2312" w:hAnsi="仿宋_GB2312" w:eastAsia="仿宋_GB2312" w:cs="仿宋_GB2312"/>
              </w:rPr>
              <w:t>标准</w:t>
            </w:r>
          </w:p>
        </w:tc>
        <w:tc>
          <w:tcPr>
            <w:tcW w:w="816" w:type="dxa"/>
            <w:vAlign w:val="center"/>
          </w:tcPr>
          <w:p w14:paraId="7B22FF0C">
            <w:pPr>
              <w:jc w:val="center"/>
              <w:rPr>
                <w:rFonts w:ascii="仿宋_GB2312" w:hAnsi="仿宋_GB2312" w:eastAsia="仿宋_GB2312" w:cs="仿宋_GB2312"/>
              </w:rPr>
            </w:pPr>
            <w:r>
              <w:rPr>
                <w:rFonts w:hint="eastAsia" w:ascii="仿宋_GB2312" w:hAnsi="仿宋_GB2312" w:eastAsia="仿宋_GB2312" w:cs="仿宋_GB2312"/>
              </w:rPr>
              <w:t>投标</w:t>
            </w:r>
          </w:p>
          <w:p w14:paraId="2CE2E80E">
            <w:pPr>
              <w:jc w:val="center"/>
              <w:rPr>
                <w:rFonts w:ascii="仿宋_GB2312" w:hAnsi="仿宋_GB2312" w:eastAsia="仿宋_GB2312" w:cs="仿宋_GB2312"/>
              </w:rPr>
            </w:pPr>
            <w:r>
              <w:rPr>
                <w:rFonts w:hint="eastAsia" w:ascii="仿宋_GB2312" w:hAnsi="仿宋_GB2312" w:eastAsia="仿宋_GB2312" w:cs="仿宋_GB2312"/>
              </w:rPr>
              <w:t>报价</w:t>
            </w:r>
          </w:p>
        </w:tc>
        <w:tc>
          <w:tcPr>
            <w:tcW w:w="780" w:type="dxa"/>
            <w:vAlign w:val="center"/>
          </w:tcPr>
          <w:p w14:paraId="507CBC79">
            <w:pPr>
              <w:jc w:val="center"/>
              <w:rPr>
                <w:rFonts w:ascii="仿宋_GB2312" w:hAnsi="仿宋_GB2312" w:eastAsia="仿宋_GB2312" w:cs="仿宋_GB2312"/>
              </w:rPr>
            </w:pPr>
            <w:r>
              <w:rPr>
                <w:rFonts w:hint="eastAsia" w:ascii="仿宋_GB2312" w:hAnsi="仿宋_GB2312" w:eastAsia="仿宋_GB2312" w:cs="仿宋_GB2312"/>
              </w:rPr>
              <w:t>优惠</w:t>
            </w:r>
          </w:p>
          <w:p w14:paraId="0C7DD4F2">
            <w:pPr>
              <w:jc w:val="center"/>
              <w:rPr>
                <w:rFonts w:ascii="仿宋_GB2312" w:hAnsi="仿宋_GB2312" w:eastAsia="仿宋_GB2312" w:cs="仿宋_GB2312"/>
              </w:rPr>
            </w:pPr>
            <w:r>
              <w:rPr>
                <w:rFonts w:hint="eastAsia" w:ascii="仿宋_GB2312" w:hAnsi="仿宋_GB2312" w:eastAsia="仿宋_GB2312" w:cs="仿宋_GB2312"/>
              </w:rPr>
              <w:t>率</w:t>
            </w:r>
          </w:p>
        </w:tc>
        <w:tc>
          <w:tcPr>
            <w:tcW w:w="1116" w:type="dxa"/>
            <w:vAlign w:val="center"/>
          </w:tcPr>
          <w:p w14:paraId="35625661">
            <w:pPr>
              <w:jc w:val="center"/>
              <w:rPr>
                <w:rFonts w:ascii="仿宋_GB2312" w:hAnsi="仿宋_GB2312" w:eastAsia="仿宋_GB2312" w:cs="仿宋_GB2312"/>
              </w:rPr>
            </w:pPr>
            <w:r>
              <w:rPr>
                <w:rFonts w:hint="eastAsia" w:ascii="仿宋_GB2312" w:hAnsi="仿宋_GB2312" w:eastAsia="仿宋_GB2312" w:cs="仿宋_GB2312"/>
              </w:rPr>
              <w:t>综合优</w:t>
            </w:r>
          </w:p>
          <w:p w14:paraId="5CCCB923">
            <w:pPr>
              <w:jc w:val="center"/>
              <w:rPr>
                <w:rFonts w:ascii="仿宋_GB2312" w:hAnsi="仿宋_GB2312" w:eastAsia="仿宋_GB2312" w:cs="仿宋_GB2312"/>
              </w:rPr>
            </w:pPr>
            <w:r>
              <w:rPr>
                <w:rFonts w:hint="eastAsia" w:ascii="仿宋_GB2312" w:hAnsi="仿宋_GB2312" w:eastAsia="仿宋_GB2312" w:cs="仿宋_GB2312"/>
              </w:rPr>
              <w:t>惠 率</w:t>
            </w:r>
          </w:p>
        </w:tc>
      </w:tr>
      <w:tr w14:paraId="75E1D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36" w:type="dxa"/>
            <w:vMerge w:val="continue"/>
            <w:vAlign w:val="center"/>
          </w:tcPr>
          <w:p w14:paraId="66258E7F">
            <w:pPr>
              <w:spacing w:line="360" w:lineRule="auto"/>
              <w:jc w:val="center"/>
              <w:rPr>
                <w:rFonts w:ascii="仿宋_GB2312" w:hAnsi="仿宋_GB2312" w:eastAsia="仿宋_GB2312" w:cs="仿宋_GB2312"/>
              </w:rPr>
            </w:pPr>
          </w:p>
        </w:tc>
        <w:tc>
          <w:tcPr>
            <w:tcW w:w="876" w:type="dxa"/>
            <w:vMerge w:val="continue"/>
            <w:vAlign w:val="center"/>
          </w:tcPr>
          <w:p w14:paraId="2C3AA86A">
            <w:pPr>
              <w:spacing w:line="360" w:lineRule="auto"/>
              <w:jc w:val="center"/>
              <w:rPr>
                <w:rFonts w:ascii="仿宋_GB2312" w:hAnsi="仿宋_GB2312" w:eastAsia="仿宋_GB2312" w:cs="仿宋_GB2312"/>
              </w:rPr>
            </w:pPr>
          </w:p>
        </w:tc>
        <w:tc>
          <w:tcPr>
            <w:tcW w:w="1094" w:type="dxa"/>
            <w:vAlign w:val="center"/>
          </w:tcPr>
          <w:p w14:paraId="5C5A8F96">
            <w:pPr>
              <w:spacing w:line="360" w:lineRule="auto"/>
              <w:jc w:val="center"/>
              <w:rPr>
                <w:rFonts w:ascii="仿宋_GB2312" w:hAnsi="仿宋_GB2312" w:eastAsia="仿宋_GB2312" w:cs="仿宋_GB2312"/>
              </w:rPr>
            </w:pPr>
            <w:r>
              <w:rPr>
                <w:rFonts w:hint="eastAsia" w:ascii="仿宋_GB2312" w:hAnsi="仿宋_GB2312" w:eastAsia="仿宋_GB2312" w:cs="仿宋_GB2312"/>
              </w:rPr>
              <w:t>标准间</w:t>
            </w:r>
          </w:p>
        </w:tc>
        <w:tc>
          <w:tcPr>
            <w:tcW w:w="876" w:type="dxa"/>
            <w:vAlign w:val="center"/>
          </w:tcPr>
          <w:p w14:paraId="63D3A149">
            <w:pPr>
              <w:spacing w:line="360" w:lineRule="auto"/>
              <w:jc w:val="center"/>
              <w:rPr>
                <w:rFonts w:ascii="仿宋_GB2312" w:hAnsi="仿宋_GB2312" w:eastAsia="仿宋_GB2312" w:cs="仿宋_GB2312"/>
              </w:rPr>
            </w:pPr>
          </w:p>
        </w:tc>
        <w:tc>
          <w:tcPr>
            <w:tcW w:w="838" w:type="dxa"/>
            <w:vAlign w:val="center"/>
          </w:tcPr>
          <w:p w14:paraId="67C7C4B7">
            <w:pPr>
              <w:spacing w:line="360" w:lineRule="auto"/>
              <w:jc w:val="center"/>
              <w:rPr>
                <w:rFonts w:ascii="仿宋_GB2312" w:hAnsi="仿宋_GB2312" w:eastAsia="仿宋_GB2312" w:cs="仿宋_GB2312"/>
              </w:rPr>
            </w:pPr>
          </w:p>
        </w:tc>
        <w:tc>
          <w:tcPr>
            <w:tcW w:w="876" w:type="dxa"/>
            <w:vAlign w:val="center"/>
          </w:tcPr>
          <w:p w14:paraId="07900F86">
            <w:pPr>
              <w:spacing w:line="360" w:lineRule="auto"/>
              <w:jc w:val="center"/>
              <w:rPr>
                <w:rFonts w:ascii="仿宋_GB2312" w:hAnsi="仿宋_GB2312" w:eastAsia="仿宋_GB2312" w:cs="仿宋_GB2312"/>
              </w:rPr>
            </w:pPr>
          </w:p>
        </w:tc>
        <w:tc>
          <w:tcPr>
            <w:tcW w:w="876" w:type="dxa"/>
            <w:vAlign w:val="center"/>
          </w:tcPr>
          <w:p w14:paraId="29AE43A7">
            <w:pPr>
              <w:spacing w:line="360" w:lineRule="auto"/>
              <w:jc w:val="center"/>
              <w:rPr>
                <w:rFonts w:ascii="仿宋_GB2312" w:hAnsi="仿宋_GB2312" w:eastAsia="仿宋_GB2312" w:cs="仿宋_GB2312"/>
              </w:rPr>
            </w:pPr>
          </w:p>
        </w:tc>
        <w:tc>
          <w:tcPr>
            <w:tcW w:w="816" w:type="dxa"/>
            <w:vAlign w:val="center"/>
          </w:tcPr>
          <w:p w14:paraId="1D4C2772">
            <w:pPr>
              <w:spacing w:line="360" w:lineRule="auto"/>
              <w:jc w:val="center"/>
              <w:rPr>
                <w:rFonts w:ascii="仿宋_GB2312" w:hAnsi="仿宋_GB2312" w:eastAsia="仿宋_GB2312" w:cs="仿宋_GB2312"/>
              </w:rPr>
            </w:pPr>
          </w:p>
        </w:tc>
        <w:tc>
          <w:tcPr>
            <w:tcW w:w="780" w:type="dxa"/>
            <w:vAlign w:val="center"/>
          </w:tcPr>
          <w:p w14:paraId="75DFD04B">
            <w:pPr>
              <w:spacing w:line="360" w:lineRule="auto"/>
              <w:jc w:val="center"/>
              <w:rPr>
                <w:rFonts w:ascii="仿宋_GB2312" w:hAnsi="仿宋_GB2312" w:eastAsia="仿宋_GB2312" w:cs="仿宋_GB2312"/>
              </w:rPr>
            </w:pPr>
          </w:p>
        </w:tc>
        <w:tc>
          <w:tcPr>
            <w:tcW w:w="1116" w:type="dxa"/>
            <w:vAlign w:val="center"/>
          </w:tcPr>
          <w:p w14:paraId="4664AC4B">
            <w:pPr>
              <w:spacing w:line="360" w:lineRule="auto"/>
              <w:jc w:val="center"/>
              <w:rPr>
                <w:rFonts w:ascii="仿宋_GB2312" w:hAnsi="仿宋_GB2312" w:eastAsia="仿宋_GB2312" w:cs="仿宋_GB2312"/>
              </w:rPr>
            </w:pPr>
          </w:p>
        </w:tc>
      </w:tr>
    </w:tbl>
    <w:p w14:paraId="66F1307D">
      <w:pPr>
        <w:tabs>
          <w:tab w:val="left" w:pos="420"/>
        </w:tabs>
        <w:spacing w:line="360" w:lineRule="auto"/>
        <w:ind w:left="-2" w:leftChars="-1" w:right="-693" w:rightChars="-330" w:firstLine="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注：</w:t>
      </w:r>
    </w:p>
    <w:p w14:paraId="32DB0DC9">
      <w:pPr>
        <w:tabs>
          <w:tab w:val="left" w:pos="420"/>
        </w:tabs>
        <w:spacing w:line="360" w:lineRule="auto"/>
        <w:ind w:left="358" w:leftChars="-1" w:right="-693" w:rightChars="-330" w:hanging="360" w:hangingChars="15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1、会议定点场所应当具备承办党政机关四类会议以上规模的能力，并能提供会议所需的客房。</w:t>
      </w:r>
    </w:p>
    <w:p w14:paraId="3A532BC4">
      <w:pPr>
        <w:tabs>
          <w:tab w:val="left" w:pos="420"/>
        </w:tabs>
        <w:spacing w:line="360" w:lineRule="auto"/>
        <w:ind w:left="-722" w:leftChars="-344" w:right="-512" w:rightChars="-244" w:firstLine="720" w:firstLineChars="3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Cs/>
          <w:sz w:val="24"/>
          <w:szCs w:val="24"/>
          <w:lang w:eastAsia="zh-CN"/>
        </w:rPr>
        <w:t>2、</w:t>
      </w:r>
      <w:r>
        <w:rPr>
          <w:rFonts w:hint="eastAsia" w:asciiTheme="minorEastAsia" w:hAnsiTheme="minorEastAsia" w:eastAsiaTheme="minorEastAsia" w:cstheme="minorEastAsia"/>
          <w:sz w:val="24"/>
          <w:szCs w:val="24"/>
          <w:lang w:eastAsia="zh-CN"/>
        </w:rPr>
        <w:t>投标人名称应填开发票单位名称。</w:t>
      </w:r>
    </w:p>
    <w:p w14:paraId="0994D0DC">
      <w:pPr>
        <w:tabs>
          <w:tab w:val="left" w:pos="420"/>
        </w:tabs>
        <w:spacing w:line="360" w:lineRule="auto"/>
        <w:ind w:left="-185" w:leftChars="-88" w:right="-512" w:rightChars="-244" w:firstLine="182" w:firstLineChars="76"/>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3、</w:t>
      </w:r>
      <w:r>
        <w:rPr>
          <w:rFonts w:hint="eastAsia" w:asciiTheme="minorEastAsia" w:hAnsiTheme="minorEastAsia" w:eastAsiaTheme="minorEastAsia" w:cstheme="minorEastAsia"/>
          <w:sz w:val="24"/>
          <w:szCs w:val="24"/>
          <w:lang w:eastAsia="zh-CN"/>
        </w:rPr>
        <w:t>星级标准为必填项，</w:t>
      </w:r>
      <w:r>
        <w:rPr>
          <w:rFonts w:hint="eastAsia" w:asciiTheme="minorEastAsia" w:hAnsiTheme="minorEastAsia" w:eastAsiaTheme="minorEastAsia" w:cstheme="minorEastAsia"/>
          <w:bCs/>
          <w:sz w:val="24"/>
          <w:szCs w:val="24"/>
          <w:lang w:eastAsia="zh-CN"/>
        </w:rPr>
        <w:t xml:space="preserve">投标人无星级评定的，在星级栏中填“无”，此项为必填项。 </w:t>
      </w:r>
    </w:p>
    <w:p w14:paraId="4FA3B03F">
      <w:pPr>
        <w:tabs>
          <w:tab w:val="left" w:pos="420"/>
        </w:tabs>
        <w:spacing w:line="360" w:lineRule="auto"/>
        <w:ind w:left="-185" w:leftChars="-88" w:right="-512" w:rightChars="-244" w:firstLine="182" w:firstLineChars="76"/>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4、未按要求报价或投标报价超过限额标准的投标将被视为无效投标。</w:t>
      </w:r>
    </w:p>
    <w:p w14:paraId="0BB80764">
      <w:pPr>
        <w:tabs>
          <w:tab w:val="left" w:pos="-720"/>
        </w:tabs>
        <w:spacing w:line="360" w:lineRule="auto"/>
        <w:ind w:left="360" w:right="-512" w:rightChars="-244" w:hanging="360" w:hangingChars="150"/>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5、</w:t>
      </w:r>
      <w:r>
        <w:rPr>
          <w:rFonts w:hint="eastAsia" w:asciiTheme="minorEastAsia" w:hAnsiTheme="minorEastAsia" w:eastAsiaTheme="minorEastAsia" w:cstheme="minorEastAsia"/>
          <w:b/>
          <w:bCs/>
          <w:sz w:val="24"/>
          <w:szCs w:val="24"/>
          <w:lang w:eastAsia="zh-CN"/>
        </w:rPr>
        <w:t>优惠率为投标报价和限额标准相比进行计算。综合优惠率是指投标人所报的所有房间优惠率的算术平均值，为必填内容，不按要求填报的投标将被视为无效投标。综合优惠率评标时作为投标报价分值计算的依据。</w:t>
      </w:r>
    </w:p>
    <w:p w14:paraId="074DC155">
      <w:pPr>
        <w:spacing w:line="360" w:lineRule="auto"/>
        <w:rPr>
          <w:rFonts w:asciiTheme="minorEastAsia" w:hAnsiTheme="minorEastAsia" w:eastAsiaTheme="minorEastAsia" w:cstheme="minorEastAsia"/>
          <w:b/>
          <w:bCs/>
          <w:sz w:val="24"/>
          <w:szCs w:val="24"/>
          <w:lang w:eastAsia="zh-CN"/>
        </w:rPr>
      </w:pPr>
    </w:p>
    <w:p w14:paraId="79D1F4F2">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投标人（电子公章）：                授权代表（签字）：</w:t>
      </w:r>
    </w:p>
    <w:p w14:paraId="1B8C8A79">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时间：        年       月      日</w:t>
      </w:r>
    </w:p>
    <w:p w14:paraId="75200615">
      <w:pPr>
        <w:pStyle w:val="17"/>
        <w:ind w:firstLine="560"/>
      </w:pPr>
    </w:p>
    <w:p w14:paraId="131ADD9C">
      <w:pPr>
        <w:rPr>
          <w:lang w:eastAsia="zh-CN"/>
        </w:rPr>
      </w:pPr>
    </w:p>
    <w:p w14:paraId="45076980">
      <w:pPr>
        <w:pStyle w:val="17"/>
        <w:ind w:firstLine="560"/>
      </w:pPr>
    </w:p>
    <w:p w14:paraId="05FC141D">
      <w:pPr>
        <w:rPr>
          <w:lang w:eastAsia="zh-CN"/>
        </w:rPr>
      </w:pPr>
    </w:p>
    <w:p w14:paraId="4C0BB09E">
      <w:pPr>
        <w:pStyle w:val="17"/>
        <w:ind w:firstLine="560"/>
      </w:pPr>
    </w:p>
    <w:p w14:paraId="61333BDC">
      <w:pPr>
        <w:pStyle w:val="17"/>
        <w:ind w:left="0" w:leftChars="0" w:firstLine="0" w:firstLineChars="0"/>
      </w:pPr>
    </w:p>
    <w:p w14:paraId="0AEE8831">
      <w:pPr>
        <w:rPr>
          <w:lang w:eastAsia="zh-CN"/>
        </w:rPr>
      </w:pPr>
    </w:p>
    <w:p w14:paraId="06242F87">
      <w:pPr>
        <w:pStyle w:val="17"/>
        <w:ind w:left="0" w:leftChars="0" w:firstLine="0" w:firstLineChars="0"/>
        <w:rPr>
          <w:rFonts w:eastAsiaTheme="minorEastAsia"/>
        </w:rPr>
      </w:pPr>
    </w:p>
    <w:p w14:paraId="75A0089F">
      <w:pPr>
        <w:spacing w:line="360" w:lineRule="auto"/>
        <w:jc w:val="center"/>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（表二）工作餐</w:t>
      </w:r>
    </w:p>
    <w:p w14:paraId="2256CF34">
      <w:pPr>
        <w:spacing w:line="360" w:lineRule="auto"/>
        <w:ind w:left="-8" w:leftChars="-28" w:hanging="51" w:hangingChars="24"/>
        <w:rPr>
          <w:rFonts w:ascii="仿宋_GB2312" w:hAnsi="仿宋_GB2312" w:eastAsia="仿宋_GB2312" w:cs="仿宋_GB2312"/>
          <w:b/>
          <w:bCs/>
        </w:rPr>
      </w:pPr>
      <w:r>
        <w:rPr>
          <w:rFonts w:hint="eastAsia" w:ascii="仿宋_GB2312" w:hAnsi="仿宋_GB2312" w:eastAsia="仿宋_GB2312" w:cs="仿宋_GB2312"/>
          <w:b/>
          <w:bCs/>
        </w:rPr>
        <w:t>项目名称：                                         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795"/>
        <w:gridCol w:w="780"/>
        <w:gridCol w:w="1590"/>
        <w:gridCol w:w="1134"/>
        <w:gridCol w:w="921"/>
        <w:gridCol w:w="1095"/>
        <w:gridCol w:w="750"/>
        <w:gridCol w:w="877"/>
      </w:tblGrid>
      <w:tr w14:paraId="1CCC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4" w:type="dxa"/>
            <w:vAlign w:val="center"/>
          </w:tcPr>
          <w:p w14:paraId="2E206650">
            <w:pPr>
              <w:jc w:val="center"/>
              <w:rPr>
                <w:rFonts w:ascii="仿宋_GB2312" w:hAnsi="仿宋_GB2312" w:eastAsia="仿宋_GB2312" w:cs="仿宋_GB2312"/>
              </w:rPr>
            </w:pPr>
            <w:r>
              <w:rPr>
                <w:rFonts w:hint="eastAsia" w:ascii="仿宋_GB2312" w:hAnsi="仿宋_GB2312" w:eastAsia="仿宋_GB2312" w:cs="仿宋_GB2312"/>
              </w:rPr>
              <w:t>饭店名称</w:t>
            </w:r>
          </w:p>
        </w:tc>
        <w:tc>
          <w:tcPr>
            <w:tcW w:w="795" w:type="dxa"/>
            <w:vAlign w:val="center"/>
          </w:tcPr>
          <w:p w14:paraId="0F7789A4">
            <w:pPr>
              <w:jc w:val="center"/>
              <w:rPr>
                <w:rFonts w:ascii="仿宋_GB2312" w:hAnsi="仿宋_GB2312" w:eastAsia="仿宋_GB2312" w:cs="仿宋_GB2312"/>
              </w:rPr>
            </w:pPr>
            <w:r>
              <w:rPr>
                <w:rFonts w:hint="eastAsia" w:ascii="仿宋_GB2312" w:hAnsi="仿宋_GB2312" w:eastAsia="仿宋_GB2312" w:cs="仿宋_GB2312"/>
              </w:rPr>
              <w:t>星级标准</w:t>
            </w:r>
          </w:p>
        </w:tc>
        <w:tc>
          <w:tcPr>
            <w:tcW w:w="780" w:type="dxa"/>
            <w:vAlign w:val="center"/>
          </w:tcPr>
          <w:p w14:paraId="532487E5">
            <w:pPr>
              <w:jc w:val="center"/>
              <w:rPr>
                <w:rFonts w:ascii="仿宋_GB2312" w:hAnsi="仿宋_GB2312" w:eastAsia="仿宋_GB2312" w:cs="仿宋_GB2312"/>
              </w:rPr>
            </w:pPr>
            <w:r>
              <w:rPr>
                <w:rFonts w:hint="eastAsia" w:ascii="仿宋_GB2312" w:hAnsi="仿宋_GB2312" w:eastAsia="仿宋_GB2312" w:cs="仿宋_GB2312"/>
              </w:rPr>
              <w:t>餐费</w:t>
            </w:r>
          </w:p>
        </w:tc>
        <w:tc>
          <w:tcPr>
            <w:tcW w:w="1590" w:type="dxa"/>
            <w:vAlign w:val="center"/>
          </w:tcPr>
          <w:p w14:paraId="16844CCF">
            <w:pPr>
              <w:jc w:val="center"/>
              <w:rPr>
                <w:rFonts w:ascii="仿宋_GB2312" w:hAnsi="仿宋_GB2312" w:eastAsia="仿宋_GB2312" w:cs="仿宋_GB2312"/>
              </w:rPr>
            </w:pPr>
            <w:r>
              <w:rPr>
                <w:rFonts w:hint="eastAsia" w:ascii="仿宋_GB2312" w:hAnsi="仿宋_GB2312" w:eastAsia="仿宋_GB2312" w:cs="仿宋_GB2312"/>
              </w:rPr>
              <w:t>品种</w:t>
            </w:r>
          </w:p>
        </w:tc>
        <w:tc>
          <w:tcPr>
            <w:tcW w:w="1134" w:type="dxa"/>
            <w:vAlign w:val="center"/>
          </w:tcPr>
          <w:p w14:paraId="5CEB6D2B">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是否具备少数民族就餐条件</w:t>
            </w:r>
          </w:p>
        </w:tc>
        <w:tc>
          <w:tcPr>
            <w:tcW w:w="921" w:type="dxa"/>
            <w:vAlign w:val="center"/>
          </w:tcPr>
          <w:p w14:paraId="4F879201">
            <w:pPr>
              <w:jc w:val="center"/>
              <w:rPr>
                <w:rFonts w:ascii="仿宋_GB2312" w:hAnsi="仿宋_GB2312" w:eastAsia="仿宋_GB2312" w:cs="仿宋_GB2312"/>
              </w:rPr>
            </w:pPr>
            <w:r>
              <w:rPr>
                <w:rFonts w:hint="eastAsia" w:ascii="仿宋_GB2312" w:hAnsi="仿宋_GB2312" w:eastAsia="仿宋_GB2312" w:cs="仿宋_GB2312"/>
              </w:rPr>
              <w:t>投标报价</w:t>
            </w:r>
          </w:p>
        </w:tc>
        <w:tc>
          <w:tcPr>
            <w:tcW w:w="1095" w:type="dxa"/>
            <w:vAlign w:val="center"/>
          </w:tcPr>
          <w:p w14:paraId="1D189F0B">
            <w:pPr>
              <w:jc w:val="center"/>
              <w:rPr>
                <w:rFonts w:ascii="仿宋_GB2312" w:hAnsi="仿宋_GB2312" w:eastAsia="仿宋_GB2312" w:cs="仿宋_GB2312"/>
              </w:rPr>
            </w:pPr>
            <w:r>
              <w:rPr>
                <w:rFonts w:hint="eastAsia" w:ascii="仿宋_GB2312" w:hAnsi="仿宋_GB2312" w:eastAsia="仿宋_GB2312" w:cs="仿宋_GB2312"/>
              </w:rPr>
              <w:t>餐费限额</w:t>
            </w:r>
          </w:p>
          <w:p w14:paraId="028C98FA">
            <w:pPr>
              <w:jc w:val="center"/>
              <w:rPr>
                <w:rFonts w:ascii="仿宋_GB2312" w:hAnsi="仿宋_GB2312" w:eastAsia="仿宋_GB2312" w:cs="仿宋_GB2312"/>
              </w:rPr>
            </w:pPr>
            <w:r>
              <w:rPr>
                <w:rFonts w:hint="eastAsia" w:ascii="仿宋_GB2312" w:hAnsi="仿宋_GB2312" w:eastAsia="仿宋_GB2312" w:cs="仿宋_GB2312"/>
              </w:rPr>
              <w:t>（元/人/天）</w:t>
            </w:r>
          </w:p>
        </w:tc>
        <w:tc>
          <w:tcPr>
            <w:tcW w:w="750" w:type="dxa"/>
            <w:vAlign w:val="center"/>
          </w:tcPr>
          <w:p w14:paraId="52A7E2D9">
            <w:pPr>
              <w:jc w:val="center"/>
              <w:rPr>
                <w:rFonts w:ascii="仿宋_GB2312" w:hAnsi="仿宋_GB2312" w:eastAsia="仿宋_GB2312" w:cs="仿宋_GB2312"/>
              </w:rPr>
            </w:pPr>
            <w:r>
              <w:rPr>
                <w:rFonts w:hint="eastAsia" w:ascii="仿宋_GB2312" w:hAnsi="仿宋_GB2312" w:eastAsia="仿宋_GB2312" w:cs="仿宋_GB2312"/>
              </w:rPr>
              <w:t>优惠率</w:t>
            </w:r>
          </w:p>
        </w:tc>
        <w:tc>
          <w:tcPr>
            <w:tcW w:w="877" w:type="dxa"/>
            <w:vAlign w:val="center"/>
          </w:tcPr>
          <w:p w14:paraId="7EEE7578">
            <w:pPr>
              <w:jc w:val="center"/>
              <w:rPr>
                <w:rFonts w:ascii="仿宋_GB2312" w:hAnsi="仿宋_GB2312" w:eastAsia="仿宋_GB2312" w:cs="仿宋_GB2312"/>
              </w:rPr>
            </w:pPr>
            <w:r>
              <w:rPr>
                <w:rFonts w:hint="eastAsia" w:ascii="仿宋_GB2312" w:hAnsi="仿宋_GB2312" w:eastAsia="仿宋_GB2312" w:cs="仿宋_GB2312"/>
              </w:rPr>
              <w:t>综合优惠率</w:t>
            </w:r>
          </w:p>
        </w:tc>
      </w:tr>
      <w:tr w14:paraId="401BF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64" w:type="dxa"/>
            <w:vMerge w:val="restart"/>
            <w:vAlign w:val="center"/>
          </w:tcPr>
          <w:p w14:paraId="5FDCB2DF">
            <w:pPr>
              <w:jc w:val="center"/>
              <w:rPr>
                <w:rFonts w:ascii="仿宋_GB2312" w:hAnsi="仿宋_GB2312" w:eastAsia="仿宋_GB2312" w:cs="仿宋_GB2312"/>
              </w:rPr>
            </w:pPr>
          </w:p>
        </w:tc>
        <w:tc>
          <w:tcPr>
            <w:tcW w:w="795" w:type="dxa"/>
            <w:vMerge w:val="restart"/>
            <w:vAlign w:val="center"/>
          </w:tcPr>
          <w:p w14:paraId="2FA31063">
            <w:pPr>
              <w:jc w:val="center"/>
              <w:rPr>
                <w:rFonts w:ascii="仿宋_GB2312" w:hAnsi="仿宋_GB2312" w:eastAsia="仿宋_GB2312" w:cs="仿宋_GB2312"/>
              </w:rPr>
            </w:pPr>
          </w:p>
        </w:tc>
        <w:tc>
          <w:tcPr>
            <w:tcW w:w="780" w:type="dxa"/>
            <w:vAlign w:val="center"/>
          </w:tcPr>
          <w:p w14:paraId="409B8CC6">
            <w:pPr>
              <w:jc w:val="center"/>
              <w:rPr>
                <w:rFonts w:ascii="仿宋_GB2312" w:hAnsi="仿宋_GB2312" w:eastAsia="仿宋_GB2312" w:cs="仿宋_GB2312"/>
              </w:rPr>
            </w:pPr>
            <w:r>
              <w:rPr>
                <w:rFonts w:hint="eastAsia" w:ascii="仿宋_GB2312" w:hAnsi="仿宋_GB2312" w:eastAsia="仿宋_GB2312" w:cs="仿宋_GB2312"/>
              </w:rPr>
              <w:t>早餐</w:t>
            </w:r>
          </w:p>
        </w:tc>
        <w:tc>
          <w:tcPr>
            <w:tcW w:w="1590" w:type="dxa"/>
            <w:vAlign w:val="center"/>
          </w:tcPr>
          <w:p w14:paraId="38776DCC">
            <w:pPr>
              <w:jc w:val="center"/>
              <w:rPr>
                <w:rFonts w:ascii="仿宋_GB2312" w:hAnsi="仿宋_GB2312" w:eastAsia="仿宋_GB2312" w:cs="仿宋_GB2312"/>
              </w:rPr>
            </w:pPr>
          </w:p>
        </w:tc>
        <w:tc>
          <w:tcPr>
            <w:tcW w:w="1134" w:type="dxa"/>
            <w:vAlign w:val="center"/>
          </w:tcPr>
          <w:p w14:paraId="67316D82">
            <w:pPr>
              <w:jc w:val="center"/>
              <w:rPr>
                <w:rFonts w:ascii="仿宋_GB2312" w:hAnsi="仿宋_GB2312" w:eastAsia="仿宋_GB2312" w:cs="仿宋_GB2312"/>
              </w:rPr>
            </w:pPr>
          </w:p>
        </w:tc>
        <w:tc>
          <w:tcPr>
            <w:tcW w:w="921" w:type="dxa"/>
            <w:vAlign w:val="center"/>
          </w:tcPr>
          <w:p w14:paraId="41D455A2">
            <w:pPr>
              <w:jc w:val="center"/>
              <w:rPr>
                <w:rFonts w:ascii="仿宋_GB2312" w:hAnsi="仿宋_GB2312" w:eastAsia="仿宋_GB2312" w:cs="仿宋_GB2312"/>
              </w:rPr>
            </w:pPr>
          </w:p>
        </w:tc>
        <w:tc>
          <w:tcPr>
            <w:tcW w:w="1095" w:type="dxa"/>
            <w:vMerge w:val="restart"/>
            <w:vAlign w:val="center"/>
          </w:tcPr>
          <w:p w14:paraId="1A38426A">
            <w:pPr>
              <w:jc w:val="center"/>
              <w:rPr>
                <w:rFonts w:ascii="仿宋_GB2312" w:hAnsi="仿宋_GB2312" w:eastAsia="仿宋_GB2312" w:cs="仿宋_GB2312"/>
              </w:rPr>
            </w:pPr>
          </w:p>
        </w:tc>
        <w:tc>
          <w:tcPr>
            <w:tcW w:w="750" w:type="dxa"/>
            <w:vAlign w:val="center"/>
          </w:tcPr>
          <w:p w14:paraId="55046FBE">
            <w:pPr>
              <w:jc w:val="center"/>
              <w:rPr>
                <w:rFonts w:ascii="仿宋_GB2312" w:hAnsi="仿宋_GB2312" w:eastAsia="仿宋_GB2312" w:cs="仿宋_GB2312"/>
              </w:rPr>
            </w:pPr>
          </w:p>
        </w:tc>
        <w:tc>
          <w:tcPr>
            <w:tcW w:w="877" w:type="dxa"/>
            <w:vMerge w:val="restart"/>
            <w:vAlign w:val="center"/>
          </w:tcPr>
          <w:p w14:paraId="5A02872B">
            <w:pPr>
              <w:jc w:val="center"/>
              <w:rPr>
                <w:rFonts w:ascii="仿宋_GB2312" w:hAnsi="仿宋_GB2312" w:eastAsia="仿宋_GB2312" w:cs="仿宋_GB2312"/>
              </w:rPr>
            </w:pPr>
          </w:p>
        </w:tc>
      </w:tr>
      <w:tr w14:paraId="57E7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4" w:type="dxa"/>
            <w:vMerge w:val="continue"/>
            <w:vAlign w:val="center"/>
          </w:tcPr>
          <w:p w14:paraId="618BC3E3">
            <w:pPr>
              <w:jc w:val="center"/>
              <w:rPr>
                <w:rFonts w:ascii="仿宋_GB2312" w:hAnsi="仿宋_GB2312" w:eastAsia="仿宋_GB2312" w:cs="仿宋_GB2312"/>
              </w:rPr>
            </w:pPr>
          </w:p>
        </w:tc>
        <w:tc>
          <w:tcPr>
            <w:tcW w:w="795" w:type="dxa"/>
            <w:vMerge w:val="continue"/>
            <w:vAlign w:val="center"/>
          </w:tcPr>
          <w:p w14:paraId="7A20E53F">
            <w:pPr>
              <w:jc w:val="center"/>
              <w:rPr>
                <w:rFonts w:ascii="仿宋_GB2312" w:hAnsi="仿宋_GB2312" w:eastAsia="仿宋_GB2312" w:cs="仿宋_GB2312"/>
              </w:rPr>
            </w:pPr>
          </w:p>
        </w:tc>
        <w:tc>
          <w:tcPr>
            <w:tcW w:w="780" w:type="dxa"/>
            <w:vAlign w:val="center"/>
          </w:tcPr>
          <w:p w14:paraId="7192E1C7">
            <w:pPr>
              <w:jc w:val="center"/>
              <w:rPr>
                <w:rFonts w:ascii="仿宋_GB2312" w:hAnsi="仿宋_GB2312" w:eastAsia="仿宋_GB2312" w:cs="仿宋_GB2312"/>
              </w:rPr>
            </w:pPr>
            <w:r>
              <w:rPr>
                <w:rFonts w:hint="eastAsia" w:ascii="仿宋_GB2312" w:hAnsi="仿宋_GB2312" w:eastAsia="仿宋_GB2312" w:cs="仿宋_GB2312"/>
              </w:rPr>
              <w:t>中餐</w:t>
            </w:r>
          </w:p>
        </w:tc>
        <w:tc>
          <w:tcPr>
            <w:tcW w:w="1590" w:type="dxa"/>
            <w:vAlign w:val="center"/>
          </w:tcPr>
          <w:p w14:paraId="79FE8A7F">
            <w:pPr>
              <w:jc w:val="center"/>
              <w:rPr>
                <w:rFonts w:ascii="仿宋_GB2312" w:hAnsi="仿宋_GB2312" w:eastAsia="仿宋_GB2312" w:cs="仿宋_GB2312"/>
              </w:rPr>
            </w:pPr>
            <w:r>
              <w:rPr>
                <w:rFonts w:hint="eastAsia" w:ascii="仿宋_GB2312" w:hAnsi="仿宋_GB2312" w:eastAsia="仿宋_GB2312" w:cs="仿宋_GB2312"/>
              </w:rPr>
              <w:t>荤___种</w:t>
            </w:r>
          </w:p>
          <w:p w14:paraId="4E7DA99D">
            <w:pPr>
              <w:jc w:val="center"/>
              <w:rPr>
                <w:rFonts w:ascii="仿宋_GB2312" w:hAnsi="仿宋_GB2312" w:eastAsia="仿宋_GB2312" w:cs="仿宋_GB2312"/>
              </w:rPr>
            </w:pPr>
            <w:r>
              <w:rPr>
                <w:rFonts w:hint="eastAsia" w:ascii="仿宋_GB2312" w:hAnsi="仿宋_GB2312" w:eastAsia="仿宋_GB2312" w:cs="仿宋_GB2312"/>
              </w:rPr>
              <w:t>素____种</w:t>
            </w:r>
          </w:p>
          <w:p w14:paraId="0252B14D">
            <w:pPr>
              <w:jc w:val="center"/>
              <w:rPr>
                <w:rFonts w:ascii="仿宋_GB2312" w:hAnsi="仿宋_GB2312" w:eastAsia="仿宋_GB2312" w:cs="仿宋_GB2312"/>
              </w:rPr>
            </w:pPr>
            <w:r>
              <w:rPr>
                <w:rFonts w:hint="eastAsia" w:ascii="仿宋_GB2312" w:hAnsi="仿宋_GB2312" w:eastAsia="仿宋_GB2312" w:cs="仿宋_GB2312"/>
              </w:rPr>
              <w:t>主食____种</w:t>
            </w:r>
          </w:p>
        </w:tc>
        <w:tc>
          <w:tcPr>
            <w:tcW w:w="1134" w:type="dxa"/>
            <w:vAlign w:val="center"/>
          </w:tcPr>
          <w:p w14:paraId="2DA591A3">
            <w:pPr>
              <w:jc w:val="center"/>
              <w:rPr>
                <w:rFonts w:ascii="仿宋_GB2312" w:hAnsi="仿宋_GB2312" w:eastAsia="仿宋_GB2312" w:cs="仿宋_GB2312"/>
              </w:rPr>
            </w:pPr>
          </w:p>
        </w:tc>
        <w:tc>
          <w:tcPr>
            <w:tcW w:w="921" w:type="dxa"/>
            <w:vAlign w:val="center"/>
          </w:tcPr>
          <w:p w14:paraId="2D04AD2B">
            <w:pPr>
              <w:jc w:val="center"/>
              <w:rPr>
                <w:rFonts w:ascii="仿宋_GB2312" w:hAnsi="仿宋_GB2312" w:eastAsia="仿宋_GB2312" w:cs="仿宋_GB2312"/>
              </w:rPr>
            </w:pPr>
          </w:p>
        </w:tc>
        <w:tc>
          <w:tcPr>
            <w:tcW w:w="1095" w:type="dxa"/>
            <w:vMerge w:val="continue"/>
            <w:vAlign w:val="center"/>
          </w:tcPr>
          <w:p w14:paraId="465E6EEE">
            <w:pPr>
              <w:jc w:val="center"/>
              <w:rPr>
                <w:rFonts w:ascii="仿宋_GB2312" w:hAnsi="仿宋_GB2312" w:eastAsia="仿宋_GB2312" w:cs="仿宋_GB2312"/>
              </w:rPr>
            </w:pPr>
          </w:p>
        </w:tc>
        <w:tc>
          <w:tcPr>
            <w:tcW w:w="750" w:type="dxa"/>
            <w:vAlign w:val="center"/>
          </w:tcPr>
          <w:p w14:paraId="6B6A9DD6">
            <w:pPr>
              <w:jc w:val="center"/>
              <w:rPr>
                <w:rFonts w:ascii="仿宋_GB2312" w:hAnsi="仿宋_GB2312" w:eastAsia="仿宋_GB2312" w:cs="仿宋_GB2312"/>
              </w:rPr>
            </w:pPr>
          </w:p>
        </w:tc>
        <w:tc>
          <w:tcPr>
            <w:tcW w:w="877" w:type="dxa"/>
            <w:vMerge w:val="continue"/>
            <w:vAlign w:val="center"/>
          </w:tcPr>
          <w:p w14:paraId="2A5560DF">
            <w:pPr>
              <w:jc w:val="center"/>
              <w:rPr>
                <w:rFonts w:ascii="仿宋_GB2312" w:hAnsi="仿宋_GB2312" w:eastAsia="仿宋_GB2312" w:cs="仿宋_GB2312"/>
              </w:rPr>
            </w:pPr>
          </w:p>
        </w:tc>
      </w:tr>
      <w:tr w14:paraId="5CB9F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4" w:type="dxa"/>
            <w:vMerge w:val="continue"/>
            <w:vAlign w:val="center"/>
          </w:tcPr>
          <w:p w14:paraId="09FCA9FB">
            <w:pPr>
              <w:jc w:val="center"/>
              <w:rPr>
                <w:rFonts w:ascii="仿宋_GB2312" w:hAnsi="仿宋_GB2312" w:eastAsia="仿宋_GB2312" w:cs="仿宋_GB2312"/>
              </w:rPr>
            </w:pPr>
          </w:p>
        </w:tc>
        <w:tc>
          <w:tcPr>
            <w:tcW w:w="795" w:type="dxa"/>
            <w:vMerge w:val="continue"/>
            <w:vAlign w:val="center"/>
          </w:tcPr>
          <w:p w14:paraId="34850AC9">
            <w:pPr>
              <w:jc w:val="center"/>
              <w:rPr>
                <w:rFonts w:ascii="仿宋_GB2312" w:hAnsi="仿宋_GB2312" w:eastAsia="仿宋_GB2312" w:cs="仿宋_GB2312"/>
              </w:rPr>
            </w:pPr>
          </w:p>
        </w:tc>
        <w:tc>
          <w:tcPr>
            <w:tcW w:w="780" w:type="dxa"/>
            <w:vAlign w:val="center"/>
          </w:tcPr>
          <w:p w14:paraId="6D864DE7">
            <w:pPr>
              <w:jc w:val="center"/>
              <w:rPr>
                <w:rFonts w:ascii="仿宋_GB2312" w:hAnsi="仿宋_GB2312" w:eastAsia="仿宋_GB2312" w:cs="仿宋_GB2312"/>
              </w:rPr>
            </w:pPr>
            <w:r>
              <w:rPr>
                <w:rFonts w:hint="eastAsia" w:ascii="仿宋_GB2312" w:hAnsi="仿宋_GB2312" w:eastAsia="仿宋_GB2312" w:cs="仿宋_GB2312"/>
              </w:rPr>
              <w:t>晚餐</w:t>
            </w:r>
          </w:p>
        </w:tc>
        <w:tc>
          <w:tcPr>
            <w:tcW w:w="1590" w:type="dxa"/>
            <w:vAlign w:val="center"/>
          </w:tcPr>
          <w:p w14:paraId="6D83C03D">
            <w:pPr>
              <w:jc w:val="center"/>
              <w:rPr>
                <w:rFonts w:ascii="仿宋_GB2312" w:hAnsi="仿宋_GB2312" w:eastAsia="仿宋_GB2312" w:cs="仿宋_GB2312"/>
              </w:rPr>
            </w:pPr>
            <w:r>
              <w:rPr>
                <w:rFonts w:hint="eastAsia" w:ascii="仿宋_GB2312" w:hAnsi="仿宋_GB2312" w:eastAsia="仿宋_GB2312" w:cs="仿宋_GB2312"/>
              </w:rPr>
              <w:t>荤___种</w:t>
            </w:r>
          </w:p>
          <w:p w14:paraId="1E7E7D24">
            <w:pPr>
              <w:jc w:val="center"/>
              <w:rPr>
                <w:rFonts w:ascii="仿宋_GB2312" w:hAnsi="仿宋_GB2312" w:eastAsia="仿宋_GB2312" w:cs="仿宋_GB2312"/>
              </w:rPr>
            </w:pPr>
            <w:r>
              <w:rPr>
                <w:rFonts w:hint="eastAsia" w:ascii="仿宋_GB2312" w:hAnsi="仿宋_GB2312" w:eastAsia="仿宋_GB2312" w:cs="仿宋_GB2312"/>
              </w:rPr>
              <w:t>素____种</w:t>
            </w:r>
          </w:p>
          <w:p w14:paraId="22680F90">
            <w:pPr>
              <w:jc w:val="center"/>
              <w:rPr>
                <w:rFonts w:ascii="仿宋_GB2312" w:hAnsi="仿宋_GB2312" w:eastAsia="仿宋_GB2312" w:cs="仿宋_GB2312"/>
              </w:rPr>
            </w:pPr>
            <w:r>
              <w:rPr>
                <w:rFonts w:hint="eastAsia" w:ascii="仿宋_GB2312" w:hAnsi="仿宋_GB2312" w:eastAsia="仿宋_GB2312" w:cs="仿宋_GB2312"/>
              </w:rPr>
              <w:t>主食____种</w:t>
            </w:r>
          </w:p>
        </w:tc>
        <w:tc>
          <w:tcPr>
            <w:tcW w:w="1134" w:type="dxa"/>
            <w:vAlign w:val="center"/>
          </w:tcPr>
          <w:p w14:paraId="17A8C277">
            <w:pPr>
              <w:jc w:val="center"/>
              <w:rPr>
                <w:rFonts w:ascii="仿宋_GB2312" w:hAnsi="仿宋_GB2312" w:eastAsia="仿宋_GB2312" w:cs="仿宋_GB2312"/>
              </w:rPr>
            </w:pPr>
          </w:p>
        </w:tc>
        <w:tc>
          <w:tcPr>
            <w:tcW w:w="921" w:type="dxa"/>
            <w:vAlign w:val="center"/>
          </w:tcPr>
          <w:p w14:paraId="5DA5135B">
            <w:pPr>
              <w:jc w:val="center"/>
              <w:rPr>
                <w:rFonts w:ascii="仿宋_GB2312" w:hAnsi="仿宋_GB2312" w:eastAsia="仿宋_GB2312" w:cs="仿宋_GB2312"/>
              </w:rPr>
            </w:pPr>
          </w:p>
        </w:tc>
        <w:tc>
          <w:tcPr>
            <w:tcW w:w="1095" w:type="dxa"/>
            <w:vMerge w:val="continue"/>
            <w:vAlign w:val="center"/>
          </w:tcPr>
          <w:p w14:paraId="2A3BDAA2">
            <w:pPr>
              <w:jc w:val="center"/>
              <w:rPr>
                <w:rFonts w:ascii="仿宋_GB2312" w:hAnsi="仿宋_GB2312" w:eastAsia="仿宋_GB2312" w:cs="仿宋_GB2312"/>
              </w:rPr>
            </w:pPr>
          </w:p>
        </w:tc>
        <w:tc>
          <w:tcPr>
            <w:tcW w:w="750" w:type="dxa"/>
            <w:vAlign w:val="center"/>
          </w:tcPr>
          <w:p w14:paraId="67B2FEDC">
            <w:pPr>
              <w:jc w:val="center"/>
              <w:rPr>
                <w:rFonts w:ascii="仿宋_GB2312" w:hAnsi="仿宋_GB2312" w:eastAsia="仿宋_GB2312" w:cs="仿宋_GB2312"/>
              </w:rPr>
            </w:pPr>
          </w:p>
        </w:tc>
        <w:tc>
          <w:tcPr>
            <w:tcW w:w="877" w:type="dxa"/>
            <w:vMerge w:val="continue"/>
            <w:vAlign w:val="center"/>
          </w:tcPr>
          <w:p w14:paraId="02582E0B">
            <w:pPr>
              <w:jc w:val="center"/>
              <w:rPr>
                <w:rFonts w:ascii="仿宋_GB2312" w:hAnsi="仿宋_GB2312" w:eastAsia="仿宋_GB2312" w:cs="仿宋_GB2312"/>
              </w:rPr>
            </w:pPr>
          </w:p>
        </w:tc>
      </w:tr>
    </w:tbl>
    <w:p w14:paraId="7CB86705">
      <w:pPr>
        <w:tabs>
          <w:tab w:val="left" w:pos="420"/>
        </w:tabs>
        <w:spacing w:line="360" w:lineRule="auto"/>
        <w:rPr>
          <w:rFonts w:ascii="仿宋_GB2312" w:hAnsi="仿宋_GB2312" w:eastAsia="仿宋_GB2312" w:cs="仿宋_GB2312"/>
        </w:rPr>
      </w:pPr>
    </w:p>
    <w:p w14:paraId="5FB2FE66">
      <w:pPr>
        <w:tabs>
          <w:tab w:val="left" w:pos="420"/>
        </w:tabs>
        <w:spacing w:line="360" w:lineRule="auto"/>
        <w:ind w:right="-512" w:rightChars="-244"/>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w:t>
      </w:r>
    </w:p>
    <w:p w14:paraId="191537CA">
      <w:pPr>
        <w:tabs>
          <w:tab w:val="left" w:pos="420"/>
        </w:tabs>
        <w:spacing w:line="360" w:lineRule="auto"/>
        <w:ind w:right="-512" w:rightChars="-244"/>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Cs/>
          <w:sz w:val="24"/>
          <w:szCs w:val="24"/>
          <w:lang w:eastAsia="zh-CN"/>
        </w:rPr>
        <w:t>1、</w:t>
      </w:r>
      <w:r>
        <w:rPr>
          <w:rFonts w:hint="eastAsia" w:asciiTheme="minorEastAsia" w:hAnsiTheme="minorEastAsia" w:eastAsiaTheme="minorEastAsia" w:cstheme="minorEastAsia"/>
          <w:sz w:val="24"/>
          <w:szCs w:val="24"/>
          <w:lang w:eastAsia="zh-CN"/>
        </w:rPr>
        <w:t>投标人必须在品种中填写荤素、主食品种（早餐可不填品种），否则投标将被拒绝。</w:t>
      </w:r>
    </w:p>
    <w:p w14:paraId="6B9316F3">
      <w:pPr>
        <w:tabs>
          <w:tab w:val="left" w:pos="420"/>
        </w:tabs>
        <w:spacing w:line="360" w:lineRule="auto"/>
        <w:ind w:right="-512" w:rightChars="-244"/>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z w:val="24"/>
          <w:szCs w:val="24"/>
          <w:lang w:eastAsia="zh-CN"/>
        </w:rPr>
        <w:t>2、投标人名称应填开发票单位名称。</w:t>
      </w:r>
    </w:p>
    <w:p w14:paraId="2DC19C35">
      <w:pPr>
        <w:tabs>
          <w:tab w:val="left" w:pos="420"/>
        </w:tabs>
        <w:spacing w:line="360" w:lineRule="auto"/>
        <w:ind w:right="-512" w:rightChars="-244"/>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3、未按要求报价或投标报价超过限额标准的投标将被视为无效投标。</w:t>
      </w:r>
    </w:p>
    <w:p w14:paraId="014AA75F">
      <w:pPr>
        <w:tabs>
          <w:tab w:val="left" w:pos="420"/>
        </w:tabs>
        <w:spacing w:line="360" w:lineRule="auto"/>
        <w:ind w:left="360" w:right="-512" w:rightChars="-244" w:hanging="360" w:hangingChars="150"/>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4、</w:t>
      </w:r>
      <w:r>
        <w:rPr>
          <w:rFonts w:hint="eastAsia" w:asciiTheme="minorEastAsia" w:hAnsiTheme="minorEastAsia" w:eastAsiaTheme="minorEastAsia" w:cstheme="minorEastAsia"/>
          <w:b/>
          <w:bCs/>
          <w:sz w:val="24"/>
          <w:szCs w:val="24"/>
          <w:lang w:eastAsia="zh-CN"/>
        </w:rPr>
        <w:t>优惠率为投标报价和限额标准相比进行计算。综合优惠率是指投标人所报的所有优惠率的算术平均值，为必填内容，不按要求填报的投标将被视为无效投标。综合优惠率评标时作为投标报价分值计算的依据。</w:t>
      </w:r>
    </w:p>
    <w:p w14:paraId="3F797816">
      <w:pPr>
        <w:spacing w:line="360" w:lineRule="auto"/>
        <w:rPr>
          <w:rFonts w:asciiTheme="minorEastAsia" w:hAnsiTheme="minorEastAsia" w:eastAsiaTheme="minorEastAsia" w:cstheme="minorEastAsia"/>
          <w:b/>
          <w:bCs/>
          <w:sz w:val="24"/>
          <w:szCs w:val="24"/>
          <w:lang w:eastAsia="zh-CN"/>
        </w:rPr>
      </w:pPr>
    </w:p>
    <w:p w14:paraId="42867CFC">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投标人（电子公章）：             授权代表（签字）：</w:t>
      </w:r>
    </w:p>
    <w:p w14:paraId="70D6DC1A">
      <w:pPr>
        <w:spacing w:line="360" w:lineRule="auto"/>
        <w:rPr>
          <w:rFonts w:ascii="仿宋_GB2312" w:hAnsi="宋体" w:eastAsia="仿宋_GB2312"/>
          <w:sz w:val="28"/>
          <w:szCs w:val="28"/>
          <w:lang w:eastAsia="zh-CN"/>
        </w:rPr>
      </w:pPr>
      <w:r>
        <w:rPr>
          <w:rFonts w:hint="eastAsia" w:asciiTheme="minorEastAsia" w:hAnsiTheme="minorEastAsia" w:eastAsiaTheme="minorEastAsia" w:cstheme="minorEastAsia"/>
          <w:sz w:val="24"/>
          <w:szCs w:val="24"/>
          <w:lang w:eastAsia="zh-CN"/>
        </w:rPr>
        <w:t>时间：        年       月      日</w:t>
      </w:r>
    </w:p>
    <w:p w14:paraId="11226180">
      <w:pPr>
        <w:spacing w:line="360" w:lineRule="auto"/>
        <w:rPr>
          <w:rFonts w:ascii="仿宋_GB2312" w:hAnsi="仿宋_GB2312" w:eastAsia="仿宋_GB2312" w:cs="仿宋_GB2312"/>
          <w:b/>
          <w:bCs/>
          <w:szCs w:val="28"/>
          <w:lang w:eastAsia="zh-CN"/>
        </w:rPr>
        <w:sectPr>
          <w:headerReference r:id="rId11" w:type="default"/>
          <w:footerReference r:id="rId12" w:type="default"/>
          <w:footerReference r:id="rId13" w:type="even"/>
          <w:pgSz w:w="11906" w:h="16838"/>
          <w:pgMar w:top="1701" w:right="1701" w:bottom="1701" w:left="1701" w:header="851" w:footer="992" w:gutter="0"/>
          <w:cols w:space="720" w:num="1"/>
          <w:docGrid w:type="lines" w:linePitch="312" w:charSpace="0"/>
        </w:sectPr>
      </w:pPr>
    </w:p>
    <w:p w14:paraId="522AC814">
      <w:pPr>
        <w:spacing w:line="360" w:lineRule="auto"/>
        <w:jc w:val="center"/>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（表三）会议室</w:t>
      </w:r>
    </w:p>
    <w:p w14:paraId="12A02644">
      <w:pPr>
        <w:spacing w:line="360" w:lineRule="auto"/>
        <w:ind w:left="-59" w:leftChars="-28" w:firstLine="620" w:firstLineChars="294"/>
        <w:rPr>
          <w:rFonts w:ascii="仿宋_GB2312" w:hAnsi="仿宋_GB2312" w:eastAsia="仿宋_GB2312" w:cs="仿宋_GB2312"/>
          <w:b/>
          <w:bCs/>
          <w:lang w:eastAsia="zh-CN"/>
        </w:rPr>
      </w:pPr>
      <w:r>
        <w:rPr>
          <w:rFonts w:hint="eastAsia" w:ascii="仿宋_GB2312" w:hAnsi="仿宋_GB2312" w:eastAsia="仿宋_GB2312" w:cs="仿宋_GB2312"/>
          <w:b/>
          <w:bCs/>
          <w:lang w:eastAsia="zh-CN"/>
        </w:rPr>
        <w:t>项目名称：                                         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851"/>
        <w:gridCol w:w="2977"/>
        <w:gridCol w:w="850"/>
        <w:gridCol w:w="709"/>
        <w:gridCol w:w="1291"/>
        <w:gridCol w:w="1006"/>
        <w:gridCol w:w="1439"/>
        <w:gridCol w:w="1440"/>
        <w:gridCol w:w="862"/>
        <w:gridCol w:w="1048"/>
      </w:tblGrid>
      <w:tr w14:paraId="6071D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83" w:type="dxa"/>
            <w:vAlign w:val="center"/>
          </w:tcPr>
          <w:p w14:paraId="3E8BB7EC">
            <w:pPr>
              <w:jc w:val="center"/>
              <w:rPr>
                <w:rFonts w:ascii="仿宋_GB2312" w:hAnsi="仿宋_GB2312" w:eastAsia="仿宋_GB2312" w:cs="仿宋_GB2312"/>
              </w:rPr>
            </w:pPr>
            <w:r>
              <w:rPr>
                <w:rFonts w:hint="eastAsia" w:ascii="仿宋_GB2312" w:hAnsi="仿宋_GB2312" w:eastAsia="仿宋_GB2312" w:cs="仿宋_GB2312"/>
              </w:rPr>
              <w:t>饭店</w:t>
            </w:r>
          </w:p>
          <w:p w14:paraId="511453A0">
            <w:pPr>
              <w:jc w:val="center"/>
              <w:rPr>
                <w:rFonts w:ascii="仿宋_GB2312" w:hAnsi="仿宋_GB2312" w:eastAsia="仿宋_GB2312" w:cs="仿宋_GB2312"/>
              </w:rPr>
            </w:pPr>
            <w:r>
              <w:rPr>
                <w:rFonts w:hint="eastAsia" w:ascii="仿宋_GB2312" w:hAnsi="仿宋_GB2312" w:eastAsia="仿宋_GB2312" w:cs="仿宋_GB2312"/>
              </w:rPr>
              <w:t>名称</w:t>
            </w:r>
          </w:p>
        </w:tc>
        <w:tc>
          <w:tcPr>
            <w:tcW w:w="851" w:type="dxa"/>
            <w:vAlign w:val="center"/>
          </w:tcPr>
          <w:p w14:paraId="03CDF192">
            <w:pPr>
              <w:jc w:val="center"/>
              <w:rPr>
                <w:rFonts w:ascii="仿宋_GB2312" w:hAnsi="仿宋_GB2312" w:eastAsia="仿宋_GB2312" w:cs="仿宋_GB2312"/>
              </w:rPr>
            </w:pPr>
            <w:r>
              <w:rPr>
                <w:rFonts w:hint="eastAsia" w:ascii="仿宋_GB2312" w:hAnsi="仿宋_GB2312" w:eastAsia="仿宋_GB2312" w:cs="仿宋_GB2312"/>
              </w:rPr>
              <w:t>星级</w:t>
            </w:r>
          </w:p>
          <w:p w14:paraId="106E92A7">
            <w:pPr>
              <w:jc w:val="center"/>
              <w:rPr>
                <w:rFonts w:ascii="仿宋_GB2312" w:hAnsi="仿宋_GB2312" w:eastAsia="仿宋_GB2312" w:cs="仿宋_GB2312"/>
              </w:rPr>
            </w:pPr>
            <w:r>
              <w:rPr>
                <w:rFonts w:hint="eastAsia" w:ascii="仿宋_GB2312" w:hAnsi="仿宋_GB2312" w:eastAsia="仿宋_GB2312" w:cs="仿宋_GB2312"/>
              </w:rPr>
              <w:t>标准</w:t>
            </w:r>
          </w:p>
        </w:tc>
        <w:tc>
          <w:tcPr>
            <w:tcW w:w="2977" w:type="dxa"/>
            <w:vAlign w:val="center"/>
          </w:tcPr>
          <w:p w14:paraId="77AD2003">
            <w:pPr>
              <w:jc w:val="center"/>
              <w:rPr>
                <w:rFonts w:ascii="仿宋_GB2312" w:hAnsi="仿宋_GB2312" w:eastAsia="仿宋_GB2312" w:cs="仿宋_GB2312"/>
              </w:rPr>
            </w:pPr>
            <w:r>
              <w:rPr>
                <w:rFonts w:hint="eastAsia" w:ascii="仿宋_GB2312" w:hAnsi="仿宋_GB2312" w:eastAsia="仿宋_GB2312" w:cs="仿宋_GB2312"/>
              </w:rPr>
              <w:t>类型</w:t>
            </w:r>
          </w:p>
        </w:tc>
        <w:tc>
          <w:tcPr>
            <w:tcW w:w="850" w:type="dxa"/>
            <w:vAlign w:val="center"/>
          </w:tcPr>
          <w:p w14:paraId="7CEA8E50">
            <w:pPr>
              <w:jc w:val="center"/>
              <w:rPr>
                <w:rFonts w:ascii="仿宋_GB2312" w:hAnsi="仿宋_GB2312" w:eastAsia="仿宋_GB2312" w:cs="仿宋_GB2312"/>
              </w:rPr>
            </w:pPr>
            <w:r>
              <w:rPr>
                <w:rFonts w:hint="eastAsia" w:ascii="仿宋_GB2312" w:hAnsi="仿宋_GB2312" w:eastAsia="仿宋_GB2312" w:cs="仿宋_GB2312"/>
              </w:rPr>
              <w:t>楼层</w:t>
            </w:r>
          </w:p>
        </w:tc>
        <w:tc>
          <w:tcPr>
            <w:tcW w:w="709" w:type="dxa"/>
            <w:vAlign w:val="center"/>
          </w:tcPr>
          <w:p w14:paraId="761BF90D">
            <w:pPr>
              <w:jc w:val="center"/>
              <w:rPr>
                <w:rFonts w:ascii="仿宋_GB2312" w:hAnsi="仿宋_GB2312" w:eastAsia="仿宋_GB2312" w:cs="仿宋_GB2312"/>
              </w:rPr>
            </w:pPr>
            <w:r>
              <w:rPr>
                <w:rFonts w:hint="eastAsia" w:ascii="仿宋_GB2312" w:hAnsi="仿宋_GB2312" w:eastAsia="仿宋_GB2312" w:cs="仿宋_GB2312"/>
              </w:rPr>
              <w:t>房号</w:t>
            </w:r>
          </w:p>
        </w:tc>
        <w:tc>
          <w:tcPr>
            <w:tcW w:w="1291" w:type="dxa"/>
            <w:vAlign w:val="center"/>
          </w:tcPr>
          <w:p w14:paraId="3EA1F32B">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会议室面积</w:t>
            </w:r>
          </w:p>
          <w:p w14:paraId="4A8F8D02">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（平方米）</w:t>
            </w:r>
          </w:p>
        </w:tc>
        <w:tc>
          <w:tcPr>
            <w:tcW w:w="1006" w:type="dxa"/>
            <w:vAlign w:val="center"/>
          </w:tcPr>
          <w:p w14:paraId="68DAA0CC">
            <w:pPr>
              <w:jc w:val="center"/>
              <w:rPr>
                <w:rFonts w:ascii="仿宋_GB2312" w:hAnsi="仿宋_GB2312" w:eastAsia="仿宋_GB2312" w:cs="仿宋_GB2312"/>
              </w:rPr>
            </w:pPr>
            <w:r>
              <w:rPr>
                <w:rFonts w:hint="eastAsia" w:ascii="仿宋_GB2312" w:hAnsi="仿宋_GB2312" w:eastAsia="仿宋_GB2312" w:cs="仿宋_GB2312"/>
              </w:rPr>
              <w:t>标准容</w:t>
            </w:r>
          </w:p>
          <w:p w14:paraId="6183095A">
            <w:pPr>
              <w:jc w:val="center"/>
              <w:rPr>
                <w:rFonts w:ascii="仿宋_GB2312" w:hAnsi="仿宋_GB2312" w:eastAsia="仿宋_GB2312" w:cs="仿宋_GB2312"/>
              </w:rPr>
            </w:pPr>
            <w:r>
              <w:rPr>
                <w:rFonts w:hint="eastAsia" w:ascii="仿宋_GB2312" w:hAnsi="仿宋_GB2312" w:eastAsia="仿宋_GB2312" w:cs="仿宋_GB2312"/>
              </w:rPr>
              <w:t>纳人数</w:t>
            </w:r>
          </w:p>
        </w:tc>
        <w:tc>
          <w:tcPr>
            <w:tcW w:w="1439" w:type="dxa"/>
            <w:vAlign w:val="center"/>
          </w:tcPr>
          <w:p w14:paraId="44DC9E3E">
            <w:pPr>
              <w:jc w:val="center"/>
              <w:rPr>
                <w:rFonts w:ascii="仿宋_GB2312" w:hAnsi="仿宋_GB2312" w:eastAsia="仿宋_GB2312" w:cs="仿宋_GB2312"/>
              </w:rPr>
            </w:pPr>
            <w:r>
              <w:rPr>
                <w:rFonts w:hint="eastAsia" w:ascii="仿宋_GB2312" w:hAnsi="仿宋_GB2312" w:eastAsia="仿宋_GB2312" w:cs="仿宋_GB2312"/>
              </w:rPr>
              <w:t>门市价</w:t>
            </w:r>
          </w:p>
          <w:p w14:paraId="2D41CBA4">
            <w:pPr>
              <w:jc w:val="center"/>
              <w:rPr>
                <w:rFonts w:ascii="仿宋_GB2312" w:hAnsi="仿宋_GB2312" w:eastAsia="仿宋_GB2312" w:cs="仿宋_GB2312"/>
              </w:rPr>
            </w:pPr>
            <w:r>
              <w:rPr>
                <w:rFonts w:hint="eastAsia" w:ascii="仿宋_GB2312" w:hAnsi="仿宋_GB2312" w:eastAsia="仿宋_GB2312" w:cs="仿宋_GB2312"/>
              </w:rPr>
              <w:t>（元/半天）</w:t>
            </w:r>
          </w:p>
        </w:tc>
        <w:tc>
          <w:tcPr>
            <w:tcW w:w="1440" w:type="dxa"/>
            <w:vAlign w:val="center"/>
          </w:tcPr>
          <w:p w14:paraId="7D124425">
            <w:pPr>
              <w:jc w:val="center"/>
              <w:rPr>
                <w:rFonts w:ascii="仿宋_GB2312" w:hAnsi="仿宋_GB2312" w:eastAsia="仿宋_GB2312" w:cs="仿宋_GB2312"/>
              </w:rPr>
            </w:pPr>
            <w:r>
              <w:rPr>
                <w:rFonts w:hint="eastAsia" w:ascii="仿宋_GB2312" w:hAnsi="仿宋_GB2312" w:eastAsia="仿宋_GB2312" w:cs="仿宋_GB2312"/>
              </w:rPr>
              <w:t>投标价格</w:t>
            </w:r>
          </w:p>
          <w:p w14:paraId="6B864CD3">
            <w:pPr>
              <w:jc w:val="center"/>
              <w:rPr>
                <w:rFonts w:ascii="仿宋_GB2312" w:hAnsi="仿宋_GB2312" w:eastAsia="仿宋_GB2312" w:cs="仿宋_GB2312"/>
              </w:rPr>
            </w:pPr>
            <w:r>
              <w:rPr>
                <w:rFonts w:hint="eastAsia" w:ascii="仿宋_GB2312" w:hAnsi="仿宋_GB2312" w:eastAsia="仿宋_GB2312" w:cs="仿宋_GB2312"/>
              </w:rPr>
              <w:t>（元/半天）</w:t>
            </w:r>
          </w:p>
        </w:tc>
        <w:tc>
          <w:tcPr>
            <w:tcW w:w="862" w:type="dxa"/>
            <w:vAlign w:val="center"/>
          </w:tcPr>
          <w:p w14:paraId="23AC3FF4">
            <w:pPr>
              <w:jc w:val="center"/>
              <w:rPr>
                <w:rFonts w:ascii="仿宋_GB2312" w:hAnsi="仿宋_GB2312" w:eastAsia="仿宋_GB2312" w:cs="仿宋_GB2312"/>
              </w:rPr>
            </w:pPr>
            <w:r>
              <w:rPr>
                <w:rFonts w:hint="eastAsia" w:ascii="仿宋_GB2312" w:hAnsi="仿宋_GB2312" w:eastAsia="仿宋_GB2312" w:cs="仿宋_GB2312"/>
              </w:rPr>
              <w:t>优惠率</w:t>
            </w:r>
          </w:p>
        </w:tc>
        <w:tc>
          <w:tcPr>
            <w:tcW w:w="1048" w:type="dxa"/>
            <w:vAlign w:val="center"/>
          </w:tcPr>
          <w:p w14:paraId="7BC2C39B">
            <w:pPr>
              <w:jc w:val="center"/>
              <w:rPr>
                <w:rFonts w:ascii="仿宋_GB2312" w:hAnsi="仿宋_GB2312" w:eastAsia="仿宋_GB2312" w:cs="仿宋_GB2312"/>
              </w:rPr>
            </w:pPr>
            <w:r>
              <w:rPr>
                <w:rFonts w:hint="eastAsia" w:ascii="仿宋_GB2312" w:hAnsi="仿宋_GB2312" w:eastAsia="仿宋_GB2312" w:cs="仿宋_GB2312"/>
              </w:rPr>
              <w:t>综合优惠率</w:t>
            </w:r>
          </w:p>
        </w:tc>
      </w:tr>
      <w:tr w14:paraId="1CB61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83" w:type="dxa"/>
            <w:vMerge w:val="restart"/>
            <w:vAlign w:val="center"/>
          </w:tcPr>
          <w:p w14:paraId="292194A0">
            <w:pPr>
              <w:jc w:val="center"/>
              <w:rPr>
                <w:rFonts w:ascii="仿宋_GB2312" w:hAnsi="仿宋_GB2312" w:eastAsia="仿宋_GB2312" w:cs="仿宋_GB2312"/>
              </w:rPr>
            </w:pPr>
          </w:p>
        </w:tc>
        <w:tc>
          <w:tcPr>
            <w:tcW w:w="851" w:type="dxa"/>
            <w:vMerge w:val="restart"/>
            <w:vAlign w:val="center"/>
          </w:tcPr>
          <w:p w14:paraId="3B881585">
            <w:pPr>
              <w:jc w:val="center"/>
              <w:rPr>
                <w:rFonts w:ascii="仿宋_GB2312" w:hAnsi="仿宋_GB2312" w:eastAsia="仿宋_GB2312" w:cs="仿宋_GB2312"/>
              </w:rPr>
            </w:pPr>
          </w:p>
        </w:tc>
        <w:tc>
          <w:tcPr>
            <w:tcW w:w="2977" w:type="dxa"/>
            <w:vMerge w:val="restart"/>
            <w:vAlign w:val="center"/>
          </w:tcPr>
          <w:p w14:paraId="4300FD21">
            <w:pPr>
              <w:jc w:val="center"/>
              <w:rPr>
                <w:rFonts w:ascii="仿宋_GB2312" w:hAnsi="仿宋_GB2312" w:eastAsia="仿宋_GB2312" w:cs="仿宋_GB2312"/>
                <w:lang w:eastAsia="zh-CN"/>
              </w:rPr>
            </w:pPr>
            <w:r>
              <w:rPr>
                <w:rFonts w:hint="eastAsia" w:ascii="仿宋_GB2312" w:hAnsi="仿宋_GB2312" w:eastAsia="仿宋_GB2312" w:cs="仿宋_GB2312"/>
                <w:b/>
                <w:lang w:eastAsia="zh-CN"/>
              </w:rPr>
              <w:t>容纳350人以上（含350人） 的会议室</w:t>
            </w:r>
          </w:p>
        </w:tc>
        <w:tc>
          <w:tcPr>
            <w:tcW w:w="850" w:type="dxa"/>
            <w:vAlign w:val="center"/>
          </w:tcPr>
          <w:p w14:paraId="19ADA3F9">
            <w:pPr>
              <w:jc w:val="center"/>
              <w:rPr>
                <w:rFonts w:ascii="仿宋_GB2312" w:hAnsi="仿宋_GB2312" w:eastAsia="仿宋_GB2312" w:cs="仿宋_GB2312"/>
                <w:lang w:eastAsia="zh-CN"/>
              </w:rPr>
            </w:pPr>
          </w:p>
        </w:tc>
        <w:tc>
          <w:tcPr>
            <w:tcW w:w="709" w:type="dxa"/>
            <w:vAlign w:val="center"/>
          </w:tcPr>
          <w:p w14:paraId="4721F7B0">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1291" w:type="dxa"/>
            <w:vAlign w:val="center"/>
          </w:tcPr>
          <w:p w14:paraId="6B1AF6FE">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1006" w:type="dxa"/>
            <w:vAlign w:val="center"/>
          </w:tcPr>
          <w:p w14:paraId="3C7405A7">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1439" w:type="dxa"/>
            <w:vAlign w:val="center"/>
          </w:tcPr>
          <w:p w14:paraId="24E77802">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1440" w:type="dxa"/>
            <w:vAlign w:val="center"/>
          </w:tcPr>
          <w:p w14:paraId="4E9AD455">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862" w:type="dxa"/>
            <w:vAlign w:val="center"/>
          </w:tcPr>
          <w:p w14:paraId="5797545A">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1048" w:type="dxa"/>
            <w:vMerge w:val="restart"/>
            <w:vAlign w:val="center"/>
          </w:tcPr>
          <w:p w14:paraId="58856668">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r>
      <w:tr w14:paraId="2DE5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3" w:type="dxa"/>
            <w:vMerge w:val="continue"/>
            <w:vAlign w:val="center"/>
          </w:tcPr>
          <w:p w14:paraId="6F62E7CD">
            <w:pPr>
              <w:jc w:val="center"/>
              <w:rPr>
                <w:rFonts w:ascii="仿宋_GB2312" w:hAnsi="仿宋_GB2312" w:eastAsia="仿宋_GB2312" w:cs="仿宋_GB2312"/>
                <w:lang w:eastAsia="zh-CN"/>
              </w:rPr>
            </w:pPr>
          </w:p>
        </w:tc>
        <w:tc>
          <w:tcPr>
            <w:tcW w:w="851" w:type="dxa"/>
            <w:vMerge w:val="continue"/>
            <w:vAlign w:val="center"/>
          </w:tcPr>
          <w:p w14:paraId="478BFA04">
            <w:pPr>
              <w:jc w:val="center"/>
              <w:rPr>
                <w:rFonts w:ascii="仿宋_GB2312" w:hAnsi="仿宋_GB2312" w:eastAsia="仿宋_GB2312" w:cs="仿宋_GB2312"/>
                <w:lang w:eastAsia="zh-CN"/>
              </w:rPr>
            </w:pPr>
          </w:p>
        </w:tc>
        <w:tc>
          <w:tcPr>
            <w:tcW w:w="2977" w:type="dxa"/>
            <w:vMerge w:val="continue"/>
            <w:vAlign w:val="center"/>
          </w:tcPr>
          <w:p w14:paraId="667BEF1C">
            <w:pPr>
              <w:jc w:val="center"/>
              <w:rPr>
                <w:rFonts w:ascii="仿宋_GB2312" w:hAnsi="仿宋_GB2312" w:eastAsia="仿宋_GB2312" w:cs="仿宋_GB2312"/>
                <w:lang w:eastAsia="zh-CN"/>
              </w:rPr>
            </w:pPr>
          </w:p>
        </w:tc>
        <w:tc>
          <w:tcPr>
            <w:tcW w:w="850" w:type="dxa"/>
            <w:vAlign w:val="center"/>
          </w:tcPr>
          <w:p w14:paraId="4CDB63A0">
            <w:pPr>
              <w:jc w:val="center"/>
              <w:rPr>
                <w:rFonts w:ascii="仿宋_GB2312" w:hAnsi="仿宋_GB2312" w:eastAsia="仿宋_GB2312" w:cs="仿宋_GB2312"/>
              </w:rPr>
            </w:pPr>
            <w:r>
              <w:rPr>
                <w:rFonts w:hint="eastAsia" w:ascii="仿宋_GB2312" w:hAnsi="仿宋_GB2312" w:eastAsia="仿宋_GB2312" w:cs="仿宋_GB2312"/>
              </w:rPr>
              <w:t>……</w:t>
            </w:r>
          </w:p>
        </w:tc>
        <w:tc>
          <w:tcPr>
            <w:tcW w:w="709" w:type="dxa"/>
            <w:vAlign w:val="center"/>
          </w:tcPr>
          <w:p w14:paraId="33A2D583">
            <w:pPr>
              <w:jc w:val="center"/>
              <w:rPr>
                <w:rFonts w:ascii="仿宋_GB2312" w:hAnsi="仿宋_GB2312" w:eastAsia="仿宋_GB2312" w:cs="仿宋_GB2312"/>
              </w:rPr>
            </w:pPr>
          </w:p>
        </w:tc>
        <w:tc>
          <w:tcPr>
            <w:tcW w:w="1291" w:type="dxa"/>
            <w:vAlign w:val="center"/>
          </w:tcPr>
          <w:p w14:paraId="53B54F25">
            <w:pPr>
              <w:jc w:val="center"/>
              <w:rPr>
                <w:rFonts w:ascii="仿宋_GB2312" w:hAnsi="仿宋_GB2312" w:eastAsia="仿宋_GB2312" w:cs="仿宋_GB2312"/>
              </w:rPr>
            </w:pPr>
          </w:p>
        </w:tc>
        <w:tc>
          <w:tcPr>
            <w:tcW w:w="1006" w:type="dxa"/>
            <w:vAlign w:val="center"/>
          </w:tcPr>
          <w:p w14:paraId="0F6A6AE7">
            <w:pPr>
              <w:jc w:val="center"/>
              <w:rPr>
                <w:rFonts w:ascii="仿宋_GB2312" w:hAnsi="仿宋_GB2312" w:eastAsia="仿宋_GB2312" w:cs="仿宋_GB2312"/>
              </w:rPr>
            </w:pPr>
          </w:p>
        </w:tc>
        <w:tc>
          <w:tcPr>
            <w:tcW w:w="1439" w:type="dxa"/>
            <w:vAlign w:val="center"/>
          </w:tcPr>
          <w:p w14:paraId="586DF85C">
            <w:pPr>
              <w:jc w:val="center"/>
              <w:rPr>
                <w:rFonts w:ascii="仿宋_GB2312" w:hAnsi="仿宋_GB2312" w:eastAsia="仿宋_GB2312" w:cs="仿宋_GB2312"/>
              </w:rPr>
            </w:pPr>
          </w:p>
        </w:tc>
        <w:tc>
          <w:tcPr>
            <w:tcW w:w="1440" w:type="dxa"/>
            <w:vAlign w:val="center"/>
          </w:tcPr>
          <w:p w14:paraId="2FAE0D55">
            <w:pPr>
              <w:jc w:val="center"/>
              <w:rPr>
                <w:rFonts w:ascii="仿宋_GB2312" w:hAnsi="仿宋_GB2312" w:eastAsia="仿宋_GB2312" w:cs="仿宋_GB2312"/>
              </w:rPr>
            </w:pPr>
          </w:p>
        </w:tc>
        <w:tc>
          <w:tcPr>
            <w:tcW w:w="862" w:type="dxa"/>
            <w:vAlign w:val="center"/>
          </w:tcPr>
          <w:p w14:paraId="6F4169F5">
            <w:pPr>
              <w:jc w:val="center"/>
              <w:rPr>
                <w:rFonts w:ascii="仿宋_GB2312" w:hAnsi="仿宋_GB2312" w:eastAsia="仿宋_GB2312" w:cs="仿宋_GB2312"/>
              </w:rPr>
            </w:pPr>
          </w:p>
        </w:tc>
        <w:tc>
          <w:tcPr>
            <w:tcW w:w="1048" w:type="dxa"/>
            <w:vMerge w:val="continue"/>
            <w:vAlign w:val="center"/>
          </w:tcPr>
          <w:p w14:paraId="7A95751D">
            <w:pPr>
              <w:jc w:val="center"/>
              <w:rPr>
                <w:rFonts w:ascii="仿宋_GB2312" w:hAnsi="仿宋_GB2312" w:eastAsia="仿宋_GB2312" w:cs="仿宋_GB2312"/>
              </w:rPr>
            </w:pPr>
          </w:p>
        </w:tc>
      </w:tr>
      <w:tr w14:paraId="277D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83" w:type="dxa"/>
            <w:vMerge w:val="continue"/>
            <w:vAlign w:val="center"/>
          </w:tcPr>
          <w:p w14:paraId="41DD5E59">
            <w:pPr>
              <w:jc w:val="center"/>
              <w:rPr>
                <w:rFonts w:ascii="仿宋_GB2312" w:hAnsi="仿宋_GB2312" w:eastAsia="仿宋_GB2312" w:cs="仿宋_GB2312"/>
              </w:rPr>
            </w:pPr>
          </w:p>
        </w:tc>
        <w:tc>
          <w:tcPr>
            <w:tcW w:w="851" w:type="dxa"/>
            <w:vMerge w:val="continue"/>
            <w:vAlign w:val="center"/>
          </w:tcPr>
          <w:p w14:paraId="286E8C76">
            <w:pPr>
              <w:jc w:val="center"/>
              <w:rPr>
                <w:rFonts w:ascii="仿宋_GB2312" w:hAnsi="仿宋_GB2312" w:eastAsia="仿宋_GB2312" w:cs="仿宋_GB2312"/>
              </w:rPr>
            </w:pPr>
          </w:p>
        </w:tc>
        <w:tc>
          <w:tcPr>
            <w:tcW w:w="2977" w:type="dxa"/>
            <w:vMerge w:val="restart"/>
            <w:vAlign w:val="center"/>
          </w:tcPr>
          <w:p w14:paraId="094B0FF4">
            <w:pPr>
              <w:jc w:val="center"/>
              <w:rPr>
                <w:rFonts w:ascii="仿宋_GB2312" w:hAnsi="仿宋_GB2312" w:eastAsia="仿宋_GB2312" w:cs="仿宋_GB2312"/>
                <w:lang w:eastAsia="zh-CN"/>
              </w:rPr>
            </w:pPr>
            <w:r>
              <w:rPr>
                <w:rFonts w:hint="eastAsia" w:ascii="仿宋_GB2312" w:hAnsi="仿宋_GB2312" w:eastAsia="仿宋_GB2312" w:cs="仿宋_GB2312"/>
                <w:b/>
                <w:lang w:eastAsia="zh-CN"/>
              </w:rPr>
              <w:t>容纳200—349人（含200人）的会议室</w:t>
            </w:r>
          </w:p>
        </w:tc>
        <w:tc>
          <w:tcPr>
            <w:tcW w:w="850" w:type="dxa"/>
            <w:vAlign w:val="center"/>
          </w:tcPr>
          <w:p w14:paraId="48287D0E">
            <w:pPr>
              <w:jc w:val="center"/>
              <w:rPr>
                <w:rFonts w:ascii="仿宋_GB2312" w:hAnsi="仿宋_GB2312" w:eastAsia="仿宋_GB2312" w:cs="仿宋_GB2312"/>
                <w:lang w:eastAsia="zh-CN"/>
              </w:rPr>
            </w:pPr>
          </w:p>
        </w:tc>
        <w:tc>
          <w:tcPr>
            <w:tcW w:w="709" w:type="dxa"/>
            <w:vAlign w:val="center"/>
          </w:tcPr>
          <w:p w14:paraId="0948A726">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1291" w:type="dxa"/>
            <w:vAlign w:val="center"/>
          </w:tcPr>
          <w:p w14:paraId="616DA9BB">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1006" w:type="dxa"/>
            <w:vAlign w:val="center"/>
          </w:tcPr>
          <w:p w14:paraId="703ED52E">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1439" w:type="dxa"/>
            <w:vAlign w:val="center"/>
          </w:tcPr>
          <w:p w14:paraId="18DE62CB">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1440" w:type="dxa"/>
            <w:vAlign w:val="center"/>
          </w:tcPr>
          <w:p w14:paraId="5FFD983A">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862" w:type="dxa"/>
            <w:vAlign w:val="center"/>
          </w:tcPr>
          <w:p w14:paraId="254F4446">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1048" w:type="dxa"/>
            <w:vMerge w:val="continue"/>
            <w:vAlign w:val="center"/>
          </w:tcPr>
          <w:p w14:paraId="02EBEC92">
            <w:pPr>
              <w:jc w:val="center"/>
              <w:rPr>
                <w:rFonts w:ascii="仿宋_GB2312" w:hAnsi="仿宋_GB2312" w:eastAsia="仿宋_GB2312" w:cs="仿宋_GB2312"/>
                <w:lang w:eastAsia="zh-CN"/>
              </w:rPr>
            </w:pPr>
          </w:p>
        </w:tc>
      </w:tr>
      <w:tr w14:paraId="10DA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83" w:type="dxa"/>
            <w:vMerge w:val="continue"/>
            <w:vAlign w:val="center"/>
          </w:tcPr>
          <w:p w14:paraId="36882FEE">
            <w:pPr>
              <w:jc w:val="center"/>
              <w:rPr>
                <w:rFonts w:ascii="仿宋_GB2312" w:hAnsi="仿宋_GB2312" w:eastAsia="仿宋_GB2312" w:cs="仿宋_GB2312"/>
                <w:lang w:eastAsia="zh-CN"/>
              </w:rPr>
            </w:pPr>
          </w:p>
        </w:tc>
        <w:tc>
          <w:tcPr>
            <w:tcW w:w="851" w:type="dxa"/>
            <w:vMerge w:val="continue"/>
            <w:vAlign w:val="center"/>
          </w:tcPr>
          <w:p w14:paraId="1988882A">
            <w:pPr>
              <w:jc w:val="center"/>
              <w:rPr>
                <w:rFonts w:ascii="仿宋_GB2312" w:hAnsi="仿宋_GB2312" w:eastAsia="仿宋_GB2312" w:cs="仿宋_GB2312"/>
                <w:lang w:eastAsia="zh-CN"/>
              </w:rPr>
            </w:pPr>
          </w:p>
        </w:tc>
        <w:tc>
          <w:tcPr>
            <w:tcW w:w="2977" w:type="dxa"/>
            <w:vMerge w:val="continue"/>
            <w:vAlign w:val="center"/>
          </w:tcPr>
          <w:p w14:paraId="224494B2">
            <w:pPr>
              <w:jc w:val="center"/>
              <w:rPr>
                <w:rFonts w:ascii="仿宋_GB2312" w:hAnsi="仿宋_GB2312" w:eastAsia="仿宋_GB2312" w:cs="仿宋_GB2312"/>
                <w:lang w:eastAsia="zh-CN"/>
              </w:rPr>
            </w:pPr>
          </w:p>
        </w:tc>
        <w:tc>
          <w:tcPr>
            <w:tcW w:w="850" w:type="dxa"/>
            <w:vAlign w:val="center"/>
          </w:tcPr>
          <w:p w14:paraId="676CF12E">
            <w:pPr>
              <w:jc w:val="center"/>
              <w:rPr>
                <w:rFonts w:ascii="仿宋_GB2312" w:hAnsi="仿宋_GB2312" w:eastAsia="仿宋_GB2312" w:cs="仿宋_GB2312"/>
              </w:rPr>
            </w:pPr>
            <w:r>
              <w:rPr>
                <w:rFonts w:hint="eastAsia" w:ascii="仿宋_GB2312" w:hAnsi="仿宋_GB2312" w:eastAsia="仿宋_GB2312" w:cs="仿宋_GB2312"/>
              </w:rPr>
              <w:t>……</w:t>
            </w:r>
          </w:p>
        </w:tc>
        <w:tc>
          <w:tcPr>
            <w:tcW w:w="709" w:type="dxa"/>
            <w:vAlign w:val="center"/>
          </w:tcPr>
          <w:p w14:paraId="4B47FB1C">
            <w:pPr>
              <w:jc w:val="center"/>
              <w:rPr>
                <w:rFonts w:ascii="仿宋_GB2312" w:hAnsi="仿宋_GB2312" w:eastAsia="仿宋_GB2312" w:cs="仿宋_GB2312"/>
              </w:rPr>
            </w:pPr>
          </w:p>
        </w:tc>
        <w:tc>
          <w:tcPr>
            <w:tcW w:w="1291" w:type="dxa"/>
            <w:vAlign w:val="center"/>
          </w:tcPr>
          <w:p w14:paraId="7C081C00">
            <w:pPr>
              <w:jc w:val="center"/>
              <w:rPr>
                <w:rFonts w:ascii="仿宋_GB2312" w:hAnsi="仿宋_GB2312" w:eastAsia="仿宋_GB2312" w:cs="仿宋_GB2312"/>
              </w:rPr>
            </w:pPr>
          </w:p>
        </w:tc>
        <w:tc>
          <w:tcPr>
            <w:tcW w:w="1006" w:type="dxa"/>
            <w:vAlign w:val="center"/>
          </w:tcPr>
          <w:p w14:paraId="59D3106E">
            <w:pPr>
              <w:jc w:val="center"/>
              <w:rPr>
                <w:rFonts w:ascii="仿宋_GB2312" w:hAnsi="仿宋_GB2312" w:eastAsia="仿宋_GB2312" w:cs="仿宋_GB2312"/>
              </w:rPr>
            </w:pPr>
          </w:p>
        </w:tc>
        <w:tc>
          <w:tcPr>
            <w:tcW w:w="1439" w:type="dxa"/>
            <w:vAlign w:val="center"/>
          </w:tcPr>
          <w:p w14:paraId="6D2061F2">
            <w:pPr>
              <w:jc w:val="center"/>
              <w:rPr>
                <w:rFonts w:ascii="仿宋_GB2312" w:hAnsi="仿宋_GB2312" w:eastAsia="仿宋_GB2312" w:cs="仿宋_GB2312"/>
              </w:rPr>
            </w:pPr>
          </w:p>
        </w:tc>
        <w:tc>
          <w:tcPr>
            <w:tcW w:w="1440" w:type="dxa"/>
            <w:vAlign w:val="center"/>
          </w:tcPr>
          <w:p w14:paraId="288C9089">
            <w:pPr>
              <w:jc w:val="center"/>
              <w:rPr>
                <w:rFonts w:ascii="仿宋_GB2312" w:hAnsi="仿宋_GB2312" w:eastAsia="仿宋_GB2312" w:cs="仿宋_GB2312"/>
              </w:rPr>
            </w:pPr>
          </w:p>
        </w:tc>
        <w:tc>
          <w:tcPr>
            <w:tcW w:w="862" w:type="dxa"/>
            <w:vAlign w:val="center"/>
          </w:tcPr>
          <w:p w14:paraId="4DBD8232">
            <w:pPr>
              <w:jc w:val="center"/>
              <w:rPr>
                <w:rFonts w:ascii="仿宋_GB2312" w:hAnsi="仿宋_GB2312" w:eastAsia="仿宋_GB2312" w:cs="仿宋_GB2312"/>
              </w:rPr>
            </w:pPr>
          </w:p>
        </w:tc>
        <w:tc>
          <w:tcPr>
            <w:tcW w:w="1048" w:type="dxa"/>
            <w:vMerge w:val="continue"/>
            <w:vAlign w:val="center"/>
          </w:tcPr>
          <w:p w14:paraId="17604268">
            <w:pPr>
              <w:jc w:val="center"/>
              <w:rPr>
                <w:rFonts w:ascii="仿宋_GB2312" w:hAnsi="仿宋_GB2312" w:eastAsia="仿宋_GB2312" w:cs="仿宋_GB2312"/>
              </w:rPr>
            </w:pPr>
          </w:p>
        </w:tc>
      </w:tr>
      <w:tr w14:paraId="69B70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83" w:type="dxa"/>
            <w:vMerge w:val="continue"/>
            <w:vAlign w:val="center"/>
          </w:tcPr>
          <w:p w14:paraId="3C2A3CC1">
            <w:pPr>
              <w:jc w:val="center"/>
              <w:rPr>
                <w:rFonts w:ascii="仿宋_GB2312" w:hAnsi="仿宋_GB2312" w:eastAsia="仿宋_GB2312" w:cs="仿宋_GB2312"/>
              </w:rPr>
            </w:pPr>
          </w:p>
        </w:tc>
        <w:tc>
          <w:tcPr>
            <w:tcW w:w="851" w:type="dxa"/>
            <w:vMerge w:val="continue"/>
            <w:vAlign w:val="center"/>
          </w:tcPr>
          <w:p w14:paraId="5FFC8065">
            <w:pPr>
              <w:jc w:val="center"/>
              <w:rPr>
                <w:rFonts w:ascii="仿宋_GB2312" w:hAnsi="仿宋_GB2312" w:eastAsia="仿宋_GB2312" w:cs="仿宋_GB2312"/>
              </w:rPr>
            </w:pPr>
          </w:p>
        </w:tc>
        <w:tc>
          <w:tcPr>
            <w:tcW w:w="2977" w:type="dxa"/>
            <w:vMerge w:val="restart"/>
            <w:vAlign w:val="center"/>
          </w:tcPr>
          <w:p w14:paraId="30015A56">
            <w:pPr>
              <w:jc w:val="center"/>
              <w:rPr>
                <w:rFonts w:ascii="仿宋_GB2312" w:hAnsi="仿宋_GB2312" w:eastAsia="仿宋_GB2312" w:cs="仿宋_GB2312"/>
                <w:lang w:eastAsia="zh-CN"/>
              </w:rPr>
            </w:pPr>
            <w:r>
              <w:rPr>
                <w:rFonts w:hint="eastAsia" w:ascii="仿宋_GB2312" w:hAnsi="仿宋_GB2312" w:eastAsia="仿宋_GB2312" w:cs="仿宋_GB2312"/>
                <w:b/>
                <w:lang w:eastAsia="zh-CN"/>
              </w:rPr>
              <w:t>容纳100—199人（含100人）的会议室</w:t>
            </w:r>
          </w:p>
        </w:tc>
        <w:tc>
          <w:tcPr>
            <w:tcW w:w="850" w:type="dxa"/>
            <w:vAlign w:val="center"/>
          </w:tcPr>
          <w:p w14:paraId="0148B1DA">
            <w:pPr>
              <w:jc w:val="center"/>
              <w:rPr>
                <w:rFonts w:ascii="仿宋_GB2312" w:hAnsi="仿宋_GB2312" w:eastAsia="仿宋_GB2312" w:cs="仿宋_GB2312"/>
                <w:lang w:eastAsia="zh-CN"/>
              </w:rPr>
            </w:pPr>
          </w:p>
        </w:tc>
        <w:tc>
          <w:tcPr>
            <w:tcW w:w="709" w:type="dxa"/>
            <w:vAlign w:val="center"/>
          </w:tcPr>
          <w:p w14:paraId="67988AC1">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1291" w:type="dxa"/>
            <w:vAlign w:val="center"/>
          </w:tcPr>
          <w:p w14:paraId="0CFE50F1">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1006" w:type="dxa"/>
            <w:vAlign w:val="center"/>
          </w:tcPr>
          <w:p w14:paraId="5741AF32">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1439" w:type="dxa"/>
            <w:vAlign w:val="center"/>
          </w:tcPr>
          <w:p w14:paraId="2EB01CF8">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1440" w:type="dxa"/>
            <w:vAlign w:val="center"/>
          </w:tcPr>
          <w:p w14:paraId="4DC3B41E">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862" w:type="dxa"/>
            <w:vAlign w:val="center"/>
          </w:tcPr>
          <w:p w14:paraId="737AA733">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1048" w:type="dxa"/>
            <w:vMerge w:val="continue"/>
            <w:vAlign w:val="center"/>
          </w:tcPr>
          <w:p w14:paraId="5A7368E5">
            <w:pPr>
              <w:jc w:val="center"/>
              <w:rPr>
                <w:rFonts w:ascii="仿宋_GB2312" w:hAnsi="仿宋_GB2312" w:eastAsia="仿宋_GB2312" w:cs="仿宋_GB2312"/>
                <w:lang w:eastAsia="zh-CN"/>
              </w:rPr>
            </w:pPr>
          </w:p>
        </w:tc>
      </w:tr>
      <w:tr w14:paraId="23B4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83" w:type="dxa"/>
            <w:vMerge w:val="continue"/>
            <w:vAlign w:val="center"/>
          </w:tcPr>
          <w:p w14:paraId="48CE1505">
            <w:pPr>
              <w:jc w:val="center"/>
              <w:rPr>
                <w:rFonts w:ascii="仿宋_GB2312" w:hAnsi="仿宋_GB2312" w:eastAsia="仿宋_GB2312" w:cs="仿宋_GB2312"/>
                <w:lang w:eastAsia="zh-CN"/>
              </w:rPr>
            </w:pPr>
          </w:p>
        </w:tc>
        <w:tc>
          <w:tcPr>
            <w:tcW w:w="851" w:type="dxa"/>
            <w:vMerge w:val="continue"/>
            <w:vAlign w:val="center"/>
          </w:tcPr>
          <w:p w14:paraId="1EEE3EBE">
            <w:pPr>
              <w:jc w:val="center"/>
              <w:rPr>
                <w:rFonts w:ascii="仿宋_GB2312" w:hAnsi="仿宋_GB2312" w:eastAsia="仿宋_GB2312" w:cs="仿宋_GB2312"/>
                <w:lang w:eastAsia="zh-CN"/>
              </w:rPr>
            </w:pPr>
          </w:p>
        </w:tc>
        <w:tc>
          <w:tcPr>
            <w:tcW w:w="2977" w:type="dxa"/>
            <w:vMerge w:val="continue"/>
            <w:vAlign w:val="center"/>
          </w:tcPr>
          <w:p w14:paraId="19626E6B">
            <w:pPr>
              <w:jc w:val="center"/>
              <w:rPr>
                <w:rFonts w:ascii="仿宋_GB2312" w:hAnsi="仿宋_GB2312" w:eastAsia="仿宋_GB2312" w:cs="仿宋_GB2312"/>
                <w:lang w:eastAsia="zh-CN"/>
              </w:rPr>
            </w:pPr>
          </w:p>
        </w:tc>
        <w:tc>
          <w:tcPr>
            <w:tcW w:w="850" w:type="dxa"/>
            <w:vAlign w:val="center"/>
          </w:tcPr>
          <w:p w14:paraId="2A385533">
            <w:pPr>
              <w:jc w:val="center"/>
              <w:rPr>
                <w:rFonts w:ascii="仿宋_GB2312" w:hAnsi="仿宋_GB2312" w:eastAsia="仿宋_GB2312" w:cs="仿宋_GB2312"/>
                <w:lang w:eastAsia="zh-CN"/>
              </w:rPr>
            </w:pPr>
          </w:p>
        </w:tc>
        <w:tc>
          <w:tcPr>
            <w:tcW w:w="709" w:type="dxa"/>
            <w:vAlign w:val="center"/>
          </w:tcPr>
          <w:p w14:paraId="73160AD7">
            <w:pPr>
              <w:jc w:val="center"/>
              <w:rPr>
                <w:rFonts w:ascii="仿宋_GB2312" w:hAnsi="仿宋_GB2312" w:eastAsia="仿宋_GB2312" w:cs="仿宋_GB2312"/>
                <w:lang w:eastAsia="zh-CN"/>
              </w:rPr>
            </w:pPr>
          </w:p>
        </w:tc>
        <w:tc>
          <w:tcPr>
            <w:tcW w:w="1291" w:type="dxa"/>
            <w:vAlign w:val="center"/>
          </w:tcPr>
          <w:p w14:paraId="719DD9AB">
            <w:pPr>
              <w:jc w:val="center"/>
              <w:rPr>
                <w:rFonts w:ascii="仿宋_GB2312" w:hAnsi="仿宋_GB2312" w:eastAsia="仿宋_GB2312" w:cs="仿宋_GB2312"/>
                <w:lang w:eastAsia="zh-CN"/>
              </w:rPr>
            </w:pPr>
          </w:p>
        </w:tc>
        <w:tc>
          <w:tcPr>
            <w:tcW w:w="1006" w:type="dxa"/>
            <w:vAlign w:val="center"/>
          </w:tcPr>
          <w:p w14:paraId="7985169E">
            <w:pPr>
              <w:jc w:val="center"/>
              <w:rPr>
                <w:rFonts w:ascii="仿宋_GB2312" w:hAnsi="仿宋_GB2312" w:eastAsia="仿宋_GB2312" w:cs="仿宋_GB2312"/>
                <w:lang w:eastAsia="zh-CN"/>
              </w:rPr>
            </w:pPr>
          </w:p>
        </w:tc>
        <w:tc>
          <w:tcPr>
            <w:tcW w:w="1439" w:type="dxa"/>
            <w:vAlign w:val="center"/>
          </w:tcPr>
          <w:p w14:paraId="3BB2A751">
            <w:pPr>
              <w:jc w:val="center"/>
              <w:rPr>
                <w:rFonts w:ascii="仿宋_GB2312" w:hAnsi="仿宋_GB2312" w:eastAsia="仿宋_GB2312" w:cs="仿宋_GB2312"/>
                <w:lang w:eastAsia="zh-CN"/>
              </w:rPr>
            </w:pPr>
          </w:p>
        </w:tc>
        <w:tc>
          <w:tcPr>
            <w:tcW w:w="1440" w:type="dxa"/>
            <w:vAlign w:val="center"/>
          </w:tcPr>
          <w:p w14:paraId="456EC421">
            <w:pPr>
              <w:jc w:val="center"/>
              <w:rPr>
                <w:rFonts w:ascii="仿宋_GB2312" w:hAnsi="仿宋_GB2312" w:eastAsia="仿宋_GB2312" w:cs="仿宋_GB2312"/>
                <w:lang w:eastAsia="zh-CN"/>
              </w:rPr>
            </w:pPr>
          </w:p>
        </w:tc>
        <w:tc>
          <w:tcPr>
            <w:tcW w:w="862" w:type="dxa"/>
            <w:vAlign w:val="center"/>
          </w:tcPr>
          <w:p w14:paraId="1FA9B87E">
            <w:pPr>
              <w:jc w:val="center"/>
              <w:rPr>
                <w:rFonts w:ascii="仿宋_GB2312" w:hAnsi="仿宋_GB2312" w:eastAsia="仿宋_GB2312" w:cs="仿宋_GB2312"/>
                <w:lang w:eastAsia="zh-CN"/>
              </w:rPr>
            </w:pPr>
          </w:p>
        </w:tc>
        <w:tc>
          <w:tcPr>
            <w:tcW w:w="1048" w:type="dxa"/>
            <w:vMerge w:val="continue"/>
            <w:vAlign w:val="center"/>
          </w:tcPr>
          <w:p w14:paraId="6B77799D">
            <w:pPr>
              <w:jc w:val="center"/>
              <w:rPr>
                <w:rFonts w:ascii="仿宋_GB2312" w:hAnsi="仿宋_GB2312" w:eastAsia="仿宋_GB2312" w:cs="仿宋_GB2312"/>
                <w:lang w:eastAsia="zh-CN"/>
              </w:rPr>
            </w:pPr>
          </w:p>
        </w:tc>
      </w:tr>
      <w:tr w14:paraId="2523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83" w:type="dxa"/>
            <w:vMerge w:val="continue"/>
            <w:vAlign w:val="center"/>
          </w:tcPr>
          <w:p w14:paraId="2C169FBC">
            <w:pPr>
              <w:jc w:val="center"/>
              <w:rPr>
                <w:rFonts w:ascii="仿宋_GB2312" w:hAnsi="仿宋_GB2312" w:eastAsia="仿宋_GB2312" w:cs="仿宋_GB2312"/>
                <w:lang w:eastAsia="zh-CN"/>
              </w:rPr>
            </w:pPr>
          </w:p>
        </w:tc>
        <w:tc>
          <w:tcPr>
            <w:tcW w:w="851" w:type="dxa"/>
            <w:vMerge w:val="continue"/>
            <w:vAlign w:val="center"/>
          </w:tcPr>
          <w:p w14:paraId="578D6A9A">
            <w:pPr>
              <w:jc w:val="center"/>
              <w:rPr>
                <w:rFonts w:ascii="仿宋_GB2312" w:hAnsi="仿宋_GB2312" w:eastAsia="仿宋_GB2312" w:cs="仿宋_GB2312"/>
                <w:lang w:eastAsia="zh-CN"/>
              </w:rPr>
            </w:pPr>
          </w:p>
        </w:tc>
        <w:tc>
          <w:tcPr>
            <w:tcW w:w="2977" w:type="dxa"/>
            <w:vMerge w:val="continue"/>
            <w:vAlign w:val="center"/>
          </w:tcPr>
          <w:p w14:paraId="5BF4C03A">
            <w:pPr>
              <w:jc w:val="center"/>
              <w:rPr>
                <w:rFonts w:ascii="仿宋_GB2312" w:hAnsi="仿宋_GB2312" w:eastAsia="仿宋_GB2312" w:cs="仿宋_GB2312"/>
                <w:lang w:eastAsia="zh-CN"/>
              </w:rPr>
            </w:pPr>
          </w:p>
        </w:tc>
        <w:tc>
          <w:tcPr>
            <w:tcW w:w="850" w:type="dxa"/>
            <w:vAlign w:val="center"/>
          </w:tcPr>
          <w:p w14:paraId="1EF1A13A">
            <w:pPr>
              <w:jc w:val="center"/>
              <w:rPr>
                <w:rFonts w:ascii="仿宋_GB2312" w:hAnsi="仿宋_GB2312" w:eastAsia="仿宋_GB2312" w:cs="仿宋_GB2312"/>
              </w:rPr>
            </w:pPr>
            <w:r>
              <w:rPr>
                <w:rFonts w:hint="eastAsia" w:ascii="仿宋_GB2312" w:hAnsi="仿宋_GB2312" w:eastAsia="仿宋_GB2312" w:cs="仿宋_GB2312"/>
              </w:rPr>
              <w:t>……</w:t>
            </w:r>
          </w:p>
        </w:tc>
        <w:tc>
          <w:tcPr>
            <w:tcW w:w="709" w:type="dxa"/>
            <w:vAlign w:val="center"/>
          </w:tcPr>
          <w:p w14:paraId="34B5C588">
            <w:pPr>
              <w:jc w:val="center"/>
              <w:rPr>
                <w:rFonts w:ascii="仿宋_GB2312" w:hAnsi="仿宋_GB2312" w:eastAsia="仿宋_GB2312" w:cs="仿宋_GB2312"/>
              </w:rPr>
            </w:pPr>
          </w:p>
        </w:tc>
        <w:tc>
          <w:tcPr>
            <w:tcW w:w="1291" w:type="dxa"/>
            <w:vAlign w:val="center"/>
          </w:tcPr>
          <w:p w14:paraId="6371DE50">
            <w:pPr>
              <w:jc w:val="center"/>
              <w:rPr>
                <w:rFonts w:ascii="仿宋_GB2312" w:hAnsi="仿宋_GB2312" w:eastAsia="仿宋_GB2312" w:cs="仿宋_GB2312"/>
              </w:rPr>
            </w:pPr>
          </w:p>
        </w:tc>
        <w:tc>
          <w:tcPr>
            <w:tcW w:w="1006" w:type="dxa"/>
            <w:vAlign w:val="center"/>
          </w:tcPr>
          <w:p w14:paraId="7666337C">
            <w:pPr>
              <w:jc w:val="center"/>
              <w:rPr>
                <w:rFonts w:ascii="仿宋_GB2312" w:hAnsi="仿宋_GB2312" w:eastAsia="仿宋_GB2312" w:cs="仿宋_GB2312"/>
              </w:rPr>
            </w:pPr>
          </w:p>
        </w:tc>
        <w:tc>
          <w:tcPr>
            <w:tcW w:w="1439" w:type="dxa"/>
            <w:vAlign w:val="center"/>
          </w:tcPr>
          <w:p w14:paraId="5F1A0A66">
            <w:pPr>
              <w:jc w:val="center"/>
              <w:rPr>
                <w:rFonts w:ascii="仿宋_GB2312" w:hAnsi="仿宋_GB2312" w:eastAsia="仿宋_GB2312" w:cs="仿宋_GB2312"/>
              </w:rPr>
            </w:pPr>
          </w:p>
        </w:tc>
        <w:tc>
          <w:tcPr>
            <w:tcW w:w="1440" w:type="dxa"/>
            <w:vAlign w:val="center"/>
          </w:tcPr>
          <w:p w14:paraId="6CB99D28">
            <w:pPr>
              <w:jc w:val="center"/>
              <w:rPr>
                <w:rFonts w:ascii="仿宋_GB2312" w:hAnsi="仿宋_GB2312" w:eastAsia="仿宋_GB2312" w:cs="仿宋_GB2312"/>
              </w:rPr>
            </w:pPr>
          </w:p>
        </w:tc>
        <w:tc>
          <w:tcPr>
            <w:tcW w:w="862" w:type="dxa"/>
            <w:vAlign w:val="center"/>
          </w:tcPr>
          <w:p w14:paraId="71603D67">
            <w:pPr>
              <w:jc w:val="center"/>
              <w:rPr>
                <w:rFonts w:ascii="仿宋_GB2312" w:hAnsi="仿宋_GB2312" w:eastAsia="仿宋_GB2312" w:cs="仿宋_GB2312"/>
              </w:rPr>
            </w:pPr>
          </w:p>
        </w:tc>
        <w:tc>
          <w:tcPr>
            <w:tcW w:w="1048" w:type="dxa"/>
            <w:vMerge w:val="continue"/>
            <w:vAlign w:val="center"/>
          </w:tcPr>
          <w:p w14:paraId="062E4916">
            <w:pPr>
              <w:jc w:val="center"/>
              <w:rPr>
                <w:rFonts w:ascii="仿宋_GB2312" w:hAnsi="仿宋_GB2312" w:eastAsia="仿宋_GB2312" w:cs="仿宋_GB2312"/>
              </w:rPr>
            </w:pPr>
          </w:p>
        </w:tc>
      </w:tr>
      <w:tr w14:paraId="4748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83" w:type="dxa"/>
            <w:vMerge w:val="restart"/>
            <w:vAlign w:val="center"/>
          </w:tcPr>
          <w:p w14:paraId="4E5C4422">
            <w:pPr>
              <w:jc w:val="center"/>
              <w:rPr>
                <w:rFonts w:ascii="仿宋_GB2312" w:hAnsi="仿宋_GB2312" w:eastAsia="仿宋_GB2312" w:cs="仿宋_GB2312"/>
              </w:rPr>
            </w:pPr>
          </w:p>
        </w:tc>
        <w:tc>
          <w:tcPr>
            <w:tcW w:w="851" w:type="dxa"/>
            <w:vMerge w:val="restart"/>
            <w:vAlign w:val="center"/>
          </w:tcPr>
          <w:p w14:paraId="052B72EF">
            <w:pPr>
              <w:jc w:val="center"/>
              <w:rPr>
                <w:rFonts w:ascii="仿宋_GB2312" w:hAnsi="仿宋_GB2312" w:eastAsia="仿宋_GB2312" w:cs="仿宋_GB2312"/>
              </w:rPr>
            </w:pPr>
          </w:p>
        </w:tc>
        <w:tc>
          <w:tcPr>
            <w:tcW w:w="2977" w:type="dxa"/>
            <w:vMerge w:val="restart"/>
            <w:vAlign w:val="center"/>
          </w:tcPr>
          <w:p w14:paraId="7FDAF120">
            <w:pPr>
              <w:jc w:val="center"/>
              <w:rPr>
                <w:rFonts w:ascii="仿宋_GB2312" w:hAnsi="仿宋_GB2312" w:eastAsia="仿宋_GB2312" w:cs="仿宋_GB2312"/>
                <w:lang w:eastAsia="zh-CN"/>
              </w:rPr>
            </w:pPr>
            <w:r>
              <w:rPr>
                <w:rFonts w:hint="eastAsia" w:ascii="仿宋_GB2312" w:hAnsi="仿宋_GB2312" w:eastAsia="仿宋_GB2312" w:cs="仿宋_GB2312"/>
                <w:b/>
                <w:lang w:eastAsia="zh-CN"/>
              </w:rPr>
              <w:t>容纳50—99人（含50人）   的会议室</w:t>
            </w:r>
          </w:p>
        </w:tc>
        <w:tc>
          <w:tcPr>
            <w:tcW w:w="850" w:type="dxa"/>
            <w:vAlign w:val="center"/>
          </w:tcPr>
          <w:p w14:paraId="36B4F061">
            <w:pPr>
              <w:jc w:val="center"/>
              <w:rPr>
                <w:rFonts w:ascii="仿宋_GB2312" w:hAnsi="仿宋_GB2312" w:eastAsia="仿宋_GB2312" w:cs="仿宋_GB2312"/>
                <w:lang w:eastAsia="zh-CN"/>
              </w:rPr>
            </w:pPr>
          </w:p>
        </w:tc>
        <w:tc>
          <w:tcPr>
            <w:tcW w:w="709" w:type="dxa"/>
            <w:vAlign w:val="center"/>
          </w:tcPr>
          <w:p w14:paraId="7BBCBD2B">
            <w:pPr>
              <w:jc w:val="center"/>
              <w:rPr>
                <w:rFonts w:ascii="仿宋_GB2312" w:hAnsi="仿宋_GB2312" w:eastAsia="仿宋_GB2312" w:cs="仿宋_GB2312"/>
                <w:lang w:eastAsia="zh-CN"/>
              </w:rPr>
            </w:pPr>
          </w:p>
        </w:tc>
        <w:tc>
          <w:tcPr>
            <w:tcW w:w="1291" w:type="dxa"/>
            <w:vAlign w:val="center"/>
          </w:tcPr>
          <w:p w14:paraId="3098FDD7">
            <w:pPr>
              <w:jc w:val="center"/>
              <w:rPr>
                <w:rFonts w:ascii="仿宋_GB2312" w:hAnsi="仿宋_GB2312" w:eastAsia="仿宋_GB2312" w:cs="仿宋_GB2312"/>
                <w:lang w:eastAsia="zh-CN"/>
              </w:rPr>
            </w:pPr>
          </w:p>
        </w:tc>
        <w:tc>
          <w:tcPr>
            <w:tcW w:w="1006" w:type="dxa"/>
            <w:vAlign w:val="center"/>
          </w:tcPr>
          <w:p w14:paraId="099FF4C5">
            <w:pPr>
              <w:jc w:val="center"/>
              <w:rPr>
                <w:rFonts w:ascii="仿宋_GB2312" w:hAnsi="仿宋_GB2312" w:eastAsia="仿宋_GB2312" w:cs="仿宋_GB2312"/>
                <w:lang w:eastAsia="zh-CN"/>
              </w:rPr>
            </w:pPr>
          </w:p>
        </w:tc>
        <w:tc>
          <w:tcPr>
            <w:tcW w:w="1439" w:type="dxa"/>
            <w:vAlign w:val="center"/>
          </w:tcPr>
          <w:p w14:paraId="6C959DF1">
            <w:pPr>
              <w:jc w:val="center"/>
              <w:rPr>
                <w:rFonts w:ascii="仿宋_GB2312" w:hAnsi="仿宋_GB2312" w:eastAsia="仿宋_GB2312" w:cs="仿宋_GB2312"/>
                <w:lang w:eastAsia="zh-CN"/>
              </w:rPr>
            </w:pPr>
          </w:p>
        </w:tc>
        <w:tc>
          <w:tcPr>
            <w:tcW w:w="1440" w:type="dxa"/>
            <w:vAlign w:val="center"/>
          </w:tcPr>
          <w:p w14:paraId="746D158F">
            <w:pPr>
              <w:jc w:val="center"/>
              <w:rPr>
                <w:rFonts w:ascii="仿宋_GB2312" w:hAnsi="仿宋_GB2312" w:eastAsia="仿宋_GB2312" w:cs="仿宋_GB2312"/>
                <w:lang w:eastAsia="zh-CN"/>
              </w:rPr>
            </w:pPr>
          </w:p>
        </w:tc>
        <w:tc>
          <w:tcPr>
            <w:tcW w:w="862" w:type="dxa"/>
            <w:vAlign w:val="center"/>
          </w:tcPr>
          <w:p w14:paraId="34F8869B">
            <w:pPr>
              <w:jc w:val="center"/>
              <w:rPr>
                <w:rFonts w:ascii="仿宋_GB2312" w:hAnsi="仿宋_GB2312" w:eastAsia="仿宋_GB2312" w:cs="仿宋_GB2312"/>
                <w:lang w:eastAsia="zh-CN"/>
              </w:rPr>
            </w:pPr>
          </w:p>
        </w:tc>
        <w:tc>
          <w:tcPr>
            <w:tcW w:w="1048" w:type="dxa"/>
            <w:vMerge w:val="continue"/>
            <w:vAlign w:val="center"/>
          </w:tcPr>
          <w:p w14:paraId="088B7C6C">
            <w:pPr>
              <w:jc w:val="center"/>
              <w:rPr>
                <w:rFonts w:ascii="仿宋_GB2312" w:hAnsi="仿宋_GB2312" w:eastAsia="仿宋_GB2312" w:cs="仿宋_GB2312"/>
                <w:lang w:eastAsia="zh-CN"/>
              </w:rPr>
            </w:pPr>
          </w:p>
        </w:tc>
      </w:tr>
      <w:tr w14:paraId="175D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83" w:type="dxa"/>
            <w:vMerge w:val="continue"/>
            <w:vAlign w:val="center"/>
          </w:tcPr>
          <w:p w14:paraId="2B20D06C">
            <w:pPr>
              <w:jc w:val="center"/>
              <w:rPr>
                <w:rFonts w:ascii="仿宋_GB2312" w:hAnsi="仿宋_GB2312" w:eastAsia="仿宋_GB2312" w:cs="仿宋_GB2312"/>
                <w:lang w:eastAsia="zh-CN"/>
              </w:rPr>
            </w:pPr>
          </w:p>
        </w:tc>
        <w:tc>
          <w:tcPr>
            <w:tcW w:w="851" w:type="dxa"/>
            <w:vMerge w:val="continue"/>
            <w:vAlign w:val="center"/>
          </w:tcPr>
          <w:p w14:paraId="18C03F1F">
            <w:pPr>
              <w:jc w:val="center"/>
              <w:rPr>
                <w:rFonts w:ascii="仿宋_GB2312" w:hAnsi="仿宋_GB2312" w:eastAsia="仿宋_GB2312" w:cs="仿宋_GB2312"/>
                <w:lang w:eastAsia="zh-CN"/>
              </w:rPr>
            </w:pPr>
          </w:p>
        </w:tc>
        <w:tc>
          <w:tcPr>
            <w:tcW w:w="2977" w:type="dxa"/>
            <w:vMerge w:val="continue"/>
            <w:vAlign w:val="center"/>
          </w:tcPr>
          <w:p w14:paraId="31C9192D">
            <w:pPr>
              <w:jc w:val="center"/>
              <w:rPr>
                <w:rFonts w:ascii="仿宋_GB2312" w:hAnsi="仿宋_GB2312" w:eastAsia="仿宋_GB2312" w:cs="仿宋_GB2312"/>
                <w:lang w:eastAsia="zh-CN"/>
              </w:rPr>
            </w:pPr>
          </w:p>
        </w:tc>
        <w:tc>
          <w:tcPr>
            <w:tcW w:w="850" w:type="dxa"/>
            <w:vAlign w:val="center"/>
          </w:tcPr>
          <w:p w14:paraId="24C659CF">
            <w:pPr>
              <w:jc w:val="center"/>
              <w:rPr>
                <w:rFonts w:ascii="仿宋_GB2312" w:hAnsi="仿宋_GB2312" w:eastAsia="仿宋_GB2312" w:cs="仿宋_GB2312"/>
                <w:lang w:eastAsia="zh-CN"/>
              </w:rPr>
            </w:pPr>
          </w:p>
        </w:tc>
        <w:tc>
          <w:tcPr>
            <w:tcW w:w="709" w:type="dxa"/>
            <w:vAlign w:val="center"/>
          </w:tcPr>
          <w:p w14:paraId="3898C79C">
            <w:pPr>
              <w:jc w:val="center"/>
              <w:rPr>
                <w:rFonts w:ascii="仿宋_GB2312" w:hAnsi="仿宋_GB2312" w:eastAsia="仿宋_GB2312" w:cs="仿宋_GB2312"/>
                <w:lang w:eastAsia="zh-CN"/>
              </w:rPr>
            </w:pPr>
          </w:p>
        </w:tc>
        <w:tc>
          <w:tcPr>
            <w:tcW w:w="1291" w:type="dxa"/>
            <w:vAlign w:val="center"/>
          </w:tcPr>
          <w:p w14:paraId="02878914">
            <w:pPr>
              <w:jc w:val="center"/>
              <w:rPr>
                <w:rFonts w:ascii="仿宋_GB2312" w:hAnsi="仿宋_GB2312" w:eastAsia="仿宋_GB2312" w:cs="仿宋_GB2312"/>
                <w:lang w:eastAsia="zh-CN"/>
              </w:rPr>
            </w:pPr>
          </w:p>
        </w:tc>
        <w:tc>
          <w:tcPr>
            <w:tcW w:w="1006" w:type="dxa"/>
            <w:vAlign w:val="center"/>
          </w:tcPr>
          <w:p w14:paraId="3919C7F2">
            <w:pPr>
              <w:jc w:val="center"/>
              <w:rPr>
                <w:rFonts w:ascii="仿宋_GB2312" w:hAnsi="仿宋_GB2312" w:eastAsia="仿宋_GB2312" w:cs="仿宋_GB2312"/>
                <w:lang w:eastAsia="zh-CN"/>
              </w:rPr>
            </w:pPr>
          </w:p>
        </w:tc>
        <w:tc>
          <w:tcPr>
            <w:tcW w:w="1439" w:type="dxa"/>
            <w:vAlign w:val="center"/>
          </w:tcPr>
          <w:p w14:paraId="5F09E55A">
            <w:pPr>
              <w:jc w:val="center"/>
              <w:rPr>
                <w:rFonts w:ascii="仿宋_GB2312" w:hAnsi="仿宋_GB2312" w:eastAsia="仿宋_GB2312" w:cs="仿宋_GB2312"/>
                <w:lang w:eastAsia="zh-CN"/>
              </w:rPr>
            </w:pPr>
          </w:p>
        </w:tc>
        <w:tc>
          <w:tcPr>
            <w:tcW w:w="1440" w:type="dxa"/>
            <w:vAlign w:val="center"/>
          </w:tcPr>
          <w:p w14:paraId="5104E737">
            <w:pPr>
              <w:jc w:val="center"/>
              <w:rPr>
                <w:rFonts w:ascii="仿宋_GB2312" w:hAnsi="仿宋_GB2312" w:eastAsia="仿宋_GB2312" w:cs="仿宋_GB2312"/>
                <w:lang w:eastAsia="zh-CN"/>
              </w:rPr>
            </w:pPr>
          </w:p>
        </w:tc>
        <w:tc>
          <w:tcPr>
            <w:tcW w:w="862" w:type="dxa"/>
            <w:vAlign w:val="center"/>
          </w:tcPr>
          <w:p w14:paraId="3F174E2A">
            <w:pPr>
              <w:jc w:val="center"/>
              <w:rPr>
                <w:rFonts w:ascii="仿宋_GB2312" w:hAnsi="仿宋_GB2312" w:eastAsia="仿宋_GB2312" w:cs="仿宋_GB2312"/>
                <w:lang w:eastAsia="zh-CN"/>
              </w:rPr>
            </w:pPr>
          </w:p>
        </w:tc>
        <w:tc>
          <w:tcPr>
            <w:tcW w:w="1048" w:type="dxa"/>
            <w:vMerge w:val="continue"/>
            <w:vAlign w:val="center"/>
          </w:tcPr>
          <w:p w14:paraId="1ADEFB89">
            <w:pPr>
              <w:jc w:val="center"/>
              <w:rPr>
                <w:rFonts w:ascii="仿宋_GB2312" w:hAnsi="仿宋_GB2312" w:eastAsia="仿宋_GB2312" w:cs="仿宋_GB2312"/>
                <w:lang w:eastAsia="zh-CN"/>
              </w:rPr>
            </w:pPr>
          </w:p>
        </w:tc>
      </w:tr>
      <w:tr w14:paraId="0561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83" w:type="dxa"/>
            <w:vMerge w:val="continue"/>
            <w:vAlign w:val="center"/>
          </w:tcPr>
          <w:p w14:paraId="1178425C">
            <w:pPr>
              <w:jc w:val="center"/>
              <w:rPr>
                <w:rFonts w:ascii="仿宋_GB2312" w:hAnsi="仿宋_GB2312" w:eastAsia="仿宋_GB2312" w:cs="仿宋_GB2312"/>
                <w:lang w:eastAsia="zh-CN"/>
              </w:rPr>
            </w:pPr>
          </w:p>
        </w:tc>
        <w:tc>
          <w:tcPr>
            <w:tcW w:w="851" w:type="dxa"/>
            <w:vMerge w:val="continue"/>
            <w:vAlign w:val="center"/>
          </w:tcPr>
          <w:p w14:paraId="184CC616">
            <w:pPr>
              <w:jc w:val="center"/>
              <w:rPr>
                <w:rFonts w:ascii="仿宋_GB2312" w:hAnsi="仿宋_GB2312" w:eastAsia="仿宋_GB2312" w:cs="仿宋_GB2312"/>
                <w:lang w:eastAsia="zh-CN"/>
              </w:rPr>
            </w:pPr>
          </w:p>
        </w:tc>
        <w:tc>
          <w:tcPr>
            <w:tcW w:w="2977" w:type="dxa"/>
            <w:vMerge w:val="continue"/>
            <w:vAlign w:val="center"/>
          </w:tcPr>
          <w:p w14:paraId="6AD63546">
            <w:pPr>
              <w:jc w:val="center"/>
              <w:rPr>
                <w:rFonts w:ascii="仿宋_GB2312" w:hAnsi="仿宋_GB2312" w:eastAsia="仿宋_GB2312" w:cs="仿宋_GB2312"/>
                <w:lang w:eastAsia="zh-CN"/>
              </w:rPr>
            </w:pPr>
          </w:p>
        </w:tc>
        <w:tc>
          <w:tcPr>
            <w:tcW w:w="850" w:type="dxa"/>
            <w:vAlign w:val="center"/>
          </w:tcPr>
          <w:p w14:paraId="3E870C28">
            <w:pPr>
              <w:jc w:val="center"/>
              <w:rPr>
                <w:rFonts w:ascii="仿宋_GB2312" w:hAnsi="仿宋_GB2312" w:eastAsia="仿宋_GB2312" w:cs="仿宋_GB2312"/>
              </w:rPr>
            </w:pPr>
            <w:r>
              <w:rPr>
                <w:rFonts w:ascii="仿宋_GB2312" w:hAnsi="仿宋_GB2312" w:eastAsia="仿宋_GB2312" w:cs="仿宋_GB2312"/>
              </w:rPr>
              <w:t>……</w:t>
            </w:r>
          </w:p>
        </w:tc>
        <w:tc>
          <w:tcPr>
            <w:tcW w:w="709" w:type="dxa"/>
            <w:vAlign w:val="center"/>
          </w:tcPr>
          <w:p w14:paraId="22119DC2">
            <w:pPr>
              <w:jc w:val="center"/>
              <w:rPr>
                <w:rFonts w:ascii="仿宋_GB2312" w:hAnsi="仿宋_GB2312" w:eastAsia="仿宋_GB2312" w:cs="仿宋_GB2312"/>
              </w:rPr>
            </w:pPr>
          </w:p>
        </w:tc>
        <w:tc>
          <w:tcPr>
            <w:tcW w:w="1291" w:type="dxa"/>
            <w:vAlign w:val="center"/>
          </w:tcPr>
          <w:p w14:paraId="4554EBDA">
            <w:pPr>
              <w:jc w:val="center"/>
              <w:rPr>
                <w:rFonts w:ascii="仿宋_GB2312" w:hAnsi="仿宋_GB2312" w:eastAsia="仿宋_GB2312" w:cs="仿宋_GB2312"/>
              </w:rPr>
            </w:pPr>
          </w:p>
        </w:tc>
        <w:tc>
          <w:tcPr>
            <w:tcW w:w="1006" w:type="dxa"/>
            <w:vAlign w:val="center"/>
          </w:tcPr>
          <w:p w14:paraId="15FB9ED2">
            <w:pPr>
              <w:jc w:val="center"/>
              <w:rPr>
                <w:rFonts w:ascii="仿宋_GB2312" w:hAnsi="仿宋_GB2312" w:eastAsia="仿宋_GB2312" w:cs="仿宋_GB2312"/>
              </w:rPr>
            </w:pPr>
          </w:p>
        </w:tc>
        <w:tc>
          <w:tcPr>
            <w:tcW w:w="1439" w:type="dxa"/>
            <w:vAlign w:val="center"/>
          </w:tcPr>
          <w:p w14:paraId="77A94CC2">
            <w:pPr>
              <w:jc w:val="center"/>
              <w:rPr>
                <w:rFonts w:ascii="仿宋_GB2312" w:hAnsi="仿宋_GB2312" w:eastAsia="仿宋_GB2312" w:cs="仿宋_GB2312"/>
              </w:rPr>
            </w:pPr>
          </w:p>
        </w:tc>
        <w:tc>
          <w:tcPr>
            <w:tcW w:w="1440" w:type="dxa"/>
            <w:vAlign w:val="center"/>
          </w:tcPr>
          <w:p w14:paraId="084C9995">
            <w:pPr>
              <w:jc w:val="center"/>
              <w:rPr>
                <w:rFonts w:ascii="仿宋_GB2312" w:hAnsi="仿宋_GB2312" w:eastAsia="仿宋_GB2312" w:cs="仿宋_GB2312"/>
              </w:rPr>
            </w:pPr>
          </w:p>
        </w:tc>
        <w:tc>
          <w:tcPr>
            <w:tcW w:w="862" w:type="dxa"/>
            <w:vAlign w:val="center"/>
          </w:tcPr>
          <w:p w14:paraId="539F230C">
            <w:pPr>
              <w:jc w:val="center"/>
              <w:rPr>
                <w:rFonts w:ascii="仿宋_GB2312" w:hAnsi="仿宋_GB2312" w:eastAsia="仿宋_GB2312" w:cs="仿宋_GB2312"/>
              </w:rPr>
            </w:pPr>
          </w:p>
        </w:tc>
        <w:tc>
          <w:tcPr>
            <w:tcW w:w="1048" w:type="dxa"/>
            <w:vMerge w:val="continue"/>
            <w:vAlign w:val="center"/>
          </w:tcPr>
          <w:p w14:paraId="26E4B441">
            <w:pPr>
              <w:jc w:val="center"/>
              <w:rPr>
                <w:rFonts w:ascii="仿宋_GB2312" w:hAnsi="仿宋_GB2312" w:eastAsia="仿宋_GB2312" w:cs="仿宋_GB2312"/>
              </w:rPr>
            </w:pPr>
          </w:p>
        </w:tc>
      </w:tr>
      <w:tr w14:paraId="6180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83" w:type="dxa"/>
            <w:vMerge w:val="continue"/>
            <w:vAlign w:val="center"/>
          </w:tcPr>
          <w:p w14:paraId="61C2DAB9">
            <w:pPr>
              <w:jc w:val="center"/>
              <w:rPr>
                <w:rFonts w:ascii="仿宋_GB2312" w:hAnsi="仿宋_GB2312" w:eastAsia="仿宋_GB2312" w:cs="仿宋_GB2312"/>
              </w:rPr>
            </w:pPr>
          </w:p>
        </w:tc>
        <w:tc>
          <w:tcPr>
            <w:tcW w:w="851" w:type="dxa"/>
            <w:vMerge w:val="continue"/>
            <w:vAlign w:val="center"/>
          </w:tcPr>
          <w:p w14:paraId="3A7C3947">
            <w:pPr>
              <w:jc w:val="center"/>
              <w:rPr>
                <w:rFonts w:ascii="仿宋_GB2312" w:hAnsi="仿宋_GB2312" w:eastAsia="仿宋_GB2312" w:cs="仿宋_GB2312"/>
              </w:rPr>
            </w:pPr>
          </w:p>
        </w:tc>
        <w:tc>
          <w:tcPr>
            <w:tcW w:w="2977" w:type="dxa"/>
            <w:vMerge w:val="restart"/>
            <w:vAlign w:val="center"/>
          </w:tcPr>
          <w:p w14:paraId="56C0D921">
            <w:pPr>
              <w:jc w:val="center"/>
              <w:rPr>
                <w:rFonts w:ascii="仿宋_GB2312" w:hAnsi="仿宋_GB2312" w:eastAsia="仿宋_GB2312" w:cs="仿宋_GB2312"/>
              </w:rPr>
            </w:pPr>
            <w:r>
              <w:rPr>
                <w:rFonts w:hint="eastAsia" w:ascii="仿宋_GB2312" w:hAnsi="仿宋_GB2312" w:eastAsia="仿宋_GB2312" w:cs="仿宋_GB2312"/>
                <w:b/>
              </w:rPr>
              <w:t>容纳50人以下的会议室</w:t>
            </w:r>
          </w:p>
        </w:tc>
        <w:tc>
          <w:tcPr>
            <w:tcW w:w="850" w:type="dxa"/>
            <w:vAlign w:val="center"/>
          </w:tcPr>
          <w:p w14:paraId="0A65C6D5">
            <w:pPr>
              <w:jc w:val="center"/>
              <w:rPr>
                <w:rFonts w:ascii="仿宋_GB2312" w:hAnsi="仿宋_GB2312" w:eastAsia="仿宋_GB2312" w:cs="仿宋_GB2312"/>
              </w:rPr>
            </w:pPr>
          </w:p>
        </w:tc>
        <w:tc>
          <w:tcPr>
            <w:tcW w:w="709" w:type="dxa"/>
            <w:vAlign w:val="center"/>
          </w:tcPr>
          <w:p w14:paraId="13606EA9">
            <w:pPr>
              <w:jc w:val="center"/>
              <w:rPr>
                <w:rFonts w:ascii="仿宋_GB2312" w:hAnsi="仿宋_GB2312" w:eastAsia="仿宋_GB2312" w:cs="仿宋_GB2312"/>
              </w:rPr>
            </w:pPr>
          </w:p>
        </w:tc>
        <w:tc>
          <w:tcPr>
            <w:tcW w:w="1291" w:type="dxa"/>
            <w:vAlign w:val="center"/>
          </w:tcPr>
          <w:p w14:paraId="366B938E">
            <w:pPr>
              <w:jc w:val="center"/>
              <w:rPr>
                <w:rFonts w:ascii="仿宋_GB2312" w:hAnsi="仿宋_GB2312" w:eastAsia="仿宋_GB2312" w:cs="仿宋_GB2312"/>
              </w:rPr>
            </w:pPr>
          </w:p>
        </w:tc>
        <w:tc>
          <w:tcPr>
            <w:tcW w:w="1006" w:type="dxa"/>
            <w:vAlign w:val="center"/>
          </w:tcPr>
          <w:p w14:paraId="4BA5F07C">
            <w:pPr>
              <w:jc w:val="center"/>
              <w:rPr>
                <w:rFonts w:ascii="仿宋_GB2312" w:hAnsi="仿宋_GB2312" w:eastAsia="仿宋_GB2312" w:cs="仿宋_GB2312"/>
              </w:rPr>
            </w:pPr>
          </w:p>
        </w:tc>
        <w:tc>
          <w:tcPr>
            <w:tcW w:w="1439" w:type="dxa"/>
            <w:vAlign w:val="center"/>
          </w:tcPr>
          <w:p w14:paraId="0F279E13">
            <w:pPr>
              <w:jc w:val="center"/>
              <w:rPr>
                <w:rFonts w:ascii="仿宋_GB2312" w:hAnsi="仿宋_GB2312" w:eastAsia="仿宋_GB2312" w:cs="仿宋_GB2312"/>
              </w:rPr>
            </w:pPr>
          </w:p>
        </w:tc>
        <w:tc>
          <w:tcPr>
            <w:tcW w:w="1440" w:type="dxa"/>
            <w:vAlign w:val="center"/>
          </w:tcPr>
          <w:p w14:paraId="3C188423">
            <w:pPr>
              <w:jc w:val="center"/>
              <w:rPr>
                <w:rFonts w:ascii="仿宋_GB2312" w:hAnsi="仿宋_GB2312" w:eastAsia="仿宋_GB2312" w:cs="仿宋_GB2312"/>
              </w:rPr>
            </w:pPr>
          </w:p>
        </w:tc>
        <w:tc>
          <w:tcPr>
            <w:tcW w:w="862" w:type="dxa"/>
            <w:vAlign w:val="center"/>
          </w:tcPr>
          <w:p w14:paraId="5DB3E478">
            <w:pPr>
              <w:jc w:val="center"/>
              <w:rPr>
                <w:rFonts w:ascii="仿宋_GB2312" w:hAnsi="仿宋_GB2312" w:eastAsia="仿宋_GB2312" w:cs="仿宋_GB2312"/>
              </w:rPr>
            </w:pPr>
          </w:p>
        </w:tc>
        <w:tc>
          <w:tcPr>
            <w:tcW w:w="1048" w:type="dxa"/>
            <w:vMerge w:val="continue"/>
            <w:vAlign w:val="center"/>
          </w:tcPr>
          <w:p w14:paraId="0A855771">
            <w:pPr>
              <w:jc w:val="center"/>
              <w:rPr>
                <w:rFonts w:ascii="仿宋_GB2312" w:hAnsi="仿宋_GB2312" w:eastAsia="仿宋_GB2312" w:cs="仿宋_GB2312"/>
              </w:rPr>
            </w:pPr>
          </w:p>
        </w:tc>
      </w:tr>
      <w:tr w14:paraId="138B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83" w:type="dxa"/>
            <w:vMerge w:val="continue"/>
            <w:vAlign w:val="center"/>
          </w:tcPr>
          <w:p w14:paraId="358F203A">
            <w:pPr>
              <w:jc w:val="center"/>
              <w:rPr>
                <w:rFonts w:ascii="仿宋_GB2312" w:hAnsi="仿宋_GB2312" w:eastAsia="仿宋_GB2312" w:cs="仿宋_GB2312"/>
              </w:rPr>
            </w:pPr>
          </w:p>
        </w:tc>
        <w:tc>
          <w:tcPr>
            <w:tcW w:w="851" w:type="dxa"/>
            <w:vMerge w:val="continue"/>
            <w:vAlign w:val="center"/>
          </w:tcPr>
          <w:p w14:paraId="241BFE2D">
            <w:pPr>
              <w:jc w:val="center"/>
              <w:rPr>
                <w:rFonts w:ascii="仿宋_GB2312" w:hAnsi="仿宋_GB2312" w:eastAsia="仿宋_GB2312" w:cs="仿宋_GB2312"/>
              </w:rPr>
            </w:pPr>
          </w:p>
        </w:tc>
        <w:tc>
          <w:tcPr>
            <w:tcW w:w="2977" w:type="dxa"/>
            <w:vMerge w:val="continue"/>
            <w:vAlign w:val="center"/>
          </w:tcPr>
          <w:p w14:paraId="18428D0D">
            <w:pPr>
              <w:jc w:val="center"/>
              <w:rPr>
                <w:rFonts w:ascii="仿宋_GB2312" w:hAnsi="仿宋_GB2312" w:eastAsia="仿宋_GB2312" w:cs="仿宋_GB2312"/>
              </w:rPr>
            </w:pPr>
          </w:p>
        </w:tc>
        <w:tc>
          <w:tcPr>
            <w:tcW w:w="850" w:type="dxa"/>
            <w:vAlign w:val="center"/>
          </w:tcPr>
          <w:p w14:paraId="4E612938">
            <w:pPr>
              <w:jc w:val="center"/>
              <w:rPr>
                <w:rFonts w:ascii="仿宋_GB2312" w:hAnsi="仿宋_GB2312" w:eastAsia="仿宋_GB2312" w:cs="仿宋_GB2312"/>
              </w:rPr>
            </w:pPr>
          </w:p>
        </w:tc>
        <w:tc>
          <w:tcPr>
            <w:tcW w:w="709" w:type="dxa"/>
            <w:vAlign w:val="center"/>
          </w:tcPr>
          <w:p w14:paraId="3B34B8C0">
            <w:pPr>
              <w:jc w:val="center"/>
              <w:rPr>
                <w:rFonts w:ascii="仿宋_GB2312" w:hAnsi="仿宋_GB2312" w:eastAsia="仿宋_GB2312" w:cs="仿宋_GB2312"/>
              </w:rPr>
            </w:pPr>
          </w:p>
        </w:tc>
        <w:tc>
          <w:tcPr>
            <w:tcW w:w="1291" w:type="dxa"/>
            <w:vAlign w:val="center"/>
          </w:tcPr>
          <w:p w14:paraId="05FC92D0">
            <w:pPr>
              <w:jc w:val="center"/>
              <w:rPr>
                <w:rFonts w:ascii="仿宋_GB2312" w:hAnsi="仿宋_GB2312" w:eastAsia="仿宋_GB2312" w:cs="仿宋_GB2312"/>
              </w:rPr>
            </w:pPr>
          </w:p>
        </w:tc>
        <w:tc>
          <w:tcPr>
            <w:tcW w:w="1006" w:type="dxa"/>
            <w:vAlign w:val="center"/>
          </w:tcPr>
          <w:p w14:paraId="6E09B0FC">
            <w:pPr>
              <w:jc w:val="center"/>
              <w:rPr>
                <w:rFonts w:ascii="仿宋_GB2312" w:hAnsi="仿宋_GB2312" w:eastAsia="仿宋_GB2312" w:cs="仿宋_GB2312"/>
              </w:rPr>
            </w:pPr>
          </w:p>
        </w:tc>
        <w:tc>
          <w:tcPr>
            <w:tcW w:w="1439" w:type="dxa"/>
            <w:vAlign w:val="center"/>
          </w:tcPr>
          <w:p w14:paraId="03A1CF1B">
            <w:pPr>
              <w:jc w:val="center"/>
              <w:rPr>
                <w:rFonts w:ascii="仿宋_GB2312" w:hAnsi="仿宋_GB2312" w:eastAsia="仿宋_GB2312" w:cs="仿宋_GB2312"/>
              </w:rPr>
            </w:pPr>
          </w:p>
        </w:tc>
        <w:tc>
          <w:tcPr>
            <w:tcW w:w="1440" w:type="dxa"/>
            <w:vAlign w:val="center"/>
          </w:tcPr>
          <w:p w14:paraId="2F67AD6A">
            <w:pPr>
              <w:jc w:val="center"/>
              <w:rPr>
                <w:rFonts w:ascii="仿宋_GB2312" w:hAnsi="仿宋_GB2312" w:eastAsia="仿宋_GB2312" w:cs="仿宋_GB2312"/>
              </w:rPr>
            </w:pPr>
          </w:p>
        </w:tc>
        <w:tc>
          <w:tcPr>
            <w:tcW w:w="862" w:type="dxa"/>
            <w:vAlign w:val="center"/>
          </w:tcPr>
          <w:p w14:paraId="572FBCD3">
            <w:pPr>
              <w:jc w:val="center"/>
              <w:rPr>
                <w:rFonts w:ascii="仿宋_GB2312" w:hAnsi="仿宋_GB2312" w:eastAsia="仿宋_GB2312" w:cs="仿宋_GB2312"/>
              </w:rPr>
            </w:pPr>
          </w:p>
        </w:tc>
        <w:tc>
          <w:tcPr>
            <w:tcW w:w="1048" w:type="dxa"/>
            <w:vMerge w:val="continue"/>
            <w:vAlign w:val="center"/>
          </w:tcPr>
          <w:p w14:paraId="5FFA0368">
            <w:pPr>
              <w:jc w:val="center"/>
              <w:rPr>
                <w:rFonts w:ascii="仿宋_GB2312" w:hAnsi="仿宋_GB2312" w:eastAsia="仿宋_GB2312" w:cs="仿宋_GB2312"/>
              </w:rPr>
            </w:pPr>
          </w:p>
        </w:tc>
      </w:tr>
      <w:tr w14:paraId="77722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83" w:type="dxa"/>
            <w:vMerge w:val="continue"/>
            <w:vAlign w:val="center"/>
          </w:tcPr>
          <w:p w14:paraId="66A2329A">
            <w:pPr>
              <w:jc w:val="center"/>
              <w:rPr>
                <w:rFonts w:ascii="仿宋_GB2312" w:hAnsi="仿宋_GB2312" w:eastAsia="仿宋_GB2312" w:cs="仿宋_GB2312"/>
              </w:rPr>
            </w:pPr>
          </w:p>
        </w:tc>
        <w:tc>
          <w:tcPr>
            <w:tcW w:w="851" w:type="dxa"/>
            <w:vMerge w:val="continue"/>
            <w:vAlign w:val="center"/>
          </w:tcPr>
          <w:p w14:paraId="505D16CF">
            <w:pPr>
              <w:jc w:val="center"/>
              <w:rPr>
                <w:rFonts w:ascii="仿宋_GB2312" w:hAnsi="仿宋_GB2312" w:eastAsia="仿宋_GB2312" w:cs="仿宋_GB2312"/>
              </w:rPr>
            </w:pPr>
          </w:p>
        </w:tc>
        <w:tc>
          <w:tcPr>
            <w:tcW w:w="2977" w:type="dxa"/>
            <w:vMerge w:val="continue"/>
            <w:vAlign w:val="center"/>
          </w:tcPr>
          <w:p w14:paraId="45D6E236">
            <w:pPr>
              <w:jc w:val="center"/>
              <w:rPr>
                <w:rFonts w:ascii="仿宋_GB2312" w:hAnsi="仿宋_GB2312" w:eastAsia="仿宋_GB2312" w:cs="仿宋_GB2312"/>
              </w:rPr>
            </w:pPr>
          </w:p>
        </w:tc>
        <w:tc>
          <w:tcPr>
            <w:tcW w:w="850" w:type="dxa"/>
            <w:vAlign w:val="center"/>
          </w:tcPr>
          <w:p w14:paraId="5B0133CD">
            <w:pPr>
              <w:jc w:val="center"/>
              <w:rPr>
                <w:rFonts w:ascii="仿宋_GB2312" w:hAnsi="仿宋_GB2312" w:eastAsia="仿宋_GB2312" w:cs="仿宋_GB2312"/>
              </w:rPr>
            </w:pPr>
            <w:r>
              <w:rPr>
                <w:rFonts w:ascii="仿宋_GB2312" w:hAnsi="仿宋_GB2312" w:eastAsia="仿宋_GB2312" w:cs="仿宋_GB2312"/>
              </w:rPr>
              <w:t>……</w:t>
            </w:r>
          </w:p>
        </w:tc>
        <w:tc>
          <w:tcPr>
            <w:tcW w:w="709" w:type="dxa"/>
            <w:vAlign w:val="center"/>
          </w:tcPr>
          <w:p w14:paraId="7F8EA205">
            <w:pPr>
              <w:jc w:val="center"/>
              <w:rPr>
                <w:rFonts w:ascii="仿宋_GB2312" w:hAnsi="仿宋_GB2312" w:eastAsia="仿宋_GB2312" w:cs="仿宋_GB2312"/>
              </w:rPr>
            </w:pPr>
          </w:p>
        </w:tc>
        <w:tc>
          <w:tcPr>
            <w:tcW w:w="1291" w:type="dxa"/>
            <w:vAlign w:val="center"/>
          </w:tcPr>
          <w:p w14:paraId="53CF89F1">
            <w:pPr>
              <w:jc w:val="center"/>
              <w:rPr>
                <w:rFonts w:ascii="仿宋_GB2312" w:hAnsi="仿宋_GB2312" w:eastAsia="仿宋_GB2312" w:cs="仿宋_GB2312"/>
              </w:rPr>
            </w:pPr>
          </w:p>
        </w:tc>
        <w:tc>
          <w:tcPr>
            <w:tcW w:w="1006" w:type="dxa"/>
            <w:vAlign w:val="center"/>
          </w:tcPr>
          <w:p w14:paraId="53B97E12">
            <w:pPr>
              <w:jc w:val="center"/>
              <w:rPr>
                <w:rFonts w:ascii="仿宋_GB2312" w:hAnsi="仿宋_GB2312" w:eastAsia="仿宋_GB2312" w:cs="仿宋_GB2312"/>
              </w:rPr>
            </w:pPr>
          </w:p>
        </w:tc>
        <w:tc>
          <w:tcPr>
            <w:tcW w:w="1439" w:type="dxa"/>
            <w:vAlign w:val="center"/>
          </w:tcPr>
          <w:p w14:paraId="5CDBE39D">
            <w:pPr>
              <w:jc w:val="center"/>
              <w:rPr>
                <w:rFonts w:ascii="仿宋_GB2312" w:hAnsi="仿宋_GB2312" w:eastAsia="仿宋_GB2312" w:cs="仿宋_GB2312"/>
              </w:rPr>
            </w:pPr>
          </w:p>
        </w:tc>
        <w:tc>
          <w:tcPr>
            <w:tcW w:w="1440" w:type="dxa"/>
            <w:vAlign w:val="center"/>
          </w:tcPr>
          <w:p w14:paraId="16ADE3A8">
            <w:pPr>
              <w:jc w:val="center"/>
              <w:rPr>
                <w:rFonts w:ascii="仿宋_GB2312" w:hAnsi="仿宋_GB2312" w:eastAsia="仿宋_GB2312" w:cs="仿宋_GB2312"/>
              </w:rPr>
            </w:pPr>
          </w:p>
        </w:tc>
        <w:tc>
          <w:tcPr>
            <w:tcW w:w="862" w:type="dxa"/>
            <w:vAlign w:val="center"/>
          </w:tcPr>
          <w:p w14:paraId="52107053">
            <w:pPr>
              <w:jc w:val="center"/>
              <w:rPr>
                <w:rFonts w:ascii="仿宋_GB2312" w:hAnsi="仿宋_GB2312" w:eastAsia="仿宋_GB2312" w:cs="仿宋_GB2312"/>
              </w:rPr>
            </w:pPr>
          </w:p>
        </w:tc>
        <w:tc>
          <w:tcPr>
            <w:tcW w:w="1048" w:type="dxa"/>
            <w:vMerge w:val="continue"/>
            <w:vAlign w:val="center"/>
          </w:tcPr>
          <w:p w14:paraId="371862A6">
            <w:pPr>
              <w:jc w:val="center"/>
              <w:rPr>
                <w:rFonts w:ascii="仿宋_GB2312" w:hAnsi="仿宋_GB2312" w:eastAsia="仿宋_GB2312" w:cs="仿宋_GB2312"/>
              </w:rPr>
            </w:pPr>
          </w:p>
        </w:tc>
      </w:tr>
    </w:tbl>
    <w:p w14:paraId="38E1B889">
      <w:pPr>
        <w:tabs>
          <w:tab w:val="left" w:pos="420"/>
        </w:tabs>
        <w:spacing w:line="360" w:lineRule="auto"/>
        <w:rPr>
          <w:rFonts w:ascii="仿宋_GB2312" w:hAnsi="仿宋_GB2312" w:eastAsia="仿宋_GB2312" w:cs="仿宋_GB2312"/>
          <w:b/>
          <w:bCs/>
          <w:lang w:eastAsia="zh-CN"/>
        </w:rPr>
      </w:pPr>
    </w:p>
    <w:p w14:paraId="43C4B95D">
      <w:pPr>
        <w:tabs>
          <w:tab w:val="left" w:pos="420"/>
        </w:tabs>
        <w:spacing w:line="360" w:lineRule="auto"/>
        <w:ind w:firstLine="896" w:firstLineChars="372"/>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w:t>
      </w:r>
    </w:p>
    <w:p w14:paraId="6DDF07AE">
      <w:pPr>
        <w:tabs>
          <w:tab w:val="left" w:pos="420"/>
        </w:tabs>
        <w:spacing w:line="360" w:lineRule="auto"/>
        <w:ind w:left="1259" w:leftChars="428" w:hanging="360" w:hangingChars="15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会议定点场所应当具备承办党政机关四类会议以上规模的能力，并提供全部会议室。会议定点饭店会议室价格控制在门市价的60%以下（如：投标人会议室门市价为100元，投标报价不能高于60元），否则将被视为无效投标。</w:t>
      </w:r>
    </w:p>
    <w:p w14:paraId="39FC879D">
      <w:pPr>
        <w:tabs>
          <w:tab w:val="left" w:pos="420"/>
        </w:tabs>
        <w:spacing w:line="360" w:lineRule="auto"/>
        <w:ind w:right="636" w:rightChars="303" w:firstLine="900" w:firstLineChars="375"/>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Cs/>
          <w:sz w:val="24"/>
          <w:szCs w:val="24"/>
          <w:lang w:eastAsia="zh-CN"/>
        </w:rPr>
        <w:t>2、</w:t>
      </w:r>
      <w:r>
        <w:rPr>
          <w:rFonts w:hint="eastAsia" w:asciiTheme="minorEastAsia" w:hAnsiTheme="minorEastAsia" w:eastAsiaTheme="minorEastAsia" w:cstheme="minorEastAsia"/>
          <w:sz w:val="24"/>
          <w:szCs w:val="24"/>
          <w:lang w:eastAsia="zh-CN"/>
        </w:rPr>
        <w:t>本表投标人可根据自身情况添加。</w:t>
      </w:r>
    </w:p>
    <w:p w14:paraId="20DDA48E">
      <w:pPr>
        <w:tabs>
          <w:tab w:val="left" w:pos="420"/>
        </w:tabs>
        <w:spacing w:line="360" w:lineRule="auto"/>
        <w:ind w:right="636" w:rightChars="303" w:firstLine="900" w:firstLineChars="375"/>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z w:val="24"/>
          <w:szCs w:val="24"/>
          <w:lang w:eastAsia="zh-CN"/>
        </w:rPr>
        <w:t>3、投标人名称应填开发票单位名称。</w:t>
      </w:r>
    </w:p>
    <w:p w14:paraId="5857FA3A">
      <w:pPr>
        <w:tabs>
          <w:tab w:val="left" w:pos="420"/>
        </w:tabs>
        <w:spacing w:line="360" w:lineRule="auto"/>
        <w:ind w:right="636" w:rightChars="303" w:firstLine="900" w:firstLineChars="375"/>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4、未按要求报价或投标报价超过限额标准的投标将被视为无效投标。</w:t>
      </w:r>
    </w:p>
    <w:p w14:paraId="1F31A1B0">
      <w:pPr>
        <w:tabs>
          <w:tab w:val="left" w:pos="420"/>
        </w:tabs>
        <w:spacing w:line="360" w:lineRule="auto"/>
        <w:ind w:left="1259" w:leftChars="428" w:right="636" w:rightChars="303" w:hanging="360" w:hangingChars="15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Cs/>
          <w:sz w:val="24"/>
          <w:szCs w:val="24"/>
          <w:lang w:eastAsia="zh-CN"/>
        </w:rPr>
        <w:t>5、</w:t>
      </w:r>
      <w:r>
        <w:rPr>
          <w:rFonts w:hint="eastAsia" w:asciiTheme="minorEastAsia" w:hAnsiTheme="minorEastAsia" w:eastAsiaTheme="minorEastAsia" w:cstheme="minorEastAsia"/>
          <w:b/>
          <w:bCs/>
          <w:sz w:val="24"/>
          <w:szCs w:val="24"/>
          <w:lang w:eastAsia="zh-CN"/>
        </w:rPr>
        <w:t>优惠率为（门市价-投标报价）/门市价。综合优惠率是指投标人所报的优惠率的算术平均值，为必填内容，不按要求填报的投标将被视为无效投标。综合优惠率评标时作为投标报价分值计算的依据。</w:t>
      </w:r>
    </w:p>
    <w:p w14:paraId="0C6995FA">
      <w:pPr>
        <w:spacing w:line="360" w:lineRule="auto"/>
        <w:rPr>
          <w:rFonts w:asciiTheme="minorEastAsia" w:hAnsiTheme="minorEastAsia" w:eastAsiaTheme="minorEastAsia" w:cstheme="minorEastAsia"/>
          <w:sz w:val="24"/>
          <w:szCs w:val="24"/>
          <w:lang w:eastAsia="zh-CN"/>
        </w:rPr>
      </w:pPr>
    </w:p>
    <w:p w14:paraId="61B73599">
      <w:pPr>
        <w:spacing w:line="360" w:lineRule="auto"/>
        <w:ind w:firstLine="1680" w:firstLineChars="7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投标人名称：（盖公章）                  授权代表</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sz w:val="24"/>
          <w:szCs w:val="24"/>
          <w:lang w:eastAsia="zh-CN"/>
        </w:rPr>
        <w:t>（签字）</w:t>
      </w:r>
    </w:p>
    <w:p w14:paraId="01B640BD">
      <w:pPr>
        <w:tabs>
          <w:tab w:val="left" w:pos="360"/>
          <w:tab w:val="left" w:pos="540"/>
        </w:tabs>
        <w:spacing w:line="360" w:lineRule="auto"/>
        <w:ind w:right="960" w:firstLine="3840" w:firstLineChars="160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   期：   年   月   日</w:t>
      </w:r>
    </w:p>
    <w:p w14:paraId="1CAF58A2">
      <w:pPr>
        <w:spacing w:line="360" w:lineRule="auto"/>
        <w:rPr>
          <w:rFonts w:ascii="仿宋_GB2312" w:hAnsi="宋体" w:eastAsia="仿宋_GB2312"/>
          <w:b/>
          <w:sz w:val="28"/>
          <w:szCs w:val="28"/>
          <w:lang w:eastAsia="zh-CN"/>
        </w:rPr>
      </w:pPr>
    </w:p>
    <w:p w14:paraId="1E30E9CA">
      <w:pPr>
        <w:spacing w:line="360" w:lineRule="auto"/>
        <w:rPr>
          <w:rFonts w:ascii="仿宋_GB2312" w:hAnsi="宋体" w:eastAsia="仿宋_GB2312"/>
          <w:b/>
          <w:sz w:val="28"/>
          <w:szCs w:val="28"/>
          <w:lang w:eastAsia="zh-CN"/>
        </w:rPr>
        <w:sectPr>
          <w:headerReference r:id="rId14" w:type="default"/>
          <w:footerReference r:id="rId15" w:type="default"/>
          <w:pgSz w:w="16838" w:h="11906" w:orient="landscape"/>
          <w:pgMar w:top="1803" w:right="1440" w:bottom="1803" w:left="1440" w:header="851" w:footer="992" w:gutter="0"/>
          <w:pgNumType w:fmt="numberInDash"/>
          <w:cols w:space="720" w:num="1"/>
          <w:docGrid w:type="lines" w:linePitch="332" w:charSpace="0"/>
        </w:sectPr>
      </w:pPr>
    </w:p>
    <w:p w14:paraId="2B0214CC">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3.商务偏差表格式</w:t>
      </w:r>
    </w:p>
    <w:p w14:paraId="25B780A0">
      <w:pPr>
        <w:kinsoku/>
        <w:wordWrap w:val="0"/>
        <w:ind w:firstLine="482"/>
        <w:jc w:val="both"/>
        <w:rPr>
          <w:rFonts w:asciiTheme="minorEastAsia" w:hAnsiTheme="minorEastAsia" w:eastAsiaTheme="minorEastAsia" w:cstheme="minorEastAsia"/>
          <w:b/>
          <w:sz w:val="24"/>
          <w:szCs w:val="24"/>
          <w:lang w:eastAsia="zh-CN"/>
        </w:rPr>
      </w:pPr>
    </w:p>
    <w:p w14:paraId="7854FB9F">
      <w:pPr>
        <w:kinsoku/>
        <w:wordWrap w:val="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31C46D8D">
      <w:pPr>
        <w:kinsoku/>
        <w:wordWrap w:val="0"/>
        <w:spacing w:line="360" w:lineRule="auto"/>
        <w:jc w:val="both"/>
        <w:rPr>
          <w:rFonts w:asciiTheme="minorEastAsia" w:hAnsiTheme="minorEastAsia" w:eastAsiaTheme="minorEastAsia" w:cstheme="minorEastAsia"/>
          <w:sz w:val="24"/>
          <w:szCs w:val="24"/>
          <w:lang w:eastAsia="zh-CN"/>
        </w:rPr>
      </w:pPr>
    </w:p>
    <w:p w14:paraId="1672EC48">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008"/>
        <w:gridCol w:w="1885"/>
        <w:gridCol w:w="1719"/>
        <w:gridCol w:w="1298"/>
      </w:tblGrid>
      <w:tr w14:paraId="6103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exact"/>
        </w:trPr>
        <w:tc>
          <w:tcPr>
            <w:tcW w:w="841" w:type="dxa"/>
            <w:tcBorders>
              <w:top w:val="single" w:color="auto" w:sz="4" w:space="0"/>
              <w:left w:val="single" w:color="auto" w:sz="4" w:space="0"/>
              <w:bottom w:val="single" w:color="auto" w:sz="4" w:space="0"/>
              <w:right w:val="single" w:color="auto" w:sz="4" w:space="0"/>
            </w:tcBorders>
            <w:vAlign w:val="center"/>
          </w:tcPr>
          <w:p w14:paraId="4552FB28">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2008" w:type="dxa"/>
            <w:tcBorders>
              <w:top w:val="single" w:color="auto" w:sz="4" w:space="0"/>
              <w:left w:val="single" w:color="auto" w:sz="4" w:space="0"/>
              <w:bottom w:val="single" w:color="auto" w:sz="4" w:space="0"/>
              <w:right w:val="single" w:color="auto" w:sz="4" w:space="0"/>
            </w:tcBorders>
            <w:vAlign w:val="bottom"/>
          </w:tcPr>
          <w:p w14:paraId="75235AE7">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1A270FEF">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85" w:type="dxa"/>
            <w:tcBorders>
              <w:top w:val="single" w:color="auto" w:sz="4" w:space="0"/>
              <w:left w:val="single" w:color="auto" w:sz="4" w:space="0"/>
              <w:bottom w:val="single" w:color="auto" w:sz="4" w:space="0"/>
              <w:right w:val="single" w:color="auto" w:sz="4" w:space="0"/>
            </w:tcBorders>
            <w:vAlign w:val="bottom"/>
          </w:tcPr>
          <w:p w14:paraId="696B151D">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719" w:type="dxa"/>
            <w:tcBorders>
              <w:top w:val="single" w:color="auto" w:sz="4" w:space="0"/>
              <w:left w:val="single" w:color="auto" w:sz="4" w:space="0"/>
              <w:bottom w:val="single" w:color="auto" w:sz="4" w:space="0"/>
              <w:right w:val="single" w:color="auto" w:sz="4" w:space="0"/>
            </w:tcBorders>
            <w:vAlign w:val="center"/>
          </w:tcPr>
          <w:p w14:paraId="71DCB45E">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98" w:type="dxa"/>
            <w:tcBorders>
              <w:top w:val="single" w:color="auto" w:sz="4" w:space="0"/>
              <w:left w:val="single" w:color="auto" w:sz="4" w:space="0"/>
              <w:bottom w:val="single" w:color="auto" w:sz="4" w:space="0"/>
              <w:right w:val="single" w:color="auto" w:sz="4" w:space="0"/>
            </w:tcBorders>
            <w:vAlign w:val="center"/>
          </w:tcPr>
          <w:p w14:paraId="18BF8816">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15C5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841" w:type="dxa"/>
            <w:tcBorders>
              <w:top w:val="single" w:color="auto" w:sz="4" w:space="0"/>
              <w:left w:val="single" w:color="auto" w:sz="4" w:space="0"/>
              <w:bottom w:val="single" w:color="auto" w:sz="4" w:space="0"/>
              <w:right w:val="single" w:color="auto" w:sz="4" w:space="0"/>
            </w:tcBorders>
          </w:tcPr>
          <w:p w14:paraId="688C88B3">
            <w:pPr>
              <w:kinsoku/>
              <w:wordWrap w:val="0"/>
              <w:jc w:val="both"/>
              <w:rPr>
                <w:rFonts w:asciiTheme="minorEastAsia" w:hAnsiTheme="minorEastAsia" w:eastAsiaTheme="minorEastAsia" w:cstheme="minorEastAsia"/>
                <w:sz w:val="24"/>
                <w:szCs w:val="24"/>
              </w:rPr>
            </w:pPr>
          </w:p>
        </w:tc>
        <w:tc>
          <w:tcPr>
            <w:tcW w:w="2008" w:type="dxa"/>
            <w:tcBorders>
              <w:top w:val="single" w:color="auto" w:sz="4" w:space="0"/>
              <w:left w:val="single" w:color="auto" w:sz="4" w:space="0"/>
              <w:bottom w:val="single" w:color="auto" w:sz="4" w:space="0"/>
              <w:right w:val="single" w:color="auto" w:sz="4" w:space="0"/>
            </w:tcBorders>
          </w:tcPr>
          <w:p w14:paraId="695E4DAC">
            <w:pPr>
              <w:kinsoku/>
              <w:wordWrap w:val="0"/>
              <w:jc w:val="both"/>
              <w:rPr>
                <w:rFonts w:asciiTheme="minorEastAsia" w:hAnsiTheme="minorEastAsia" w:eastAsiaTheme="minorEastAsia" w:cstheme="minorEastAsia"/>
                <w:sz w:val="24"/>
                <w:szCs w:val="24"/>
              </w:rPr>
            </w:pPr>
          </w:p>
        </w:tc>
        <w:tc>
          <w:tcPr>
            <w:tcW w:w="1885" w:type="dxa"/>
            <w:tcBorders>
              <w:top w:val="single" w:color="auto" w:sz="4" w:space="0"/>
              <w:left w:val="single" w:color="auto" w:sz="4" w:space="0"/>
              <w:bottom w:val="single" w:color="auto" w:sz="4" w:space="0"/>
              <w:right w:val="single" w:color="auto" w:sz="4" w:space="0"/>
            </w:tcBorders>
          </w:tcPr>
          <w:p w14:paraId="1097C613">
            <w:pPr>
              <w:kinsoku/>
              <w:wordWrap w:val="0"/>
              <w:jc w:val="both"/>
              <w:rPr>
                <w:rFonts w:asciiTheme="minorEastAsia" w:hAnsiTheme="minorEastAsia" w:eastAsiaTheme="minorEastAsia" w:cstheme="minorEastAsia"/>
                <w:sz w:val="24"/>
                <w:szCs w:val="24"/>
              </w:rPr>
            </w:pPr>
          </w:p>
        </w:tc>
        <w:tc>
          <w:tcPr>
            <w:tcW w:w="1719" w:type="dxa"/>
            <w:tcBorders>
              <w:top w:val="single" w:color="auto" w:sz="4" w:space="0"/>
              <w:left w:val="single" w:color="auto" w:sz="4" w:space="0"/>
              <w:bottom w:val="single" w:color="auto" w:sz="4" w:space="0"/>
              <w:right w:val="single" w:color="auto" w:sz="4" w:space="0"/>
            </w:tcBorders>
          </w:tcPr>
          <w:p w14:paraId="0A922C8A">
            <w:pPr>
              <w:kinsoku/>
              <w:wordWrap w:val="0"/>
              <w:jc w:val="both"/>
              <w:rPr>
                <w:rFonts w:asciiTheme="minorEastAsia" w:hAnsiTheme="minorEastAsia" w:eastAsiaTheme="minorEastAsia" w:cstheme="minorEastAsia"/>
                <w:sz w:val="24"/>
                <w:szCs w:val="24"/>
              </w:rPr>
            </w:pPr>
          </w:p>
        </w:tc>
        <w:tc>
          <w:tcPr>
            <w:tcW w:w="1298" w:type="dxa"/>
            <w:tcBorders>
              <w:top w:val="single" w:color="auto" w:sz="4" w:space="0"/>
              <w:left w:val="single" w:color="auto" w:sz="4" w:space="0"/>
              <w:bottom w:val="single" w:color="auto" w:sz="4" w:space="0"/>
              <w:right w:val="single" w:color="auto" w:sz="4" w:space="0"/>
            </w:tcBorders>
          </w:tcPr>
          <w:p w14:paraId="10473E93">
            <w:pPr>
              <w:kinsoku/>
              <w:wordWrap w:val="0"/>
              <w:jc w:val="both"/>
              <w:rPr>
                <w:rFonts w:asciiTheme="minorEastAsia" w:hAnsiTheme="minorEastAsia" w:eastAsiaTheme="minorEastAsia" w:cstheme="minorEastAsia"/>
                <w:sz w:val="24"/>
                <w:szCs w:val="24"/>
              </w:rPr>
            </w:pPr>
          </w:p>
        </w:tc>
      </w:tr>
      <w:tr w14:paraId="2CEC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841" w:type="dxa"/>
            <w:tcBorders>
              <w:top w:val="single" w:color="auto" w:sz="4" w:space="0"/>
              <w:left w:val="single" w:color="auto" w:sz="4" w:space="0"/>
              <w:bottom w:val="single" w:color="auto" w:sz="4" w:space="0"/>
              <w:right w:val="single" w:color="auto" w:sz="4" w:space="0"/>
            </w:tcBorders>
          </w:tcPr>
          <w:p w14:paraId="52E7AEB9">
            <w:pPr>
              <w:kinsoku/>
              <w:wordWrap w:val="0"/>
              <w:jc w:val="both"/>
              <w:rPr>
                <w:rFonts w:asciiTheme="minorEastAsia" w:hAnsiTheme="minorEastAsia" w:eastAsiaTheme="minorEastAsia" w:cstheme="minorEastAsia"/>
                <w:sz w:val="24"/>
                <w:szCs w:val="24"/>
              </w:rPr>
            </w:pPr>
          </w:p>
        </w:tc>
        <w:tc>
          <w:tcPr>
            <w:tcW w:w="2008" w:type="dxa"/>
            <w:tcBorders>
              <w:top w:val="single" w:color="auto" w:sz="4" w:space="0"/>
              <w:left w:val="single" w:color="auto" w:sz="4" w:space="0"/>
              <w:bottom w:val="single" w:color="auto" w:sz="4" w:space="0"/>
              <w:right w:val="single" w:color="auto" w:sz="4" w:space="0"/>
            </w:tcBorders>
          </w:tcPr>
          <w:p w14:paraId="77BB9D25">
            <w:pPr>
              <w:kinsoku/>
              <w:wordWrap w:val="0"/>
              <w:jc w:val="both"/>
              <w:rPr>
                <w:rFonts w:asciiTheme="minorEastAsia" w:hAnsiTheme="minorEastAsia" w:eastAsiaTheme="minorEastAsia" w:cstheme="minorEastAsia"/>
                <w:sz w:val="24"/>
                <w:szCs w:val="24"/>
              </w:rPr>
            </w:pPr>
          </w:p>
        </w:tc>
        <w:tc>
          <w:tcPr>
            <w:tcW w:w="1885" w:type="dxa"/>
            <w:tcBorders>
              <w:top w:val="single" w:color="auto" w:sz="4" w:space="0"/>
              <w:left w:val="single" w:color="auto" w:sz="4" w:space="0"/>
              <w:bottom w:val="single" w:color="auto" w:sz="4" w:space="0"/>
              <w:right w:val="single" w:color="auto" w:sz="4" w:space="0"/>
            </w:tcBorders>
          </w:tcPr>
          <w:p w14:paraId="038FF324">
            <w:pPr>
              <w:kinsoku/>
              <w:wordWrap w:val="0"/>
              <w:jc w:val="both"/>
              <w:rPr>
                <w:rFonts w:asciiTheme="minorEastAsia" w:hAnsiTheme="minorEastAsia" w:eastAsiaTheme="minorEastAsia" w:cstheme="minorEastAsia"/>
                <w:sz w:val="24"/>
                <w:szCs w:val="24"/>
              </w:rPr>
            </w:pPr>
          </w:p>
        </w:tc>
        <w:tc>
          <w:tcPr>
            <w:tcW w:w="1719" w:type="dxa"/>
            <w:tcBorders>
              <w:top w:val="single" w:color="auto" w:sz="4" w:space="0"/>
              <w:left w:val="single" w:color="auto" w:sz="4" w:space="0"/>
              <w:bottom w:val="single" w:color="auto" w:sz="4" w:space="0"/>
              <w:right w:val="single" w:color="auto" w:sz="4" w:space="0"/>
            </w:tcBorders>
          </w:tcPr>
          <w:p w14:paraId="38E53762">
            <w:pPr>
              <w:kinsoku/>
              <w:wordWrap w:val="0"/>
              <w:jc w:val="both"/>
              <w:rPr>
                <w:rFonts w:asciiTheme="minorEastAsia" w:hAnsiTheme="minorEastAsia" w:eastAsiaTheme="minorEastAsia" w:cstheme="minorEastAsia"/>
                <w:sz w:val="24"/>
                <w:szCs w:val="24"/>
              </w:rPr>
            </w:pPr>
          </w:p>
        </w:tc>
        <w:tc>
          <w:tcPr>
            <w:tcW w:w="1298" w:type="dxa"/>
            <w:tcBorders>
              <w:top w:val="single" w:color="auto" w:sz="4" w:space="0"/>
              <w:left w:val="single" w:color="auto" w:sz="4" w:space="0"/>
              <w:bottom w:val="single" w:color="auto" w:sz="4" w:space="0"/>
              <w:right w:val="single" w:color="auto" w:sz="4" w:space="0"/>
            </w:tcBorders>
          </w:tcPr>
          <w:p w14:paraId="54C892A3">
            <w:pPr>
              <w:kinsoku/>
              <w:wordWrap w:val="0"/>
              <w:jc w:val="both"/>
              <w:rPr>
                <w:rFonts w:asciiTheme="minorEastAsia" w:hAnsiTheme="minorEastAsia" w:eastAsiaTheme="minorEastAsia" w:cstheme="minorEastAsia"/>
                <w:sz w:val="24"/>
                <w:szCs w:val="24"/>
              </w:rPr>
            </w:pPr>
          </w:p>
        </w:tc>
      </w:tr>
      <w:tr w14:paraId="01331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841" w:type="dxa"/>
            <w:tcBorders>
              <w:top w:val="single" w:color="auto" w:sz="4" w:space="0"/>
              <w:left w:val="single" w:color="auto" w:sz="4" w:space="0"/>
              <w:bottom w:val="single" w:color="auto" w:sz="4" w:space="0"/>
              <w:right w:val="single" w:color="auto" w:sz="4" w:space="0"/>
            </w:tcBorders>
          </w:tcPr>
          <w:p w14:paraId="395CE06F">
            <w:pPr>
              <w:kinsoku/>
              <w:wordWrap w:val="0"/>
              <w:jc w:val="both"/>
              <w:rPr>
                <w:rFonts w:asciiTheme="minorEastAsia" w:hAnsiTheme="minorEastAsia" w:eastAsiaTheme="minorEastAsia" w:cstheme="minorEastAsia"/>
                <w:sz w:val="24"/>
                <w:szCs w:val="24"/>
              </w:rPr>
            </w:pPr>
          </w:p>
        </w:tc>
        <w:tc>
          <w:tcPr>
            <w:tcW w:w="2008" w:type="dxa"/>
            <w:tcBorders>
              <w:top w:val="single" w:color="auto" w:sz="4" w:space="0"/>
              <w:left w:val="single" w:color="auto" w:sz="4" w:space="0"/>
              <w:bottom w:val="single" w:color="auto" w:sz="4" w:space="0"/>
              <w:right w:val="single" w:color="auto" w:sz="4" w:space="0"/>
            </w:tcBorders>
          </w:tcPr>
          <w:p w14:paraId="0E90F055">
            <w:pPr>
              <w:kinsoku/>
              <w:wordWrap w:val="0"/>
              <w:jc w:val="both"/>
              <w:rPr>
                <w:rFonts w:asciiTheme="minorEastAsia" w:hAnsiTheme="minorEastAsia" w:eastAsiaTheme="minorEastAsia" w:cstheme="minorEastAsia"/>
                <w:sz w:val="24"/>
                <w:szCs w:val="24"/>
              </w:rPr>
            </w:pPr>
          </w:p>
        </w:tc>
        <w:tc>
          <w:tcPr>
            <w:tcW w:w="1885" w:type="dxa"/>
            <w:tcBorders>
              <w:top w:val="single" w:color="auto" w:sz="4" w:space="0"/>
              <w:left w:val="single" w:color="auto" w:sz="4" w:space="0"/>
              <w:bottom w:val="single" w:color="auto" w:sz="4" w:space="0"/>
              <w:right w:val="single" w:color="auto" w:sz="4" w:space="0"/>
            </w:tcBorders>
          </w:tcPr>
          <w:p w14:paraId="1E927354">
            <w:pPr>
              <w:kinsoku/>
              <w:wordWrap w:val="0"/>
              <w:jc w:val="both"/>
              <w:rPr>
                <w:rFonts w:asciiTheme="minorEastAsia" w:hAnsiTheme="minorEastAsia" w:eastAsiaTheme="minorEastAsia" w:cstheme="minorEastAsia"/>
                <w:sz w:val="24"/>
                <w:szCs w:val="24"/>
              </w:rPr>
            </w:pPr>
          </w:p>
        </w:tc>
        <w:tc>
          <w:tcPr>
            <w:tcW w:w="1719" w:type="dxa"/>
            <w:tcBorders>
              <w:top w:val="single" w:color="auto" w:sz="4" w:space="0"/>
              <w:left w:val="single" w:color="auto" w:sz="4" w:space="0"/>
              <w:bottom w:val="single" w:color="auto" w:sz="4" w:space="0"/>
              <w:right w:val="single" w:color="auto" w:sz="4" w:space="0"/>
            </w:tcBorders>
          </w:tcPr>
          <w:p w14:paraId="44ECAF7A">
            <w:pPr>
              <w:kinsoku/>
              <w:wordWrap w:val="0"/>
              <w:jc w:val="both"/>
              <w:rPr>
                <w:rFonts w:asciiTheme="minorEastAsia" w:hAnsiTheme="minorEastAsia" w:eastAsiaTheme="minorEastAsia" w:cstheme="minorEastAsia"/>
                <w:sz w:val="24"/>
                <w:szCs w:val="24"/>
              </w:rPr>
            </w:pPr>
          </w:p>
        </w:tc>
        <w:tc>
          <w:tcPr>
            <w:tcW w:w="1298" w:type="dxa"/>
            <w:tcBorders>
              <w:top w:val="single" w:color="auto" w:sz="4" w:space="0"/>
              <w:left w:val="single" w:color="auto" w:sz="4" w:space="0"/>
              <w:bottom w:val="single" w:color="auto" w:sz="4" w:space="0"/>
              <w:right w:val="single" w:color="auto" w:sz="4" w:space="0"/>
            </w:tcBorders>
          </w:tcPr>
          <w:p w14:paraId="386C1B4D">
            <w:pPr>
              <w:kinsoku/>
              <w:wordWrap w:val="0"/>
              <w:jc w:val="both"/>
              <w:rPr>
                <w:rFonts w:asciiTheme="minorEastAsia" w:hAnsiTheme="minorEastAsia" w:eastAsiaTheme="minorEastAsia" w:cstheme="minorEastAsia"/>
                <w:sz w:val="24"/>
                <w:szCs w:val="24"/>
              </w:rPr>
            </w:pPr>
          </w:p>
        </w:tc>
      </w:tr>
      <w:tr w14:paraId="2BC5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841" w:type="dxa"/>
            <w:tcBorders>
              <w:top w:val="single" w:color="auto" w:sz="4" w:space="0"/>
              <w:left w:val="single" w:color="auto" w:sz="4" w:space="0"/>
              <w:bottom w:val="single" w:color="auto" w:sz="4" w:space="0"/>
              <w:right w:val="single" w:color="auto" w:sz="4" w:space="0"/>
            </w:tcBorders>
          </w:tcPr>
          <w:p w14:paraId="7263796E">
            <w:pPr>
              <w:kinsoku/>
              <w:wordWrap w:val="0"/>
              <w:jc w:val="both"/>
              <w:rPr>
                <w:rFonts w:asciiTheme="minorEastAsia" w:hAnsiTheme="minorEastAsia" w:eastAsiaTheme="minorEastAsia" w:cstheme="minorEastAsia"/>
                <w:sz w:val="24"/>
                <w:szCs w:val="24"/>
              </w:rPr>
            </w:pPr>
          </w:p>
        </w:tc>
        <w:tc>
          <w:tcPr>
            <w:tcW w:w="2008" w:type="dxa"/>
            <w:tcBorders>
              <w:top w:val="single" w:color="auto" w:sz="4" w:space="0"/>
              <w:left w:val="single" w:color="auto" w:sz="4" w:space="0"/>
              <w:bottom w:val="single" w:color="auto" w:sz="4" w:space="0"/>
              <w:right w:val="single" w:color="auto" w:sz="4" w:space="0"/>
            </w:tcBorders>
          </w:tcPr>
          <w:p w14:paraId="538D10CD">
            <w:pPr>
              <w:kinsoku/>
              <w:wordWrap w:val="0"/>
              <w:jc w:val="both"/>
              <w:rPr>
                <w:rFonts w:asciiTheme="minorEastAsia" w:hAnsiTheme="minorEastAsia" w:eastAsiaTheme="minorEastAsia" w:cstheme="minorEastAsia"/>
                <w:sz w:val="24"/>
                <w:szCs w:val="24"/>
              </w:rPr>
            </w:pPr>
          </w:p>
        </w:tc>
        <w:tc>
          <w:tcPr>
            <w:tcW w:w="1885" w:type="dxa"/>
            <w:tcBorders>
              <w:top w:val="single" w:color="auto" w:sz="4" w:space="0"/>
              <w:left w:val="single" w:color="auto" w:sz="4" w:space="0"/>
              <w:bottom w:val="single" w:color="auto" w:sz="4" w:space="0"/>
              <w:right w:val="single" w:color="auto" w:sz="4" w:space="0"/>
            </w:tcBorders>
          </w:tcPr>
          <w:p w14:paraId="6D7B1E97">
            <w:pPr>
              <w:kinsoku/>
              <w:wordWrap w:val="0"/>
              <w:jc w:val="both"/>
              <w:rPr>
                <w:rFonts w:asciiTheme="minorEastAsia" w:hAnsiTheme="minorEastAsia" w:eastAsiaTheme="minorEastAsia" w:cstheme="minorEastAsia"/>
                <w:sz w:val="24"/>
                <w:szCs w:val="24"/>
              </w:rPr>
            </w:pPr>
          </w:p>
        </w:tc>
        <w:tc>
          <w:tcPr>
            <w:tcW w:w="1719" w:type="dxa"/>
            <w:tcBorders>
              <w:top w:val="single" w:color="auto" w:sz="4" w:space="0"/>
              <w:left w:val="single" w:color="auto" w:sz="4" w:space="0"/>
              <w:bottom w:val="single" w:color="auto" w:sz="4" w:space="0"/>
              <w:right w:val="single" w:color="auto" w:sz="4" w:space="0"/>
            </w:tcBorders>
          </w:tcPr>
          <w:p w14:paraId="07CDCCFF">
            <w:pPr>
              <w:kinsoku/>
              <w:wordWrap w:val="0"/>
              <w:jc w:val="both"/>
              <w:rPr>
                <w:rFonts w:asciiTheme="minorEastAsia" w:hAnsiTheme="minorEastAsia" w:eastAsiaTheme="minorEastAsia" w:cstheme="minorEastAsia"/>
                <w:sz w:val="24"/>
                <w:szCs w:val="24"/>
              </w:rPr>
            </w:pPr>
          </w:p>
        </w:tc>
        <w:tc>
          <w:tcPr>
            <w:tcW w:w="1298" w:type="dxa"/>
            <w:tcBorders>
              <w:top w:val="single" w:color="auto" w:sz="4" w:space="0"/>
              <w:left w:val="single" w:color="auto" w:sz="4" w:space="0"/>
              <w:bottom w:val="single" w:color="auto" w:sz="4" w:space="0"/>
              <w:right w:val="single" w:color="auto" w:sz="4" w:space="0"/>
            </w:tcBorders>
          </w:tcPr>
          <w:p w14:paraId="6329F45F">
            <w:pPr>
              <w:kinsoku/>
              <w:wordWrap w:val="0"/>
              <w:jc w:val="both"/>
              <w:rPr>
                <w:rFonts w:asciiTheme="minorEastAsia" w:hAnsiTheme="minorEastAsia" w:eastAsiaTheme="minorEastAsia" w:cstheme="minorEastAsia"/>
                <w:sz w:val="24"/>
                <w:szCs w:val="24"/>
              </w:rPr>
            </w:pPr>
          </w:p>
        </w:tc>
      </w:tr>
      <w:tr w14:paraId="3068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841" w:type="dxa"/>
            <w:tcBorders>
              <w:top w:val="single" w:color="auto" w:sz="4" w:space="0"/>
              <w:left w:val="single" w:color="auto" w:sz="4" w:space="0"/>
              <w:bottom w:val="single" w:color="auto" w:sz="4" w:space="0"/>
              <w:right w:val="single" w:color="auto" w:sz="4" w:space="0"/>
            </w:tcBorders>
          </w:tcPr>
          <w:p w14:paraId="292D16DB">
            <w:pPr>
              <w:kinsoku/>
              <w:wordWrap w:val="0"/>
              <w:jc w:val="both"/>
              <w:rPr>
                <w:rFonts w:asciiTheme="minorEastAsia" w:hAnsiTheme="minorEastAsia" w:eastAsiaTheme="minorEastAsia" w:cstheme="minorEastAsia"/>
                <w:sz w:val="24"/>
                <w:szCs w:val="24"/>
              </w:rPr>
            </w:pPr>
          </w:p>
        </w:tc>
        <w:tc>
          <w:tcPr>
            <w:tcW w:w="2008" w:type="dxa"/>
            <w:tcBorders>
              <w:top w:val="single" w:color="auto" w:sz="4" w:space="0"/>
              <w:left w:val="single" w:color="auto" w:sz="4" w:space="0"/>
              <w:bottom w:val="single" w:color="auto" w:sz="4" w:space="0"/>
              <w:right w:val="single" w:color="auto" w:sz="4" w:space="0"/>
            </w:tcBorders>
          </w:tcPr>
          <w:p w14:paraId="66ABED49">
            <w:pPr>
              <w:kinsoku/>
              <w:wordWrap w:val="0"/>
              <w:jc w:val="both"/>
              <w:rPr>
                <w:rFonts w:asciiTheme="minorEastAsia" w:hAnsiTheme="minorEastAsia" w:eastAsiaTheme="minorEastAsia" w:cstheme="minorEastAsia"/>
                <w:sz w:val="24"/>
                <w:szCs w:val="24"/>
              </w:rPr>
            </w:pPr>
          </w:p>
        </w:tc>
        <w:tc>
          <w:tcPr>
            <w:tcW w:w="1885" w:type="dxa"/>
            <w:tcBorders>
              <w:top w:val="single" w:color="auto" w:sz="4" w:space="0"/>
              <w:left w:val="single" w:color="auto" w:sz="4" w:space="0"/>
              <w:bottom w:val="single" w:color="auto" w:sz="4" w:space="0"/>
              <w:right w:val="single" w:color="auto" w:sz="4" w:space="0"/>
            </w:tcBorders>
          </w:tcPr>
          <w:p w14:paraId="5480A713">
            <w:pPr>
              <w:kinsoku/>
              <w:wordWrap w:val="0"/>
              <w:jc w:val="both"/>
              <w:rPr>
                <w:rFonts w:asciiTheme="minorEastAsia" w:hAnsiTheme="minorEastAsia" w:eastAsiaTheme="minorEastAsia" w:cstheme="minorEastAsia"/>
                <w:sz w:val="24"/>
                <w:szCs w:val="24"/>
              </w:rPr>
            </w:pPr>
          </w:p>
        </w:tc>
        <w:tc>
          <w:tcPr>
            <w:tcW w:w="1719" w:type="dxa"/>
            <w:tcBorders>
              <w:top w:val="single" w:color="auto" w:sz="4" w:space="0"/>
              <w:left w:val="single" w:color="auto" w:sz="4" w:space="0"/>
              <w:bottom w:val="single" w:color="auto" w:sz="4" w:space="0"/>
              <w:right w:val="single" w:color="auto" w:sz="4" w:space="0"/>
            </w:tcBorders>
          </w:tcPr>
          <w:p w14:paraId="1BE92E88">
            <w:pPr>
              <w:kinsoku/>
              <w:wordWrap w:val="0"/>
              <w:jc w:val="both"/>
              <w:rPr>
                <w:rFonts w:asciiTheme="minorEastAsia" w:hAnsiTheme="minorEastAsia" w:eastAsiaTheme="minorEastAsia" w:cstheme="minorEastAsia"/>
                <w:sz w:val="24"/>
                <w:szCs w:val="24"/>
              </w:rPr>
            </w:pPr>
          </w:p>
        </w:tc>
        <w:tc>
          <w:tcPr>
            <w:tcW w:w="1298" w:type="dxa"/>
            <w:tcBorders>
              <w:top w:val="single" w:color="auto" w:sz="4" w:space="0"/>
              <w:left w:val="single" w:color="auto" w:sz="4" w:space="0"/>
              <w:bottom w:val="single" w:color="auto" w:sz="4" w:space="0"/>
              <w:right w:val="single" w:color="auto" w:sz="4" w:space="0"/>
            </w:tcBorders>
          </w:tcPr>
          <w:p w14:paraId="2B5D9B79">
            <w:pPr>
              <w:kinsoku/>
              <w:wordWrap w:val="0"/>
              <w:jc w:val="both"/>
              <w:rPr>
                <w:rFonts w:asciiTheme="minorEastAsia" w:hAnsiTheme="minorEastAsia" w:eastAsiaTheme="minorEastAsia" w:cstheme="minorEastAsia"/>
                <w:sz w:val="24"/>
                <w:szCs w:val="24"/>
              </w:rPr>
            </w:pPr>
          </w:p>
        </w:tc>
      </w:tr>
      <w:tr w14:paraId="27A8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841" w:type="dxa"/>
            <w:tcBorders>
              <w:top w:val="single" w:color="auto" w:sz="4" w:space="0"/>
              <w:left w:val="single" w:color="auto" w:sz="4" w:space="0"/>
              <w:bottom w:val="single" w:color="auto" w:sz="4" w:space="0"/>
              <w:right w:val="single" w:color="auto" w:sz="4" w:space="0"/>
            </w:tcBorders>
          </w:tcPr>
          <w:p w14:paraId="7DA8A1D2">
            <w:pPr>
              <w:kinsoku/>
              <w:wordWrap w:val="0"/>
              <w:jc w:val="both"/>
              <w:rPr>
                <w:rFonts w:asciiTheme="minorEastAsia" w:hAnsiTheme="minorEastAsia" w:eastAsiaTheme="minorEastAsia" w:cstheme="minorEastAsia"/>
                <w:sz w:val="24"/>
                <w:szCs w:val="24"/>
              </w:rPr>
            </w:pPr>
          </w:p>
        </w:tc>
        <w:tc>
          <w:tcPr>
            <w:tcW w:w="2008" w:type="dxa"/>
            <w:tcBorders>
              <w:top w:val="single" w:color="auto" w:sz="4" w:space="0"/>
              <w:left w:val="single" w:color="auto" w:sz="4" w:space="0"/>
              <w:bottom w:val="single" w:color="auto" w:sz="4" w:space="0"/>
              <w:right w:val="single" w:color="auto" w:sz="4" w:space="0"/>
            </w:tcBorders>
          </w:tcPr>
          <w:p w14:paraId="0C5F5F59">
            <w:pPr>
              <w:kinsoku/>
              <w:wordWrap w:val="0"/>
              <w:jc w:val="both"/>
              <w:rPr>
                <w:rFonts w:asciiTheme="minorEastAsia" w:hAnsiTheme="minorEastAsia" w:eastAsiaTheme="minorEastAsia" w:cstheme="minorEastAsia"/>
                <w:sz w:val="24"/>
                <w:szCs w:val="24"/>
              </w:rPr>
            </w:pPr>
          </w:p>
        </w:tc>
        <w:tc>
          <w:tcPr>
            <w:tcW w:w="1885" w:type="dxa"/>
            <w:tcBorders>
              <w:top w:val="single" w:color="auto" w:sz="4" w:space="0"/>
              <w:left w:val="single" w:color="auto" w:sz="4" w:space="0"/>
              <w:bottom w:val="single" w:color="auto" w:sz="4" w:space="0"/>
              <w:right w:val="single" w:color="auto" w:sz="4" w:space="0"/>
            </w:tcBorders>
          </w:tcPr>
          <w:p w14:paraId="095E18CD">
            <w:pPr>
              <w:kinsoku/>
              <w:wordWrap w:val="0"/>
              <w:jc w:val="both"/>
              <w:rPr>
                <w:rFonts w:asciiTheme="minorEastAsia" w:hAnsiTheme="minorEastAsia" w:eastAsiaTheme="minorEastAsia" w:cstheme="minorEastAsia"/>
                <w:sz w:val="24"/>
                <w:szCs w:val="24"/>
              </w:rPr>
            </w:pPr>
          </w:p>
        </w:tc>
        <w:tc>
          <w:tcPr>
            <w:tcW w:w="1719" w:type="dxa"/>
            <w:tcBorders>
              <w:top w:val="single" w:color="auto" w:sz="4" w:space="0"/>
              <w:left w:val="single" w:color="auto" w:sz="4" w:space="0"/>
              <w:bottom w:val="single" w:color="auto" w:sz="4" w:space="0"/>
              <w:right w:val="single" w:color="auto" w:sz="4" w:space="0"/>
            </w:tcBorders>
          </w:tcPr>
          <w:p w14:paraId="7AEA14DF">
            <w:pPr>
              <w:kinsoku/>
              <w:wordWrap w:val="0"/>
              <w:jc w:val="both"/>
              <w:rPr>
                <w:rFonts w:asciiTheme="minorEastAsia" w:hAnsiTheme="minorEastAsia" w:eastAsiaTheme="minorEastAsia" w:cstheme="minorEastAsia"/>
                <w:sz w:val="24"/>
                <w:szCs w:val="24"/>
              </w:rPr>
            </w:pPr>
          </w:p>
        </w:tc>
        <w:tc>
          <w:tcPr>
            <w:tcW w:w="1298" w:type="dxa"/>
            <w:tcBorders>
              <w:top w:val="single" w:color="auto" w:sz="4" w:space="0"/>
              <w:left w:val="single" w:color="auto" w:sz="4" w:space="0"/>
              <w:bottom w:val="single" w:color="auto" w:sz="4" w:space="0"/>
              <w:right w:val="single" w:color="auto" w:sz="4" w:space="0"/>
            </w:tcBorders>
          </w:tcPr>
          <w:p w14:paraId="47622CB1">
            <w:pPr>
              <w:kinsoku/>
              <w:wordWrap w:val="0"/>
              <w:jc w:val="both"/>
              <w:rPr>
                <w:rFonts w:asciiTheme="minorEastAsia" w:hAnsiTheme="minorEastAsia" w:eastAsiaTheme="minorEastAsia" w:cstheme="minorEastAsia"/>
                <w:sz w:val="24"/>
                <w:szCs w:val="24"/>
              </w:rPr>
            </w:pPr>
          </w:p>
        </w:tc>
      </w:tr>
      <w:tr w14:paraId="45F3C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841" w:type="dxa"/>
            <w:tcBorders>
              <w:top w:val="single" w:color="auto" w:sz="4" w:space="0"/>
              <w:left w:val="single" w:color="auto" w:sz="4" w:space="0"/>
              <w:bottom w:val="single" w:color="auto" w:sz="4" w:space="0"/>
              <w:right w:val="single" w:color="auto" w:sz="4" w:space="0"/>
            </w:tcBorders>
          </w:tcPr>
          <w:p w14:paraId="6742699A">
            <w:pPr>
              <w:kinsoku/>
              <w:wordWrap w:val="0"/>
              <w:jc w:val="both"/>
              <w:rPr>
                <w:rFonts w:asciiTheme="minorEastAsia" w:hAnsiTheme="minorEastAsia" w:eastAsiaTheme="minorEastAsia" w:cstheme="minorEastAsia"/>
                <w:sz w:val="24"/>
                <w:szCs w:val="24"/>
              </w:rPr>
            </w:pPr>
          </w:p>
        </w:tc>
        <w:tc>
          <w:tcPr>
            <w:tcW w:w="2008" w:type="dxa"/>
            <w:tcBorders>
              <w:top w:val="single" w:color="auto" w:sz="4" w:space="0"/>
              <w:left w:val="single" w:color="auto" w:sz="4" w:space="0"/>
              <w:bottom w:val="single" w:color="auto" w:sz="4" w:space="0"/>
              <w:right w:val="single" w:color="auto" w:sz="4" w:space="0"/>
            </w:tcBorders>
          </w:tcPr>
          <w:p w14:paraId="6657C003">
            <w:pPr>
              <w:kinsoku/>
              <w:wordWrap w:val="0"/>
              <w:jc w:val="both"/>
              <w:rPr>
                <w:rFonts w:asciiTheme="minorEastAsia" w:hAnsiTheme="minorEastAsia" w:eastAsiaTheme="minorEastAsia" w:cstheme="minorEastAsia"/>
                <w:sz w:val="24"/>
                <w:szCs w:val="24"/>
              </w:rPr>
            </w:pPr>
          </w:p>
        </w:tc>
        <w:tc>
          <w:tcPr>
            <w:tcW w:w="1885" w:type="dxa"/>
            <w:tcBorders>
              <w:top w:val="single" w:color="auto" w:sz="4" w:space="0"/>
              <w:left w:val="single" w:color="auto" w:sz="4" w:space="0"/>
              <w:bottom w:val="single" w:color="auto" w:sz="4" w:space="0"/>
              <w:right w:val="single" w:color="auto" w:sz="4" w:space="0"/>
            </w:tcBorders>
          </w:tcPr>
          <w:p w14:paraId="5DF9780E">
            <w:pPr>
              <w:kinsoku/>
              <w:wordWrap w:val="0"/>
              <w:jc w:val="both"/>
              <w:rPr>
                <w:rFonts w:asciiTheme="minorEastAsia" w:hAnsiTheme="minorEastAsia" w:eastAsiaTheme="minorEastAsia" w:cstheme="minorEastAsia"/>
                <w:sz w:val="24"/>
                <w:szCs w:val="24"/>
              </w:rPr>
            </w:pPr>
          </w:p>
        </w:tc>
        <w:tc>
          <w:tcPr>
            <w:tcW w:w="1719" w:type="dxa"/>
            <w:tcBorders>
              <w:top w:val="single" w:color="auto" w:sz="4" w:space="0"/>
              <w:left w:val="single" w:color="auto" w:sz="4" w:space="0"/>
              <w:bottom w:val="single" w:color="auto" w:sz="4" w:space="0"/>
              <w:right w:val="single" w:color="auto" w:sz="4" w:space="0"/>
            </w:tcBorders>
          </w:tcPr>
          <w:p w14:paraId="75E7CAE4">
            <w:pPr>
              <w:kinsoku/>
              <w:wordWrap w:val="0"/>
              <w:jc w:val="both"/>
              <w:rPr>
                <w:rFonts w:asciiTheme="minorEastAsia" w:hAnsiTheme="minorEastAsia" w:eastAsiaTheme="minorEastAsia" w:cstheme="minorEastAsia"/>
                <w:sz w:val="24"/>
                <w:szCs w:val="24"/>
              </w:rPr>
            </w:pPr>
          </w:p>
        </w:tc>
        <w:tc>
          <w:tcPr>
            <w:tcW w:w="1298" w:type="dxa"/>
            <w:tcBorders>
              <w:top w:val="single" w:color="auto" w:sz="4" w:space="0"/>
              <w:left w:val="single" w:color="auto" w:sz="4" w:space="0"/>
              <w:bottom w:val="single" w:color="auto" w:sz="4" w:space="0"/>
              <w:right w:val="single" w:color="auto" w:sz="4" w:space="0"/>
            </w:tcBorders>
          </w:tcPr>
          <w:p w14:paraId="2172389C">
            <w:pPr>
              <w:kinsoku/>
              <w:wordWrap w:val="0"/>
              <w:jc w:val="both"/>
              <w:rPr>
                <w:rFonts w:asciiTheme="minorEastAsia" w:hAnsiTheme="minorEastAsia" w:eastAsiaTheme="minorEastAsia" w:cstheme="minorEastAsia"/>
                <w:sz w:val="24"/>
                <w:szCs w:val="24"/>
              </w:rPr>
            </w:pPr>
          </w:p>
        </w:tc>
      </w:tr>
      <w:tr w14:paraId="7BCFF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841" w:type="dxa"/>
            <w:tcBorders>
              <w:top w:val="single" w:color="auto" w:sz="4" w:space="0"/>
              <w:left w:val="single" w:color="auto" w:sz="4" w:space="0"/>
              <w:bottom w:val="single" w:color="auto" w:sz="4" w:space="0"/>
              <w:right w:val="single" w:color="auto" w:sz="4" w:space="0"/>
            </w:tcBorders>
          </w:tcPr>
          <w:p w14:paraId="436D17EA">
            <w:pPr>
              <w:kinsoku/>
              <w:wordWrap w:val="0"/>
              <w:jc w:val="both"/>
              <w:rPr>
                <w:rFonts w:asciiTheme="minorEastAsia" w:hAnsiTheme="minorEastAsia" w:eastAsiaTheme="minorEastAsia" w:cstheme="minorEastAsia"/>
                <w:sz w:val="24"/>
                <w:szCs w:val="24"/>
              </w:rPr>
            </w:pPr>
          </w:p>
        </w:tc>
        <w:tc>
          <w:tcPr>
            <w:tcW w:w="2008" w:type="dxa"/>
            <w:tcBorders>
              <w:top w:val="single" w:color="auto" w:sz="4" w:space="0"/>
              <w:left w:val="single" w:color="auto" w:sz="4" w:space="0"/>
              <w:bottom w:val="single" w:color="auto" w:sz="4" w:space="0"/>
              <w:right w:val="single" w:color="auto" w:sz="4" w:space="0"/>
            </w:tcBorders>
          </w:tcPr>
          <w:p w14:paraId="2FFFC788">
            <w:pPr>
              <w:kinsoku/>
              <w:wordWrap w:val="0"/>
              <w:jc w:val="both"/>
              <w:rPr>
                <w:rFonts w:asciiTheme="minorEastAsia" w:hAnsiTheme="minorEastAsia" w:eastAsiaTheme="minorEastAsia" w:cstheme="minorEastAsia"/>
                <w:sz w:val="24"/>
                <w:szCs w:val="24"/>
              </w:rPr>
            </w:pPr>
          </w:p>
        </w:tc>
        <w:tc>
          <w:tcPr>
            <w:tcW w:w="1885" w:type="dxa"/>
            <w:tcBorders>
              <w:top w:val="single" w:color="auto" w:sz="4" w:space="0"/>
              <w:left w:val="single" w:color="auto" w:sz="4" w:space="0"/>
              <w:bottom w:val="single" w:color="auto" w:sz="4" w:space="0"/>
              <w:right w:val="single" w:color="auto" w:sz="4" w:space="0"/>
            </w:tcBorders>
          </w:tcPr>
          <w:p w14:paraId="404EA4C9">
            <w:pPr>
              <w:kinsoku/>
              <w:wordWrap w:val="0"/>
              <w:jc w:val="both"/>
              <w:rPr>
                <w:rFonts w:asciiTheme="minorEastAsia" w:hAnsiTheme="minorEastAsia" w:eastAsiaTheme="minorEastAsia" w:cstheme="minorEastAsia"/>
                <w:sz w:val="24"/>
                <w:szCs w:val="24"/>
              </w:rPr>
            </w:pPr>
          </w:p>
        </w:tc>
        <w:tc>
          <w:tcPr>
            <w:tcW w:w="1719" w:type="dxa"/>
            <w:tcBorders>
              <w:top w:val="single" w:color="auto" w:sz="4" w:space="0"/>
              <w:left w:val="single" w:color="auto" w:sz="4" w:space="0"/>
              <w:bottom w:val="single" w:color="auto" w:sz="4" w:space="0"/>
              <w:right w:val="single" w:color="auto" w:sz="4" w:space="0"/>
            </w:tcBorders>
          </w:tcPr>
          <w:p w14:paraId="63017161">
            <w:pPr>
              <w:kinsoku/>
              <w:wordWrap w:val="0"/>
              <w:jc w:val="both"/>
              <w:rPr>
                <w:rFonts w:asciiTheme="minorEastAsia" w:hAnsiTheme="minorEastAsia" w:eastAsiaTheme="minorEastAsia" w:cstheme="minorEastAsia"/>
                <w:sz w:val="24"/>
                <w:szCs w:val="24"/>
              </w:rPr>
            </w:pPr>
          </w:p>
        </w:tc>
        <w:tc>
          <w:tcPr>
            <w:tcW w:w="1298" w:type="dxa"/>
            <w:tcBorders>
              <w:top w:val="single" w:color="auto" w:sz="4" w:space="0"/>
              <w:left w:val="single" w:color="auto" w:sz="4" w:space="0"/>
              <w:bottom w:val="single" w:color="auto" w:sz="4" w:space="0"/>
              <w:right w:val="single" w:color="auto" w:sz="4" w:space="0"/>
            </w:tcBorders>
          </w:tcPr>
          <w:p w14:paraId="17C9DB7F">
            <w:pPr>
              <w:kinsoku/>
              <w:wordWrap w:val="0"/>
              <w:jc w:val="both"/>
              <w:rPr>
                <w:rFonts w:asciiTheme="minorEastAsia" w:hAnsiTheme="minorEastAsia" w:eastAsiaTheme="minorEastAsia" w:cstheme="minorEastAsia"/>
                <w:sz w:val="24"/>
                <w:szCs w:val="24"/>
              </w:rPr>
            </w:pPr>
          </w:p>
        </w:tc>
      </w:tr>
      <w:tr w14:paraId="613FA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841" w:type="dxa"/>
            <w:tcBorders>
              <w:top w:val="single" w:color="auto" w:sz="4" w:space="0"/>
              <w:left w:val="single" w:color="auto" w:sz="4" w:space="0"/>
              <w:bottom w:val="single" w:color="auto" w:sz="4" w:space="0"/>
              <w:right w:val="single" w:color="auto" w:sz="4" w:space="0"/>
            </w:tcBorders>
          </w:tcPr>
          <w:p w14:paraId="51C4C972">
            <w:pPr>
              <w:kinsoku/>
              <w:wordWrap w:val="0"/>
              <w:jc w:val="both"/>
              <w:rPr>
                <w:rFonts w:asciiTheme="minorEastAsia" w:hAnsiTheme="minorEastAsia" w:eastAsiaTheme="minorEastAsia" w:cstheme="minorEastAsia"/>
                <w:sz w:val="24"/>
                <w:szCs w:val="24"/>
              </w:rPr>
            </w:pPr>
          </w:p>
        </w:tc>
        <w:tc>
          <w:tcPr>
            <w:tcW w:w="2008" w:type="dxa"/>
            <w:tcBorders>
              <w:top w:val="single" w:color="auto" w:sz="4" w:space="0"/>
              <w:left w:val="single" w:color="auto" w:sz="4" w:space="0"/>
              <w:bottom w:val="single" w:color="auto" w:sz="4" w:space="0"/>
              <w:right w:val="single" w:color="auto" w:sz="4" w:space="0"/>
            </w:tcBorders>
          </w:tcPr>
          <w:p w14:paraId="1E39CD76">
            <w:pPr>
              <w:kinsoku/>
              <w:wordWrap w:val="0"/>
              <w:jc w:val="both"/>
              <w:rPr>
                <w:rFonts w:asciiTheme="minorEastAsia" w:hAnsiTheme="minorEastAsia" w:eastAsiaTheme="minorEastAsia" w:cstheme="minorEastAsia"/>
                <w:sz w:val="24"/>
                <w:szCs w:val="24"/>
              </w:rPr>
            </w:pPr>
          </w:p>
        </w:tc>
        <w:tc>
          <w:tcPr>
            <w:tcW w:w="1885" w:type="dxa"/>
            <w:tcBorders>
              <w:top w:val="single" w:color="auto" w:sz="4" w:space="0"/>
              <w:left w:val="single" w:color="auto" w:sz="4" w:space="0"/>
              <w:bottom w:val="single" w:color="auto" w:sz="4" w:space="0"/>
              <w:right w:val="single" w:color="auto" w:sz="4" w:space="0"/>
            </w:tcBorders>
          </w:tcPr>
          <w:p w14:paraId="03E2D385">
            <w:pPr>
              <w:kinsoku/>
              <w:wordWrap w:val="0"/>
              <w:jc w:val="both"/>
              <w:rPr>
                <w:rFonts w:asciiTheme="minorEastAsia" w:hAnsiTheme="minorEastAsia" w:eastAsiaTheme="minorEastAsia" w:cstheme="minorEastAsia"/>
                <w:sz w:val="24"/>
                <w:szCs w:val="24"/>
              </w:rPr>
            </w:pPr>
          </w:p>
        </w:tc>
        <w:tc>
          <w:tcPr>
            <w:tcW w:w="1719" w:type="dxa"/>
            <w:tcBorders>
              <w:top w:val="single" w:color="auto" w:sz="4" w:space="0"/>
              <w:left w:val="single" w:color="auto" w:sz="4" w:space="0"/>
              <w:bottom w:val="single" w:color="auto" w:sz="4" w:space="0"/>
              <w:right w:val="single" w:color="auto" w:sz="4" w:space="0"/>
            </w:tcBorders>
          </w:tcPr>
          <w:p w14:paraId="6705DED1">
            <w:pPr>
              <w:kinsoku/>
              <w:wordWrap w:val="0"/>
              <w:jc w:val="both"/>
              <w:rPr>
                <w:rFonts w:asciiTheme="minorEastAsia" w:hAnsiTheme="minorEastAsia" w:eastAsiaTheme="minorEastAsia" w:cstheme="minorEastAsia"/>
                <w:sz w:val="24"/>
                <w:szCs w:val="24"/>
              </w:rPr>
            </w:pPr>
          </w:p>
        </w:tc>
        <w:tc>
          <w:tcPr>
            <w:tcW w:w="1298" w:type="dxa"/>
            <w:tcBorders>
              <w:top w:val="single" w:color="auto" w:sz="4" w:space="0"/>
              <w:left w:val="single" w:color="auto" w:sz="4" w:space="0"/>
              <w:bottom w:val="single" w:color="auto" w:sz="4" w:space="0"/>
              <w:right w:val="single" w:color="auto" w:sz="4" w:space="0"/>
            </w:tcBorders>
          </w:tcPr>
          <w:p w14:paraId="36377406">
            <w:pPr>
              <w:kinsoku/>
              <w:wordWrap w:val="0"/>
              <w:jc w:val="both"/>
              <w:rPr>
                <w:rFonts w:asciiTheme="minorEastAsia" w:hAnsiTheme="minorEastAsia" w:eastAsiaTheme="minorEastAsia" w:cstheme="minorEastAsia"/>
                <w:sz w:val="24"/>
                <w:szCs w:val="24"/>
              </w:rPr>
            </w:pPr>
          </w:p>
        </w:tc>
      </w:tr>
      <w:tr w14:paraId="0D1B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841" w:type="dxa"/>
            <w:tcBorders>
              <w:top w:val="single" w:color="auto" w:sz="4" w:space="0"/>
              <w:left w:val="single" w:color="auto" w:sz="4" w:space="0"/>
              <w:bottom w:val="single" w:color="auto" w:sz="4" w:space="0"/>
              <w:right w:val="single" w:color="auto" w:sz="4" w:space="0"/>
            </w:tcBorders>
          </w:tcPr>
          <w:p w14:paraId="47C287A4">
            <w:pPr>
              <w:kinsoku/>
              <w:wordWrap w:val="0"/>
              <w:jc w:val="both"/>
              <w:rPr>
                <w:rFonts w:asciiTheme="minorEastAsia" w:hAnsiTheme="minorEastAsia" w:eastAsiaTheme="minorEastAsia" w:cstheme="minorEastAsia"/>
                <w:sz w:val="24"/>
                <w:szCs w:val="24"/>
              </w:rPr>
            </w:pPr>
          </w:p>
        </w:tc>
        <w:tc>
          <w:tcPr>
            <w:tcW w:w="2008" w:type="dxa"/>
            <w:tcBorders>
              <w:top w:val="single" w:color="auto" w:sz="4" w:space="0"/>
              <w:left w:val="single" w:color="auto" w:sz="4" w:space="0"/>
              <w:bottom w:val="single" w:color="auto" w:sz="4" w:space="0"/>
              <w:right w:val="single" w:color="auto" w:sz="4" w:space="0"/>
            </w:tcBorders>
          </w:tcPr>
          <w:p w14:paraId="5F884155">
            <w:pPr>
              <w:kinsoku/>
              <w:wordWrap w:val="0"/>
              <w:jc w:val="both"/>
              <w:rPr>
                <w:rFonts w:asciiTheme="minorEastAsia" w:hAnsiTheme="minorEastAsia" w:eastAsiaTheme="minorEastAsia" w:cstheme="minorEastAsia"/>
                <w:sz w:val="24"/>
                <w:szCs w:val="24"/>
              </w:rPr>
            </w:pPr>
          </w:p>
        </w:tc>
        <w:tc>
          <w:tcPr>
            <w:tcW w:w="1885" w:type="dxa"/>
            <w:tcBorders>
              <w:top w:val="single" w:color="auto" w:sz="4" w:space="0"/>
              <w:left w:val="single" w:color="auto" w:sz="4" w:space="0"/>
              <w:bottom w:val="single" w:color="auto" w:sz="4" w:space="0"/>
              <w:right w:val="single" w:color="auto" w:sz="4" w:space="0"/>
            </w:tcBorders>
          </w:tcPr>
          <w:p w14:paraId="30D0CA56">
            <w:pPr>
              <w:kinsoku/>
              <w:wordWrap w:val="0"/>
              <w:jc w:val="both"/>
              <w:rPr>
                <w:rFonts w:asciiTheme="minorEastAsia" w:hAnsiTheme="minorEastAsia" w:eastAsiaTheme="minorEastAsia" w:cstheme="minorEastAsia"/>
                <w:sz w:val="24"/>
                <w:szCs w:val="24"/>
              </w:rPr>
            </w:pPr>
          </w:p>
        </w:tc>
        <w:tc>
          <w:tcPr>
            <w:tcW w:w="1719" w:type="dxa"/>
            <w:tcBorders>
              <w:top w:val="single" w:color="auto" w:sz="4" w:space="0"/>
              <w:left w:val="single" w:color="auto" w:sz="4" w:space="0"/>
              <w:bottom w:val="single" w:color="auto" w:sz="4" w:space="0"/>
              <w:right w:val="single" w:color="auto" w:sz="4" w:space="0"/>
            </w:tcBorders>
          </w:tcPr>
          <w:p w14:paraId="683E4979">
            <w:pPr>
              <w:kinsoku/>
              <w:wordWrap w:val="0"/>
              <w:jc w:val="both"/>
              <w:rPr>
                <w:rFonts w:asciiTheme="minorEastAsia" w:hAnsiTheme="minorEastAsia" w:eastAsiaTheme="minorEastAsia" w:cstheme="minorEastAsia"/>
                <w:sz w:val="24"/>
                <w:szCs w:val="24"/>
              </w:rPr>
            </w:pPr>
          </w:p>
        </w:tc>
        <w:tc>
          <w:tcPr>
            <w:tcW w:w="1298" w:type="dxa"/>
            <w:tcBorders>
              <w:top w:val="single" w:color="auto" w:sz="4" w:space="0"/>
              <w:left w:val="single" w:color="auto" w:sz="4" w:space="0"/>
              <w:bottom w:val="single" w:color="auto" w:sz="4" w:space="0"/>
              <w:right w:val="single" w:color="auto" w:sz="4" w:space="0"/>
            </w:tcBorders>
          </w:tcPr>
          <w:p w14:paraId="7D018B37">
            <w:pPr>
              <w:kinsoku/>
              <w:wordWrap w:val="0"/>
              <w:jc w:val="both"/>
              <w:rPr>
                <w:rFonts w:asciiTheme="minorEastAsia" w:hAnsiTheme="minorEastAsia" w:eastAsiaTheme="minorEastAsia" w:cstheme="minorEastAsia"/>
                <w:sz w:val="24"/>
                <w:szCs w:val="24"/>
              </w:rPr>
            </w:pPr>
          </w:p>
        </w:tc>
      </w:tr>
      <w:tr w14:paraId="05E9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841" w:type="dxa"/>
            <w:tcBorders>
              <w:top w:val="single" w:color="auto" w:sz="4" w:space="0"/>
              <w:left w:val="single" w:color="auto" w:sz="4" w:space="0"/>
              <w:bottom w:val="single" w:color="auto" w:sz="4" w:space="0"/>
              <w:right w:val="single" w:color="auto" w:sz="4" w:space="0"/>
            </w:tcBorders>
          </w:tcPr>
          <w:p w14:paraId="41C226E0">
            <w:pPr>
              <w:kinsoku/>
              <w:wordWrap w:val="0"/>
              <w:jc w:val="both"/>
              <w:rPr>
                <w:rFonts w:asciiTheme="minorEastAsia" w:hAnsiTheme="minorEastAsia" w:eastAsiaTheme="minorEastAsia" w:cstheme="minorEastAsia"/>
                <w:sz w:val="24"/>
                <w:szCs w:val="24"/>
              </w:rPr>
            </w:pPr>
          </w:p>
        </w:tc>
        <w:tc>
          <w:tcPr>
            <w:tcW w:w="2008" w:type="dxa"/>
            <w:tcBorders>
              <w:top w:val="single" w:color="auto" w:sz="4" w:space="0"/>
              <w:left w:val="single" w:color="auto" w:sz="4" w:space="0"/>
              <w:bottom w:val="single" w:color="auto" w:sz="4" w:space="0"/>
              <w:right w:val="single" w:color="auto" w:sz="4" w:space="0"/>
            </w:tcBorders>
          </w:tcPr>
          <w:p w14:paraId="699D5A0F">
            <w:pPr>
              <w:kinsoku/>
              <w:wordWrap w:val="0"/>
              <w:jc w:val="both"/>
              <w:rPr>
                <w:rFonts w:asciiTheme="minorEastAsia" w:hAnsiTheme="minorEastAsia" w:eastAsiaTheme="minorEastAsia" w:cstheme="minorEastAsia"/>
                <w:sz w:val="24"/>
                <w:szCs w:val="24"/>
              </w:rPr>
            </w:pPr>
          </w:p>
        </w:tc>
        <w:tc>
          <w:tcPr>
            <w:tcW w:w="1885" w:type="dxa"/>
            <w:tcBorders>
              <w:top w:val="single" w:color="auto" w:sz="4" w:space="0"/>
              <w:left w:val="single" w:color="auto" w:sz="4" w:space="0"/>
              <w:bottom w:val="single" w:color="auto" w:sz="4" w:space="0"/>
              <w:right w:val="single" w:color="auto" w:sz="4" w:space="0"/>
            </w:tcBorders>
          </w:tcPr>
          <w:p w14:paraId="0FDF8E74">
            <w:pPr>
              <w:kinsoku/>
              <w:wordWrap w:val="0"/>
              <w:jc w:val="both"/>
              <w:rPr>
                <w:rFonts w:asciiTheme="minorEastAsia" w:hAnsiTheme="minorEastAsia" w:eastAsiaTheme="minorEastAsia" w:cstheme="minorEastAsia"/>
                <w:sz w:val="24"/>
                <w:szCs w:val="24"/>
              </w:rPr>
            </w:pPr>
          </w:p>
        </w:tc>
        <w:tc>
          <w:tcPr>
            <w:tcW w:w="1719" w:type="dxa"/>
            <w:tcBorders>
              <w:top w:val="single" w:color="auto" w:sz="4" w:space="0"/>
              <w:left w:val="single" w:color="auto" w:sz="4" w:space="0"/>
              <w:bottom w:val="single" w:color="auto" w:sz="4" w:space="0"/>
              <w:right w:val="single" w:color="auto" w:sz="4" w:space="0"/>
            </w:tcBorders>
          </w:tcPr>
          <w:p w14:paraId="4EC20E04">
            <w:pPr>
              <w:kinsoku/>
              <w:wordWrap w:val="0"/>
              <w:jc w:val="both"/>
              <w:rPr>
                <w:rFonts w:asciiTheme="minorEastAsia" w:hAnsiTheme="minorEastAsia" w:eastAsiaTheme="minorEastAsia" w:cstheme="minorEastAsia"/>
                <w:sz w:val="24"/>
                <w:szCs w:val="24"/>
              </w:rPr>
            </w:pPr>
          </w:p>
        </w:tc>
        <w:tc>
          <w:tcPr>
            <w:tcW w:w="1298" w:type="dxa"/>
            <w:tcBorders>
              <w:top w:val="single" w:color="auto" w:sz="4" w:space="0"/>
              <w:left w:val="single" w:color="auto" w:sz="4" w:space="0"/>
              <w:bottom w:val="single" w:color="auto" w:sz="4" w:space="0"/>
              <w:right w:val="single" w:color="auto" w:sz="4" w:space="0"/>
            </w:tcBorders>
          </w:tcPr>
          <w:p w14:paraId="04D6F29F">
            <w:pPr>
              <w:kinsoku/>
              <w:wordWrap w:val="0"/>
              <w:jc w:val="both"/>
              <w:rPr>
                <w:rFonts w:asciiTheme="minorEastAsia" w:hAnsiTheme="minorEastAsia" w:eastAsiaTheme="minorEastAsia" w:cstheme="minorEastAsia"/>
                <w:sz w:val="24"/>
                <w:szCs w:val="24"/>
              </w:rPr>
            </w:pPr>
          </w:p>
        </w:tc>
      </w:tr>
    </w:tbl>
    <w:p w14:paraId="2CEEEA5D">
      <w:pPr>
        <w:kinsoku/>
        <w:wordWrap w:val="0"/>
        <w:spacing w:line="360" w:lineRule="auto"/>
        <w:jc w:val="both"/>
        <w:rPr>
          <w:rFonts w:asciiTheme="minorEastAsia" w:hAnsiTheme="minorEastAsia" w:eastAsiaTheme="minorEastAsia" w:cstheme="minorEastAsia"/>
          <w:sz w:val="24"/>
          <w:szCs w:val="24"/>
          <w:lang w:eastAsia="zh-CN"/>
        </w:rPr>
      </w:pPr>
    </w:p>
    <w:p w14:paraId="375BBA20">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2AD99BFC">
      <w:pPr>
        <w:kinsoku/>
        <w:wordWrap w:val="0"/>
        <w:spacing w:line="360" w:lineRule="auto"/>
        <w:jc w:val="both"/>
        <w:rPr>
          <w:rFonts w:asciiTheme="minorEastAsia" w:hAnsiTheme="minorEastAsia" w:eastAsiaTheme="minorEastAsia" w:cstheme="minorEastAsia"/>
          <w:bCs/>
          <w:spacing w:val="-8"/>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Cs/>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Cs/>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Cs/>
          <w:spacing w:val="-8"/>
          <w:sz w:val="24"/>
          <w:szCs w:val="24"/>
          <w:lang w:eastAsia="zh-CN"/>
        </w:rPr>
        <w:t>日</w:t>
      </w:r>
    </w:p>
    <w:p w14:paraId="092D79B9">
      <w:pPr>
        <w:pStyle w:val="17"/>
        <w:ind w:firstLine="560"/>
      </w:pPr>
    </w:p>
    <w:p w14:paraId="4DE67876">
      <w:pPr>
        <w:kinsoku/>
        <w:wordWrap w:val="0"/>
        <w:spacing w:line="360" w:lineRule="auto"/>
        <w:jc w:val="both"/>
        <w:rPr>
          <w:rFonts w:ascii="宋体" w:hAnsi="宋体"/>
          <w:b/>
          <w:sz w:val="24"/>
          <w:szCs w:val="24"/>
          <w:lang w:eastAsia="zh-CN"/>
        </w:rPr>
      </w:pPr>
      <w:r>
        <w:rPr>
          <w:rFonts w:hint="eastAsia" w:ascii="宋体" w:hAnsi="宋体"/>
          <w:b/>
          <w:sz w:val="24"/>
          <w:szCs w:val="24"/>
          <w:lang w:eastAsia="zh-CN"/>
        </w:rPr>
        <w:t>4.投标人基本情况</w:t>
      </w:r>
    </w:p>
    <w:p w14:paraId="77094FB6">
      <w:pPr>
        <w:pStyle w:val="17"/>
        <w:ind w:left="0" w:leftChars="0" w:firstLine="0" w:firstLineChars="0"/>
      </w:pPr>
      <w:r>
        <w:rPr>
          <w:rFonts w:hint="eastAsia" w:ascii="宋体" w:hAnsi="宋体"/>
          <w:b/>
          <w:sz w:val="24"/>
          <w:szCs w:val="24"/>
        </w:rPr>
        <w:t>5.投标人基本设施情况</w:t>
      </w:r>
    </w:p>
    <w:p w14:paraId="137660BC">
      <w:pPr>
        <w:kinsoku/>
        <w:wordWrap w:val="0"/>
        <w:spacing w:line="360" w:lineRule="auto"/>
        <w:jc w:val="both"/>
        <w:rPr>
          <w:rFonts w:ascii="宋体" w:hAnsi="宋体"/>
          <w:b/>
          <w:sz w:val="24"/>
          <w:szCs w:val="24"/>
          <w:lang w:eastAsia="zh-CN"/>
        </w:rPr>
      </w:pPr>
      <w:r>
        <w:rPr>
          <w:rFonts w:hint="eastAsia" w:ascii="宋体" w:hAnsi="宋体"/>
          <w:b/>
          <w:sz w:val="24"/>
          <w:szCs w:val="24"/>
          <w:lang w:eastAsia="zh-CN"/>
        </w:rPr>
        <w:t>6.服务方案、服务人员情况等</w:t>
      </w:r>
    </w:p>
    <w:p w14:paraId="15DBF50F">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7.投标人业绩</w:t>
      </w:r>
    </w:p>
    <w:p w14:paraId="6E25E5B1">
      <w:pPr>
        <w:pStyle w:val="17"/>
        <w:ind w:left="0" w:leftChars="0" w:firstLine="0" w:firstLineChars="0"/>
        <w:rPr>
          <w:rFonts w:asciiTheme="minorEastAsia" w:hAnsiTheme="minorEastAsia" w:eastAsiaTheme="minorEastAsia" w:cstheme="minorEastAsia"/>
          <w:spacing w:val="-3"/>
          <w:sz w:val="36"/>
          <w:szCs w:val="36"/>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b/>
          <w:sz w:val="24"/>
          <w:szCs w:val="24"/>
        </w:rPr>
        <w:t>8.提供客房、餐厅、会议室、停车场及商务中心等场地的真实图片</w:t>
      </w:r>
    </w:p>
    <w:p w14:paraId="1F6E261A">
      <w:pPr>
        <w:pStyle w:val="6"/>
        <w:kinsoku/>
        <w:wordWrap w:val="0"/>
        <w:spacing w:line="360" w:lineRule="auto"/>
        <w:jc w:val="both"/>
        <w:rPr>
          <w:rFonts w:asciiTheme="minorEastAsia" w:hAnsiTheme="minorEastAsia" w:eastAsiaTheme="minorEastAsia" w:cstheme="minorEastAsia"/>
          <w:sz w:val="21"/>
          <w:lang w:eastAsia="zh-CN"/>
        </w:rPr>
      </w:pPr>
      <w:r>
        <w:rPr>
          <w:rFonts w:hint="eastAsia" w:eastAsia="Arial" w:cs="Arial"/>
          <w:b/>
          <w:sz w:val="24"/>
          <w:szCs w:val="24"/>
          <w:lang w:eastAsia="zh-CN"/>
        </w:rPr>
        <w:t>9.中小企业、监狱企业或残疾人福利性单位声明函（对于专门面向中小企业采购的项目必须提供，不专门面向的项目可选择提供）</w:t>
      </w:r>
    </w:p>
    <w:p w14:paraId="38E70EDF">
      <w:pPr>
        <w:pStyle w:val="6"/>
        <w:kinsoku/>
        <w:wordWrap w:val="0"/>
        <w:spacing w:line="360" w:lineRule="auto"/>
        <w:jc w:val="center"/>
        <w:rPr>
          <w:rFonts w:asciiTheme="minorEastAsia" w:hAnsiTheme="minorEastAsia" w:eastAsiaTheme="minorEastAsia" w:cstheme="minorEastAsia"/>
          <w:spacing w:val="-2"/>
          <w:sz w:val="36"/>
          <w:szCs w:val="36"/>
          <w:lang w:eastAsia="zh-CN"/>
          <w14:textOutline w14:w="2311" w14:cap="flat" w14:cmpd="sng" w14:algn="ctr">
            <w14:solidFill>
              <w14:srgbClr w14:val="000000"/>
            </w14:solidFill>
            <w14:prstDash w14:val="solid"/>
            <w14:miter w14:val="0"/>
          </w14:textOutline>
        </w:rPr>
      </w:pPr>
    </w:p>
    <w:p w14:paraId="0E634811">
      <w:pPr>
        <w:pStyle w:val="6"/>
        <w:kinsoku/>
        <w:wordWrap w:val="0"/>
        <w:spacing w:line="360" w:lineRule="auto"/>
        <w:jc w:val="center"/>
        <w:rPr>
          <w:rFonts w:asciiTheme="minorEastAsia" w:hAnsiTheme="minorEastAsia" w:eastAsiaTheme="minorEastAsia" w:cstheme="minorEastAsia"/>
          <w:sz w:val="32"/>
          <w:szCs w:val="32"/>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z w:val="32"/>
          <w:szCs w:val="32"/>
          <w:lang w:eastAsia="zh-CN"/>
          <w14:textOutline w14:w="2311" w14:cap="flat" w14:cmpd="sng" w14:algn="ctr">
            <w14:solidFill>
              <w14:srgbClr w14:val="000000"/>
            </w14:solidFill>
            <w14:prstDash w14:val="solid"/>
            <w14:miter w14:val="0"/>
          </w14:textOutline>
        </w:rPr>
        <w:t>中小企业声明函（工程、服务）格式</w:t>
      </w:r>
    </w:p>
    <w:p w14:paraId="10DD07A8">
      <w:pPr>
        <w:kinsoku/>
        <w:wordWrap w:val="0"/>
        <w:spacing w:line="360" w:lineRule="auto"/>
        <w:jc w:val="both"/>
        <w:rPr>
          <w:rFonts w:asciiTheme="minorEastAsia" w:hAnsiTheme="minorEastAsia" w:eastAsiaTheme="minorEastAsia" w:cstheme="minorEastAsia"/>
          <w:lang w:eastAsia="zh-CN"/>
        </w:rPr>
      </w:pPr>
    </w:p>
    <w:p w14:paraId="1DBEA6AA">
      <w:pPr>
        <w:pStyle w:val="6"/>
        <w:kinsoku/>
        <w:wordWrap w:val="0"/>
        <w:spacing w:line="360" w:lineRule="auto"/>
        <w:ind w:firstLine="5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本公司（联合体）郑重声明，根据《政府采购促进中小企业发展管理办法》（财</w:t>
      </w:r>
      <w:r>
        <w:rPr>
          <w:rFonts w:hint="eastAsia" w:asciiTheme="minorEastAsia" w:hAnsiTheme="minorEastAsia" w:eastAsiaTheme="minorEastAsia" w:cstheme="minorEastAsia"/>
          <w:spacing w:val="13"/>
          <w:sz w:val="24"/>
          <w:szCs w:val="24"/>
          <w:lang w:eastAsia="zh-CN"/>
        </w:rPr>
        <w:t xml:space="preserve"> </w:t>
      </w:r>
      <w:r>
        <w:rPr>
          <w:rFonts w:hint="eastAsia" w:asciiTheme="minorEastAsia" w:hAnsiTheme="minorEastAsia" w:eastAsiaTheme="minorEastAsia" w:cstheme="minorEastAsia"/>
          <w:spacing w:val="10"/>
          <w:sz w:val="24"/>
          <w:szCs w:val="24"/>
          <w:lang w:eastAsia="zh-CN"/>
        </w:rPr>
        <w:t>库﹝2020﹞46 号）</w:t>
      </w:r>
      <w:r>
        <w:rPr>
          <w:rFonts w:hint="eastAsia" w:asciiTheme="minorEastAsia" w:hAnsiTheme="minorEastAsia" w:eastAsiaTheme="minorEastAsia" w:cstheme="minorEastAsia"/>
          <w:spacing w:val="-66"/>
          <w:sz w:val="24"/>
          <w:szCs w:val="24"/>
          <w:lang w:eastAsia="zh-CN"/>
        </w:rPr>
        <w:t xml:space="preserve"> </w:t>
      </w:r>
      <w:r>
        <w:rPr>
          <w:rFonts w:hint="eastAsia" w:asciiTheme="minorEastAsia" w:hAnsiTheme="minorEastAsia" w:eastAsiaTheme="minorEastAsia" w:cstheme="minorEastAsia"/>
          <w:spacing w:val="10"/>
          <w:sz w:val="24"/>
          <w:szCs w:val="24"/>
          <w:lang w:eastAsia="zh-CN"/>
        </w:rPr>
        <w:t>的规定，本公司（联合体）参加（单位名称）</w:t>
      </w:r>
      <w:r>
        <w:rPr>
          <w:rFonts w:hint="eastAsia" w:asciiTheme="minorEastAsia" w:hAnsiTheme="minorEastAsia" w:eastAsiaTheme="minorEastAsia" w:cstheme="minorEastAsia"/>
          <w:spacing w:val="-67"/>
          <w:sz w:val="24"/>
          <w:szCs w:val="24"/>
          <w:lang w:eastAsia="zh-CN"/>
        </w:rPr>
        <w:t xml:space="preserve"> </w:t>
      </w:r>
      <w:r>
        <w:rPr>
          <w:rFonts w:hint="eastAsia" w:asciiTheme="minorEastAsia" w:hAnsiTheme="minorEastAsia" w:eastAsiaTheme="minorEastAsia" w:cstheme="minorEastAsia"/>
          <w:spacing w:val="10"/>
          <w:sz w:val="24"/>
          <w:szCs w:val="24"/>
          <w:lang w:eastAsia="zh-CN"/>
        </w:rPr>
        <w:t>的（项目</w:t>
      </w:r>
      <w:r>
        <w:rPr>
          <w:rFonts w:hint="eastAsia" w:asciiTheme="minorEastAsia" w:hAnsiTheme="minorEastAsia" w:eastAsiaTheme="minorEastAsia" w:cstheme="minorEastAsia"/>
          <w:spacing w:val="9"/>
          <w:sz w:val="24"/>
          <w:szCs w:val="24"/>
          <w:lang w:eastAsia="zh-CN"/>
        </w:rPr>
        <w:t>名称）</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12"/>
          <w:sz w:val="24"/>
          <w:szCs w:val="24"/>
          <w:lang w:eastAsia="zh-CN"/>
        </w:rPr>
        <w:t>采购活动，工程的施工单位全部为符合政策要求</w:t>
      </w:r>
      <w:r>
        <w:rPr>
          <w:rFonts w:hint="eastAsia" w:asciiTheme="minorEastAsia" w:hAnsiTheme="minorEastAsia" w:eastAsiaTheme="minorEastAsia" w:cstheme="minorEastAsia"/>
          <w:spacing w:val="11"/>
          <w:sz w:val="24"/>
          <w:szCs w:val="24"/>
          <w:lang w:eastAsia="zh-CN"/>
        </w:rPr>
        <w:t>的中小企业（或者：服务全部由符</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5"/>
          <w:sz w:val="24"/>
          <w:szCs w:val="24"/>
          <w:lang w:eastAsia="zh-CN"/>
        </w:rPr>
        <w:t>合政策要求的中小企业承接）。相关企业（含联合体中的中小企业</w:t>
      </w:r>
      <w:r>
        <w:rPr>
          <w:rFonts w:hint="eastAsia" w:asciiTheme="minorEastAsia" w:hAnsiTheme="minorEastAsia" w:eastAsiaTheme="minorEastAsia" w:cstheme="minorEastAsia"/>
          <w:spacing w:val="4"/>
          <w:sz w:val="24"/>
          <w:szCs w:val="24"/>
          <w:lang w:eastAsia="zh-CN"/>
        </w:rPr>
        <w:t>、签订分包意向协</w:t>
      </w:r>
    </w:p>
    <w:p w14:paraId="16E6422F">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议的中小企业）</w:t>
      </w:r>
      <w:r>
        <w:rPr>
          <w:rFonts w:hint="eastAsia" w:asciiTheme="minorEastAsia" w:hAnsiTheme="minorEastAsia" w:eastAsiaTheme="minorEastAsia" w:cstheme="minorEastAsia"/>
          <w:spacing w:val="-65"/>
          <w:sz w:val="24"/>
          <w:szCs w:val="24"/>
          <w:lang w:eastAsia="zh-CN"/>
        </w:rPr>
        <w:t xml:space="preserve"> </w:t>
      </w:r>
      <w:r>
        <w:rPr>
          <w:rFonts w:hint="eastAsia" w:asciiTheme="minorEastAsia" w:hAnsiTheme="minorEastAsia" w:eastAsiaTheme="minorEastAsia" w:cstheme="minorEastAsia"/>
          <w:spacing w:val="6"/>
          <w:sz w:val="24"/>
          <w:szCs w:val="24"/>
          <w:lang w:eastAsia="zh-CN"/>
        </w:rPr>
        <w:t>的具体情况如下：</w:t>
      </w:r>
    </w:p>
    <w:p w14:paraId="44B202C2">
      <w:pPr>
        <w:pStyle w:val="6"/>
        <w:kinsoku/>
        <w:wordWrap w:val="0"/>
        <w:spacing w:line="360" w:lineRule="auto"/>
        <w:ind w:firstLine="51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1.</w:t>
      </w:r>
      <w:r>
        <w:rPr>
          <w:rFonts w:hint="eastAsia" w:asciiTheme="minorEastAsia" w:hAnsiTheme="minorEastAsia" w:eastAsiaTheme="minorEastAsia" w:cstheme="minorEastAsia"/>
          <w:spacing w:val="8"/>
          <w:sz w:val="24"/>
          <w:szCs w:val="24"/>
          <w:u w:val="single"/>
          <w:lang w:eastAsia="zh-CN"/>
        </w:rPr>
        <w:t>（标的名称</w:t>
      </w:r>
      <w:r>
        <w:rPr>
          <w:rFonts w:hint="eastAsia" w:asciiTheme="minorEastAsia" w:hAnsiTheme="minorEastAsia" w:eastAsiaTheme="minorEastAsia" w:cstheme="minorEastAsia"/>
          <w:spacing w:val="-48"/>
          <w:sz w:val="24"/>
          <w:szCs w:val="24"/>
          <w:u w:val="single"/>
          <w:lang w:eastAsia="zh-CN"/>
        </w:rPr>
        <w:t>）</w:t>
      </w:r>
      <w:r>
        <w:rPr>
          <w:rFonts w:hint="eastAsia" w:asciiTheme="minorEastAsia" w:hAnsiTheme="minorEastAsia" w:eastAsiaTheme="minorEastAsia" w:cstheme="minorEastAsia"/>
          <w:spacing w:val="-48"/>
          <w:sz w:val="24"/>
          <w:szCs w:val="24"/>
          <w:lang w:eastAsia="zh-CN"/>
        </w:rPr>
        <w:t>，</w:t>
      </w:r>
      <w:r>
        <w:rPr>
          <w:rFonts w:hint="eastAsia" w:asciiTheme="minorEastAsia" w:hAnsiTheme="minorEastAsia" w:eastAsiaTheme="minorEastAsia" w:cstheme="minorEastAsia"/>
          <w:spacing w:val="8"/>
          <w:sz w:val="24"/>
          <w:szCs w:val="24"/>
          <w:lang w:eastAsia="zh-CN"/>
        </w:rPr>
        <w:t>属于</w:t>
      </w:r>
      <w:r>
        <w:rPr>
          <w:rFonts w:hint="eastAsia" w:asciiTheme="minorEastAsia" w:hAnsiTheme="minorEastAsia" w:eastAsiaTheme="minorEastAsia" w:cstheme="minorEastAsia"/>
          <w:spacing w:val="8"/>
          <w:sz w:val="24"/>
          <w:szCs w:val="24"/>
          <w:u w:val="single"/>
          <w:lang w:eastAsia="zh-CN"/>
        </w:rPr>
        <w:t>（采购文件中明确的所属行业）</w:t>
      </w:r>
      <w:r>
        <w:rPr>
          <w:rFonts w:hint="eastAsia" w:asciiTheme="minorEastAsia" w:hAnsiTheme="minorEastAsia" w:eastAsiaTheme="minorEastAsia" w:cstheme="minorEastAsia"/>
          <w:spacing w:val="8"/>
          <w:sz w:val="24"/>
          <w:szCs w:val="24"/>
          <w:lang w:eastAsia="zh-CN"/>
        </w:rPr>
        <w:t>行业；承建</w:t>
      </w:r>
      <w:r>
        <w:rPr>
          <w:rFonts w:hint="eastAsia" w:asciiTheme="minorEastAsia" w:hAnsiTheme="minorEastAsia" w:eastAsiaTheme="minorEastAsia" w:cstheme="minorEastAsia"/>
          <w:spacing w:val="7"/>
          <w:sz w:val="24"/>
          <w:szCs w:val="24"/>
          <w:lang w:eastAsia="zh-CN"/>
        </w:rPr>
        <w:t>（承接）企业</w:t>
      </w:r>
      <w:r>
        <w:rPr>
          <w:rFonts w:hint="eastAsia" w:asciiTheme="minorEastAsia" w:hAnsiTheme="minorEastAsia" w:eastAsiaTheme="minorEastAsia" w:cstheme="minorEastAsia"/>
          <w:spacing w:val="1"/>
          <w:sz w:val="24"/>
          <w:szCs w:val="24"/>
          <w:lang w:eastAsia="zh-CN"/>
        </w:rPr>
        <w:t xml:space="preserve"> </w:t>
      </w:r>
      <w:r>
        <w:rPr>
          <w:rFonts w:hint="eastAsia" w:asciiTheme="minorEastAsia" w:hAnsiTheme="minorEastAsia" w:eastAsiaTheme="minorEastAsia" w:cstheme="minorEastAsia"/>
          <w:spacing w:val="7"/>
          <w:sz w:val="24"/>
          <w:szCs w:val="24"/>
          <w:lang w:eastAsia="zh-CN"/>
        </w:rPr>
        <w:t>为</w:t>
      </w:r>
      <w:r>
        <w:rPr>
          <w:rFonts w:hint="eastAsia" w:asciiTheme="minorEastAsia" w:hAnsiTheme="minorEastAsia" w:eastAsiaTheme="minorEastAsia" w:cstheme="minorEastAsia"/>
          <w:spacing w:val="7"/>
          <w:sz w:val="24"/>
          <w:szCs w:val="24"/>
          <w:u w:val="single"/>
          <w:lang w:eastAsia="zh-CN"/>
        </w:rPr>
        <w:t>（企业名称</w:t>
      </w:r>
      <w:r>
        <w:rPr>
          <w:rFonts w:hint="eastAsia" w:asciiTheme="minorEastAsia" w:hAnsiTheme="minorEastAsia" w:eastAsiaTheme="minorEastAsia" w:cstheme="minorEastAsia"/>
          <w:spacing w:val="-25"/>
          <w:sz w:val="24"/>
          <w:szCs w:val="24"/>
          <w:u w:val="single"/>
          <w:lang w:eastAsia="zh-CN"/>
        </w:rPr>
        <w:t>）</w:t>
      </w:r>
      <w:r>
        <w:rPr>
          <w:rFonts w:hint="eastAsia" w:asciiTheme="minorEastAsia" w:hAnsiTheme="minorEastAsia" w:eastAsiaTheme="minorEastAsia" w:cstheme="minorEastAsia"/>
          <w:spacing w:val="-25"/>
          <w:sz w:val="24"/>
          <w:szCs w:val="24"/>
          <w:lang w:eastAsia="zh-CN"/>
        </w:rPr>
        <w:t>，</w:t>
      </w:r>
      <w:r>
        <w:rPr>
          <w:rFonts w:hint="eastAsia" w:asciiTheme="minorEastAsia" w:hAnsiTheme="minorEastAsia" w:eastAsiaTheme="minorEastAsia" w:cstheme="minorEastAsia"/>
          <w:spacing w:val="7"/>
          <w:sz w:val="24"/>
          <w:szCs w:val="24"/>
          <w:lang w:eastAsia="zh-CN"/>
        </w:rPr>
        <w:t>从业人员</w:t>
      </w:r>
      <w:r>
        <w:rPr>
          <w:rFonts w:hint="eastAsia" w:asciiTheme="minorEastAsia" w:hAnsiTheme="minorEastAsia" w:eastAsiaTheme="minorEastAsia" w:cstheme="minorEastAsia"/>
          <w:spacing w:val="-105"/>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6"/>
          <w:sz w:val="24"/>
          <w:szCs w:val="24"/>
          <w:lang w:eastAsia="zh-CN"/>
        </w:rPr>
        <w:t xml:space="preserve"> </w:t>
      </w:r>
      <w:r>
        <w:rPr>
          <w:rFonts w:hint="eastAsia" w:asciiTheme="minorEastAsia" w:hAnsiTheme="minorEastAsia" w:eastAsiaTheme="minorEastAsia" w:cstheme="minorEastAsia"/>
          <w:spacing w:val="7"/>
          <w:sz w:val="24"/>
          <w:szCs w:val="24"/>
          <w:lang w:eastAsia="zh-CN"/>
        </w:rPr>
        <w:t>人，</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营业收入为</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1"/>
          <w:sz w:val="24"/>
          <w:szCs w:val="24"/>
          <w:lang w:eastAsia="zh-CN"/>
        </w:rPr>
        <w:t xml:space="preserve"> </w:t>
      </w:r>
      <w:r>
        <w:rPr>
          <w:rFonts w:hint="eastAsia" w:asciiTheme="minorEastAsia" w:hAnsiTheme="minorEastAsia" w:eastAsiaTheme="minorEastAsia" w:cstheme="minorEastAsia"/>
          <w:spacing w:val="7"/>
          <w:sz w:val="24"/>
          <w:szCs w:val="24"/>
          <w:lang w:eastAsia="zh-CN"/>
        </w:rPr>
        <w:t>万元，</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资产总额为</w:t>
      </w:r>
      <w:r>
        <w:rPr>
          <w:rFonts w:hint="eastAsia" w:asciiTheme="minorEastAsia" w:hAnsiTheme="minorEastAsia" w:eastAsiaTheme="minorEastAsia" w:cstheme="minorEastAsia"/>
          <w:spacing w:val="-107"/>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万元</w:t>
      </w:r>
      <w:r>
        <w:rPr>
          <w:rFonts w:hint="eastAsia" w:asciiTheme="minorEastAsia" w:hAnsiTheme="minorEastAsia" w:eastAsiaTheme="minorEastAsia" w:cstheme="minorEastAsia"/>
          <w:spacing w:val="-26"/>
          <w:sz w:val="24"/>
          <w:szCs w:val="24"/>
          <w:lang w:eastAsia="zh-CN"/>
        </w:rPr>
        <w:t xml:space="preserve"> </w:t>
      </w:r>
      <w:r>
        <w:rPr>
          <w:rFonts w:hint="eastAsia" w:asciiTheme="minorEastAsia" w:hAnsiTheme="minorEastAsia" w:eastAsiaTheme="minorEastAsia" w:cstheme="minorEastAsia"/>
          <w:spacing w:val="8"/>
          <w:position w:val="6"/>
          <w:sz w:val="16"/>
          <w:szCs w:val="16"/>
          <w:lang w:eastAsia="zh-CN"/>
        </w:rPr>
        <w:t>1</w:t>
      </w:r>
      <w:r>
        <w:rPr>
          <w:rFonts w:hint="eastAsia" w:asciiTheme="minorEastAsia" w:hAnsiTheme="minorEastAsia" w:eastAsiaTheme="minorEastAsia" w:cstheme="minorEastAsia"/>
          <w:spacing w:val="-12"/>
          <w:position w:val="6"/>
          <w:sz w:val="16"/>
          <w:szCs w:val="16"/>
          <w:lang w:eastAsia="zh-CN"/>
        </w:rPr>
        <w:t xml:space="preserve"> </w:t>
      </w:r>
      <w:r>
        <w:rPr>
          <w:rFonts w:hint="eastAsia" w:asciiTheme="minorEastAsia" w:hAnsiTheme="minorEastAsia" w:eastAsiaTheme="minorEastAsia" w:cstheme="minorEastAsia"/>
          <w:spacing w:val="8"/>
          <w:sz w:val="24"/>
          <w:szCs w:val="24"/>
          <w:lang w:eastAsia="zh-CN"/>
        </w:rPr>
        <w:t>，属于</w:t>
      </w:r>
      <w:r>
        <w:rPr>
          <w:rFonts w:hint="eastAsia" w:asciiTheme="minorEastAsia" w:hAnsiTheme="minorEastAsia" w:eastAsiaTheme="minorEastAsia" w:cstheme="minorEastAsia"/>
          <w:spacing w:val="8"/>
          <w:sz w:val="24"/>
          <w:szCs w:val="24"/>
          <w:u w:val="single"/>
          <w:lang w:eastAsia="zh-CN"/>
        </w:rPr>
        <w:t>（中型企业、小型企业、微型企业</w:t>
      </w:r>
      <w:r>
        <w:rPr>
          <w:rFonts w:hint="eastAsia" w:asciiTheme="minorEastAsia" w:hAnsiTheme="minorEastAsia" w:eastAsiaTheme="minorEastAsia" w:cstheme="minorEastAsia"/>
          <w:spacing w:val="-50"/>
          <w:sz w:val="24"/>
          <w:szCs w:val="24"/>
          <w:u w:val="single"/>
          <w:lang w:eastAsia="zh-CN"/>
        </w:rPr>
        <w:t>）</w:t>
      </w:r>
      <w:r>
        <w:rPr>
          <w:rFonts w:hint="eastAsia" w:asciiTheme="minorEastAsia" w:hAnsiTheme="minorEastAsia" w:eastAsiaTheme="minorEastAsia" w:cstheme="minorEastAsia"/>
          <w:spacing w:val="-50"/>
          <w:sz w:val="24"/>
          <w:szCs w:val="24"/>
          <w:lang w:eastAsia="zh-CN"/>
        </w:rPr>
        <w:t>；</w:t>
      </w:r>
    </w:p>
    <w:p w14:paraId="5179051E">
      <w:pPr>
        <w:pStyle w:val="6"/>
        <w:kinsoku/>
        <w:wordWrap w:val="0"/>
        <w:spacing w:line="360" w:lineRule="auto"/>
        <w:ind w:firstLine="509"/>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2.</w:t>
      </w:r>
      <w:r>
        <w:rPr>
          <w:rFonts w:hint="eastAsia" w:asciiTheme="minorEastAsia" w:hAnsiTheme="minorEastAsia" w:eastAsiaTheme="minorEastAsia" w:cstheme="minorEastAsia"/>
          <w:spacing w:val="8"/>
          <w:sz w:val="24"/>
          <w:szCs w:val="24"/>
          <w:u w:val="single"/>
          <w:lang w:eastAsia="zh-CN"/>
        </w:rPr>
        <w:t>（标的名称</w:t>
      </w:r>
      <w:r>
        <w:rPr>
          <w:rFonts w:hint="eastAsia" w:asciiTheme="minorEastAsia" w:hAnsiTheme="minorEastAsia" w:eastAsiaTheme="minorEastAsia" w:cstheme="minorEastAsia"/>
          <w:spacing w:val="-46"/>
          <w:sz w:val="24"/>
          <w:szCs w:val="24"/>
          <w:u w:val="single"/>
          <w:lang w:eastAsia="zh-CN"/>
        </w:rPr>
        <w:t>）</w:t>
      </w:r>
      <w:r>
        <w:rPr>
          <w:rFonts w:hint="eastAsia" w:asciiTheme="minorEastAsia" w:hAnsiTheme="minorEastAsia" w:eastAsiaTheme="minorEastAsia" w:cstheme="minorEastAsia"/>
          <w:spacing w:val="-46"/>
          <w:sz w:val="24"/>
          <w:szCs w:val="24"/>
          <w:lang w:eastAsia="zh-CN"/>
        </w:rPr>
        <w:t>，</w:t>
      </w:r>
      <w:r>
        <w:rPr>
          <w:rFonts w:hint="eastAsia" w:asciiTheme="minorEastAsia" w:hAnsiTheme="minorEastAsia" w:eastAsiaTheme="minorEastAsia" w:cstheme="minorEastAsia"/>
          <w:spacing w:val="8"/>
          <w:sz w:val="24"/>
          <w:szCs w:val="24"/>
          <w:lang w:eastAsia="zh-CN"/>
        </w:rPr>
        <w:t>属于</w:t>
      </w:r>
      <w:r>
        <w:rPr>
          <w:rFonts w:hint="eastAsia" w:asciiTheme="minorEastAsia" w:hAnsiTheme="minorEastAsia" w:eastAsiaTheme="minorEastAsia" w:cstheme="minorEastAsia"/>
          <w:spacing w:val="8"/>
          <w:sz w:val="24"/>
          <w:szCs w:val="24"/>
          <w:u w:val="single"/>
          <w:lang w:eastAsia="zh-CN"/>
        </w:rPr>
        <w:t>（采购文件中明确的所属行业）</w:t>
      </w:r>
      <w:r>
        <w:rPr>
          <w:rFonts w:hint="eastAsia" w:asciiTheme="minorEastAsia" w:hAnsiTheme="minorEastAsia" w:eastAsiaTheme="minorEastAsia" w:cstheme="minorEastAsia"/>
          <w:spacing w:val="8"/>
          <w:sz w:val="24"/>
          <w:szCs w:val="24"/>
          <w:lang w:eastAsia="zh-CN"/>
        </w:rPr>
        <w:t>行业；承建（承接）企业</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7"/>
          <w:sz w:val="24"/>
          <w:szCs w:val="24"/>
          <w:lang w:eastAsia="zh-CN"/>
        </w:rPr>
        <w:t>为</w:t>
      </w:r>
      <w:r>
        <w:rPr>
          <w:rFonts w:hint="eastAsia" w:asciiTheme="minorEastAsia" w:hAnsiTheme="minorEastAsia" w:eastAsiaTheme="minorEastAsia" w:cstheme="minorEastAsia"/>
          <w:spacing w:val="7"/>
          <w:sz w:val="24"/>
          <w:szCs w:val="24"/>
          <w:u w:val="single"/>
          <w:lang w:eastAsia="zh-CN"/>
        </w:rPr>
        <w:t>（企业名称</w:t>
      </w:r>
      <w:r>
        <w:rPr>
          <w:rFonts w:hint="eastAsia" w:asciiTheme="minorEastAsia" w:hAnsiTheme="minorEastAsia" w:eastAsiaTheme="minorEastAsia" w:cstheme="minorEastAsia"/>
          <w:spacing w:val="-25"/>
          <w:sz w:val="24"/>
          <w:szCs w:val="24"/>
          <w:u w:val="single"/>
          <w:lang w:eastAsia="zh-CN"/>
        </w:rPr>
        <w:t>）</w:t>
      </w:r>
      <w:r>
        <w:rPr>
          <w:rFonts w:hint="eastAsia" w:asciiTheme="minorEastAsia" w:hAnsiTheme="minorEastAsia" w:eastAsiaTheme="minorEastAsia" w:cstheme="minorEastAsia"/>
          <w:spacing w:val="-25"/>
          <w:sz w:val="24"/>
          <w:szCs w:val="24"/>
          <w:lang w:eastAsia="zh-CN"/>
        </w:rPr>
        <w:t>，</w:t>
      </w:r>
      <w:r>
        <w:rPr>
          <w:rFonts w:hint="eastAsia" w:asciiTheme="minorEastAsia" w:hAnsiTheme="minorEastAsia" w:eastAsiaTheme="minorEastAsia" w:cstheme="minorEastAsia"/>
          <w:spacing w:val="7"/>
          <w:sz w:val="24"/>
          <w:szCs w:val="24"/>
          <w:lang w:eastAsia="zh-CN"/>
        </w:rPr>
        <w:t>从业人员</w:t>
      </w:r>
      <w:r>
        <w:rPr>
          <w:rFonts w:hint="eastAsia" w:asciiTheme="minorEastAsia" w:hAnsiTheme="minorEastAsia" w:eastAsiaTheme="minorEastAsia" w:cstheme="minorEastAsia"/>
          <w:spacing w:val="-105"/>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6"/>
          <w:sz w:val="24"/>
          <w:szCs w:val="24"/>
          <w:lang w:eastAsia="zh-CN"/>
        </w:rPr>
        <w:t xml:space="preserve"> </w:t>
      </w:r>
      <w:r>
        <w:rPr>
          <w:rFonts w:hint="eastAsia" w:asciiTheme="minorEastAsia" w:hAnsiTheme="minorEastAsia" w:eastAsiaTheme="minorEastAsia" w:cstheme="minorEastAsia"/>
          <w:spacing w:val="7"/>
          <w:sz w:val="24"/>
          <w:szCs w:val="24"/>
          <w:lang w:eastAsia="zh-CN"/>
        </w:rPr>
        <w:t>人，</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营业收入为</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1"/>
          <w:sz w:val="24"/>
          <w:szCs w:val="24"/>
          <w:lang w:eastAsia="zh-CN"/>
        </w:rPr>
        <w:t xml:space="preserve"> </w:t>
      </w:r>
      <w:r>
        <w:rPr>
          <w:rFonts w:hint="eastAsia" w:asciiTheme="minorEastAsia" w:hAnsiTheme="minorEastAsia" w:eastAsiaTheme="minorEastAsia" w:cstheme="minorEastAsia"/>
          <w:spacing w:val="7"/>
          <w:sz w:val="24"/>
          <w:szCs w:val="24"/>
          <w:lang w:eastAsia="zh-CN"/>
        </w:rPr>
        <w:t>万元，</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资产总额为</w:t>
      </w:r>
      <w:r>
        <w:rPr>
          <w:rFonts w:hint="eastAsia" w:asciiTheme="minorEastAsia" w:hAnsiTheme="minorEastAsia" w:eastAsiaTheme="minorEastAsia" w:cstheme="minorEastAsia"/>
          <w:spacing w:val="-107"/>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10"/>
          <w:sz w:val="24"/>
          <w:szCs w:val="24"/>
          <w:lang w:eastAsia="zh-CN"/>
        </w:rPr>
        <w:t>万元，属于</w:t>
      </w:r>
      <w:r>
        <w:rPr>
          <w:rFonts w:hint="eastAsia" w:asciiTheme="minorEastAsia" w:hAnsiTheme="minorEastAsia" w:eastAsiaTheme="minorEastAsia" w:cstheme="minorEastAsia"/>
          <w:spacing w:val="10"/>
          <w:sz w:val="24"/>
          <w:szCs w:val="24"/>
          <w:u w:val="single"/>
          <w:lang w:eastAsia="zh-CN"/>
        </w:rPr>
        <w:t>（中型企业、小型企业、微型企业</w:t>
      </w:r>
      <w:r>
        <w:rPr>
          <w:rFonts w:hint="eastAsia" w:asciiTheme="minorEastAsia" w:hAnsiTheme="minorEastAsia" w:eastAsiaTheme="minorEastAsia" w:cstheme="minorEastAsia"/>
          <w:spacing w:val="-46"/>
          <w:sz w:val="24"/>
          <w:szCs w:val="24"/>
          <w:u w:val="single"/>
          <w:lang w:eastAsia="zh-CN"/>
        </w:rPr>
        <w:t>）</w:t>
      </w:r>
      <w:r>
        <w:rPr>
          <w:rFonts w:hint="eastAsia" w:asciiTheme="minorEastAsia" w:hAnsiTheme="minorEastAsia" w:eastAsiaTheme="minorEastAsia" w:cstheme="minorEastAsia"/>
          <w:spacing w:val="-46"/>
          <w:sz w:val="24"/>
          <w:szCs w:val="24"/>
          <w:lang w:eastAsia="zh-CN"/>
        </w:rPr>
        <w:t>；</w:t>
      </w:r>
    </w:p>
    <w:p w14:paraId="3C113419">
      <w:pPr>
        <w:kinsoku/>
        <w:wordWrap w:val="0"/>
        <w:spacing w:line="360" w:lineRule="auto"/>
        <w:jc w:val="both"/>
        <w:rPr>
          <w:rFonts w:asciiTheme="minorEastAsia" w:hAnsiTheme="minorEastAsia" w:eastAsiaTheme="minorEastAsia" w:cstheme="minorEastAsia"/>
          <w:lang w:eastAsia="zh-CN"/>
        </w:rPr>
      </w:pPr>
    </w:p>
    <w:p w14:paraId="1112DC8A">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position w:val="1"/>
          <w:sz w:val="24"/>
          <w:szCs w:val="24"/>
          <w:lang w:eastAsia="zh-CN"/>
        </w:rPr>
        <w:t>……</w:t>
      </w:r>
    </w:p>
    <w:p w14:paraId="558C56AF">
      <w:pPr>
        <w:pStyle w:val="6"/>
        <w:kinsoku/>
        <w:wordWrap w:val="0"/>
        <w:spacing w:line="360" w:lineRule="auto"/>
        <w:ind w:firstLine="524" w:firstLineChars="200"/>
        <w:jc w:val="both"/>
        <w:rPr>
          <w:rFonts w:asciiTheme="minorEastAsia" w:hAnsiTheme="minorEastAsia" w:eastAsiaTheme="minorEastAsia" w:cstheme="minorEastAsia"/>
          <w:spacing w:val="11"/>
          <w:sz w:val="24"/>
          <w:szCs w:val="24"/>
          <w:lang w:eastAsia="zh-CN"/>
        </w:rPr>
      </w:pPr>
      <w:r>
        <w:rPr>
          <w:rFonts w:hint="eastAsia" w:asciiTheme="minorEastAsia" w:hAnsiTheme="minorEastAsia" w:eastAsiaTheme="minorEastAsia" w:cstheme="minorEastAsia"/>
          <w:spacing w:val="11"/>
          <w:position w:val="17"/>
          <w:sz w:val="24"/>
          <w:szCs w:val="24"/>
          <w:lang w:eastAsia="zh-CN"/>
        </w:rPr>
        <w:t>以上企业，不属于大企业的分支机构，不存在控股股东</w:t>
      </w:r>
      <w:r>
        <w:rPr>
          <w:rFonts w:hint="eastAsia" w:asciiTheme="minorEastAsia" w:hAnsiTheme="minorEastAsia" w:eastAsiaTheme="minorEastAsia" w:cstheme="minorEastAsia"/>
          <w:spacing w:val="10"/>
          <w:position w:val="17"/>
          <w:sz w:val="24"/>
          <w:szCs w:val="24"/>
          <w:lang w:eastAsia="zh-CN"/>
        </w:rPr>
        <w:t>为大企业的情形，也不存在与大企业的负责让你为同一人的情形。</w:t>
      </w:r>
    </w:p>
    <w:p w14:paraId="76292D89">
      <w:pPr>
        <w:pStyle w:val="6"/>
        <w:kinsoku/>
        <w:wordWrap w:val="0"/>
        <w:spacing w:line="360" w:lineRule="auto"/>
        <w:ind w:firstLine="52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sz w:val="24"/>
          <w:szCs w:val="24"/>
          <w:lang w:eastAsia="zh-CN"/>
        </w:rPr>
        <w:t>本企业对上述声明内容的真实性负责。如有虚假，将依法承担相应责任。</w:t>
      </w:r>
    </w:p>
    <w:p w14:paraId="10903FA8">
      <w:pPr>
        <w:kinsoku/>
        <w:wordWrap w:val="0"/>
        <w:spacing w:line="360" w:lineRule="auto"/>
        <w:jc w:val="both"/>
        <w:rPr>
          <w:rFonts w:asciiTheme="minorEastAsia" w:hAnsiTheme="minorEastAsia" w:eastAsiaTheme="minorEastAsia" w:cstheme="minorEastAsia"/>
          <w:lang w:eastAsia="zh-CN"/>
        </w:rPr>
      </w:pPr>
    </w:p>
    <w:p w14:paraId="4773D1D5">
      <w:pPr>
        <w:kinsoku/>
        <w:wordWrap w:val="0"/>
        <w:spacing w:line="360" w:lineRule="auto"/>
        <w:jc w:val="both"/>
        <w:rPr>
          <w:rFonts w:asciiTheme="minorEastAsia" w:hAnsiTheme="minorEastAsia" w:eastAsiaTheme="minorEastAsia" w:cstheme="minorEastAsia"/>
          <w:lang w:eastAsia="zh-CN"/>
        </w:rPr>
      </w:pPr>
    </w:p>
    <w:p w14:paraId="5F8606BA">
      <w:pPr>
        <w:pStyle w:val="6"/>
        <w:kinsoku/>
        <w:wordWrap w:val="0"/>
        <w:spacing w:line="360" w:lineRule="auto"/>
        <w:ind w:firstLine="4444" w:firstLineChars="2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9"/>
          <w:sz w:val="24"/>
          <w:szCs w:val="24"/>
          <w:lang w:eastAsia="zh-CN"/>
        </w:rPr>
        <w:t>企业名称（盖章</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z w:val="24"/>
          <w:szCs w:val="24"/>
          <w:u w:val="single"/>
          <w:lang w:eastAsia="zh-CN"/>
        </w:rPr>
        <w:t xml:space="preserve">         </w:t>
      </w:r>
    </w:p>
    <w:p w14:paraId="13ED7664">
      <w:pPr>
        <w:kinsoku/>
        <w:wordWrap w:val="0"/>
        <w:spacing w:line="360" w:lineRule="auto"/>
        <w:ind w:firstLine="5040" w:firstLineChars="21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2C3BCD33">
      <w:pPr>
        <w:pStyle w:val="6"/>
        <w:kinsoku/>
        <w:wordWrap w:val="0"/>
        <w:spacing w:line="360" w:lineRule="auto"/>
        <w:jc w:val="both"/>
        <w:rPr>
          <w:rFonts w:asciiTheme="minorEastAsia" w:hAnsiTheme="minorEastAsia" w:eastAsiaTheme="minorEastAsia" w:cstheme="minorEastAsia"/>
          <w:spacing w:val="9"/>
          <w:position w:val="5"/>
          <w:sz w:val="24"/>
          <w:szCs w:val="24"/>
          <w:lang w:eastAsia="zh-CN"/>
        </w:rPr>
      </w:pPr>
    </w:p>
    <w:p w14:paraId="1656D759">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position w:val="5"/>
          <w:sz w:val="24"/>
          <w:szCs w:val="24"/>
          <w:lang w:eastAsia="zh-CN"/>
        </w:rPr>
        <w:t>备注：</w:t>
      </w:r>
      <w:r>
        <w:rPr>
          <w:rFonts w:hint="eastAsia" w:asciiTheme="minorEastAsia" w:hAnsiTheme="minorEastAsia" w:eastAsiaTheme="minorEastAsia" w:cstheme="minorEastAsia"/>
          <w:spacing w:val="9"/>
          <w:sz w:val="24"/>
          <w:szCs w:val="24"/>
          <w:lang w:eastAsia="zh-CN"/>
        </w:rPr>
        <w:t>从业人员、营业收入、资产总额填报上一年度数据，无上一年度数据的新成立企业可不填报。</w:t>
      </w:r>
    </w:p>
    <w:p w14:paraId="5C25586D">
      <w:pPr>
        <w:pStyle w:val="6"/>
        <w:kinsoku/>
        <w:wordWrap w:val="0"/>
        <w:spacing w:line="360" w:lineRule="auto"/>
        <w:jc w:val="center"/>
        <w:rPr>
          <w:rFonts w:asciiTheme="minorEastAsia" w:hAnsiTheme="minorEastAsia" w:eastAsiaTheme="minorEastAsia" w:cstheme="minorEastAsia"/>
          <w:sz w:val="32"/>
          <w:szCs w:val="32"/>
          <w:lang w:eastAsia="zh-CN"/>
          <w14:textOutline w14:w="2311" w14:cap="flat" w14:cmpd="sng" w14:algn="ctr">
            <w14:solidFill>
              <w14:srgbClr w14:val="000000"/>
            </w14:solidFill>
            <w14:prstDash w14:val="solid"/>
            <w14:miter w14:val="0"/>
          </w14:textOutline>
        </w:rPr>
      </w:pPr>
    </w:p>
    <w:p w14:paraId="52028EAE">
      <w:pPr>
        <w:rPr>
          <w:lang w:eastAsia="zh-CN"/>
        </w:rPr>
      </w:pPr>
    </w:p>
    <w:p w14:paraId="35CB6B90">
      <w:pPr>
        <w:pStyle w:val="6"/>
        <w:kinsoku/>
        <w:wordWrap w:val="0"/>
        <w:spacing w:line="360" w:lineRule="auto"/>
        <w:jc w:val="center"/>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14:textOutline w14:w="2311" w14:cap="flat" w14:cmpd="sng" w14:algn="ctr">
            <w14:solidFill>
              <w14:srgbClr w14:val="000000"/>
            </w14:solidFill>
            <w14:prstDash w14:val="solid"/>
            <w14:miter w14:val="0"/>
          </w14:textOutline>
        </w:rPr>
        <w:t>残疾人福利性单位声明函格式</w:t>
      </w:r>
    </w:p>
    <w:p w14:paraId="6D9698BF">
      <w:pPr>
        <w:kinsoku/>
        <w:wordWrap w:val="0"/>
        <w:spacing w:line="360" w:lineRule="auto"/>
        <w:jc w:val="both"/>
        <w:rPr>
          <w:rFonts w:asciiTheme="minorEastAsia" w:hAnsiTheme="minorEastAsia" w:eastAsiaTheme="minorEastAsia" w:cstheme="minorEastAsia"/>
          <w:lang w:eastAsia="zh-CN"/>
        </w:rPr>
      </w:pPr>
    </w:p>
    <w:p w14:paraId="5D311B68">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本单位郑重声明，根据《财政部民政部中国残疾人联合会关于促进残疾人就</w:t>
      </w:r>
    </w:p>
    <w:p w14:paraId="26112FDF">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业政府采购政策的通知》（财库〔2017〕141号）的规定，本单位</w:t>
      </w: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lang w:eastAsia="zh-CN"/>
          <w14:textOutline w14:w="1536" w14:cap="flat" w14:cmpd="sng" w14:algn="ctr">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lang w:eastAsia="zh-CN"/>
        </w:rPr>
        <w:t>：</w:t>
      </w:r>
    </w:p>
    <w:p w14:paraId="204E69E5">
      <w:pPr>
        <w:pStyle w:val="6"/>
        <w:kinsoku/>
        <w:wordWrap w:val="0"/>
        <w:spacing w:line="360" w:lineRule="auto"/>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lang w:eastAsia="zh-CN"/>
          <w14:textOutline w14:w="1536" w14:cap="flat" w14:cmpd="sng" w14:algn="ctr">
            <w14:solidFill>
              <w14:srgbClr w14:val="000000"/>
            </w14:solidFill>
            <w14:prstDash w14:val="solid"/>
            <w14:miter w14:val="0"/>
          </w14:textOutline>
        </w:rPr>
        <w:t>不属于符合条件的残疾人福利性单位。</w:t>
      </w:r>
    </w:p>
    <w:p w14:paraId="430841EE">
      <w:pPr>
        <w:pStyle w:val="6"/>
        <w:kinsoku/>
        <w:wordWrap w:val="0"/>
        <w:spacing w:line="360" w:lineRule="auto"/>
        <w:ind w:firstLine="49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lang w:eastAsia="zh-CN"/>
          <w14:textOutline w14:w="1536" w14:cap="flat" w14:cmpd="sng" w14:algn="ctr">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lang w:eastAsia="zh-CN"/>
        </w:rPr>
        <w:t>且本单位参加单位的项目</w:t>
      </w:r>
      <w:r>
        <w:rPr>
          <w:rFonts w:hint="eastAsia" w:asciiTheme="minorEastAsia" w:hAnsiTheme="minorEastAsia" w:eastAsiaTheme="minorEastAsia" w:cstheme="minorEastAsia"/>
          <w:spacing w:val="21"/>
          <w:sz w:val="24"/>
          <w:szCs w:val="24"/>
          <w:lang w:eastAsia="zh-CN"/>
        </w:rPr>
        <w:t>采购活动提供本单位制造的货物（由本单位承担工程/提供服务</w:t>
      </w:r>
      <w:r>
        <w:rPr>
          <w:rFonts w:hint="eastAsia" w:asciiTheme="minorEastAsia" w:hAnsiTheme="minorEastAsia" w:eastAsiaTheme="minorEastAsia" w:cstheme="minorEastAsia"/>
          <w:spacing w:val="-62"/>
          <w:sz w:val="24"/>
          <w:szCs w:val="24"/>
          <w:lang w:eastAsia="zh-CN"/>
        </w:rPr>
        <w:t>），</w:t>
      </w:r>
      <w:r>
        <w:rPr>
          <w:rFonts w:hint="eastAsia" w:asciiTheme="minorEastAsia" w:hAnsiTheme="minorEastAsia" w:eastAsiaTheme="minorEastAsia" w:cstheme="minorEastAsia"/>
          <w:spacing w:val="21"/>
          <w:sz w:val="24"/>
          <w:szCs w:val="24"/>
          <w:lang w:eastAsia="zh-CN"/>
        </w:rPr>
        <w:t>或者提供其他残</w:t>
      </w:r>
      <w:r>
        <w:rPr>
          <w:rFonts w:hint="eastAsia" w:asciiTheme="minorEastAsia" w:hAnsiTheme="minorEastAsia" w:eastAsiaTheme="minorEastAsia" w:cstheme="minorEastAsia"/>
          <w:spacing w:val="7"/>
          <w:sz w:val="24"/>
          <w:szCs w:val="24"/>
          <w:lang w:eastAsia="zh-CN"/>
        </w:rPr>
        <w:t>疾人福利性单位制造的货物（不包括使用非残疾人福利性单位注册商标的货物）。</w:t>
      </w:r>
    </w:p>
    <w:p w14:paraId="689F894B">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14:textOutline w14:w="1536" w14:cap="flat" w14:cmpd="sng" w14:algn="ctr">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lang w:eastAsia="zh-CN"/>
          <w14:textOutline w14:w="1536" w14:cap="flat" w14:cmpd="sng" w14:algn="ctr">
            <w14:solidFill>
              <w14:srgbClr w14:val="000000"/>
            </w14:solidFill>
            <w14:prstDash w14:val="solid"/>
            <w14:miter w14:val="0"/>
          </w14:textOutline>
        </w:rPr>
        <w:t>承担相应责任。</w:t>
      </w:r>
    </w:p>
    <w:p w14:paraId="78CB5980">
      <w:pPr>
        <w:kinsoku/>
        <w:wordWrap w:val="0"/>
        <w:spacing w:line="360" w:lineRule="auto"/>
        <w:jc w:val="both"/>
        <w:rPr>
          <w:rFonts w:asciiTheme="minorEastAsia" w:hAnsiTheme="minorEastAsia" w:eastAsiaTheme="minorEastAsia" w:cstheme="minorEastAsia"/>
          <w:lang w:eastAsia="zh-CN"/>
        </w:rPr>
      </w:pPr>
    </w:p>
    <w:p w14:paraId="431F54B7">
      <w:pPr>
        <w:kinsoku/>
        <w:wordWrap w:val="0"/>
        <w:spacing w:line="360" w:lineRule="auto"/>
        <w:jc w:val="both"/>
        <w:rPr>
          <w:rFonts w:asciiTheme="minorEastAsia" w:hAnsiTheme="minorEastAsia" w:eastAsiaTheme="minorEastAsia" w:cstheme="minorEastAsia"/>
          <w:lang w:eastAsia="zh-CN"/>
        </w:rPr>
      </w:pPr>
    </w:p>
    <w:p w14:paraId="685866BE">
      <w:pPr>
        <w:pStyle w:val="6"/>
        <w:kinsoku/>
        <w:wordWrap w:val="0"/>
        <w:spacing w:line="360" w:lineRule="auto"/>
        <w:ind w:firstLine="5120" w:firstLineChars="20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单位名称（盖章</w:t>
      </w:r>
      <w:r>
        <w:rPr>
          <w:rFonts w:hint="eastAsia" w:asciiTheme="minorEastAsia" w:hAnsiTheme="minorEastAsia" w:eastAsiaTheme="minorEastAsia" w:cstheme="minorEastAsia"/>
          <w:spacing w:val="-60"/>
          <w:position w:val="26"/>
          <w:sz w:val="24"/>
          <w:szCs w:val="24"/>
          <w:lang w:eastAsia="zh-CN"/>
        </w:rPr>
        <w:t>）：</w:t>
      </w:r>
    </w:p>
    <w:p w14:paraId="404EEFC7">
      <w:pPr>
        <w:widowControl w:val="0"/>
        <w:kinsoku/>
        <w:wordWrap w:val="0"/>
        <w:spacing w:line="360" w:lineRule="auto"/>
        <w:ind w:firstLine="5152" w:firstLineChars="2300"/>
        <w:jc w:val="both"/>
        <w:rPr>
          <w:rFonts w:asciiTheme="minorEastAsia" w:hAnsiTheme="minorEastAsia" w:eastAsiaTheme="minorEastAsia" w:cstheme="minorEastAsia"/>
          <w:spacing w:val="-8"/>
          <w:sz w:val="24"/>
          <w:szCs w:val="24"/>
          <w:lang w:val="zh-CN" w:eastAsia="zh-CN"/>
        </w:rPr>
      </w:pPr>
      <w:r>
        <w:rPr>
          <w:rFonts w:hint="eastAsia" w:asciiTheme="minorEastAsia" w:hAnsiTheme="minorEastAsia" w:eastAsiaTheme="minorEastAsia" w:cstheme="minorEastAsia"/>
          <w:spacing w:val="-8"/>
          <w:sz w:val="24"/>
          <w:szCs w:val="24"/>
          <w:lang w:eastAsia="zh-CN"/>
        </w:rPr>
        <w:t>日期：</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75CFC86A">
      <w:pPr>
        <w:kinsoku/>
        <w:wordWrap w:val="0"/>
        <w:spacing w:line="360" w:lineRule="auto"/>
        <w:jc w:val="both"/>
        <w:rPr>
          <w:rFonts w:asciiTheme="minorEastAsia" w:hAnsiTheme="minorEastAsia" w:eastAsiaTheme="minorEastAsia" w:cstheme="minorEastAsia"/>
          <w:sz w:val="24"/>
          <w:szCs w:val="24"/>
          <w:lang w:eastAsia="zh-CN"/>
        </w:rPr>
      </w:pPr>
    </w:p>
    <w:p w14:paraId="34F59F7E">
      <w:pPr>
        <w:kinsoku/>
        <w:wordWrap w:val="0"/>
        <w:spacing w:line="360" w:lineRule="auto"/>
        <w:jc w:val="both"/>
        <w:rPr>
          <w:rFonts w:asciiTheme="minorEastAsia" w:hAnsiTheme="minorEastAsia" w:eastAsiaTheme="minorEastAsia" w:cstheme="minorEastAsia"/>
          <w:sz w:val="24"/>
          <w:szCs w:val="24"/>
          <w:lang w:eastAsia="zh-CN"/>
        </w:rPr>
      </w:pPr>
    </w:p>
    <w:p w14:paraId="459C9F03">
      <w:pPr>
        <w:kinsoku/>
        <w:wordWrap w:val="0"/>
        <w:spacing w:line="360" w:lineRule="auto"/>
        <w:jc w:val="both"/>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472A7FD1">
      <w:pPr>
        <w:kinsoku/>
        <w:wordWrap w:val="0"/>
        <w:spacing w:line="360" w:lineRule="auto"/>
        <w:jc w:val="both"/>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5294E196">
      <w:pPr>
        <w:kinsoku/>
        <w:wordWrap w:val="0"/>
        <w:spacing w:line="360" w:lineRule="auto"/>
        <w:jc w:val="both"/>
        <w:rPr>
          <w:rFonts w:asciiTheme="minorEastAsia" w:hAnsiTheme="minorEastAsia" w:eastAsiaTheme="minorEastAsia" w:cstheme="minorEastAsia"/>
          <w:b/>
          <w:bCs/>
          <w:spacing w:val="8"/>
          <w:position w:val="26"/>
          <w:sz w:val="24"/>
          <w:szCs w:val="24"/>
          <w:lang w:eastAsia="zh-CN"/>
        </w:rPr>
      </w:pPr>
      <w:r>
        <w:rPr>
          <w:rFonts w:hint="eastAsia" w:asciiTheme="minorEastAsia" w:hAnsiTheme="minorEastAsia" w:eastAsiaTheme="minorEastAsia" w:cstheme="minorEastAsia"/>
          <w:b/>
          <w:bCs/>
          <w:spacing w:val="8"/>
          <w:position w:val="26"/>
          <w:sz w:val="24"/>
          <w:szCs w:val="24"/>
          <w:lang w:eastAsia="zh-CN"/>
        </w:rPr>
        <w:t>10.招标文件要求的其它材料及投标人认为有必要提供的材料</w:t>
      </w:r>
    </w:p>
    <w:sectPr>
      <w:headerReference r:id="rId16" w:type="default"/>
      <w:footerReference r:id="rId17" w:type="default"/>
      <w:pgSz w:w="11907" w:h="16840"/>
      <w:pgMar w:top="1440" w:right="1800" w:bottom="1440" w:left="18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楷体">
    <w:altName w:val="宋体"/>
    <w:panose1 w:val="00000000000000000000"/>
    <w:charset w:val="86"/>
    <w:family w:val="auto"/>
    <w:pitch w:val="default"/>
    <w:sig w:usb0="00000000" w:usb1="00000000" w:usb2="00000010" w:usb3="00000000" w:csb0="0004009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E4932">
    <w:pPr>
      <w:spacing w:line="189" w:lineRule="auto"/>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E40BF">
    <w:pPr>
      <w:spacing w:line="189" w:lineRule="auto"/>
      <w:ind w:left="4547"/>
      <w:rPr>
        <w:sz w:val="18"/>
        <w:szCs w:val="18"/>
      </w:rPr>
    </w:pPr>
    <w:r>
      <w:rPr>
        <w:sz w:val="18"/>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34806E">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A34806E">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8DC2B">
    <w:pPr>
      <w:spacing w:line="189" w:lineRule="auto"/>
      <w:ind w:left="4435"/>
      <w:rPr>
        <w:sz w:val="18"/>
        <w:szCs w:val="18"/>
      </w:rPr>
    </w:pPr>
    <w:r>
      <w:rPr>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681947">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5E681947">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43</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94FC4">
    <w:pPr>
      <w:spacing w:line="189" w:lineRule="auto"/>
      <w:ind w:left="4435"/>
      <w:rPr>
        <w:sz w:val="18"/>
        <w:szCs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9DE8E">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6459DE8E">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46</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075CB">
    <w:pPr>
      <w:spacing w:line="189" w:lineRule="auto"/>
      <w:ind w:left="4538"/>
      <w:rPr>
        <w:sz w:val="18"/>
        <w:szCs w:val="18"/>
      </w:rPr>
    </w:pPr>
    <w:r>
      <w:rPr>
        <w:sz w:val="18"/>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EEFD95">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26EEFD95">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51</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9EAD2">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53</w:t>
    </w:r>
    <w:r>
      <w:fldChar w:fldCharType="end"/>
    </w:r>
  </w:p>
  <w:p w14:paraId="33F6546D">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70DF8">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13</w:t>
    </w:r>
    <w:r>
      <w:fldChar w:fldCharType="end"/>
    </w:r>
  </w:p>
  <w:p w14:paraId="5631A0CC">
    <w:pPr>
      <w:pStyle w:val="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F88D4">
    <w:pPr>
      <w:pStyle w:val="12"/>
      <w:jc w:val="cente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5668E7">
                          <w:pPr>
                            <w:pStyle w:val="12"/>
                            <w:jc w:val="center"/>
                          </w:pPr>
                          <w:r>
                            <w:fldChar w:fldCharType="begin"/>
                          </w:r>
                          <w:r>
                            <w:instrText xml:space="preserve">PAGE   \* MERGEFORMAT</w:instrText>
                          </w:r>
                          <w:r>
                            <w:fldChar w:fldCharType="separate"/>
                          </w:r>
                          <w:r>
                            <w:rPr>
                              <w:lang w:val="zh-CN"/>
                            </w:rPr>
                            <w:t>-</w:t>
                          </w:r>
                          <w:r>
                            <w:t xml:space="preserve"> 55 -</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405668E7">
                    <w:pPr>
                      <w:pStyle w:val="12"/>
                      <w:jc w:val="center"/>
                    </w:pPr>
                    <w:r>
                      <w:fldChar w:fldCharType="begin"/>
                    </w:r>
                    <w:r>
                      <w:instrText xml:space="preserve">PAGE   \* MERGEFORMAT</w:instrText>
                    </w:r>
                    <w:r>
                      <w:fldChar w:fldCharType="separate"/>
                    </w:r>
                    <w:r>
                      <w:rPr>
                        <w:lang w:val="zh-CN"/>
                      </w:rPr>
                      <w:t>-</w:t>
                    </w:r>
                    <w:r>
                      <w:t xml:space="preserve"> 55 -</w:t>
                    </w:r>
                    <w:r>
                      <w:rPr>
                        <w:lang w:val="zh-CN"/>
                      </w:rPr>
                      <w:fldChar w:fldCharType="end"/>
                    </w:r>
                  </w:p>
                </w:txbxContent>
              </v:textbox>
            </v:shape>
          </w:pict>
        </mc:Fallback>
      </mc:AlternateContent>
    </w:r>
  </w:p>
  <w:p w14:paraId="3B8BC07E">
    <w:pPr>
      <w:pStyle w:val="12"/>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E88A2">
    <w:pPr>
      <w:spacing w:line="189" w:lineRule="auto"/>
      <w:ind w:left="4433"/>
      <w:rPr>
        <w:sz w:val="18"/>
        <w:szCs w:val="18"/>
      </w:rPr>
    </w:pPr>
    <w:r>
      <w:rPr>
        <w:sz w:val="18"/>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33FBEF">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6F33FBEF">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58</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05ADC">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19BC5">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D94A1">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19A90">
    <w:pPr>
      <w:pStyle w:val="1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E806C">
    <w:pPr>
      <w:pStyle w:val="13"/>
      <w:ind w:firstLine="180" w:firstLineChars="1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86421">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7BE5FA"/>
    <w:multiLevelType w:val="singleLevel"/>
    <w:tmpl w:val="5D7BE5F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TA5MWYyNThlOGQyZGY4ZDUxNGI1MzJjOGM5MGQxNzcifQ=="/>
  </w:docVars>
  <w:rsids>
    <w:rsidRoot w:val="006F1E02"/>
    <w:rsid w:val="0000328A"/>
    <w:rsid w:val="000D6A9E"/>
    <w:rsid w:val="000F62DB"/>
    <w:rsid w:val="00104817"/>
    <w:rsid w:val="00107041"/>
    <w:rsid w:val="001A6A6E"/>
    <w:rsid w:val="001B3B7E"/>
    <w:rsid w:val="001D4CC3"/>
    <w:rsid w:val="001D7CD3"/>
    <w:rsid w:val="002402C1"/>
    <w:rsid w:val="002505DD"/>
    <w:rsid w:val="002966EE"/>
    <w:rsid w:val="003F62F5"/>
    <w:rsid w:val="005143B0"/>
    <w:rsid w:val="005216E9"/>
    <w:rsid w:val="00525C56"/>
    <w:rsid w:val="00566A47"/>
    <w:rsid w:val="00610A91"/>
    <w:rsid w:val="0062007D"/>
    <w:rsid w:val="006F1E02"/>
    <w:rsid w:val="00797CFB"/>
    <w:rsid w:val="00814F3A"/>
    <w:rsid w:val="0089174B"/>
    <w:rsid w:val="00926D51"/>
    <w:rsid w:val="00955598"/>
    <w:rsid w:val="0096273C"/>
    <w:rsid w:val="009976DB"/>
    <w:rsid w:val="00A06C1F"/>
    <w:rsid w:val="00A82F89"/>
    <w:rsid w:val="00A977B2"/>
    <w:rsid w:val="00AE6950"/>
    <w:rsid w:val="00B033A6"/>
    <w:rsid w:val="00B30055"/>
    <w:rsid w:val="00B458ED"/>
    <w:rsid w:val="00C42E85"/>
    <w:rsid w:val="00C6336D"/>
    <w:rsid w:val="00C80DEB"/>
    <w:rsid w:val="00C85219"/>
    <w:rsid w:val="00CA0C8E"/>
    <w:rsid w:val="00CF1C44"/>
    <w:rsid w:val="00CF4364"/>
    <w:rsid w:val="00D24FF0"/>
    <w:rsid w:val="00D40ABA"/>
    <w:rsid w:val="00D84401"/>
    <w:rsid w:val="00DA6720"/>
    <w:rsid w:val="00E20473"/>
    <w:rsid w:val="00E552E4"/>
    <w:rsid w:val="00E85BBE"/>
    <w:rsid w:val="00F14F70"/>
    <w:rsid w:val="00F61B7C"/>
    <w:rsid w:val="00F7046D"/>
    <w:rsid w:val="00F94A75"/>
    <w:rsid w:val="014E35A1"/>
    <w:rsid w:val="01C02D71"/>
    <w:rsid w:val="023E759B"/>
    <w:rsid w:val="027730B6"/>
    <w:rsid w:val="02FA03F5"/>
    <w:rsid w:val="03217B69"/>
    <w:rsid w:val="03C26B83"/>
    <w:rsid w:val="03CC315E"/>
    <w:rsid w:val="03DF5A69"/>
    <w:rsid w:val="044921B6"/>
    <w:rsid w:val="046D7C52"/>
    <w:rsid w:val="046E59EF"/>
    <w:rsid w:val="050D556D"/>
    <w:rsid w:val="05234F67"/>
    <w:rsid w:val="05545C1C"/>
    <w:rsid w:val="055748A3"/>
    <w:rsid w:val="059A3EA8"/>
    <w:rsid w:val="06593C39"/>
    <w:rsid w:val="06787E06"/>
    <w:rsid w:val="06AF4861"/>
    <w:rsid w:val="06B0495B"/>
    <w:rsid w:val="06C93A28"/>
    <w:rsid w:val="06E37C8B"/>
    <w:rsid w:val="076721B4"/>
    <w:rsid w:val="08CB596A"/>
    <w:rsid w:val="092D385C"/>
    <w:rsid w:val="09684744"/>
    <w:rsid w:val="09A129E2"/>
    <w:rsid w:val="09CC6764"/>
    <w:rsid w:val="09E3271C"/>
    <w:rsid w:val="0A29644D"/>
    <w:rsid w:val="0A437032"/>
    <w:rsid w:val="0A633B33"/>
    <w:rsid w:val="0AB46C2A"/>
    <w:rsid w:val="0ABC7CF1"/>
    <w:rsid w:val="0ABE6FC5"/>
    <w:rsid w:val="0AD86A92"/>
    <w:rsid w:val="0B3B7AF5"/>
    <w:rsid w:val="0B3C24F6"/>
    <w:rsid w:val="0B9132E0"/>
    <w:rsid w:val="0BC76E66"/>
    <w:rsid w:val="0BF0521B"/>
    <w:rsid w:val="0CB101B0"/>
    <w:rsid w:val="0CBD4DA7"/>
    <w:rsid w:val="0CF900A3"/>
    <w:rsid w:val="0D9A718E"/>
    <w:rsid w:val="0DA859D3"/>
    <w:rsid w:val="0DD30B7C"/>
    <w:rsid w:val="0E307EEE"/>
    <w:rsid w:val="0EE83F9D"/>
    <w:rsid w:val="0F0D035A"/>
    <w:rsid w:val="0F992FAD"/>
    <w:rsid w:val="0FB87AA7"/>
    <w:rsid w:val="0FE34B24"/>
    <w:rsid w:val="102C0845"/>
    <w:rsid w:val="104F3F68"/>
    <w:rsid w:val="10B145AD"/>
    <w:rsid w:val="115A7068"/>
    <w:rsid w:val="117D2D56"/>
    <w:rsid w:val="11B43A6A"/>
    <w:rsid w:val="11B5429E"/>
    <w:rsid w:val="122675E2"/>
    <w:rsid w:val="12417927"/>
    <w:rsid w:val="126E021D"/>
    <w:rsid w:val="12C549DA"/>
    <w:rsid w:val="12D9220E"/>
    <w:rsid w:val="12FD5FFB"/>
    <w:rsid w:val="1380268A"/>
    <w:rsid w:val="13C5707D"/>
    <w:rsid w:val="13F07810"/>
    <w:rsid w:val="1446371A"/>
    <w:rsid w:val="146A5814"/>
    <w:rsid w:val="14EC3DCF"/>
    <w:rsid w:val="15037E2D"/>
    <w:rsid w:val="156B2323"/>
    <w:rsid w:val="15AC3C0A"/>
    <w:rsid w:val="15B05882"/>
    <w:rsid w:val="15E04F64"/>
    <w:rsid w:val="164A7458"/>
    <w:rsid w:val="16F45CE8"/>
    <w:rsid w:val="16FC049F"/>
    <w:rsid w:val="174C193E"/>
    <w:rsid w:val="179B0D80"/>
    <w:rsid w:val="17B27393"/>
    <w:rsid w:val="17E20058"/>
    <w:rsid w:val="183D23CB"/>
    <w:rsid w:val="18510AEB"/>
    <w:rsid w:val="18610CDC"/>
    <w:rsid w:val="19161B44"/>
    <w:rsid w:val="19D46BD3"/>
    <w:rsid w:val="19E260C0"/>
    <w:rsid w:val="1A464AA0"/>
    <w:rsid w:val="1A6B22E0"/>
    <w:rsid w:val="1AAC0209"/>
    <w:rsid w:val="1AC47924"/>
    <w:rsid w:val="1AF57E02"/>
    <w:rsid w:val="1B4F168F"/>
    <w:rsid w:val="1B6F0841"/>
    <w:rsid w:val="1D391455"/>
    <w:rsid w:val="1D72498F"/>
    <w:rsid w:val="1D9D7C75"/>
    <w:rsid w:val="1E0754FF"/>
    <w:rsid w:val="1E2712E1"/>
    <w:rsid w:val="1E7249AF"/>
    <w:rsid w:val="1F8737CC"/>
    <w:rsid w:val="1FE61854"/>
    <w:rsid w:val="1FF31541"/>
    <w:rsid w:val="20F10837"/>
    <w:rsid w:val="210939CE"/>
    <w:rsid w:val="212D6A29"/>
    <w:rsid w:val="217E2260"/>
    <w:rsid w:val="21DC7625"/>
    <w:rsid w:val="21E33D7D"/>
    <w:rsid w:val="22937C80"/>
    <w:rsid w:val="22E737AC"/>
    <w:rsid w:val="23C6058D"/>
    <w:rsid w:val="23D34A58"/>
    <w:rsid w:val="24C8734D"/>
    <w:rsid w:val="24E94D19"/>
    <w:rsid w:val="25052271"/>
    <w:rsid w:val="255045B2"/>
    <w:rsid w:val="256253DA"/>
    <w:rsid w:val="25722260"/>
    <w:rsid w:val="257A4289"/>
    <w:rsid w:val="25A83616"/>
    <w:rsid w:val="25D07317"/>
    <w:rsid w:val="260373D2"/>
    <w:rsid w:val="260435DD"/>
    <w:rsid w:val="263A5FE5"/>
    <w:rsid w:val="265713EE"/>
    <w:rsid w:val="266177F8"/>
    <w:rsid w:val="26734FA1"/>
    <w:rsid w:val="267811A0"/>
    <w:rsid w:val="277D5407"/>
    <w:rsid w:val="27EF7E63"/>
    <w:rsid w:val="27F6032D"/>
    <w:rsid w:val="2944096C"/>
    <w:rsid w:val="29462E99"/>
    <w:rsid w:val="29C94933"/>
    <w:rsid w:val="29EF5E58"/>
    <w:rsid w:val="2A5E573D"/>
    <w:rsid w:val="2A870159"/>
    <w:rsid w:val="2ABA04F6"/>
    <w:rsid w:val="2AD7512C"/>
    <w:rsid w:val="2B296C36"/>
    <w:rsid w:val="2B32017A"/>
    <w:rsid w:val="2B4C1378"/>
    <w:rsid w:val="2BD35370"/>
    <w:rsid w:val="2CB368C6"/>
    <w:rsid w:val="2CE542E8"/>
    <w:rsid w:val="2D4C797B"/>
    <w:rsid w:val="2D854259"/>
    <w:rsid w:val="2DD5743D"/>
    <w:rsid w:val="2DF6291A"/>
    <w:rsid w:val="2E037ECE"/>
    <w:rsid w:val="2E123636"/>
    <w:rsid w:val="2EDE4089"/>
    <w:rsid w:val="2F795793"/>
    <w:rsid w:val="2F7E5B21"/>
    <w:rsid w:val="2FAF3423"/>
    <w:rsid w:val="305F18E8"/>
    <w:rsid w:val="311741D6"/>
    <w:rsid w:val="3119309A"/>
    <w:rsid w:val="312A5594"/>
    <w:rsid w:val="312C625F"/>
    <w:rsid w:val="31C81974"/>
    <w:rsid w:val="31ED63D2"/>
    <w:rsid w:val="32230959"/>
    <w:rsid w:val="3322495F"/>
    <w:rsid w:val="337450B5"/>
    <w:rsid w:val="344C700B"/>
    <w:rsid w:val="34C22FEC"/>
    <w:rsid w:val="34EB0670"/>
    <w:rsid w:val="34F86C33"/>
    <w:rsid w:val="357D65D2"/>
    <w:rsid w:val="36266C69"/>
    <w:rsid w:val="36B765C5"/>
    <w:rsid w:val="374028EC"/>
    <w:rsid w:val="374E72FE"/>
    <w:rsid w:val="37512649"/>
    <w:rsid w:val="37C036A0"/>
    <w:rsid w:val="37D664EB"/>
    <w:rsid w:val="37E776C2"/>
    <w:rsid w:val="383C09C6"/>
    <w:rsid w:val="38704382"/>
    <w:rsid w:val="388B2F38"/>
    <w:rsid w:val="399D1B1E"/>
    <w:rsid w:val="3A046503"/>
    <w:rsid w:val="3B35724B"/>
    <w:rsid w:val="3BB63ADA"/>
    <w:rsid w:val="3BDC4EDA"/>
    <w:rsid w:val="3C37498E"/>
    <w:rsid w:val="3C860462"/>
    <w:rsid w:val="3C94450B"/>
    <w:rsid w:val="3CD83A9C"/>
    <w:rsid w:val="3D051AB3"/>
    <w:rsid w:val="3D13022E"/>
    <w:rsid w:val="3D3F7A1E"/>
    <w:rsid w:val="3D9C0E9C"/>
    <w:rsid w:val="3DDE7B24"/>
    <w:rsid w:val="3E353902"/>
    <w:rsid w:val="3E60285C"/>
    <w:rsid w:val="3E7A6E5F"/>
    <w:rsid w:val="3E807399"/>
    <w:rsid w:val="3E923BF9"/>
    <w:rsid w:val="3ED454B4"/>
    <w:rsid w:val="3F0A4EA1"/>
    <w:rsid w:val="3F487C50"/>
    <w:rsid w:val="3F814E1B"/>
    <w:rsid w:val="3FC65745"/>
    <w:rsid w:val="3FCE3BC4"/>
    <w:rsid w:val="40274071"/>
    <w:rsid w:val="405D1A2A"/>
    <w:rsid w:val="407F405E"/>
    <w:rsid w:val="409370B0"/>
    <w:rsid w:val="40D41902"/>
    <w:rsid w:val="41884B35"/>
    <w:rsid w:val="423849B8"/>
    <w:rsid w:val="435F746A"/>
    <w:rsid w:val="4372309F"/>
    <w:rsid w:val="43DB6271"/>
    <w:rsid w:val="44093E52"/>
    <w:rsid w:val="444E5D13"/>
    <w:rsid w:val="446F3136"/>
    <w:rsid w:val="44790C24"/>
    <w:rsid w:val="453A628D"/>
    <w:rsid w:val="45CF0C25"/>
    <w:rsid w:val="45DD7715"/>
    <w:rsid w:val="47503B46"/>
    <w:rsid w:val="47C562E2"/>
    <w:rsid w:val="47C81344"/>
    <w:rsid w:val="483B0352"/>
    <w:rsid w:val="488A3088"/>
    <w:rsid w:val="48DF1625"/>
    <w:rsid w:val="48F078C5"/>
    <w:rsid w:val="49320965"/>
    <w:rsid w:val="49AC2E6D"/>
    <w:rsid w:val="4A3F3154"/>
    <w:rsid w:val="4A4562D3"/>
    <w:rsid w:val="4A52328E"/>
    <w:rsid w:val="4B050440"/>
    <w:rsid w:val="4B227F62"/>
    <w:rsid w:val="4B6545C2"/>
    <w:rsid w:val="4BBC369E"/>
    <w:rsid w:val="4BEA7FB4"/>
    <w:rsid w:val="4CEC4659"/>
    <w:rsid w:val="4D493511"/>
    <w:rsid w:val="4DF21FC2"/>
    <w:rsid w:val="4DF932EA"/>
    <w:rsid w:val="4E201C1D"/>
    <w:rsid w:val="4E7A34EC"/>
    <w:rsid w:val="4E861641"/>
    <w:rsid w:val="4F0955B7"/>
    <w:rsid w:val="4FAB04B3"/>
    <w:rsid w:val="4FB426AD"/>
    <w:rsid w:val="4FEE2DC9"/>
    <w:rsid w:val="51346287"/>
    <w:rsid w:val="51850890"/>
    <w:rsid w:val="519F1DA4"/>
    <w:rsid w:val="525210BA"/>
    <w:rsid w:val="52A90328"/>
    <w:rsid w:val="52DC3333"/>
    <w:rsid w:val="53036690"/>
    <w:rsid w:val="53376A7B"/>
    <w:rsid w:val="537441A1"/>
    <w:rsid w:val="53B1020C"/>
    <w:rsid w:val="54065481"/>
    <w:rsid w:val="54752A6A"/>
    <w:rsid w:val="54D22362"/>
    <w:rsid w:val="557169CF"/>
    <w:rsid w:val="557D5D2A"/>
    <w:rsid w:val="55A41C2D"/>
    <w:rsid w:val="56682D63"/>
    <w:rsid w:val="56905D0D"/>
    <w:rsid w:val="56FB4C08"/>
    <w:rsid w:val="574153BB"/>
    <w:rsid w:val="589A668A"/>
    <w:rsid w:val="58AC00F0"/>
    <w:rsid w:val="58C46E3D"/>
    <w:rsid w:val="58D971B2"/>
    <w:rsid w:val="59042C0B"/>
    <w:rsid w:val="59272568"/>
    <w:rsid w:val="59576FB6"/>
    <w:rsid w:val="59BC1D1A"/>
    <w:rsid w:val="59C142A0"/>
    <w:rsid w:val="59C641E6"/>
    <w:rsid w:val="59D65347"/>
    <w:rsid w:val="5A2E3043"/>
    <w:rsid w:val="5A9763C3"/>
    <w:rsid w:val="5A9920D7"/>
    <w:rsid w:val="5AEA63E6"/>
    <w:rsid w:val="5B2C7B17"/>
    <w:rsid w:val="5BCB0AF4"/>
    <w:rsid w:val="5C2D5181"/>
    <w:rsid w:val="5C9B1B86"/>
    <w:rsid w:val="5CA02E79"/>
    <w:rsid w:val="5CEA5B79"/>
    <w:rsid w:val="5D150553"/>
    <w:rsid w:val="5D3550FB"/>
    <w:rsid w:val="5D63282E"/>
    <w:rsid w:val="5D902A97"/>
    <w:rsid w:val="5E3606EF"/>
    <w:rsid w:val="5EDA32DC"/>
    <w:rsid w:val="5F321771"/>
    <w:rsid w:val="5F3A0F0C"/>
    <w:rsid w:val="5F412CC2"/>
    <w:rsid w:val="5FE2771E"/>
    <w:rsid w:val="600E6D7C"/>
    <w:rsid w:val="607F1E09"/>
    <w:rsid w:val="60BD2923"/>
    <w:rsid w:val="618C2692"/>
    <w:rsid w:val="622D31D4"/>
    <w:rsid w:val="62A74B0A"/>
    <w:rsid w:val="62E015B0"/>
    <w:rsid w:val="63510510"/>
    <w:rsid w:val="637F5749"/>
    <w:rsid w:val="639D4CC6"/>
    <w:rsid w:val="642053CC"/>
    <w:rsid w:val="646A5DEF"/>
    <w:rsid w:val="646F5EF6"/>
    <w:rsid w:val="65785E0F"/>
    <w:rsid w:val="658A75F4"/>
    <w:rsid w:val="65CF7A95"/>
    <w:rsid w:val="66A23F66"/>
    <w:rsid w:val="672526A7"/>
    <w:rsid w:val="680D3662"/>
    <w:rsid w:val="68222C97"/>
    <w:rsid w:val="68333F9A"/>
    <w:rsid w:val="683858D3"/>
    <w:rsid w:val="68645FE7"/>
    <w:rsid w:val="68A2482A"/>
    <w:rsid w:val="69413090"/>
    <w:rsid w:val="69855FCD"/>
    <w:rsid w:val="69BC17E8"/>
    <w:rsid w:val="69DD77FF"/>
    <w:rsid w:val="6AE37CE3"/>
    <w:rsid w:val="6B0625EA"/>
    <w:rsid w:val="6B5442BA"/>
    <w:rsid w:val="6C593408"/>
    <w:rsid w:val="6C68544B"/>
    <w:rsid w:val="6C785167"/>
    <w:rsid w:val="6D0715D4"/>
    <w:rsid w:val="6DDB2C74"/>
    <w:rsid w:val="6E0E0C0F"/>
    <w:rsid w:val="6E8E7670"/>
    <w:rsid w:val="6EEB0447"/>
    <w:rsid w:val="6FAF3250"/>
    <w:rsid w:val="6FC71762"/>
    <w:rsid w:val="70312E6C"/>
    <w:rsid w:val="703F6560"/>
    <w:rsid w:val="70725ED5"/>
    <w:rsid w:val="70B362F9"/>
    <w:rsid w:val="71653340"/>
    <w:rsid w:val="71F347D3"/>
    <w:rsid w:val="71FC098F"/>
    <w:rsid w:val="72415D05"/>
    <w:rsid w:val="7296241B"/>
    <w:rsid w:val="732A300A"/>
    <w:rsid w:val="73803FEB"/>
    <w:rsid w:val="73CE2CA8"/>
    <w:rsid w:val="743A4414"/>
    <w:rsid w:val="747F7695"/>
    <w:rsid w:val="748C5DD6"/>
    <w:rsid w:val="754A398B"/>
    <w:rsid w:val="75857AA3"/>
    <w:rsid w:val="758D5DE2"/>
    <w:rsid w:val="75943299"/>
    <w:rsid w:val="76017BAF"/>
    <w:rsid w:val="767A5F36"/>
    <w:rsid w:val="76837B47"/>
    <w:rsid w:val="76B97261"/>
    <w:rsid w:val="772D4414"/>
    <w:rsid w:val="7744228A"/>
    <w:rsid w:val="781E668F"/>
    <w:rsid w:val="788C166D"/>
    <w:rsid w:val="78AC0934"/>
    <w:rsid w:val="78BD4DDD"/>
    <w:rsid w:val="78E700F4"/>
    <w:rsid w:val="78EE7B24"/>
    <w:rsid w:val="7907377A"/>
    <w:rsid w:val="792E7F96"/>
    <w:rsid w:val="793B1352"/>
    <w:rsid w:val="79816EF4"/>
    <w:rsid w:val="79AB21E7"/>
    <w:rsid w:val="79CC501C"/>
    <w:rsid w:val="79F12DE4"/>
    <w:rsid w:val="7B0E17E2"/>
    <w:rsid w:val="7B3E48AE"/>
    <w:rsid w:val="7C6203C7"/>
    <w:rsid w:val="7CB47DAA"/>
    <w:rsid w:val="7D076A17"/>
    <w:rsid w:val="7D462131"/>
    <w:rsid w:val="7D7E22BF"/>
    <w:rsid w:val="7DC974CD"/>
    <w:rsid w:val="7E4B00B1"/>
    <w:rsid w:val="7EA62275"/>
    <w:rsid w:val="7F034C8E"/>
    <w:rsid w:val="7F235328"/>
    <w:rsid w:val="7F640382"/>
    <w:rsid w:val="7FB30C7B"/>
    <w:rsid w:val="7FB34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autoRedefine/>
    <w:qFormat/>
    <w:uiPriority w:val="0"/>
    <w:pPr>
      <w:outlineLvl w:val="0"/>
    </w:pPr>
    <w:rPr>
      <w:rFonts w:hint="eastAsia" w:ascii="宋体" w:hAnsi="宋体" w:eastAsia="宋体" w:cs="Times New Roman"/>
      <w:b/>
      <w:bCs/>
      <w:kern w:val="44"/>
      <w:sz w:val="33"/>
      <w:szCs w:val="33"/>
      <w:lang w:eastAsia="zh-CN"/>
    </w:rPr>
  </w:style>
  <w:style w:type="paragraph" w:styleId="3">
    <w:name w:val="heading 2"/>
    <w:basedOn w:val="1"/>
    <w:next w:val="1"/>
    <w:autoRedefine/>
    <w:qFormat/>
    <w:uiPriority w:val="0"/>
    <w:pPr>
      <w:keepNext/>
      <w:keepLines/>
      <w:spacing w:line="360" w:lineRule="auto"/>
      <w:outlineLvl w:val="1"/>
    </w:pPr>
    <w:rPr>
      <w:b/>
      <w:bCs/>
      <w:sz w:val="24"/>
      <w:szCs w:val="32"/>
    </w:rPr>
  </w:style>
  <w:style w:type="paragraph" w:styleId="4">
    <w:name w:val="heading 3"/>
    <w:basedOn w:val="1"/>
    <w:next w:val="1"/>
    <w:autoRedefine/>
    <w:semiHidden/>
    <w:unhideWhenUsed/>
    <w:qFormat/>
    <w:uiPriority w:val="0"/>
    <w:pPr>
      <w:spacing w:beforeAutospacing="1" w:afterAutospacing="1"/>
      <w:outlineLvl w:val="2"/>
    </w:pPr>
    <w:rPr>
      <w:rFonts w:hint="eastAsia" w:ascii="宋体" w:hAnsi="宋体" w:eastAsia="宋体" w:cs="Times New Roman"/>
      <w:b/>
      <w:sz w:val="27"/>
      <w:szCs w:val="27"/>
      <w:lang w:eastAsia="zh-CN"/>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style>
  <w:style w:type="paragraph" w:styleId="6">
    <w:name w:val="Body Text"/>
    <w:basedOn w:val="1"/>
    <w:next w:val="1"/>
    <w:autoRedefine/>
    <w:qFormat/>
    <w:uiPriority w:val="0"/>
    <w:rPr>
      <w:rFonts w:ascii="宋体" w:hAnsi="宋体" w:eastAsia="宋体" w:cs="宋体"/>
      <w:sz w:val="31"/>
      <w:szCs w:val="31"/>
    </w:rPr>
  </w:style>
  <w:style w:type="paragraph" w:styleId="7">
    <w:name w:val="Body Text Indent"/>
    <w:basedOn w:val="1"/>
    <w:next w:val="8"/>
    <w:autoRedefine/>
    <w:qFormat/>
    <w:uiPriority w:val="99"/>
    <w:pPr>
      <w:spacing w:after="120"/>
      <w:ind w:left="420" w:leftChars="200"/>
    </w:pPr>
    <w:rPr>
      <w:kern w:val="2"/>
      <w:lang w:eastAsia="zh-CN"/>
    </w:rPr>
  </w:style>
  <w:style w:type="paragraph" w:styleId="8">
    <w:name w:val="envelope return"/>
    <w:basedOn w:val="1"/>
    <w:autoRedefine/>
    <w:qFormat/>
    <w:uiPriority w:val="0"/>
  </w:style>
  <w:style w:type="paragraph" w:styleId="9">
    <w:name w:val="Plain Text"/>
    <w:basedOn w:val="1"/>
    <w:autoRedefine/>
    <w:qFormat/>
    <w:uiPriority w:val="0"/>
    <w:rPr>
      <w:rFonts w:ascii="宋体" w:hAnsi="Courier New" w:cs="Courier New"/>
    </w:rPr>
  </w:style>
  <w:style w:type="paragraph" w:styleId="10">
    <w:name w:val="Date"/>
    <w:basedOn w:val="1"/>
    <w:next w:val="1"/>
    <w:autoRedefine/>
    <w:qFormat/>
    <w:uiPriority w:val="0"/>
    <w:rPr>
      <w:kern w:val="2"/>
      <w:lang w:eastAsia="zh-CN"/>
    </w:rPr>
  </w:style>
  <w:style w:type="paragraph" w:styleId="11">
    <w:name w:val="Balloon Text"/>
    <w:basedOn w:val="1"/>
    <w:link w:val="34"/>
    <w:qFormat/>
    <w:uiPriority w:val="0"/>
    <w:rPr>
      <w:sz w:val="18"/>
      <w:szCs w:val="18"/>
    </w:rPr>
  </w:style>
  <w:style w:type="paragraph" w:styleId="12">
    <w:name w:val="footer"/>
    <w:basedOn w:val="1"/>
    <w:autoRedefine/>
    <w:qFormat/>
    <w:uiPriority w:val="0"/>
    <w:pPr>
      <w:tabs>
        <w:tab w:val="center" w:pos="4153"/>
        <w:tab w:val="right" w:pos="8306"/>
      </w:tabs>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4">
    <w:name w:val="Body Text 2"/>
    <w:basedOn w:val="1"/>
    <w:autoRedefine/>
    <w:qFormat/>
    <w:uiPriority w:val="0"/>
    <w:pPr>
      <w:spacing w:after="120" w:line="480" w:lineRule="auto"/>
    </w:pPr>
    <w:rPr>
      <w:rFonts w:ascii="Tahoma" w:hAnsi="Tahoma"/>
    </w:r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6">
    <w:name w:val="Normal (Web)"/>
    <w:basedOn w:val="1"/>
    <w:autoRedefine/>
    <w:qFormat/>
    <w:uiPriority w:val="0"/>
    <w:pPr>
      <w:spacing w:beforeAutospacing="1" w:afterAutospacing="1"/>
    </w:pPr>
    <w:rPr>
      <w:rFonts w:cs="Times New Roman"/>
      <w:sz w:val="24"/>
      <w:lang w:eastAsia="zh-CN"/>
    </w:rPr>
  </w:style>
  <w:style w:type="paragraph" w:styleId="17">
    <w:name w:val="Body Text First Indent 2"/>
    <w:basedOn w:val="7"/>
    <w:next w:val="1"/>
    <w:autoRedefine/>
    <w:qFormat/>
    <w:uiPriority w:val="0"/>
    <w:pPr>
      <w:ind w:firstLine="200" w:firstLineChars="200"/>
    </w:pPr>
    <w:rPr>
      <w:sz w:val="28"/>
    </w:rPr>
  </w:style>
  <w:style w:type="character" w:styleId="20">
    <w:name w:val="page number"/>
    <w:qFormat/>
    <w:uiPriority w:val="0"/>
    <w:rPr>
      <w:rFonts w:ascii="Tahoma" w:hAnsi="Tahoma" w:eastAsia="宋体"/>
      <w:kern w:val="2"/>
      <w:sz w:val="24"/>
      <w:szCs w:val="24"/>
      <w:lang w:val="en-US" w:eastAsia="zh-CN" w:bidi="ar-SA"/>
    </w:rPr>
  </w:style>
  <w:style w:type="character" w:styleId="21">
    <w:name w:val="FollowedHyperlink"/>
    <w:basedOn w:val="19"/>
    <w:autoRedefine/>
    <w:qFormat/>
    <w:uiPriority w:val="0"/>
    <w:rPr>
      <w:color w:val="444444"/>
      <w:sz w:val="16"/>
      <w:szCs w:val="16"/>
      <w:u w:val="none"/>
    </w:rPr>
  </w:style>
  <w:style w:type="character" w:styleId="22">
    <w:name w:val="Hyperlink"/>
    <w:basedOn w:val="19"/>
    <w:autoRedefine/>
    <w:qFormat/>
    <w:uiPriority w:val="0"/>
    <w:rPr>
      <w:color w:val="0000FF"/>
      <w:u w:val="single"/>
    </w:rPr>
  </w:style>
  <w:style w:type="paragraph" w:customStyle="1" w:styleId="2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4">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5">
    <w:name w:val="Table Normal"/>
    <w:autoRedefine/>
    <w:semiHidden/>
    <w:unhideWhenUsed/>
    <w:qFormat/>
    <w:uiPriority w:val="0"/>
    <w:tblPr>
      <w:tblCellMar>
        <w:top w:w="0" w:type="dxa"/>
        <w:left w:w="0" w:type="dxa"/>
        <w:bottom w:w="0" w:type="dxa"/>
        <w:right w:w="0" w:type="dxa"/>
      </w:tblCellMar>
    </w:tblPr>
  </w:style>
  <w:style w:type="paragraph" w:customStyle="1" w:styleId="26">
    <w:name w:val="Table Text"/>
    <w:basedOn w:val="1"/>
    <w:autoRedefine/>
    <w:semiHidden/>
    <w:qFormat/>
    <w:uiPriority w:val="0"/>
  </w:style>
  <w:style w:type="paragraph" w:customStyle="1" w:styleId="27">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8">
    <w:name w:val="Char Char10 Char Char Char Char"/>
    <w:basedOn w:val="1"/>
    <w:next w:val="29"/>
    <w:autoRedefine/>
    <w:qFormat/>
    <w:uiPriority w:val="99"/>
    <w:rPr>
      <w:rFonts w:ascii="宋体" w:hAnsi="宋体" w:cs="宋体"/>
      <w:lang w:val="zh-CN" w:bidi="zh-CN"/>
    </w:rPr>
  </w:style>
  <w:style w:type="paragraph" w:customStyle="1" w:styleId="29">
    <w:name w:val="xl87"/>
    <w:basedOn w:val="1"/>
    <w:next w:val="30"/>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rPr>
  </w:style>
  <w:style w:type="paragraph" w:customStyle="1" w:styleId="30">
    <w:name w:val="xl72"/>
    <w:basedOn w:val="1"/>
    <w:next w:val="10"/>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rPr>
  </w:style>
  <w:style w:type="paragraph" w:customStyle="1" w:styleId="31">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pPr>
    <w:rPr>
      <w:rFonts w:ascii="Calibri Light" w:hAnsi="Calibri Light" w:eastAsia="宋体"/>
      <w:kern w:val="2"/>
      <w:szCs w:val="24"/>
      <w:lang w:eastAsia="zh-CN"/>
    </w:rPr>
  </w:style>
  <w:style w:type="character" w:customStyle="1" w:styleId="32">
    <w:name w:val="hover18"/>
    <w:basedOn w:val="19"/>
    <w:autoRedefine/>
    <w:qFormat/>
    <w:uiPriority w:val="0"/>
  </w:style>
  <w:style w:type="paragraph" w:customStyle="1" w:styleId="33">
    <w:name w:val="列出段落1"/>
    <w:basedOn w:val="1"/>
    <w:autoRedefine/>
    <w:qFormat/>
    <w:uiPriority w:val="0"/>
    <w:pPr>
      <w:ind w:firstLine="420" w:firstLineChars="200"/>
    </w:pPr>
  </w:style>
  <w:style w:type="character" w:customStyle="1" w:styleId="34">
    <w:name w:val="批注框文本 字符"/>
    <w:basedOn w:val="19"/>
    <w:link w:val="11"/>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12884</Words>
  <Characters>13703</Characters>
  <Lines>232</Lines>
  <Paragraphs>65</Paragraphs>
  <TotalTime>3222</TotalTime>
  <ScaleCrop>false</ScaleCrop>
  <LinksUpToDate>false</LinksUpToDate>
  <CharactersWithSpaces>13849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NTKO</cp:lastModifiedBy>
  <cp:lastPrinted>2024-11-01T01:48:00Z</cp:lastPrinted>
  <dcterms:modified xsi:type="dcterms:W3CDTF">2024-12-04T12:07:42Z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2052-12.1.0.18912</vt:lpwstr>
  </property>
  <property fmtid="{D5CDD505-2E9C-101B-9397-08002B2CF9AE}" pid="5" name="ICV">
    <vt:lpwstr>506D65A2883240618AF7D43C2EB547F8_13</vt:lpwstr>
  </property>
</Properties>
</file>