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86DC">
      <w:pPr>
        <w:rPr>
          <w:rFonts w:ascii="Arial"/>
          <w:sz w:val="21"/>
        </w:rPr>
      </w:pPr>
    </w:p>
    <w:p w14:paraId="07FA37AA">
      <w:pPr>
        <w:rPr>
          <w:rFonts w:ascii="Arial"/>
          <w:sz w:val="21"/>
        </w:rPr>
      </w:pPr>
    </w:p>
    <w:p w14:paraId="5C4EE63C">
      <w:pPr>
        <w:rPr>
          <w:rFonts w:ascii="Arial"/>
          <w:sz w:val="21"/>
        </w:rPr>
      </w:pPr>
    </w:p>
    <w:p w14:paraId="667D3361">
      <w:pPr>
        <w:rPr>
          <w:rFonts w:ascii="Arial"/>
          <w:sz w:val="21"/>
        </w:rPr>
      </w:pPr>
      <w:r>
        <w:rPr>
          <w:rFonts w:ascii="Arial"/>
          <w:sz w:val="21"/>
        </w:rPr>
        <w:drawing>
          <wp:inline distT="0" distB="0" distL="114300" distR="114300">
            <wp:extent cx="5240655" cy="7405370"/>
            <wp:effectExtent l="0" t="0" r="17145" b="5080"/>
            <wp:docPr id="2" name="图片 2" descr="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件封面_00"/>
                    <pic:cNvPicPr>
                      <a:picLocks noChangeAspect="1"/>
                    </pic:cNvPicPr>
                  </pic:nvPicPr>
                  <pic:blipFill>
                    <a:blip r:embed="rId18"/>
                    <a:stretch>
                      <a:fillRect/>
                    </a:stretch>
                  </pic:blipFill>
                  <pic:spPr>
                    <a:xfrm>
                      <a:off x="0" y="0"/>
                      <a:ext cx="5240655" cy="7405370"/>
                    </a:xfrm>
                    <a:prstGeom prst="rect">
                      <a:avLst/>
                    </a:prstGeom>
                  </pic:spPr>
                </pic:pic>
              </a:graphicData>
            </a:graphic>
          </wp:inline>
        </w:drawing>
      </w:r>
      <w:r>
        <w:rPr>
          <w:rFonts w:ascii="Arial"/>
          <w:sz w:val="21"/>
        </w:rPr>
        <w:br w:type="page"/>
      </w:r>
    </w:p>
    <w:p w14:paraId="78FFBC84">
      <w:pPr>
        <w:pStyle w:val="4"/>
      </w:pPr>
    </w:p>
    <w:p w14:paraId="3BA9CC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31269BE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6C4BA1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473B16BC">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32C64DE6">
      <w:pPr>
        <w:keepNext w:val="0"/>
        <w:keepLines w:val="0"/>
        <w:pageBreakBefore w:val="0"/>
        <w:kinsoku/>
        <w:wordWrap w:val="0"/>
        <w:overflowPunct/>
        <w:topLinePunct w:val="0"/>
        <w:bidi w:val="0"/>
        <w:spacing w:line="248" w:lineRule="auto"/>
        <w:jc w:val="both"/>
        <w:rPr>
          <w:rFonts w:ascii="Arial"/>
          <w:sz w:val="21"/>
        </w:rPr>
      </w:pPr>
    </w:p>
    <w:p w14:paraId="282FA724">
      <w:pPr>
        <w:keepNext w:val="0"/>
        <w:keepLines w:val="0"/>
        <w:pageBreakBefore w:val="0"/>
        <w:kinsoku/>
        <w:wordWrap w:val="0"/>
        <w:overflowPunct/>
        <w:topLinePunct w:val="0"/>
        <w:bidi w:val="0"/>
        <w:spacing w:line="249" w:lineRule="auto"/>
        <w:jc w:val="both"/>
        <w:rPr>
          <w:rFonts w:ascii="Arial"/>
          <w:sz w:val="21"/>
        </w:rPr>
      </w:pPr>
    </w:p>
    <w:p w14:paraId="56256DFD">
      <w:pPr>
        <w:keepNext w:val="0"/>
        <w:keepLines w:val="0"/>
        <w:pageBreakBefore w:val="0"/>
        <w:kinsoku/>
        <w:wordWrap w:val="0"/>
        <w:overflowPunct/>
        <w:topLinePunct w:val="0"/>
        <w:bidi w:val="0"/>
        <w:spacing w:line="249" w:lineRule="auto"/>
        <w:jc w:val="both"/>
        <w:rPr>
          <w:rFonts w:ascii="Arial"/>
          <w:sz w:val="21"/>
        </w:rPr>
      </w:pPr>
    </w:p>
    <w:p w14:paraId="152BF7A1">
      <w:pPr>
        <w:keepNext w:val="0"/>
        <w:keepLines w:val="0"/>
        <w:pageBreakBefore w:val="0"/>
        <w:kinsoku/>
        <w:wordWrap w:val="0"/>
        <w:overflowPunct/>
        <w:topLinePunct w:val="0"/>
        <w:bidi w:val="0"/>
        <w:spacing w:line="249" w:lineRule="auto"/>
        <w:jc w:val="both"/>
        <w:rPr>
          <w:rFonts w:ascii="Arial"/>
          <w:sz w:val="21"/>
        </w:rPr>
      </w:pPr>
    </w:p>
    <w:p w14:paraId="1C21530B">
      <w:pPr>
        <w:keepNext w:val="0"/>
        <w:keepLines w:val="0"/>
        <w:pageBreakBefore w:val="0"/>
        <w:kinsoku/>
        <w:wordWrap w:val="0"/>
        <w:overflowPunct/>
        <w:topLinePunct w:val="0"/>
        <w:bidi w:val="0"/>
        <w:spacing w:line="249" w:lineRule="auto"/>
        <w:jc w:val="both"/>
        <w:rPr>
          <w:rFonts w:ascii="Arial"/>
          <w:sz w:val="21"/>
        </w:rPr>
      </w:pPr>
    </w:p>
    <w:p w14:paraId="211F8650">
      <w:pPr>
        <w:keepNext w:val="0"/>
        <w:keepLines w:val="0"/>
        <w:pageBreakBefore w:val="0"/>
        <w:kinsoku/>
        <w:wordWrap w:val="0"/>
        <w:overflowPunct/>
        <w:topLinePunct w:val="0"/>
        <w:bidi w:val="0"/>
        <w:spacing w:line="249" w:lineRule="auto"/>
        <w:jc w:val="both"/>
        <w:rPr>
          <w:rFonts w:ascii="Arial"/>
          <w:sz w:val="21"/>
        </w:rPr>
      </w:pPr>
    </w:p>
    <w:p w14:paraId="120A2797">
      <w:pPr>
        <w:keepNext w:val="0"/>
        <w:keepLines w:val="0"/>
        <w:pageBreakBefore w:val="0"/>
        <w:kinsoku/>
        <w:wordWrap w:val="0"/>
        <w:overflowPunct/>
        <w:topLinePunct w:val="0"/>
        <w:bidi w:val="0"/>
        <w:spacing w:line="249" w:lineRule="auto"/>
        <w:jc w:val="both"/>
        <w:rPr>
          <w:rFonts w:ascii="Arial"/>
          <w:sz w:val="21"/>
        </w:rPr>
      </w:pPr>
    </w:p>
    <w:p w14:paraId="6D4183C8">
      <w:pPr>
        <w:keepNext w:val="0"/>
        <w:keepLines w:val="0"/>
        <w:pageBreakBefore w:val="0"/>
        <w:kinsoku/>
        <w:wordWrap w:val="0"/>
        <w:overflowPunct/>
        <w:topLinePunct w:val="0"/>
        <w:bidi w:val="0"/>
        <w:spacing w:line="249" w:lineRule="auto"/>
        <w:jc w:val="both"/>
        <w:rPr>
          <w:rFonts w:ascii="Arial"/>
          <w:sz w:val="21"/>
        </w:rPr>
      </w:pPr>
    </w:p>
    <w:p w14:paraId="269D3F9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74AC0D1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461237C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6033F21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2C25FD0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5FEA8895">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南阳市文化广电和旅游局南阳瓦房庄冶铁遗址保护规划编制项目</w:t>
      </w:r>
    </w:p>
    <w:p w14:paraId="009C2C51">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南阳政采磋商-2025-16</w:t>
      </w:r>
    </w:p>
    <w:p w14:paraId="5B3B07D6">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南阳市文化广电和旅游局</w:t>
      </w:r>
    </w:p>
    <w:p w14:paraId="38FA13A0">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河南一本商汇工程管理有限公司</w:t>
      </w:r>
    </w:p>
    <w:p w14:paraId="666CEA5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u w:val="none"/>
          <w:lang w:val="en-US" w:eastAsia="zh-CN"/>
        </w:rPr>
      </w:pPr>
      <w:r>
        <w:rPr>
          <w:rFonts w:hint="eastAsia" w:asciiTheme="minorEastAsia" w:hAnsiTheme="minorEastAsia" w:eastAsiaTheme="minorEastAsia" w:cstheme="minorEastAsia"/>
          <w:b/>
          <w:bCs/>
          <w:spacing w:val="-17"/>
          <w:sz w:val="32"/>
          <w:szCs w:val="32"/>
          <w:u w:val="none"/>
          <w:lang w:val="en-US" w:eastAsia="zh-CN"/>
        </w:rPr>
        <w:t>2025年6月</w:t>
      </w:r>
    </w:p>
    <w:p w14:paraId="61159435">
      <w:pPr>
        <w:pStyle w:val="4"/>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51B5F00C">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790B930">
          <w:pPr>
            <w:pStyle w:val="4"/>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AE3BBFC">
          <w:pPr>
            <w:keepNext w:val="0"/>
            <w:keepLines w:val="0"/>
            <w:pageBreakBefore w:val="0"/>
            <w:kinsoku/>
            <w:wordWrap w:val="0"/>
            <w:overflowPunct/>
            <w:topLinePunct w:val="0"/>
            <w:bidi w:val="0"/>
            <w:spacing w:line="286" w:lineRule="auto"/>
            <w:jc w:val="both"/>
            <w:rPr>
              <w:rFonts w:ascii="Arial"/>
              <w:sz w:val="21"/>
            </w:rPr>
          </w:pPr>
        </w:p>
        <w:p w14:paraId="4806C3E5">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2CEC84FD">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3421188D">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611EE325">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01AF2CBC">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27269FB4">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12BFF8EB">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65B2F6A3">
      <w:pPr>
        <w:bidi w:val="0"/>
        <w:rPr>
          <w:rFonts w:ascii="Arial" w:hAnsi="Arial" w:eastAsia="Arial" w:cs="Arial"/>
          <w:snapToGrid w:val="0"/>
          <w:color w:val="000000"/>
          <w:kern w:val="0"/>
          <w:sz w:val="21"/>
          <w:szCs w:val="21"/>
          <w:lang w:val="en-US" w:eastAsia="en-US" w:bidi="ar-SA"/>
        </w:rPr>
      </w:pPr>
    </w:p>
    <w:p w14:paraId="717C8A8C">
      <w:pPr>
        <w:bidi w:val="0"/>
        <w:rPr>
          <w:lang w:val="en-US" w:eastAsia="en-US"/>
        </w:rPr>
      </w:pPr>
    </w:p>
    <w:p w14:paraId="2669D3BC">
      <w:pPr>
        <w:bidi w:val="0"/>
        <w:rPr>
          <w:lang w:val="en-US" w:eastAsia="en-US"/>
        </w:rPr>
      </w:pPr>
    </w:p>
    <w:p w14:paraId="1333308C">
      <w:pPr>
        <w:bidi w:val="0"/>
        <w:rPr>
          <w:lang w:val="en-US" w:eastAsia="en-US"/>
        </w:rPr>
      </w:pPr>
    </w:p>
    <w:p w14:paraId="4ACD79B9">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8F986A9">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B15FDB7">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0F724CE">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779C538">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AEE5D98">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EBFD921">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C36355F">
      <w:pPr>
        <w:pStyle w:val="4"/>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11061A9">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sectPr>
          <w:headerReference r:id="rId6" w:type="default"/>
          <w:footerReference r:id="rId7" w:type="default"/>
          <w:pgSz w:w="11907" w:h="16840"/>
          <w:pgMar w:top="1440" w:right="1800" w:bottom="1440" w:left="1800" w:header="878" w:footer="886" w:gutter="0"/>
          <w:pgNumType w:fmt="decimal"/>
          <w:cols w:space="720" w:num="1"/>
        </w:sectPr>
      </w:pPr>
    </w:p>
    <w:p w14:paraId="4E4233F2">
      <w:pPr>
        <w:pStyle w:val="4"/>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33E93150">
      <w:pPr>
        <w:kinsoku/>
        <w:wordWrap w:val="0"/>
        <w:adjustRightInd/>
        <w:snapToGrid/>
        <w:spacing w:line="500" w:lineRule="exact"/>
        <w:textAlignment w:val="auto"/>
        <w:rPr>
          <w:b/>
          <w:color w:val="auto"/>
          <w:sz w:val="24"/>
          <w:szCs w:val="24"/>
          <w:lang w:eastAsia="zh-CN"/>
        </w:rPr>
      </w:pPr>
      <w:r>
        <w:rPr>
          <w:rFonts w:hint="eastAsia"/>
          <w:b/>
          <w:color w:val="auto"/>
          <w:sz w:val="24"/>
          <w:szCs w:val="24"/>
          <w:lang w:eastAsia="zh-CN"/>
        </w:rPr>
        <w:t>项目概况：</w:t>
      </w:r>
    </w:p>
    <w:p w14:paraId="49364CE9">
      <w:pPr>
        <w:kinsoku/>
        <w:wordWrap w:val="0"/>
        <w:adjustRightInd/>
        <w:snapToGrid/>
        <w:spacing w:line="500" w:lineRule="exact"/>
        <w:ind w:firstLine="480" w:firstLineChars="200"/>
        <w:textAlignment w:val="auto"/>
        <w:rPr>
          <w:bCs/>
          <w:color w:val="auto"/>
          <w:sz w:val="24"/>
          <w:szCs w:val="24"/>
          <w:lang w:eastAsia="zh-CN"/>
        </w:rPr>
      </w:pPr>
      <w:r>
        <w:rPr>
          <w:rFonts w:hint="eastAsia"/>
          <w:bCs/>
          <w:color w:val="auto"/>
          <w:sz w:val="24"/>
          <w:szCs w:val="24"/>
          <w:lang w:eastAsia="zh-CN"/>
        </w:rPr>
        <w:t>南阳市文化广电和旅游局南阳瓦房庄冶铁遗址保护规划编制项目的潜在供应商应在全国公共资源交易平台（河南省·南阳市）https://ggzyjy.nanyang.gov.cn获取招标文件，</w:t>
      </w:r>
      <w:r>
        <w:rPr>
          <w:rFonts w:hint="eastAsia"/>
          <w:bCs/>
          <w:color w:val="auto"/>
          <w:sz w:val="24"/>
          <w:szCs w:val="24"/>
          <w:lang w:val="en-US" w:eastAsia="zh-CN"/>
        </w:rPr>
        <w:t>并于2025年07月02日09时00分</w:t>
      </w:r>
      <w:r>
        <w:rPr>
          <w:rFonts w:hint="eastAsia"/>
          <w:bCs/>
          <w:color w:val="auto"/>
          <w:sz w:val="24"/>
          <w:szCs w:val="24"/>
          <w:lang w:eastAsia="zh-CN"/>
        </w:rPr>
        <w:t>（北京时间）前提交响应文件。</w:t>
      </w:r>
    </w:p>
    <w:p w14:paraId="552FF6B5">
      <w:pPr>
        <w:kinsoku/>
        <w:wordWrap w:val="0"/>
        <w:adjustRightInd/>
        <w:snapToGrid/>
        <w:spacing w:line="500" w:lineRule="exact"/>
        <w:textAlignment w:val="auto"/>
        <w:outlineLvl w:val="1"/>
        <w:rPr>
          <w:b/>
          <w:color w:val="auto"/>
          <w:sz w:val="24"/>
          <w:szCs w:val="24"/>
          <w:lang w:eastAsia="zh-CN"/>
        </w:rPr>
      </w:pPr>
      <w:bookmarkStart w:id="1" w:name="_Toc25781"/>
      <w:bookmarkStart w:id="2" w:name="_Toc26834"/>
      <w:bookmarkStart w:id="3" w:name="_Toc5200"/>
      <w:r>
        <w:rPr>
          <w:rFonts w:hint="eastAsia"/>
          <w:b/>
          <w:color w:val="auto"/>
          <w:sz w:val="24"/>
          <w:szCs w:val="24"/>
          <w:lang w:eastAsia="zh-CN"/>
        </w:rPr>
        <w:t>一、项目基本情况</w:t>
      </w:r>
      <w:bookmarkEnd w:id="1"/>
      <w:bookmarkEnd w:id="2"/>
      <w:bookmarkEnd w:id="3"/>
    </w:p>
    <w:p w14:paraId="0EC7C714">
      <w:pPr>
        <w:kinsoku/>
        <w:wordWrap w:val="0"/>
        <w:adjustRightInd/>
        <w:snapToGrid/>
        <w:spacing w:line="500" w:lineRule="exact"/>
        <w:ind w:firstLine="480" w:firstLineChars="200"/>
        <w:textAlignment w:val="auto"/>
        <w:rPr>
          <w:rFonts w:hint="default" w:eastAsia="宋体"/>
          <w:bCs/>
          <w:color w:val="auto"/>
          <w:sz w:val="24"/>
          <w:szCs w:val="24"/>
          <w:lang w:val="en-US" w:eastAsia="zh-CN"/>
        </w:rPr>
      </w:pPr>
      <w:r>
        <w:rPr>
          <w:rFonts w:hint="eastAsia"/>
          <w:bCs/>
          <w:color w:val="auto"/>
          <w:sz w:val="24"/>
          <w:szCs w:val="24"/>
          <w:lang w:eastAsia="zh-CN"/>
        </w:rPr>
        <w:t>1、项目编号：南阳政采磋商-2025-</w:t>
      </w:r>
      <w:r>
        <w:rPr>
          <w:rFonts w:hint="eastAsia"/>
          <w:bCs/>
          <w:color w:val="auto"/>
          <w:sz w:val="24"/>
          <w:szCs w:val="24"/>
          <w:lang w:val="en-US" w:eastAsia="zh-CN"/>
        </w:rPr>
        <w:t>16</w:t>
      </w:r>
    </w:p>
    <w:p w14:paraId="65D458D6">
      <w:pPr>
        <w:kinsoku/>
        <w:wordWrap w:val="0"/>
        <w:adjustRightInd/>
        <w:snapToGrid/>
        <w:spacing w:line="500" w:lineRule="exact"/>
        <w:ind w:firstLine="480" w:firstLineChars="200"/>
        <w:textAlignment w:val="auto"/>
        <w:rPr>
          <w:rFonts w:eastAsia="宋体"/>
          <w:bCs/>
          <w:color w:val="auto"/>
          <w:sz w:val="24"/>
          <w:szCs w:val="24"/>
          <w:lang w:eastAsia="zh-CN"/>
        </w:rPr>
      </w:pPr>
      <w:r>
        <w:rPr>
          <w:rFonts w:hint="eastAsia"/>
          <w:bCs/>
          <w:color w:val="auto"/>
          <w:sz w:val="24"/>
          <w:szCs w:val="24"/>
          <w:lang w:eastAsia="zh-CN"/>
        </w:rPr>
        <w:t>2、项目名称：南阳市文化广电和旅游局南阳瓦房庄冶铁遗址保护规划编制项目</w:t>
      </w:r>
    </w:p>
    <w:p w14:paraId="769FF5F2">
      <w:pPr>
        <w:kinsoku/>
        <w:wordWrap w:val="0"/>
        <w:adjustRightInd/>
        <w:snapToGrid/>
        <w:spacing w:line="500" w:lineRule="exact"/>
        <w:ind w:firstLine="480" w:firstLineChars="200"/>
        <w:textAlignment w:val="auto"/>
        <w:rPr>
          <w:bCs/>
          <w:color w:val="auto"/>
          <w:sz w:val="24"/>
          <w:szCs w:val="24"/>
          <w:lang w:eastAsia="zh-CN"/>
        </w:rPr>
      </w:pPr>
      <w:r>
        <w:rPr>
          <w:rFonts w:hint="eastAsia"/>
          <w:bCs/>
          <w:color w:val="auto"/>
          <w:sz w:val="24"/>
          <w:szCs w:val="24"/>
          <w:lang w:eastAsia="zh-CN"/>
        </w:rPr>
        <w:t>3、采购方式：竞争性磋商</w:t>
      </w:r>
    </w:p>
    <w:p w14:paraId="5CB95217">
      <w:pPr>
        <w:kinsoku/>
        <w:wordWrap w:val="0"/>
        <w:adjustRightInd/>
        <w:snapToGrid/>
        <w:spacing w:line="500" w:lineRule="exact"/>
        <w:ind w:firstLine="480" w:firstLineChars="200"/>
        <w:textAlignment w:val="auto"/>
        <w:rPr>
          <w:bCs/>
          <w:color w:val="auto"/>
          <w:sz w:val="24"/>
          <w:szCs w:val="24"/>
          <w:lang w:eastAsia="zh-CN"/>
        </w:rPr>
      </w:pPr>
      <w:r>
        <w:rPr>
          <w:rFonts w:hint="eastAsia"/>
          <w:bCs/>
          <w:color w:val="auto"/>
          <w:sz w:val="24"/>
          <w:szCs w:val="24"/>
          <w:lang w:eastAsia="zh-CN"/>
        </w:rPr>
        <w:t>4、预算金额：1200000.00元</w:t>
      </w:r>
    </w:p>
    <w:p w14:paraId="2D774702">
      <w:pPr>
        <w:kinsoku/>
        <w:wordWrap w:val="0"/>
        <w:adjustRightInd/>
        <w:snapToGrid/>
        <w:spacing w:line="500" w:lineRule="exact"/>
        <w:ind w:firstLine="480" w:firstLineChars="200"/>
        <w:textAlignment w:val="auto"/>
        <w:rPr>
          <w:bCs/>
          <w:color w:val="auto"/>
          <w:sz w:val="24"/>
          <w:szCs w:val="24"/>
          <w:lang w:eastAsia="zh-CN"/>
        </w:rPr>
      </w:pPr>
      <w:r>
        <w:rPr>
          <w:rFonts w:hint="eastAsia"/>
          <w:bCs/>
          <w:color w:val="auto"/>
          <w:sz w:val="24"/>
          <w:szCs w:val="24"/>
          <w:lang w:eastAsia="zh-CN"/>
        </w:rPr>
        <w:t>最高限价：1200000.00元</w:t>
      </w:r>
    </w:p>
    <w:tbl>
      <w:tblPr>
        <w:tblStyle w:val="1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67"/>
        <w:gridCol w:w="3160"/>
        <w:gridCol w:w="1850"/>
        <w:gridCol w:w="1609"/>
      </w:tblGrid>
      <w:tr w14:paraId="0F9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72" w:type="dxa"/>
            <w:vAlign w:val="center"/>
          </w:tcPr>
          <w:p w14:paraId="512BA94A">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67" w:type="dxa"/>
            <w:vAlign w:val="center"/>
          </w:tcPr>
          <w:p w14:paraId="2A60BEFC">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包号</w:t>
            </w:r>
          </w:p>
        </w:tc>
        <w:tc>
          <w:tcPr>
            <w:tcW w:w="3160" w:type="dxa"/>
            <w:vAlign w:val="center"/>
          </w:tcPr>
          <w:p w14:paraId="02C889F2">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包</w:t>
            </w:r>
            <w:r>
              <w:rPr>
                <w:rFonts w:hint="eastAsia" w:ascii="宋体" w:hAnsi="宋体" w:eastAsia="宋体" w:cs="宋体"/>
                <w:bCs/>
                <w:color w:val="auto"/>
                <w:sz w:val="24"/>
                <w:szCs w:val="24"/>
              </w:rPr>
              <w:t>名称</w:t>
            </w:r>
          </w:p>
        </w:tc>
        <w:tc>
          <w:tcPr>
            <w:tcW w:w="1850" w:type="dxa"/>
            <w:vAlign w:val="center"/>
          </w:tcPr>
          <w:p w14:paraId="55D5FE53">
            <w:pPr>
              <w:kinsoku/>
              <w:wordWrap w:val="0"/>
              <w:adjustRightInd/>
              <w:snapToGrid/>
              <w:spacing w:line="5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包</w:t>
            </w:r>
            <w:r>
              <w:rPr>
                <w:rFonts w:hint="eastAsia" w:ascii="宋体" w:hAnsi="宋体" w:eastAsia="宋体" w:cs="宋体"/>
                <w:bCs/>
                <w:color w:val="auto"/>
                <w:sz w:val="24"/>
                <w:szCs w:val="24"/>
              </w:rPr>
              <w:t>预算</w:t>
            </w:r>
          </w:p>
          <w:p w14:paraId="40B18077">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（元）</w:t>
            </w:r>
          </w:p>
        </w:tc>
        <w:tc>
          <w:tcPr>
            <w:tcW w:w="1609" w:type="dxa"/>
            <w:vAlign w:val="center"/>
          </w:tcPr>
          <w:p w14:paraId="42909F72">
            <w:pPr>
              <w:kinsoku/>
              <w:wordWrap w:val="0"/>
              <w:adjustRightInd/>
              <w:snapToGrid/>
              <w:spacing w:line="5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包</w:t>
            </w:r>
            <w:r>
              <w:rPr>
                <w:rFonts w:hint="eastAsia" w:ascii="宋体" w:hAnsi="宋体" w:eastAsia="宋体" w:cs="宋体"/>
                <w:bCs/>
                <w:color w:val="auto"/>
                <w:sz w:val="24"/>
                <w:szCs w:val="24"/>
              </w:rPr>
              <w:t>最高限价</w:t>
            </w:r>
          </w:p>
          <w:p w14:paraId="7340F2DC">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（元）</w:t>
            </w:r>
          </w:p>
        </w:tc>
      </w:tr>
      <w:tr w14:paraId="63F0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72" w:type="dxa"/>
            <w:vAlign w:val="center"/>
          </w:tcPr>
          <w:p w14:paraId="7B05EFC2">
            <w:pPr>
              <w:kinsoku/>
              <w:wordWrap w:val="0"/>
              <w:adjustRightInd/>
              <w:snapToGrid/>
              <w:spacing w:line="500" w:lineRule="exact"/>
              <w:ind w:firstLine="240" w:firstLineChars="100"/>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1</w:t>
            </w:r>
          </w:p>
        </w:tc>
        <w:tc>
          <w:tcPr>
            <w:tcW w:w="1367" w:type="dxa"/>
            <w:vAlign w:val="center"/>
          </w:tcPr>
          <w:p w14:paraId="7E7706DA">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bCs/>
                <w:color w:val="auto"/>
                <w:sz w:val="24"/>
                <w:szCs w:val="24"/>
                <w:lang w:eastAsia="zh-CN"/>
              </w:rPr>
              <w:t>南阳政采磋商-202</w:t>
            </w:r>
            <w:r>
              <w:rPr>
                <w:rFonts w:hint="eastAsia"/>
                <w:bCs/>
                <w:color w:val="auto"/>
                <w:sz w:val="24"/>
                <w:szCs w:val="24"/>
                <w:lang w:val="en-US" w:eastAsia="zh-CN"/>
              </w:rPr>
              <w:t>5-16</w:t>
            </w:r>
            <w:r>
              <w:rPr>
                <w:rFonts w:hint="eastAsia"/>
                <w:bCs/>
                <w:color w:val="auto"/>
                <w:sz w:val="24"/>
                <w:szCs w:val="24"/>
                <w:lang w:eastAsia="zh-CN"/>
              </w:rPr>
              <w:t>--1</w:t>
            </w:r>
          </w:p>
        </w:tc>
        <w:tc>
          <w:tcPr>
            <w:tcW w:w="3160" w:type="dxa"/>
            <w:vAlign w:val="center"/>
          </w:tcPr>
          <w:p w14:paraId="68BF9F5D">
            <w:pPr>
              <w:kinsoku/>
              <w:wordWrap w:val="0"/>
              <w:adjustRightInd/>
              <w:snapToGrid/>
              <w:spacing w:line="500" w:lineRule="exact"/>
              <w:jc w:val="center"/>
              <w:textAlignment w:val="auto"/>
              <w:rPr>
                <w:rFonts w:ascii="宋体" w:hAnsi="宋体" w:eastAsia="宋体" w:cs="宋体"/>
                <w:bCs/>
                <w:color w:val="auto"/>
                <w:sz w:val="24"/>
                <w:szCs w:val="24"/>
                <w:lang w:eastAsia="zh-CN"/>
              </w:rPr>
            </w:pPr>
            <w:r>
              <w:rPr>
                <w:rFonts w:hint="eastAsia" w:cs="宋体"/>
                <w:bCs/>
                <w:color w:val="auto"/>
                <w:sz w:val="24"/>
                <w:szCs w:val="24"/>
                <w:lang w:eastAsia="zh-CN"/>
              </w:rPr>
              <w:t>南阳市文化广电和旅游局南阳瓦房庄冶铁遗址保护规划编制项目</w:t>
            </w:r>
          </w:p>
        </w:tc>
        <w:tc>
          <w:tcPr>
            <w:tcW w:w="1850" w:type="dxa"/>
            <w:vAlign w:val="center"/>
          </w:tcPr>
          <w:p w14:paraId="1067358A">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cs="宋体"/>
                <w:bCs/>
                <w:color w:val="auto"/>
                <w:sz w:val="24"/>
                <w:szCs w:val="24"/>
                <w:lang w:eastAsia="zh-CN"/>
              </w:rPr>
              <w:t>1200000.00</w:t>
            </w:r>
          </w:p>
        </w:tc>
        <w:tc>
          <w:tcPr>
            <w:tcW w:w="1609" w:type="dxa"/>
            <w:vAlign w:val="center"/>
          </w:tcPr>
          <w:p w14:paraId="78F829FF">
            <w:pPr>
              <w:kinsoku/>
              <w:wordWrap w:val="0"/>
              <w:adjustRightInd/>
              <w:snapToGrid/>
              <w:spacing w:line="500" w:lineRule="exact"/>
              <w:jc w:val="center"/>
              <w:textAlignment w:val="auto"/>
              <w:rPr>
                <w:rFonts w:ascii="宋体" w:hAnsi="宋体" w:eastAsia="宋体" w:cs="宋体"/>
                <w:bCs/>
                <w:color w:val="auto"/>
                <w:sz w:val="24"/>
                <w:szCs w:val="24"/>
              </w:rPr>
            </w:pPr>
            <w:r>
              <w:rPr>
                <w:rFonts w:hint="eastAsia" w:cs="宋体"/>
                <w:bCs/>
                <w:color w:val="auto"/>
                <w:sz w:val="24"/>
                <w:szCs w:val="24"/>
                <w:lang w:eastAsia="zh-CN"/>
              </w:rPr>
              <w:t>1200000.00</w:t>
            </w:r>
          </w:p>
        </w:tc>
      </w:tr>
    </w:tbl>
    <w:p w14:paraId="02F3C135">
      <w:pPr>
        <w:kinsoku/>
        <w:wordWrap w:val="0"/>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5、采购需求（包括但不限于标的的名称、数量、简要技术需求或服务要求等）</w:t>
      </w:r>
    </w:p>
    <w:p w14:paraId="60D12E6D">
      <w:pPr>
        <w:kinsoku/>
        <w:wordWrap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5.1、研究范围：全国重点文物保护单位瓦房庄冶铁遗址研究范围面积为132.4公顷，包括重点研究范围25.5公顷，一般研究范围106.9公顷。</w:t>
      </w:r>
    </w:p>
    <w:p w14:paraId="4FEC1180">
      <w:pPr>
        <w:kinsoku/>
        <w:wordWrap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5.2、服务要求：完成全国重点文物保护单位瓦房庄冶铁遗址保护规划编制。</w:t>
      </w:r>
    </w:p>
    <w:p w14:paraId="559B9D21">
      <w:pPr>
        <w:kinsoku/>
        <w:wordWrap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5.3、服务时间（履行期限）：180日历天。</w:t>
      </w:r>
    </w:p>
    <w:p w14:paraId="3600503E">
      <w:pPr>
        <w:kinsoku/>
        <w:wordWrap w:val="0"/>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5.4、服务标准：成果深度符合《全国重点文物保护单位保护规划编制要求》并能够通过文物行政主管部门评审。</w:t>
      </w:r>
    </w:p>
    <w:p w14:paraId="7EBE83F8">
      <w:pPr>
        <w:kinsoku/>
        <w:wordWrap w:val="0"/>
        <w:adjustRightInd/>
        <w:snapToGrid/>
        <w:spacing w:line="500" w:lineRule="exact"/>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6、合同履行期限：</w:t>
      </w:r>
      <w:r>
        <w:rPr>
          <w:rFonts w:hint="eastAsia" w:ascii="宋体" w:hAnsi="宋体" w:eastAsia="宋体" w:cs="宋体"/>
          <w:bCs/>
          <w:color w:val="auto"/>
          <w:sz w:val="24"/>
          <w:szCs w:val="24"/>
          <w:lang w:val="en-US" w:eastAsia="zh-CN"/>
        </w:rPr>
        <w:t>180日历天</w:t>
      </w:r>
      <w:r>
        <w:rPr>
          <w:rFonts w:hint="eastAsia" w:ascii="宋体" w:hAnsi="宋体" w:eastAsia="宋体" w:cs="宋体"/>
          <w:bCs/>
          <w:color w:val="auto"/>
          <w:sz w:val="24"/>
          <w:szCs w:val="24"/>
        </w:rPr>
        <w:t>；</w:t>
      </w:r>
    </w:p>
    <w:p w14:paraId="42F126DD">
      <w:pPr>
        <w:kinsoku/>
        <w:wordWrap w:val="0"/>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7、本项目是否接受联合体：否；</w:t>
      </w:r>
    </w:p>
    <w:p w14:paraId="5C06F7DA">
      <w:pPr>
        <w:kinsoku/>
        <w:wordWrap w:val="0"/>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8、是否接受进口产品：否；</w:t>
      </w:r>
    </w:p>
    <w:p w14:paraId="304E804B">
      <w:pPr>
        <w:pStyle w:val="16"/>
        <w:wordWrap w:val="0"/>
        <w:spacing w:line="500" w:lineRule="exact"/>
        <w:ind w:firstLine="480" w:firstLineChars="200"/>
        <w:rPr>
          <w:rFonts w:hint="eastAsia" w:ascii="宋体" w:hAnsi="宋体" w:eastAsia="宋体" w:cs="宋体"/>
          <w:color w:val="auto"/>
          <w:lang w:val="en-US" w:eastAsia="zh-CN"/>
        </w:rPr>
      </w:pPr>
      <w:r>
        <w:rPr>
          <w:rFonts w:hint="eastAsia" w:ascii="宋体" w:hAnsi="宋体" w:eastAsia="宋体" w:cs="宋体"/>
          <w:color w:val="auto"/>
        </w:rPr>
        <w:t>9、是否专门面向中小企业：</w:t>
      </w:r>
      <w:r>
        <w:rPr>
          <w:rFonts w:hint="eastAsia" w:ascii="宋体" w:hAnsi="宋体" w:eastAsia="宋体" w:cs="宋体"/>
          <w:color w:val="auto"/>
          <w:lang w:val="en-US" w:eastAsia="zh-CN"/>
        </w:rPr>
        <w:t>否</w:t>
      </w:r>
    </w:p>
    <w:p w14:paraId="0108A849">
      <w:pPr>
        <w:kinsoku/>
        <w:wordWrap w:val="0"/>
        <w:adjustRightInd/>
        <w:snapToGrid/>
        <w:spacing w:line="500" w:lineRule="exact"/>
        <w:textAlignment w:val="auto"/>
        <w:outlineLvl w:val="1"/>
        <w:rPr>
          <w:rFonts w:ascii="宋体" w:hAnsi="宋体" w:eastAsia="宋体" w:cs="宋体"/>
          <w:b/>
          <w:color w:val="auto"/>
          <w:sz w:val="24"/>
          <w:szCs w:val="24"/>
          <w:lang w:eastAsia="zh-CN"/>
        </w:rPr>
      </w:pPr>
      <w:bookmarkStart w:id="4" w:name="_Toc5864"/>
      <w:bookmarkStart w:id="5" w:name="_Toc26370"/>
      <w:bookmarkStart w:id="6" w:name="_Toc21090"/>
      <w:r>
        <w:rPr>
          <w:rFonts w:hint="eastAsia" w:ascii="宋体" w:hAnsi="宋体" w:eastAsia="宋体" w:cs="宋体"/>
          <w:b/>
          <w:color w:val="auto"/>
          <w:sz w:val="24"/>
          <w:szCs w:val="24"/>
          <w:lang w:eastAsia="zh-CN"/>
        </w:rPr>
        <w:t>二、申请人资格要求</w:t>
      </w:r>
      <w:bookmarkEnd w:id="4"/>
      <w:bookmarkEnd w:id="5"/>
      <w:bookmarkEnd w:id="6"/>
      <w:r>
        <w:rPr>
          <w:rFonts w:hint="eastAsia" w:cs="宋体"/>
          <w:b/>
          <w:color w:val="auto"/>
          <w:sz w:val="24"/>
          <w:szCs w:val="24"/>
          <w:lang w:eastAsia="zh-CN"/>
        </w:rPr>
        <w:t>：</w:t>
      </w:r>
    </w:p>
    <w:p w14:paraId="090F0356">
      <w:pPr>
        <w:kinsoku/>
        <w:wordWrap w:val="0"/>
        <w:adjustRightInd/>
        <w:snapToGrid/>
        <w:spacing w:line="360" w:lineRule="auto"/>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1、满足《中华人民共和国政府采购法》第二十二条规定；</w:t>
      </w:r>
    </w:p>
    <w:p w14:paraId="07B02E14">
      <w:pPr>
        <w:kinsoku/>
        <w:wordWrap w:val="0"/>
        <w:adjustRightInd/>
        <w:snapToGrid/>
        <w:spacing w:line="360" w:lineRule="auto"/>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2、落实政府采购政策需满足的资格要求：</w:t>
      </w:r>
      <w:r>
        <w:rPr>
          <w:rFonts w:hint="eastAsia" w:ascii="宋体" w:hAnsi="宋体" w:eastAsia="宋体" w:cs="宋体"/>
          <w:bCs/>
          <w:color w:val="auto"/>
          <w:sz w:val="24"/>
          <w:szCs w:val="24"/>
          <w:lang w:val="en-US" w:eastAsia="zh-CN"/>
        </w:rPr>
        <w:t>2.1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r>
        <w:rPr>
          <w:rFonts w:hint="eastAsia" w:ascii="宋体" w:hAnsi="宋体" w:eastAsia="宋体" w:cs="宋体"/>
          <w:bCs/>
          <w:color w:val="auto"/>
          <w:sz w:val="24"/>
          <w:szCs w:val="24"/>
          <w:lang w:val="en-US" w:eastAsia="zh-CN"/>
        </w:rPr>
        <w:br w:type="textWrapping"/>
      </w:r>
      <w:r>
        <w:rPr>
          <w:rFonts w:hint="eastAsia" w:ascii="宋体" w:hAnsi="宋体" w:eastAsia="宋体" w:cs="宋体"/>
          <w:bCs/>
          <w:color w:val="auto"/>
          <w:sz w:val="24"/>
          <w:szCs w:val="24"/>
          <w:lang w:val="en-US" w:eastAsia="zh-CN"/>
        </w:rPr>
        <w:t xml:space="preserve">    2.2本项目支持河南省政府采购合同融资政策和资格信用承诺制。</w:t>
      </w:r>
    </w:p>
    <w:p w14:paraId="6EFC6D33">
      <w:pPr>
        <w:pStyle w:val="10"/>
        <w:kinsoku/>
        <w:wordWrap w:val="0"/>
        <w:adjustRightInd/>
        <w:snapToGrid/>
        <w:spacing w:beforeAutospacing="0" w:afterAutospacing="0" w:line="360" w:lineRule="auto"/>
        <w:ind w:right="-58" w:firstLine="482" w:firstLineChars="200"/>
        <w:jc w:val="both"/>
        <w:textAlignment w:val="auto"/>
        <w:rPr>
          <w:rFonts w:eastAsia="宋体" w:cs="宋体"/>
          <w:color w:val="auto"/>
          <w:sz w:val="24"/>
          <w:szCs w:val="24"/>
          <w:lang w:eastAsia="zh-CN"/>
        </w:rPr>
      </w:pPr>
      <w:r>
        <w:rPr>
          <w:rFonts w:hint="eastAsia" w:eastAsia="宋体" w:cs="宋体"/>
          <w:b/>
          <w:bCs/>
          <w:color w:val="auto"/>
          <w:sz w:val="24"/>
          <w:szCs w:val="24"/>
          <w:lang w:eastAsia="zh-CN"/>
        </w:rPr>
        <w:t>3、本项目的特定资格要求：</w:t>
      </w:r>
    </w:p>
    <w:p w14:paraId="11F27230">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1.注册于中华人民共和国境内，具有独立承担民事责任能力</w:t>
      </w:r>
      <w:r>
        <w:rPr>
          <w:rFonts w:hint="eastAsia"/>
          <w:bCs/>
          <w:color w:val="auto"/>
          <w:sz w:val="24"/>
          <w:szCs w:val="24"/>
          <w:lang w:eastAsia="zh-CN"/>
        </w:rPr>
        <w:t>；</w:t>
      </w:r>
    </w:p>
    <w:p w14:paraId="4A2B3793">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2.具有良好的商业信誉和健全的财务会计制度；</w:t>
      </w:r>
    </w:p>
    <w:p w14:paraId="36FECA1D">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3.具有履行合同所必需的设备和专业技术能力；</w:t>
      </w:r>
    </w:p>
    <w:p w14:paraId="7D4B41A7">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4.有依法缴纳税收和社会保障资金的良好记录；</w:t>
      </w:r>
    </w:p>
    <w:p w14:paraId="54EB145C">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5.参加政府采购活动前三年内，在经营活动中没有重大违法记录；</w:t>
      </w:r>
    </w:p>
    <w:p w14:paraId="21AD46E3">
      <w:pPr>
        <w:pStyle w:val="4"/>
        <w:kinsoku/>
        <w:wordWrap w:val="0"/>
        <w:adjustRightInd/>
        <w:snapToGrid/>
        <w:spacing w:line="360" w:lineRule="auto"/>
        <w:ind w:firstLine="480" w:firstLineChars="200"/>
        <w:textAlignment w:val="auto"/>
        <w:rPr>
          <w:rFonts w:hint="eastAsia"/>
          <w:bCs/>
          <w:color w:val="auto"/>
          <w:sz w:val="24"/>
          <w:szCs w:val="24"/>
          <w:lang w:val="en-US" w:eastAsia="zh-CN"/>
        </w:rPr>
      </w:pPr>
      <w:r>
        <w:rPr>
          <w:rFonts w:hint="eastAsia"/>
          <w:bCs/>
          <w:color w:val="auto"/>
          <w:sz w:val="24"/>
          <w:szCs w:val="24"/>
          <w:lang w:val="en-US"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D1663E5">
      <w:pPr>
        <w:pStyle w:val="10"/>
        <w:kinsoku/>
        <w:wordWrap w:val="0"/>
        <w:adjustRightInd/>
        <w:snapToGrid/>
        <w:spacing w:beforeAutospacing="0" w:afterAutospacing="0" w:line="360" w:lineRule="auto"/>
        <w:jc w:val="both"/>
        <w:textAlignment w:val="auto"/>
        <w:outlineLvl w:val="1"/>
        <w:rPr>
          <w:rFonts w:eastAsia="宋体" w:cs="宋体"/>
          <w:color w:val="auto"/>
          <w:sz w:val="24"/>
          <w:szCs w:val="24"/>
          <w:lang w:eastAsia="zh-CN"/>
        </w:rPr>
      </w:pPr>
      <w:bookmarkStart w:id="7" w:name="_Toc27028"/>
      <w:bookmarkStart w:id="8" w:name="_Toc32575"/>
      <w:bookmarkStart w:id="9" w:name="_Toc6761"/>
      <w:r>
        <w:rPr>
          <w:rFonts w:hint="eastAsia" w:eastAsia="宋体" w:cs="宋体"/>
          <w:b/>
          <w:color w:val="auto"/>
          <w:sz w:val="24"/>
          <w:szCs w:val="24"/>
          <w:lang w:eastAsia="zh-CN"/>
        </w:rPr>
        <w:t>三、获取采购文件</w:t>
      </w:r>
      <w:bookmarkEnd w:id="7"/>
      <w:bookmarkEnd w:id="8"/>
      <w:bookmarkEnd w:id="9"/>
    </w:p>
    <w:p w14:paraId="0B8FDC78">
      <w:pPr>
        <w:pStyle w:val="4"/>
        <w:kinsoku/>
        <w:wordWrap w:val="0"/>
        <w:adjustRightInd/>
        <w:snapToGrid/>
        <w:spacing w:line="360" w:lineRule="auto"/>
        <w:ind w:firstLine="480" w:firstLineChars="200"/>
        <w:textAlignment w:val="auto"/>
        <w:rPr>
          <w:bCs/>
          <w:color w:val="auto"/>
          <w:sz w:val="24"/>
          <w:szCs w:val="24"/>
          <w:lang w:eastAsia="zh-CN"/>
        </w:rPr>
      </w:pPr>
      <w:r>
        <w:rPr>
          <w:rFonts w:hint="eastAsia"/>
          <w:bCs/>
          <w:color w:val="auto"/>
          <w:sz w:val="24"/>
          <w:szCs w:val="24"/>
          <w:lang w:eastAsia="zh-CN"/>
        </w:rPr>
        <w:t>1、时间：202</w:t>
      </w:r>
      <w:r>
        <w:rPr>
          <w:rFonts w:hint="eastAsia"/>
          <w:bCs/>
          <w:color w:val="auto"/>
          <w:sz w:val="24"/>
          <w:szCs w:val="24"/>
          <w:lang w:val="en-US" w:eastAsia="zh-CN"/>
        </w:rPr>
        <w:t>5</w:t>
      </w:r>
      <w:r>
        <w:rPr>
          <w:rFonts w:hint="eastAsia"/>
          <w:bCs/>
          <w:color w:val="auto"/>
          <w:sz w:val="24"/>
          <w:szCs w:val="24"/>
          <w:lang w:eastAsia="zh-CN"/>
        </w:rPr>
        <w:t>年</w:t>
      </w:r>
      <w:r>
        <w:rPr>
          <w:rFonts w:hint="eastAsia"/>
          <w:bCs/>
          <w:color w:val="auto"/>
          <w:sz w:val="24"/>
          <w:szCs w:val="24"/>
          <w:lang w:val="en-US" w:eastAsia="zh-CN"/>
        </w:rPr>
        <w:t>06</w:t>
      </w:r>
      <w:r>
        <w:rPr>
          <w:rFonts w:hint="eastAsia"/>
          <w:bCs/>
          <w:color w:val="auto"/>
          <w:sz w:val="24"/>
          <w:szCs w:val="24"/>
          <w:lang w:eastAsia="zh-CN"/>
        </w:rPr>
        <w:t>月</w:t>
      </w:r>
      <w:r>
        <w:rPr>
          <w:rFonts w:hint="eastAsia"/>
          <w:bCs/>
          <w:color w:val="auto"/>
          <w:sz w:val="24"/>
          <w:szCs w:val="24"/>
          <w:lang w:val="en-US" w:eastAsia="zh-CN"/>
        </w:rPr>
        <w:t>19</w:t>
      </w:r>
      <w:r>
        <w:rPr>
          <w:rFonts w:hint="eastAsia"/>
          <w:bCs/>
          <w:color w:val="auto"/>
          <w:sz w:val="24"/>
          <w:szCs w:val="24"/>
          <w:lang w:eastAsia="zh-CN"/>
        </w:rPr>
        <w:t>日至202</w:t>
      </w:r>
      <w:r>
        <w:rPr>
          <w:rFonts w:hint="eastAsia"/>
          <w:bCs/>
          <w:color w:val="auto"/>
          <w:sz w:val="24"/>
          <w:szCs w:val="24"/>
          <w:lang w:val="en-US" w:eastAsia="zh-CN"/>
        </w:rPr>
        <w:t>5</w:t>
      </w:r>
      <w:r>
        <w:rPr>
          <w:rFonts w:hint="eastAsia"/>
          <w:bCs/>
          <w:color w:val="auto"/>
          <w:sz w:val="24"/>
          <w:szCs w:val="24"/>
          <w:lang w:eastAsia="zh-CN"/>
        </w:rPr>
        <w:t>年</w:t>
      </w:r>
      <w:r>
        <w:rPr>
          <w:rFonts w:hint="eastAsia"/>
          <w:bCs/>
          <w:color w:val="auto"/>
          <w:sz w:val="24"/>
          <w:szCs w:val="24"/>
          <w:lang w:val="en-US" w:eastAsia="zh-CN"/>
        </w:rPr>
        <w:t>06</w:t>
      </w:r>
      <w:r>
        <w:rPr>
          <w:rFonts w:hint="eastAsia"/>
          <w:bCs/>
          <w:color w:val="auto"/>
          <w:sz w:val="24"/>
          <w:szCs w:val="24"/>
          <w:lang w:eastAsia="zh-CN"/>
        </w:rPr>
        <w:t>月</w:t>
      </w:r>
      <w:r>
        <w:rPr>
          <w:rFonts w:hint="eastAsia"/>
          <w:bCs/>
          <w:color w:val="auto"/>
          <w:sz w:val="24"/>
          <w:szCs w:val="24"/>
          <w:lang w:val="en-US" w:eastAsia="zh-CN"/>
        </w:rPr>
        <w:t>25</w:t>
      </w:r>
      <w:r>
        <w:rPr>
          <w:rFonts w:hint="eastAsia"/>
          <w:bCs/>
          <w:color w:val="auto"/>
          <w:sz w:val="24"/>
          <w:szCs w:val="24"/>
          <w:lang w:eastAsia="zh-CN"/>
        </w:rPr>
        <w:t>日，每天上午0</w:t>
      </w:r>
      <w:r>
        <w:rPr>
          <w:rFonts w:hint="eastAsia"/>
          <w:bCs/>
          <w:color w:val="auto"/>
          <w:sz w:val="24"/>
          <w:szCs w:val="24"/>
          <w:lang w:val="en-US" w:eastAsia="zh-CN"/>
        </w:rPr>
        <w:t>0</w:t>
      </w:r>
      <w:r>
        <w:rPr>
          <w:rFonts w:hint="eastAsia"/>
          <w:bCs/>
          <w:color w:val="auto"/>
          <w:sz w:val="24"/>
          <w:szCs w:val="24"/>
          <w:lang w:eastAsia="zh-CN"/>
        </w:rPr>
        <w:t>:00至12:00，下午12:00至</w:t>
      </w:r>
      <w:r>
        <w:rPr>
          <w:rFonts w:hint="eastAsia"/>
          <w:bCs/>
          <w:color w:val="auto"/>
          <w:sz w:val="24"/>
          <w:szCs w:val="24"/>
          <w:lang w:val="en-US" w:eastAsia="zh-CN"/>
        </w:rPr>
        <w:t>23</w:t>
      </w:r>
      <w:r>
        <w:rPr>
          <w:rFonts w:hint="eastAsia"/>
          <w:bCs/>
          <w:color w:val="auto"/>
          <w:sz w:val="24"/>
          <w:szCs w:val="24"/>
          <w:lang w:eastAsia="zh-CN"/>
        </w:rPr>
        <w:t>:</w:t>
      </w:r>
      <w:r>
        <w:rPr>
          <w:rFonts w:hint="eastAsia"/>
          <w:bCs/>
          <w:color w:val="auto"/>
          <w:sz w:val="24"/>
          <w:szCs w:val="24"/>
          <w:lang w:val="en-US" w:eastAsia="zh-CN"/>
        </w:rPr>
        <w:t>5</w:t>
      </w:r>
      <w:bookmarkStart w:id="23" w:name="_GoBack"/>
      <w:bookmarkEnd w:id="23"/>
      <w:r>
        <w:rPr>
          <w:rFonts w:hint="eastAsia"/>
          <w:bCs/>
          <w:color w:val="auto"/>
          <w:sz w:val="24"/>
          <w:szCs w:val="24"/>
          <w:lang w:val="en-US" w:eastAsia="zh-CN"/>
        </w:rPr>
        <w:t>9</w:t>
      </w:r>
      <w:r>
        <w:rPr>
          <w:rFonts w:hint="eastAsia"/>
          <w:bCs/>
          <w:color w:val="auto"/>
          <w:sz w:val="24"/>
          <w:szCs w:val="24"/>
          <w:lang w:eastAsia="zh-CN"/>
        </w:rPr>
        <w:t>（北京时间，法定节假日除外。）</w:t>
      </w:r>
    </w:p>
    <w:p w14:paraId="6A8BD0B0">
      <w:pPr>
        <w:pStyle w:val="4"/>
        <w:kinsoku/>
        <w:wordWrap w:val="0"/>
        <w:adjustRightInd/>
        <w:snapToGrid/>
        <w:spacing w:line="360" w:lineRule="auto"/>
        <w:ind w:firstLine="480" w:firstLineChars="200"/>
        <w:textAlignment w:val="auto"/>
        <w:rPr>
          <w:bCs/>
          <w:color w:val="auto"/>
          <w:sz w:val="24"/>
          <w:szCs w:val="24"/>
          <w:lang w:eastAsia="zh-CN"/>
        </w:rPr>
      </w:pPr>
      <w:r>
        <w:rPr>
          <w:rFonts w:hint="eastAsia"/>
          <w:bCs/>
          <w:color w:val="auto"/>
          <w:sz w:val="24"/>
          <w:szCs w:val="24"/>
          <w:lang w:eastAsia="zh-CN"/>
        </w:rPr>
        <w:t>2、地点：全国公共资源交易平台（河南省·南阳市）https://ggzyjy.nanyang.gov.cn</w:t>
      </w:r>
    </w:p>
    <w:p w14:paraId="1DCA8D70">
      <w:pPr>
        <w:pStyle w:val="4"/>
        <w:kinsoku/>
        <w:wordWrap w:val="0"/>
        <w:adjustRightInd/>
        <w:snapToGrid/>
        <w:spacing w:line="360" w:lineRule="auto"/>
        <w:ind w:firstLine="480" w:firstLineChars="200"/>
        <w:textAlignment w:val="auto"/>
        <w:rPr>
          <w:rFonts w:hint="eastAsia"/>
          <w:bCs/>
          <w:color w:val="auto"/>
          <w:sz w:val="24"/>
          <w:szCs w:val="24"/>
          <w:lang w:eastAsia="zh-CN"/>
        </w:rPr>
      </w:pPr>
      <w:r>
        <w:rPr>
          <w:rFonts w:hint="eastAsia"/>
          <w:bCs/>
          <w:color w:val="auto"/>
          <w:sz w:val="24"/>
          <w:szCs w:val="24"/>
          <w:lang w:eastAsia="zh-CN"/>
        </w:rPr>
        <w:t>3、方式：使用电子营业执照系统，入库办理请参见全国公共资源交易平台（河南省·南阳市）https://ggzyjy.nanyang.gov.cn下载专区《诚信库申报操作手册》，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111.6.77.187:8081/ggzy/）免费下载招标文件。电子营业执照申领技术支持电话：17269580661、17269580657，电子营业执照应用平台技术支持电话：17719857571</w:t>
      </w:r>
    </w:p>
    <w:p w14:paraId="08A1EF59">
      <w:pPr>
        <w:pStyle w:val="4"/>
        <w:kinsoku/>
        <w:wordWrap w:val="0"/>
        <w:adjustRightInd/>
        <w:snapToGrid/>
        <w:spacing w:line="360" w:lineRule="auto"/>
        <w:ind w:firstLine="480" w:firstLineChars="200"/>
        <w:textAlignment w:val="auto"/>
        <w:rPr>
          <w:bCs/>
          <w:color w:val="auto"/>
          <w:sz w:val="24"/>
          <w:szCs w:val="24"/>
        </w:rPr>
      </w:pPr>
      <w:r>
        <w:rPr>
          <w:rFonts w:hint="eastAsia"/>
          <w:bCs/>
          <w:color w:val="auto"/>
          <w:sz w:val="24"/>
          <w:szCs w:val="24"/>
        </w:rPr>
        <w:t>4、售价：0 元</w:t>
      </w:r>
    </w:p>
    <w:p w14:paraId="08E8388B">
      <w:pPr>
        <w:pStyle w:val="10"/>
        <w:numPr>
          <w:ilvl w:val="0"/>
          <w:numId w:val="1"/>
        </w:numPr>
        <w:kinsoku/>
        <w:wordWrap w:val="0"/>
        <w:autoSpaceDE/>
        <w:autoSpaceDN/>
        <w:adjustRightInd/>
        <w:snapToGrid/>
        <w:spacing w:beforeAutospacing="0" w:afterAutospacing="0" w:line="360" w:lineRule="auto"/>
        <w:jc w:val="both"/>
        <w:textAlignment w:val="auto"/>
        <w:outlineLvl w:val="1"/>
        <w:rPr>
          <w:rFonts w:eastAsia="宋体" w:cs="宋体"/>
          <w:b/>
          <w:color w:val="auto"/>
          <w:sz w:val="24"/>
          <w:szCs w:val="24"/>
        </w:rPr>
      </w:pPr>
      <w:bookmarkStart w:id="10" w:name="_Toc9843"/>
      <w:bookmarkStart w:id="11" w:name="_Toc464"/>
      <w:bookmarkStart w:id="12" w:name="_Toc9168"/>
      <w:r>
        <w:rPr>
          <w:rFonts w:hint="eastAsia" w:eastAsia="宋体" w:cs="宋体"/>
          <w:b/>
          <w:color w:val="auto"/>
          <w:sz w:val="24"/>
          <w:szCs w:val="24"/>
        </w:rPr>
        <w:t>响应文件提交</w:t>
      </w:r>
      <w:bookmarkEnd w:id="10"/>
      <w:bookmarkEnd w:id="11"/>
      <w:bookmarkEnd w:id="12"/>
    </w:p>
    <w:p w14:paraId="31F39D0D">
      <w:pPr>
        <w:pStyle w:val="10"/>
        <w:kinsoku/>
        <w:wordWrap w:val="0"/>
        <w:adjustRightInd/>
        <w:snapToGrid/>
        <w:spacing w:beforeAutospacing="0" w:afterAutospacing="0" w:line="360" w:lineRule="auto"/>
        <w:ind w:right="-58" w:firstLine="480"/>
        <w:jc w:val="both"/>
        <w:textAlignment w:val="auto"/>
        <w:rPr>
          <w:rFonts w:eastAsia="宋体" w:cs="宋体"/>
          <w:bCs/>
          <w:color w:val="auto"/>
          <w:sz w:val="24"/>
          <w:szCs w:val="24"/>
          <w:lang w:eastAsia="zh-CN"/>
        </w:rPr>
      </w:pPr>
      <w:r>
        <w:rPr>
          <w:rFonts w:hint="eastAsia" w:eastAsia="宋体" w:cs="宋体"/>
          <w:bCs/>
          <w:color w:val="auto"/>
          <w:sz w:val="24"/>
          <w:szCs w:val="24"/>
          <w:lang w:eastAsia="zh-CN"/>
        </w:rPr>
        <w:t>1、时间：</w:t>
      </w:r>
      <w:r>
        <w:rPr>
          <w:rFonts w:hint="eastAsia" w:cs="宋体"/>
          <w:bCs/>
          <w:color w:val="auto"/>
          <w:sz w:val="24"/>
          <w:szCs w:val="24"/>
          <w:lang w:eastAsia="zh-CN"/>
        </w:rPr>
        <w:t>2025年07月02日09时00分</w:t>
      </w:r>
      <w:r>
        <w:rPr>
          <w:rFonts w:hint="eastAsia" w:eastAsia="宋体" w:cs="宋体"/>
          <w:bCs/>
          <w:color w:val="auto"/>
          <w:sz w:val="24"/>
          <w:szCs w:val="24"/>
          <w:lang w:eastAsia="zh-CN"/>
        </w:rPr>
        <w:t xml:space="preserve">（北京时间）     </w:t>
      </w:r>
    </w:p>
    <w:p w14:paraId="00350B6A">
      <w:pPr>
        <w:pStyle w:val="10"/>
        <w:kinsoku/>
        <w:wordWrap w:val="0"/>
        <w:adjustRightInd/>
        <w:snapToGrid/>
        <w:spacing w:beforeAutospacing="0" w:afterAutospacing="0" w:line="360" w:lineRule="auto"/>
        <w:ind w:right="-58" w:firstLine="480"/>
        <w:jc w:val="both"/>
        <w:textAlignment w:val="auto"/>
        <w:rPr>
          <w:rFonts w:eastAsia="宋体" w:cs="宋体"/>
          <w:bCs/>
          <w:color w:val="auto"/>
          <w:sz w:val="24"/>
          <w:szCs w:val="24"/>
          <w:lang w:eastAsia="zh-CN"/>
        </w:rPr>
      </w:pPr>
      <w:r>
        <w:rPr>
          <w:rFonts w:hint="eastAsia" w:eastAsia="宋体" w:cs="宋体"/>
          <w:bCs/>
          <w:color w:val="auto"/>
          <w:sz w:val="24"/>
          <w:szCs w:val="24"/>
          <w:lang w:eastAsia="zh-CN"/>
        </w:rPr>
        <w:t>2、地点：电子营业执照应用平台系统（http://111.6.77.187:8081/ggzy/）</w:t>
      </w:r>
      <w:r>
        <w:rPr>
          <w:rFonts w:hint="eastAsia" w:eastAsia="宋体" w:cs="宋体"/>
          <w:bCs/>
          <w:color w:val="auto"/>
          <w:sz w:val="24"/>
          <w:szCs w:val="24"/>
          <w:shd w:val="clear" w:color="auto" w:fill="FFFFFF"/>
          <w:lang w:eastAsia="zh-CN"/>
        </w:rPr>
        <w:t>。</w:t>
      </w:r>
    </w:p>
    <w:p w14:paraId="0703C83B">
      <w:pPr>
        <w:pStyle w:val="10"/>
        <w:kinsoku/>
        <w:wordWrap w:val="0"/>
        <w:autoSpaceDE/>
        <w:autoSpaceDN/>
        <w:adjustRightInd/>
        <w:snapToGrid/>
        <w:spacing w:beforeAutospacing="0" w:afterAutospacing="0" w:line="360" w:lineRule="auto"/>
        <w:jc w:val="both"/>
        <w:textAlignment w:val="auto"/>
        <w:outlineLvl w:val="1"/>
        <w:rPr>
          <w:rFonts w:eastAsia="宋体" w:cs="宋体"/>
          <w:b/>
          <w:color w:val="auto"/>
          <w:sz w:val="24"/>
          <w:szCs w:val="24"/>
          <w:lang w:eastAsia="zh-CN"/>
        </w:rPr>
      </w:pPr>
      <w:bookmarkStart w:id="13" w:name="_Toc27288"/>
      <w:bookmarkStart w:id="14" w:name="_Toc19761"/>
      <w:bookmarkStart w:id="15" w:name="_Toc16159"/>
      <w:r>
        <w:rPr>
          <w:rFonts w:hint="eastAsia" w:eastAsia="宋体" w:cs="宋体"/>
          <w:b/>
          <w:color w:val="auto"/>
          <w:sz w:val="24"/>
          <w:szCs w:val="24"/>
          <w:lang w:eastAsia="zh-CN"/>
        </w:rPr>
        <w:t>五、响应文件开启</w:t>
      </w:r>
      <w:bookmarkEnd w:id="13"/>
      <w:bookmarkEnd w:id="14"/>
      <w:bookmarkEnd w:id="15"/>
    </w:p>
    <w:p w14:paraId="045DA906">
      <w:pPr>
        <w:pStyle w:val="10"/>
        <w:kinsoku/>
        <w:wordWrap w:val="0"/>
        <w:adjustRightInd/>
        <w:snapToGrid/>
        <w:spacing w:beforeAutospacing="0" w:afterAutospacing="0" w:line="360" w:lineRule="auto"/>
        <w:ind w:right="-58" w:firstLine="480"/>
        <w:jc w:val="both"/>
        <w:textAlignment w:val="auto"/>
        <w:rPr>
          <w:rFonts w:eastAsia="宋体" w:cs="宋体"/>
          <w:bCs/>
          <w:color w:val="auto"/>
          <w:sz w:val="24"/>
          <w:szCs w:val="24"/>
          <w:lang w:eastAsia="zh-CN"/>
        </w:rPr>
      </w:pPr>
      <w:r>
        <w:rPr>
          <w:rFonts w:hint="eastAsia" w:eastAsia="宋体" w:cs="宋体"/>
          <w:bCs/>
          <w:color w:val="auto"/>
          <w:sz w:val="24"/>
          <w:szCs w:val="24"/>
          <w:lang w:eastAsia="zh-CN"/>
        </w:rPr>
        <w:t>1、时间：</w:t>
      </w:r>
      <w:r>
        <w:rPr>
          <w:rFonts w:hint="eastAsia" w:cs="宋体"/>
          <w:bCs/>
          <w:color w:val="auto"/>
          <w:sz w:val="24"/>
          <w:szCs w:val="24"/>
          <w:lang w:eastAsia="zh-CN"/>
        </w:rPr>
        <w:t>2025年07月02日09时00分</w:t>
      </w:r>
      <w:r>
        <w:rPr>
          <w:rFonts w:hint="eastAsia" w:eastAsia="宋体" w:cs="宋体"/>
          <w:bCs/>
          <w:color w:val="auto"/>
          <w:sz w:val="24"/>
          <w:szCs w:val="24"/>
          <w:lang w:eastAsia="zh-CN"/>
        </w:rPr>
        <w:t xml:space="preserve">（北京时间） </w:t>
      </w:r>
    </w:p>
    <w:p w14:paraId="0E71E2EB">
      <w:pPr>
        <w:pStyle w:val="10"/>
        <w:kinsoku/>
        <w:wordWrap w:val="0"/>
        <w:adjustRightInd/>
        <w:snapToGrid/>
        <w:spacing w:beforeAutospacing="0" w:afterAutospacing="0" w:line="360" w:lineRule="auto"/>
        <w:ind w:right="-58" w:firstLine="480"/>
        <w:textAlignment w:val="auto"/>
        <w:rPr>
          <w:rFonts w:eastAsia="宋体" w:cs="宋体"/>
          <w:bCs/>
          <w:color w:val="auto"/>
          <w:sz w:val="24"/>
          <w:szCs w:val="24"/>
          <w:lang w:eastAsia="zh-CN"/>
        </w:rPr>
      </w:pPr>
      <w:r>
        <w:rPr>
          <w:rFonts w:hint="eastAsia" w:eastAsia="宋体" w:cs="宋体"/>
          <w:bCs/>
          <w:color w:val="auto"/>
          <w:sz w:val="24"/>
          <w:szCs w:val="24"/>
          <w:lang w:eastAsia="zh-CN"/>
        </w:rPr>
        <w:t>2、地点：不见面开标大厅（http://111.6.77.187:8081/ggzy/）</w:t>
      </w:r>
      <w:r>
        <w:rPr>
          <w:rFonts w:hint="eastAsia" w:cs="宋体"/>
          <w:bCs/>
          <w:color w:val="auto"/>
          <w:sz w:val="24"/>
          <w:szCs w:val="24"/>
          <w:lang w:eastAsia="zh-CN"/>
        </w:rPr>
        <w:t>。</w:t>
      </w:r>
    </w:p>
    <w:p w14:paraId="2C3B227E">
      <w:pPr>
        <w:pStyle w:val="10"/>
        <w:kinsoku/>
        <w:wordWrap w:val="0"/>
        <w:adjustRightInd/>
        <w:snapToGrid/>
        <w:spacing w:beforeAutospacing="0" w:afterAutospacing="0" w:line="360" w:lineRule="auto"/>
        <w:jc w:val="both"/>
        <w:textAlignment w:val="auto"/>
        <w:outlineLvl w:val="1"/>
        <w:rPr>
          <w:rFonts w:eastAsia="宋体" w:cs="宋体"/>
          <w:b/>
          <w:color w:val="auto"/>
          <w:sz w:val="24"/>
          <w:szCs w:val="24"/>
          <w:lang w:eastAsia="zh-CN"/>
        </w:rPr>
      </w:pPr>
      <w:bookmarkStart w:id="16" w:name="_Toc32116"/>
      <w:bookmarkStart w:id="17" w:name="_Toc5876"/>
      <w:bookmarkStart w:id="18" w:name="_Toc4859"/>
      <w:r>
        <w:rPr>
          <w:rFonts w:hint="eastAsia" w:eastAsia="宋体" w:cs="宋体"/>
          <w:b/>
          <w:color w:val="auto"/>
          <w:sz w:val="24"/>
          <w:szCs w:val="24"/>
          <w:lang w:eastAsia="zh-CN"/>
        </w:rPr>
        <w:t>六、发布公告的媒介及招标公告期限</w:t>
      </w:r>
      <w:bookmarkEnd w:id="16"/>
      <w:bookmarkEnd w:id="17"/>
      <w:bookmarkEnd w:id="18"/>
    </w:p>
    <w:p w14:paraId="51B899E0">
      <w:pPr>
        <w:pStyle w:val="10"/>
        <w:kinsoku/>
        <w:wordWrap w:val="0"/>
        <w:adjustRightInd/>
        <w:snapToGrid/>
        <w:spacing w:beforeAutospacing="0" w:afterAutospacing="0" w:line="360" w:lineRule="auto"/>
        <w:ind w:right="-58" w:firstLine="480"/>
        <w:jc w:val="both"/>
        <w:textAlignment w:val="auto"/>
        <w:rPr>
          <w:rFonts w:eastAsia="宋体" w:cs="宋体"/>
          <w:bCs/>
          <w:color w:val="auto"/>
          <w:sz w:val="24"/>
          <w:szCs w:val="24"/>
          <w:lang w:eastAsia="zh-CN"/>
        </w:rPr>
      </w:pPr>
      <w:r>
        <w:rPr>
          <w:rFonts w:hint="eastAsia" w:eastAsia="宋体" w:cs="宋体"/>
          <w:bCs/>
          <w:color w:val="auto"/>
          <w:sz w:val="24"/>
          <w:szCs w:val="24"/>
          <w:lang w:eastAsia="zh-CN"/>
        </w:rPr>
        <w:t>本次招标公告在《河南省政府采购网》《南阳市公共资源交易中心网》上发布， 招标公告期限为三个工作日</w:t>
      </w:r>
      <w:r>
        <w:rPr>
          <w:rFonts w:hint="eastAsia" w:cs="宋体"/>
          <w:bCs/>
          <w:color w:val="auto"/>
          <w:sz w:val="24"/>
          <w:szCs w:val="24"/>
          <w:lang w:eastAsia="zh-CN"/>
        </w:rPr>
        <w:t>。</w:t>
      </w:r>
    </w:p>
    <w:p w14:paraId="092AF2F7">
      <w:pPr>
        <w:pStyle w:val="10"/>
        <w:kinsoku/>
        <w:wordWrap w:val="0"/>
        <w:adjustRightInd/>
        <w:snapToGrid/>
        <w:spacing w:beforeAutospacing="0" w:afterAutospacing="0" w:line="360" w:lineRule="auto"/>
        <w:ind w:right="-57"/>
        <w:jc w:val="both"/>
        <w:textAlignment w:val="auto"/>
        <w:outlineLvl w:val="1"/>
        <w:rPr>
          <w:rFonts w:eastAsia="宋体" w:cs="宋体"/>
          <w:b/>
          <w:color w:val="auto"/>
          <w:sz w:val="24"/>
          <w:szCs w:val="24"/>
          <w:lang w:eastAsia="zh-CN"/>
        </w:rPr>
      </w:pPr>
      <w:bookmarkStart w:id="19" w:name="_Toc9801"/>
      <w:bookmarkStart w:id="20" w:name="_Toc21174"/>
      <w:bookmarkStart w:id="21" w:name="_Toc1753"/>
      <w:r>
        <w:rPr>
          <w:rFonts w:hint="eastAsia" w:eastAsia="宋体" w:cs="宋体"/>
          <w:b/>
          <w:color w:val="auto"/>
          <w:sz w:val="24"/>
          <w:szCs w:val="24"/>
          <w:lang w:eastAsia="zh-CN"/>
        </w:rPr>
        <w:t>七、其他补充事宜</w:t>
      </w:r>
      <w:bookmarkEnd w:id="19"/>
      <w:bookmarkEnd w:id="20"/>
      <w:bookmarkEnd w:id="21"/>
    </w:p>
    <w:p w14:paraId="36B9D0AB">
      <w:pPr>
        <w:pStyle w:val="10"/>
        <w:kinsoku/>
        <w:wordWrap w:val="0"/>
        <w:adjustRightInd/>
        <w:snapToGrid/>
        <w:spacing w:beforeAutospacing="0" w:afterAutospacing="0" w:line="360" w:lineRule="auto"/>
        <w:ind w:right="-58" w:firstLine="480"/>
        <w:jc w:val="both"/>
        <w:textAlignment w:val="auto"/>
        <w:rPr>
          <w:rFonts w:hint="eastAsia" w:eastAsia="宋体" w:cs="宋体"/>
          <w:bCs/>
          <w:color w:val="auto"/>
          <w:sz w:val="24"/>
          <w:szCs w:val="24"/>
          <w:lang w:val="en-US" w:eastAsia="zh-CN"/>
        </w:rPr>
      </w:pPr>
      <w:r>
        <w:rPr>
          <w:rFonts w:hint="eastAsia" w:eastAsia="宋体" w:cs="宋体"/>
          <w:bCs/>
          <w:color w:val="auto"/>
          <w:sz w:val="24"/>
          <w:szCs w:val="24"/>
          <w:lang w:val="en-US" w:eastAsia="zh-CN"/>
        </w:rPr>
        <w:t>无</w:t>
      </w:r>
    </w:p>
    <w:p w14:paraId="3BEDBA53">
      <w:pPr>
        <w:kinsoku/>
        <w:wordWrap w:val="0"/>
        <w:snapToGrid/>
        <w:spacing w:line="360" w:lineRule="auto"/>
        <w:textAlignment w:val="auto"/>
        <w:rPr>
          <w:rFonts w:cs="宋体"/>
          <w:b/>
          <w:color w:val="auto"/>
          <w:sz w:val="24"/>
          <w:szCs w:val="24"/>
          <w:lang w:eastAsia="zh-CN"/>
        </w:rPr>
      </w:pPr>
      <w:r>
        <w:rPr>
          <w:rFonts w:hint="eastAsia" w:cs="宋体"/>
          <w:b/>
          <w:color w:val="auto"/>
          <w:sz w:val="24"/>
          <w:szCs w:val="24"/>
          <w:lang w:eastAsia="zh-CN"/>
        </w:rPr>
        <w:t xml:space="preserve">八、凡对本次招标提出询问，请按照以下方式联系 </w:t>
      </w:r>
    </w:p>
    <w:p w14:paraId="49DCABC7">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 xml:space="preserve">1.采购人信息 </w:t>
      </w:r>
    </w:p>
    <w:p w14:paraId="04BC6AB4">
      <w:pPr>
        <w:pStyle w:val="10"/>
        <w:kinsoku/>
        <w:wordWrap w:val="0"/>
        <w:adjustRightInd/>
        <w:snapToGrid/>
        <w:spacing w:beforeAutospacing="0" w:afterAutospacing="0" w:line="360" w:lineRule="auto"/>
        <w:ind w:right="-57" w:firstLine="480"/>
        <w:jc w:val="both"/>
        <w:textAlignment w:val="auto"/>
        <w:rPr>
          <w:rFonts w:eastAsia="宋体" w:cs="宋体"/>
          <w:bCs/>
          <w:color w:val="auto"/>
          <w:sz w:val="24"/>
          <w:szCs w:val="24"/>
          <w:lang w:eastAsia="zh-CN"/>
        </w:rPr>
      </w:pPr>
      <w:r>
        <w:rPr>
          <w:rFonts w:hint="eastAsia" w:cs="宋体"/>
          <w:bCs/>
          <w:color w:val="auto"/>
          <w:sz w:val="24"/>
          <w:szCs w:val="24"/>
          <w:lang w:eastAsia="zh-CN"/>
        </w:rPr>
        <w:t>名称：南阳市文化广电和旅游局</w:t>
      </w:r>
    </w:p>
    <w:p w14:paraId="33EE758F">
      <w:pPr>
        <w:pStyle w:val="10"/>
        <w:kinsoku/>
        <w:wordWrap w:val="0"/>
        <w:adjustRightInd/>
        <w:snapToGrid/>
        <w:spacing w:beforeAutospacing="0" w:afterAutospacing="0" w:line="360" w:lineRule="auto"/>
        <w:ind w:right="-57" w:firstLine="480"/>
        <w:jc w:val="both"/>
        <w:textAlignment w:val="auto"/>
        <w:rPr>
          <w:rFonts w:eastAsia="宋体" w:cs="宋体"/>
          <w:bCs/>
          <w:color w:val="auto"/>
          <w:sz w:val="24"/>
          <w:szCs w:val="24"/>
          <w:lang w:eastAsia="zh-CN"/>
        </w:rPr>
      </w:pPr>
      <w:r>
        <w:rPr>
          <w:rFonts w:hint="eastAsia" w:cs="宋体"/>
          <w:bCs/>
          <w:color w:val="auto"/>
          <w:sz w:val="24"/>
          <w:szCs w:val="24"/>
          <w:lang w:eastAsia="zh-CN"/>
        </w:rPr>
        <w:t>地址：南阳市宛城区范蠡东路1666号</w:t>
      </w:r>
    </w:p>
    <w:p w14:paraId="17754CC6">
      <w:pPr>
        <w:pStyle w:val="10"/>
        <w:kinsoku/>
        <w:wordWrap w:val="0"/>
        <w:adjustRightInd/>
        <w:snapToGrid/>
        <w:spacing w:beforeAutospacing="0" w:afterAutospacing="0" w:line="360" w:lineRule="auto"/>
        <w:ind w:right="-57" w:firstLine="480"/>
        <w:jc w:val="both"/>
        <w:textAlignment w:val="auto"/>
        <w:rPr>
          <w:rFonts w:eastAsia="宋体" w:cs="宋体"/>
          <w:bCs/>
          <w:color w:val="auto"/>
          <w:sz w:val="24"/>
          <w:szCs w:val="24"/>
          <w:lang w:eastAsia="zh-CN"/>
        </w:rPr>
      </w:pPr>
      <w:r>
        <w:rPr>
          <w:rFonts w:hint="eastAsia" w:cs="宋体"/>
          <w:bCs/>
          <w:color w:val="auto"/>
          <w:sz w:val="24"/>
          <w:szCs w:val="24"/>
          <w:lang w:eastAsia="zh-CN"/>
        </w:rPr>
        <w:t>联系人：宋先生</w:t>
      </w:r>
    </w:p>
    <w:p w14:paraId="5D9FF3A8">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联系方式：0377-62001911</w:t>
      </w:r>
    </w:p>
    <w:p w14:paraId="407BBF65">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 xml:space="preserve">2.采购代理机构信息（如有） </w:t>
      </w:r>
    </w:p>
    <w:p w14:paraId="56BA7AC8">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名称：河南一本商汇工程管理有限公司</w:t>
      </w:r>
    </w:p>
    <w:p w14:paraId="13816527">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 xml:space="preserve">地址：南阳市仲景路长安一号写字楼A座4楼01室 </w:t>
      </w:r>
    </w:p>
    <w:p w14:paraId="20FF474E">
      <w:pPr>
        <w:pStyle w:val="10"/>
        <w:kinsoku/>
        <w:wordWrap w:val="0"/>
        <w:adjustRightInd/>
        <w:snapToGrid/>
        <w:spacing w:beforeAutospacing="0" w:afterAutospacing="0" w:line="360" w:lineRule="auto"/>
        <w:ind w:right="-57" w:firstLine="480"/>
        <w:jc w:val="both"/>
        <w:textAlignment w:val="auto"/>
        <w:rPr>
          <w:rFonts w:cs="宋体"/>
          <w:bCs/>
          <w:color w:val="auto"/>
          <w:sz w:val="24"/>
          <w:szCs w:val="24"/>
          <w:lang w:eastAsia="zh-CN"/>
        </w:rPr>
      </w:pPr>
      <w:r>
        <w:rPr>
          <w:rFonts w:hint="eastAsia" w:cs="宋体"/>
          <w:bCs/>
          <w:color w:val="auto"/>
          <w:sz w:val="24"/>
          <w:szCs w:val="24"/>
          <w:lang w:eastAsia="zh-CN"/>
        </w:rPr>
        <w:t>联系人：梁群督</w:t>
      </w:r>
    </w:p>
    <w:p w14:paraId="4237103A">
      <w:pPr>
        <w:pStyle w:val="10"/>
        <w:kinsoku/>
        <w:wordWrap w:val="0"/>
        <w:adjustRightInd/>
        <w:snapToGrid/>
        <w:spacing w:beforeAutospacing="0" w:afterAutospacing="0" w:line="360" w:lineRule="auto"/>
        <w:ind w:right="-57" w:firstLine="480"/>
        <w:jc w:val="both"/>
        <w:textAlignment w:val="auto"/>
        <w:rPr>
          <w:rFonts w:hint="eastAsia" w:cs="宋体"/>
          <w:bCs/>
          <w:color w:val="auto"/>
          <w:sz w:val="24"/>
          <w:szCs w:val="24"/>
          <w:lang w:eastAsia="zh-CN"/>
        </w:rPr>
      </w:pPr>
      <w:r>
        <w:rPr>
          <w:rFonts w:hint="eastAsia" w:cs="宋体"/>
          <w:bCs/>
          <w:color w:val="auto"/>
          <w:sz w:val="24"/>
          <w:szCs w:val="24"/>
          <w:lang w:eastAsia="zh-CN"/>
        </w:rPr>
        <w:t>联系方式：17837739666</w:t>
      </w:r>
    </w:p>
    <w:p w14:paraId="4373922A">
      <w:pPr>
        <w:pStyle w:val="10"/>
        <w:kinsoku/>
        <w:wordWrap w:val="0"/>
        <w:adjustRightInd/>
        <w:snapToGrid/>
        <w:spacing w:beforeAutospacing="0" w:afterAutospacing="0" w:line="360" w:lineRule="auto"/>
        <w:ind w:right="-57" w:firstLine="480"/>
        <w:jc w:val="both"/>
        <w:textAlignment w:val="auto"/>
        <w:rPr>
          <w:rFonts w:hint="eastAsia" w:cs="宋体"/>
          <w:bCs/>
          <w:color w:val="auto"/>
          <w:sz w:val="24"/>
          <w:szCs w:val="24"/>
          <w:lang w:eastAsia="zh-CN"/>
        </w:rPr>
      </w:pPr>
      <w:r>
        <w:rPr>
          <w:rFonts w:hint="eastAsia" w:cs="宋体"/>
          <w:bCs/>
          <w:color w:val="auto"/>
          <w:sz w:val="24"/>
          <w:szCs w:val="24"/>
          <w:lang w:eastAsia="zh-CN"/>
        </w:rPr>
        <w:t xml:space="preserve">3.项目联系方式 </w:t>
      </w:r>
    </w:p>
    <w:p w14:paraId="0FEE84DF">
      <w:pPr>
        <w:pStyle w:val="10"/>
        <w:kinsoku/>
        <w:wordWrap w:val="0"/>
        <w:adjustRightInd/>
        <w:snapToGrid/>
        <w:spacing w:beforeAutospacing="0" w:afterAutospacing="0" w:line="360" w:lineRule="auto"/>
        <w:ind w:right="-57" w:firstLine="480"/>
        <w:jc w:val="both"/>
        <w:textAlignment w:val="auto"/>
        <w:rPr>
          <w:rFonts w:hint="eastAsia" w:cs="宋体"/>
          <w:bCs/>
          <w:color w:val="auto"/>
          <w:sz w:val="24"/>
          <w:szCs w:val="24"/>
          <w:lang w:eastAsia="zh-CN"/>
        </w:rPr>
      </w:pPr>
      <w:r>
        <w:rPr>
          <w:rFonts w:hint="eastAsia" w:cs="宋体"/>
          <w:bCs/>
          <w:color w:val="auto"/>
          <w:sz w:val="24"/>
          <w:szCs w:val="24"/>
          <w:lang w:eastAsia="zh-CN"/>
        </w:rPr>
        <w:t>联系人：梁群督</w:t>
      </w:r>
    </w:p>
    <w:p w14:paraId="598D8AE9">
      <w:pPr>
        <w:pStyle w:val="10"/>
        <w:kinsoku/>
        <w:wordWrap w:val="0"/>
        <w:adjustRightInd/>
        <w:snapToGrid/>
        <w:spacing w:beforeAutospacing="0" w:afterAutospacing="0" w:line="360" w:lineRule="auto"/>
        <w:ind w:right="-57" w:firstLine="480"/>
        <w:jc w:val="both"/>
        <w:textAlignment w:val="auto"/>
        <w:rPr>
          <w:rFonts w:hint="eastAsia" w:cs="宋体"/>
          <w:bCs/>
          <w:color w:val="auto"/>
          <w:sz w:val="24"/>
          <w:szCs w:val="24"/>
          <w:lang w:eastAsia="zh-CN"/>
        </w:rPr>
      </w:pPr>
      <w:r>
        <w:rPr>
          <w:rFonts w:hint="eastAsia" w:cs="宋体"/>
          <w:bCs/>
          <w:color w:val="auto"/>
          <w:sz w:val="24"/>
          <w:szCs w:val="24"/>
          <w:lang w:eastAsia="zh-CN"/>
        </w:rPr>
        <w:t>联系方式：17837739666</w:t>
      </w:r>
    </w:p>
    <w:p w14:paraId="1FCB93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1FF4A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D77A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FA2B4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1C0ADF">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1FE0951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8AD13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46A9D2B">
      <w:pPr>
        <w:pStyle w:val="2"/>
        <w:kinsoku/>
        <w:wordWrap w:val="0"/>
        <w:spacing w:line="520" w:lineRule="exact"/>
        <w:rPr>
          <w:rFonts w:ascii="宋体" w:hAnsi="宋体" w:eastAsia="宋体" w:cs="宋体"/>
          <w:szCs w:val="24"/>
          <w:lang w:eastAsia="zh-CN"/>
        </w:rPr>
      </w:pPr>
      <w:r>
        <w:rPr>
          <w:rFonts w:hint="eastAsia" w:ascii="宋体" w:hAnsi="宋体" w:eastAsia="宋体" w:cs="宋体"/>
          <w:szCs w:val="24"/>
          <w:lang w:eastAsia="zh-CN"/>
        </w:rPr>
        <w:t>1.名称与编号</w:t>
      </w:r>
    </w:p>
    <w:p w14:paraId="56F5CF20">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采购项目名称：南阳市文化广电和旅游局南阳瓦房庄冶铁遗址保护规划编制项目</w:t>
      </w:r>
    </w:p>
    <w:p w14:paraId="35BB154F">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采购项目编号：</w:t>
      </w:r>
    </w:p>
    <w:p w14:paraId="528EAD0B">
      <w:pPr>
        <w:kinsoku/>
        <w:wordWrap w:val="0"/>
        <w:spacing w:line="52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竞争性磋商</w:t>
      </w:r>
    </w:p>
    <w:p w14:paraId="0B4159F5">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预算金额：120.00万元</w:t>
      </w:r>
    </w:p>
    <w:p w14:paraId="238ED076">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联合体响应：本采购包不接受联合体响应</w:t>
      </w:r>
    </w:p>
    <w:p w14:paraId="2577B51E">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合同履行期限：180日历天。</w:t>
      </w:r>
    </w:p>
    <w:p w14:paraId="2927F86B">
      <w:pPr>
        <w:pStyle w:val="2"/>
        <w:kinsoku/>
        <w:wordWrap w:val="0"/>
        <w:spacing w:line="520" w:lineRule="exact"/>
        <w:rPr>
          <w:rFonts w:ascii="宋体" w:hAnsi="宋体" w:eastAsia="宋体" w:cs="宋体"/>
          <w:szCs w:val="24"/>
          <w:lang w:eastAsia="zh-CN"/>
        </w:rPr>
      </w:pPr>
      <w:r>
        <w:rPr>
          <w:rFonts w:hint="eastAsia" w:ascii="宋体" w:hAnsi="宋体" w:eastAsia="宋体" w:cs="宋体"/>
          <w:szCs w:val="24"/>
          <w:lang w:eastAsia="zh-CN"/>
        </w:rPr>
        <w:t>2.项目基本概况</w:t>
      </w:r>
    </w:p>
    <w:p w14:paraId="6617C0A0">
      <w:pPr>
        <w:kinsoku/>
        <w:wordWrap w:val="0"/>
        <w:spacing w:line="52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（1）研究范围：</w:t>
      </w:r>
      <w:r>
        <w:rPr>
          <w:rFonts w:hint="eastAsia" w:ascii="宋体" w:hAnsi="宋体" w:eastAsia="宋体" w:cs="宋体"/>
          <w:sz w:val="24"/>
          <w:szCs w:val="24"/>
          <w:lang w:eastAsia="zh-CN"/>
        </w:rPr>
        <w:t>全国重点文物保护单位瓦房庄冶铁遗址研究范围面积为132.4公顷，包括重点研究范围25.5公顷，一般研究范围106.9公顷。</w:t>
      </w:r>
    </w:p>
    <w:p w14:paraId="538273DF">
      <w:pPr>
        <w:kinsoku/>
        <w:wordWrap w:val="0"/>
        <w:spacing w:line="52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（2）服务要求：</w:t>
      </w:r>
      <w:r>
        <w:rPr>
          <w:rFonts w:hint="eastAsia" w:ascii="宋体" w:hAnsi="宋体" w:eastAsia="宋体" w:cs="宋体"/>
          <w:sz w:val="24"/>
          <w:szCs w:val="24"/>
          <w:lang w:eastAsia="zh-CN"/>
        </w:rPr>
        <w:t>完成全国重点文物保护单位瓦房庄冶铁遗址保护规划编制。</w:t>
      </w:r>
    </w:p>
    <w:p w14:paraId="68A13F1F">
      <w:pPr>
        <w:kinsoku/>
        <w:wordWrap w:val="0"/>
        <w:spacing w:line="52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（3）服务时间（履行期限）：</w:t>
      </w:r>
      <w:r>
        <w:rPr>
          <w:rFonts w:hint="eastAsia" w:ascii="宋体" w:hAnsi="宋体" w:eastAsia="宋体" w:cs="宋体"/>
          <w:sz w:val="24"/>
          <w:szCs w:val="24"/>
          <w:lang w:eastAsia="zh-CN"/>
        </w:rPr>
        <w:t>180日历天。</w:t>
      </w:r>
    </w:p>
    <w:p w14:paraId="7FAE2E0B">
      <w:pPr>
        <w:kinsoku/>
        <w:wordWrap w:val="0"/>
        <w:spacing w:line="520" w:lineRule="exact"/>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（4）服务标准：</w:t>
      </w:r>
      <w:r>
        <w:rPr>
          <w:rFonts w:hint="eastAsia" w:ascii="宋体" w:hAnsi="宋体" w:eastAsia="宋体" w:cs="宋体"/>
          <w:sz w:val="24"/>
          <w:szCs w:val="24"/>
          <w:lang w:eastAsia="zh-CN"/>
        </w:rPr>
        <w:t>成果深度符合《全国重点文物保护单位保护规划编制要求》并能够通过文物行政主管部门评审</w:t>
      </w:r>
    </w:p>
    <w:p w14:paraId="40F9E1A0">
      <w:pPr>
        <w:kinsoku/>
        <w:wordWrap w:val="0"/>
        <w:spacing w:line="52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（5）项目背景：</w:t>
      </w:r>
    </w:p>
    <w:p w14:paraId="18D2DF43">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瓦房庄冶铁遗址位于河南省南阳市城北瓦房庄村北侧，南北长约400米，东西宽约300米，为第六批全国重点文物保护单位，公布类别为古遗址。该遗址文化内涵十分丰富，延续时间长，遗址最下层是西周文化层，向上依次堆积为汉文化层、唐宋以后文化层（扰土层），在西周文化层和扰土层内无冶铁痕迹。其中汉文化又分为西汉文化层和东汉文化层。在两汉文化层中发现有熔炉基址、锻炉基址、炒钢炉、退火脱炭窑、水井、勺形鼓风机械坑等遗迹及数以百计的铸范和铁器。通过对该遗址出土文物研究，发现其多项技术居于当时世界前列，代表了我国汉代钢铁冶铸水平，是研究我国封建社会冶金史的重要实物资料。</w:t>
      </w:r>
    </w:p>
    <w:p w14:paraId="6ADD5936">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由于文物分布与南阳市城区内，随着近年来城乡建设的扩张，文物本体及文物环境的空间受到一定的挤压，城乡建设与文物保护的冲突越来越大。为对瓦房庄冶铁遗址文物本体、文物环境实施有效的保护与管理，并妥善处理保护和发展的矛盾，亟需尽快制定《全国重点文物保护单位瓦房庄冶铁遗址保护规划》，明确保护对象及范围，为文物制定科学合理的保护管理与展示利用要求，并纳入当地国土空间规划，从长远角度解决地方发展与文物保护间的矛盾。</w:t>
      </w:r>
    </w:p>
    <w:p w14:paraId="037C1FDF">
      <w:pPr>
        <w:kinsoku/>
        <w:wordWrap w:val="0"/>
        <w:spacing w:line="52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（6）编制意义：</w:t>
      </w:r>
    </w:p>
    <w:p w14:paraId="3539F36F">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1）编制文物保护规划，可为瓦房庄冶铁遗址开展后续各项文物保护、管理和利用工作提供法律保障，使文物保护有法可依。</w:t>
      </w:r>
    </w:p>
    <w:p w14:paraId="68848A0E">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2）编制文物保护规划，可有效推动和科学指导瓦房庄冶铁遗址的保护。通过制定保护措施，为今后的各项保护工程提供科学、规范的指导。</w:t>
      </w:r>
    </w:p>
    <w:p w14:paraId="1C38FB26">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3）编制瓦房庄冶铁遗址文物保护规划，对控制文物保护区域内的盲目建设，保护周边环境，具有积极作用。</w:t>
      </w:r>
    </w:p>
    <w:p w14:paraId="47B329AE">
      <w:pPr>
        <w:kinsoku/>
        <w:wordWrap w:val="0"/>
        <w:spacing w:line="52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4）通过编制文物保护规划，可充分展示文物本体及其环境的原有内涵，发挥文物的自身价值，促进地方经济发展，取得文物保护和地方经济发展双赢。</w:t>
      </w:r>
    </w:p>
    <w:p w14:paraId="00A2C99A">
      <w:pPr>
        <w:kinsoku/>
        <w:wordWrap w:val="0"/>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（7）技术要求：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0"/>
      </w:tblGrid>
      <w:tr w14:paraId="17EF7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8430" w:type="dxa"/>
            <w:shd w:val="clear" w:color="auto" w:fill="DDD9C4" w:themeFill="background2" w:themeFillShade="E6"/>
            <w:vAlign w:val="center"/>
          </w:tcPr>
          <w:p w14:paraId="2A138B1C">
            <w:pPr>
              <w:kinsoku/>
              <w:wordWrap w:val="0"/>
              <w:spacing w:line="52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具体技术（参数）要求</w:t>
            </w:r>
          </w:p>
        </w:tc>
      </w:tr>
      <w:tr w14:paraId="109B0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054BCC26">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工作内容：</w:t>
            </w:r>
          </w:p>
          <w:p w14:paraId="54F33B34">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1）前期研究：进行历史文献及资料的查询与整理，开展现场调研，根据最新资料明确遗产构成情况，通过上位规划、区位分析、遗产点自身情况分析、周边资源情况分析，解读保护需求与遗产地可持续发展战略。</w:t>
            </w:r>
          </w:p>
          <w:p w14:paraId="40273F6A">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2）价值评估：提炼价值要点，从历史价值、艺术价值、科学价值、社会价值等方面进行评估，发掘具有代表性的优势价值内涵，构成工作重点。</w:t>
            </w:r>
          </w:p>
          <w:p w14:paraId="0A524640">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3）文物各项评估工作：明确遗产保存现状、保护工作现状、环境现状、管理现状、展示利用现状、研究现状、相关规划衔接，确定规划面临的主要问题。</w:t>
            </w:r>
          </w:p>
          <w:p w14:paraId="6BE021A2">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4）保护目标与规划策略制定：结合文物现状、文物保护需求与区域发展规划，针对文物的保护、管理、展示、利用提出目标与战略计划。</w:t>
            </w:r>
          </w:p>
          <w:p w14:paraId="0C7A1C7F">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5）划定保护区划、提出管理规定（项目重点）：依据下列因素划定文物保护单位的保护范围与建设控制地带。</w:t>
            </w:r>
          </w:p>
          <w:p w14:paraId="7AEF73BB">
            <w:pPr>
              <w:kinsoku/>
              <w:wordWrap w:val="0"/>
              <w:spacing w:line="520" w:lineRule="exact"/>
              <w:ind w:firstLine="104"/>
              <w:rPr>
                <w:rFonts w:ascii="宋体" w:hAnsi="宋体" w:eastAsia="宋体" w:cs="宋体"/>
                <w:sz w:val="24"/>
                <w:szCs w:val="24"/>
                <w:lang w:eastAsia="zh-CN"/>
              </w:rPr>
            </w:pPr>
            <w:r>
              <w:rPr>
                <w:rFonts w:hint="eastAsia" w:ascii="宋体" w:hAnsi="宋体" w:eastAsia="宋体" w:cs="宋体"/>
                <w:sz w:val="24"/>
                <w:szCs w:val="24"/>
                <w:lang w:eastAsia="zh-CN"/>
              </w:rPr>
              <w:t>-文物保存现状与评估结论；</w:t>
            </w:r>
          </w:p>
          <w:p w14:paraId="5B0734FD">
            <w:pPr>
              <w:kinsoku/>
              <w:wordWrap w:val="0"/>
              <w:spacing w:line="520" w:lineRule="exact"/>
              <w:ind w:firstLine="104"/>
              <w:rPr>
                <w:rFonts w:ascii="宋体" w:hAnsi="宋体" w:eastAsia="宋体" w:cs="宋体"/>
                <w:sz w:val="24"/>
                <w:szCs w:val="24"/>
                <w:lang w:eastAsia="zh-CN"/>
              </w:rPr>
            </w:pPr>
            <w:r>
              <w:rPr>
                <w:rFonts w:hint="eastAsia" w:ascii="宋体" w:hAnsi="宋体" w:eastAsia="宋体" w:cs="宋体"/>
                <w:sz w:val="24"/>
                <w:szCs w:val="24"/>
                <w:lang w:eastAsia="zh-CN"/>
              </w:rPr>
              <w:t>-文物保护的完整性与安全性要求；</w:t>
            </w:r>
          </w:p>
          <w:p w14:paraId="2AF5F114">
            <w:pPr>
              <w:kinsoku/>
              <w:wordWrap w:val="0"/>
              <w:spacing w:line="520" w:lineRule="exact"/>
              <w:ind w:firstLine="104"/>
              <w:rPr>
                <w:rFonts w:ascii="宋体" w:hAnsi="宋体" w:eastAsia="宋体" w:cs="宋体"/>
                <w:sz w:val="24"/>
                <w:szCs w:val="24"/>
                <w:lang w:eastAsia="zh-CN"/>
              </w:rPr>
            </w:pPr>
            <w:r>
              <w:rPr>
                <w:rFonts w:hint="eastAsia" w:ascii="宋体" w:hAnsi="宋体" w:eastAsia="宋体" w:cs="宋体"/>
                <w:sz w:val="24"/>
                <w:szCs w:val="24"/>
                <w:lang w:eastAsia="zh-CN"/>
              </w:rPr>
              <w:t>-实施保护管理的有效性和可操作性，以及规划实施管理的可行性，保护区划边界应参照道路、河流、道路等地表可辨识地物调整。</w:t>
            </w:r>
          </w:p>
          <w:p w14:paraId="63A6E01A">
            <w:pPr>
              <w:kinsoku/>
              <w:wordWrap w:val="0"/>
              <w:spacing w:line="520" w:lineRule="exact"/>
              <w:ind w:firstLine="104"/>
              <w:rPr>
                <w:rFonts w:ascii="宋体" w:hAnsi="宋体" w:eastAsia="宋体" w:cs="宋体"/>
                <w:sz w:val="24"/>
                <w:szCs w:val="24"/>
                <w:lang w:eastAsia="zh-CN"/>
              </w:rPr>
            </w:pPr>
            <w:r>
              <w:rPr>
                <w:rFonts w:hint="eastAsia" w:ascii="宋体" w:hAnsi="宋体" w:eastAsia="宋体" w:cs="宋体"/>
                <w:sz w:val="24"/>
                <w:szCs w:val="24"/>
                <w:lang w:eastAsia="zh-CN"/>
              </w:rPr>
              <w:t>-依据《中华人民共和国文物保护法》和相关法律法规，根据管理现状及存在问题，对保护范围和建设控制地带的管理提出要求，以确保文物安全。</w:t>
            </w:r>
          </w:p>
          <w:p w14:paraId="576FC6D4">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6）保护措施制定（项目重点）：根据文物类别与典型破坏因素、破坏机制，结合保护目标，制定保护措施、安防三防措施、监控措施、应急预案等。</w:t>
            </w:r>
          </w:p>
          <w:p w14:paraId="426C1BA1">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7）环境整治措施制定：根据遗产保护展示、风貌协调的需求，制定环境规划，提出总体的环境整治措施，明确近中远期整治实施内容。</w:t>
            </w:r>
          </w:p>
          <w:p w14:paraId="56E7373D">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8）展示利用规划：分析文物资源构成与分布情况，深度挖掘价值，制定展示主题、展示方式、片区与路线、配套展示与服务设施等内容。</w:t>
            </w:r>
          </w:p>
          <w:p w14:paraId="6DB60020">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9）管理规划：对保护管理机构及工作机制提出具体措施与规定，包括管理机构、经费与人员编制、责权范围与日常工作内容、管理办法制定等。</w:t>
            </w:r>
          </w:p>
          <w:p w14:paraId="4785E453">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10）考古与研究规划：提出近中远期的考古与研究计划，持续推进遗产内涵与价值挖掘。</w:t>
            </w:r>
          </w:p>
          <w:p w14:paraId="54E31CC8">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11）分期规划：根据规划期内各项目轻重缓急情况，提出近期中期远期不同规划实施重点内容。</w:t>
            </w:r>
          </w:p>
        </w:tc>
      </w:tr>
      <w:tr w14:paraId="3B917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17F77514">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内容深度：本保护规划深度符合《全国重点文物保护单位保护规划编制要求》</w:t>
            </w:r>
          </w:p>
        </w:tc>
      </w:tr>
      <w:tr w14:paraId="572A9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6287F97F">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成果形式：规划成果包括规划文本、规划图纸、规划说明、基础资料汇编四部分。</w:t>
            </w:r>
          </w:p>
        </w:tc>
      </w:tr>
      <w:tr w14:paraId="31222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5743E8F7">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规划依据：规划应参考《全国重点文物保护单位保护规划编制审批办法》、《全国重点文物保护单位保护规划编制要求》、《南阳历史文化名城保护规划》、《南阳市国土空间总体规划2021-2035年》等文件内具体规定进行编制，编制深度应满足保护的有效性和实施的可操作性。</w:t>
            </w:r>
          </w:p>
        </w:tc>
      </w:tr>
      <w:tr w14:paraId="05537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1BE4474F">
            <w:pPr>
              <w:kinsoku/>
              <w:wordWrap w:val="0"/>
              <w:spacing w:line="520" w:lineRule="exact"/>
              <w:rPr>
                <w:rFonts w:ascii="宋体" w:hAnsi="宋体" w:eastAsia="宋体" w:cs="宋体"/>
                <w:sz w:val="24"/>
                <w:szCs w:val="24"/>
              </w:rPr>
            </w:pPr>
            <w:r>
              <w:rPr>
                <w:rFonts w:hint="eastAsia" w:ascii="宋体" w:hAnsi="宋体" w:eastAsia="宋体" w:cs="宋体"/>
                <w:sz w:val="24"/>
                <w:szCs w:val="24"/>
              </w:rPr>
              <w:t>工作进度安排</w:t>
            </w:r>
            <w:r>
              <w:rPr>
                <w:rFonts w:hint="eastAsia" w:ascii="宋体" w:hAnsi="宋体" w:eastAsia="宋体" w:cs="宋体"/>
                <w:b/>
                <w:sz w:val="24"/>
                <w:szCs w:val="24"/>
              </w:rPr>
              <w:t>：</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98"/>
              <w:gridCol w:w="2920"/>
              <w:gridCol w:w="1365"/>
            </w:tblGrid>
            <w:tr w14:paraId="100EC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8" w:type="dxa"/>
                  <w:tcBorders>
                    <w:top w:val="single" w:color="000000" w:sz="12" w:space="0"/>
                    <w:left w:val="single" w:color="000000" w:sz="12" w:space="0"/>
                    <w:bottom w:val="single" w:color="000000" w:sz="4" w:space="0"/>
                    <w:right w:val="single" w:color="000000" w:sz="4" w:space="0"/>
                  </w:tcBorders>
                  <w:shd w:val="clear" w:color="auto" w:fill="D9D9D9"/>
                </w:tcPr>
                <w:p w14:paraId="05E3FDBF">
                  <w:pPr>
                    <w:kinsoku/>
                    <w:wordWrap w:val="0"/>
                    <w:spacing w:line="520" w:lineRule="exact"/>
                    <w:rPr>
                      <w:rFonts w:ascii="宋体" w:hAnsi="宋体" w:eastAsia="宋体" w:cs="宋体"/>
                      <w:sz w:val="24"/>
                      <w:szCs w:val="24"/>
                    </w:rPr>
                  </w:pPr>
                  <w:r>
                    <w:rPr>
                      <w:rFonts w:hint="eastAsia" w:ascii="宋体" w:hAnsi="宋体" w:eastAsia="宋体" w:cs="宋体"/>
                      <w:b/>
                      <w:sz w:val="24"/>
                      <w:szCs w:val="24"/>
                    </w:rPr>
                    <w:t>阶段</w:t>
                  </w:r>
                </w:p>
              </w:tc>
              <w:tc>
                <w:tcPr>
                  <w:tcW w:w="2920" w:type="dxa"/>
                  <w:tcBorders>
                    <w:top w:val="single" w:color="000000" w:sz="12" w:space="0"/>
                    <w:left w:val="single" w:color="000000" w:sz="4" w:space="0"/>
                    <w:bottom w:val="single" w:color="000000" w:sz="4" w:space="0"/>
                    <w:right w:val="single" w:color="000000" w:sz="4" w:space="0"/>
                  </w:tcBorders>
                  <w:shd w:val="clear" w:color="auto" w:fill="D9D9D9"/>
                </w:tcPr>
                <w:p w14:paraId="3433E958">
                  <w:pPr>
                    <w:kinsoku/>
                    <w:wordWrap w:val="0"/>
                    <w:spacing w:line="520" w:lineRule="exact"/>
                    <w:rPr>
                      <w:rFonts w:ascii="宋体" w:hAnsi="宋体" w:eastAsia="宋体" w:cs="宋体"/>
                      <w:sz w:val="24"/>
                      <w:szCs w:val="24"/>
                    </w:rPr>
                  </w:pPr>
                  <w:r>
                    <w:rPr>
                      <w:rFonts w:hint="eastAsia" w:ascii="宋体" w:hAnsi="宋体" w:eastAsia="宋体" w:cs="宋体"/>
                      <w:b/>
                      <w:sz w:val="24"/>
                      <w:szCs w:val="24"/>
                    </w:rPr>
                    <w:t>工作内容</w:t>
                  </w:r>
                </w:p>
              </w:tc>
              <w:tc>
                <w:tcPr>
                  <w:tcW w:w="1365" w:type="dxa"/>
                  <w:tcBorders>
                    <w:top w:val="single" w:color="000000" w:sz="12" w:space="0"/>
                    <w:left w:val="single" w:color="000000" w:sz="4" w:space="0"/>
                    <w:bottom w:val="single" w:color="000000" w:sz="4" w:space="0"/>
                    <w:right w:val="single" w:color="000000" w:sz="12" w:space="0"/>
                  </w:tcBorders>
                  <w:shd w:val="clear" w:color="auto" w:fill="D9D9D9"/>
                </w:tcPr>
                <w:p w14:paraId="2F0B7D36">
                  <w:pPr>
                    <w:kinsoku/>
                    <w:wordWrap w:val="0"/>
                    <w:spacing w:line="520" w:lineRule="exact"/>
                    <w:rPr>
                      <w:rFonts w:ascii="宋体" w:hAnsi="宋体" w:eastAsia="宋体" w:cs="宋体"/>
                      <w:sz w:val="24"/>
                      <w:szCs w:val="24"/>
                    </w:rPr>
                  </w:pPr>
                  <w:r>
                    <w:rPr>
                      <w:rFonts w:hint="eastAsia" w:ascii="宋体" w:hAnsi="宋体" w:eastAsia="宋体" w:cs="宋体"/>
                      <w:b/>
                      <w:sz w:val="24"/>
                      <w:szCs w:val="24"/>
                    </w:rPr>
                    <w:t>工作时间（初定）</w:t>
                  </w:r>
                </w:p>
              </w:tc>
            </w:tr>
            <w:tr w14:paraId="48625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8" w:type="dxa"/>
                  <w:tcBorders>
                    <w:top w:val="single" w:color="000000" w:sz="4" w:space="0"/>
                    <w:left w:val="single" w:color="000000" w:sz="12" w:space="0"/>
                    <w:bottom w:val="single" w:color="000000" w:sz="4" w:space="0"/>
                    <w:right w:val="single" w:color="000000" w:sz="4" w:space="0"/>
                  </w:tcBorders>
                </w:tcPr>
                <w:p w14:paraId="76004472">
                  <w:pPr>
                    <w:kinsoku/>
                    <w:wordWrap w:val="0"/>
                    <w:spacing w:line="520" w:lineRule="exact"/>
                    <w:rPr>
                      <w:rFonts w:ascii="宋体" w:hAnsi="宋体" w:eastAsia="宋体" w:cs="宋体"/>
                      <w:sz w:val="24"/>
                      <w:szCs w:val="24"/>
                    </w:rPr>
                  </w:pPr>
                  <w:r>
                    <w:rPr>
                      <w:rFonts w:hint="eastAsia" w:ascii="宋体" w:hAnsi="宋体" w:eastAsia="宋体" w:cs="宋体"/>
                      <w:sz w:val="24"/>
                      <w:szCs w:val="24"/>
                    </w:rPr>
                    <w:t>第1阶段</w:t>
                  </w:r>
                </w:p>
              </w:tc>
              <w:tc>
                <w:tcPr>
                  <w:tcW w:w="2920" w:type="dxa"/>
                  <w:tcBorders>
                    <w:top w:val="single" w:color="000000" w:sz="4" w:space="0"/>
                    <w:left w:val="single" w:color="000000" w:sz="4" w:space="0"/>
                    <w:bottom w:val="single" w:color="000000" w:sz="4" w:space="0"/>
                    <w:right w:val="single" w:color="000000" w:sz="4" w:space="0"/>
                  </w:tcBorders>
                </w:tcPr>
                <w:p w14:paraId="5B839E49">
                  <w:pPr>
                    <w:kinsoku/>
                    <w:wordWrap w:val="0"/>
                    <w:spacing w:line="520" w:lineRule="exact"/>
                    <w:rPr>
                      <w:rFonts w:ascii="宋体" w:hAnsi="宋体" w:eastAsia="宋体" w:cs="宋体"/>
                      <w:sz w:val="24"/>
                      <w:szCs w:val="24"/>
                    </w:rPr>
                  </w:pPr>
                  <w:r>
                    <w:rPr>
                      <w:rFonts w:hint="eastAsia" w:ascii="宋体" w:hAnsi="宋体" w:eastAsia="宋体" w:cs="宋体"/>
                      <w:sz w:val="24"/>
                      <w:szCs w:val="24"/>
                    </w:rPr>
                    <w:t>初稿成果编制</w:t>
                  </w:r>
                </w:p>
              </w:tc>
              <w:tc>
                <w:tcPr>
                  <w:tcW w:w="1365" w:type="dxa"/>
                  <w:tcBorders>
                    <w:top w:val="single" w:color="000000" w:sz="4" w:space="0"/>
                    <w:left w:val="single" w:color="000000" w:sz="4" w:space="0"/>
                    <w:bottom w:val="single" w:color="000000" w:sz="4" w:space="0"/>
                    <w:right w:val="single" w:color="000000" w:sz="12" w:space="0"/>
                  </w:tcBorders>
                </w:tcPr>
                <w:p w14:paraId="7147AADE">
                  <w:pPr>
                    <w:kinsoku/>
                    <w:wordWrap w:val="0"/>
                    <w:spacing w:line="520" w:lineRule="exact"/>
                    <w:rPr>
                      <w:rFonts w:ascii="宋体" w:hAnsi="宋体" w:eastAsia="宋体" w:cs="宋体"/>
                      <w:sz w:val="24"/>
                      <w:szCs w:val="24"/>
                    </w:rPr>
                  </w:pPr>
                  <w:r>
                    <w:rPr>
                      <w:rFonts w:hint="eastAsia" w:ascii="宋体" w:hAnsi="宋体" w:eastAsia="宋体" w:cs="宋体"/>
                      <w:sz w:val="24"/>
                      <w:szCs w:val="24"/>
                    </w:rPr>
                    <w:t>120日历日</w:t>
                  </w:r>
                </w:p>
              </w:tc>
            </w:tr>
            <w:tr w14:paraId="312E4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8" w:type="dxa"/>
                  <w:tcBorders>
                    <w:top w:val="single" w:color="000000" w:sz="4" w:space="0"/>
                    <w:left w:val="single" w:color="000000" w:sz="12" w:space="0"/>
                    <w:bottom w:val="single" w:color="000000" w:sz="4" w:space="0"/>
                    <w:right w:val="single" w:color="000000" w:sz="4" w:space="0"/>
                  </w:tcBorders>
                </w:tcPr>
                <w:p w14:paraId="2EACD8F7">
                  <w:pPr>
                    <w:kinsoku/>
                    <w:wordWrap w:val="0"/>
                    <w:spacing w:line="520" w:lineRule="exact"/>
                    <w:rPr>
                      <w:rFonts w:ascii="宋体" w:hAnsi="宋体" w:eastAsia="宋体" w:cs="宋体"/>
                      <w:sz w:val="24"/>
                      <w:szCs w:val="24"/>
                    </w:rPr>
                  </w:pPr>
                  <w:r>
                    <w:rPr>
                      <w:rFonts w:hint="eastAsia" w:ascii="宋体" w:hAnsi="宋体" w:eastAsia="宋体" w:cs="宋体"/>
                      <w:sz w:val="24"/>
                      <w:szCs w:val="24"/>
                    </w:rPr>
                    <w:t>第2阶段</w:t>
                  </w:r>
                </w:p>
              </w:tc>
              <w:tc>
                <w:tcPr>
                  <w:tcW w:w="2920" w:type="dxa"/>
                  <w:tcBorders>
                    <w:top w:val="single" w:color="000000" w:sz="4" w:space="0"/>
                    <w:left w:val="single" w:color="000000" w:sz="4" w:space="0"/>
                    <w:bottom w:val="single" w:color="000000" w:sz="4" w:space="0"/>
                    <w:right w:val="single" w:color="000000" w:sz="4" w:space="0"/>
                  </w:tcBorders>
                </w:tcPr>
                <w:p w14:paraId="4E8F73C1">
                  <w:pPr>
                    <w:kinsoku/>
                    <w:wordWrap w:val="0"/>
                    <w:spacing w:line="520" w:lineRule="exact"/>
                    <w:rPr>
                      <w:rFonts w:ascii="宋体" w:hAnsi="宋体" w:eastAsia="宋体" w:cs="宋体"/>
                      <w:sz w:val="24"/>
                      <w:szCs w:val="24"/>
                    </w:rPr>
                  </w:pPr>
                  <w:r>
                    <w:rPr>
                      <w:rFonts w:hint="eastAsia" w:ascii="宋体" w:hAnsi="宋体" w:eastAsia="宋体" w:cs="宋体"/>
                      <w:sz w:val="24"/>
                      <w:szCs w:val="24"/>
                    </w:rPr>
                    <w:t>阶段报审成果编制</w:t>
                  </w:r>
                </w:p>
              </w:tc>
              <w:tc>
                <w:tcPr>
                  <w:tcW w:w="1365" w:type="dxa"/>
                  <w:tcBorders>
                    <w:top w:val="single" w:color="000000" w:sz="4" w:space="0"/>
                    <w:left w:val="single" w:color="000000" w:sz="4" w:space="0"/>
                    <w:bottom w:val="single" w:color="000000" w:sz="4" w:space="0"/>
                    <w:right w:val="single" w:color="000000" w:sz="12" w:space="0"/>
                  </w:tcBorders>
                </w:tcPr>
                <w:p w14:paraId="0C260C60">
                  <w:pPr>
                    <w:kinsoku/>
                    <w:wordWrap w:val="0"/>
                    <w:spacing w:line="520" w:lineRule="exact"/>
                    <w:rPr>
                      <w:rFonts w:ascii="宋体" w:hAnsi="宋体" w:eastAsia="宋体" w:cs="宋体"/>
                      <w:sz w:val="24"/>
                      <w:szCs w:val="24"/>
                    </w:rPr>
                  </w:pPr>
                  <w:r>
                    <w:rPr>
                      <w:rFonts w:hint="eastAsia" w:ascii="宋体" w:hAnsi="宋体" w:eastAsia="宋体" w:cs="宋体"/>
                      <w:sz w:val="24"/>
                      <w:szCs w:val="24"/>
                    </w:rPr>
                    <w:t>90日历日</w:t>
                  </w:r>
                </w:p>
              </w:tc>
            </w:tr>
            <w:tr w14:paraId="5BB60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8" w:type="dxa"/>
                  <w:tcBorders>
                    <w:top w:val="single" w:color="000000" w:sz="4" w:space="0"/>
                    <w:left w:val="single" w:color="000000" w:sz="12" w:space="0"/>
                    <w:bottom w:val="single" w:color="000000" w:sz="12" w:space="0"/>
                    <w:right w:val="single" w:color="000000" w:sz="4" w:space="0"/>
                  </w:tcBorders>
                </w:tcPr>
                <w:p w14:paraId="2DE9792C">
                  <w:pPr>
                    <w:kinsoku/>
                    <w:wordWrap w:val="0"/>
                    <w:spacing w:line="520" w:lineRule="exact"/>
                    <w:rPr>
                      <w:rFonts w:ascii="宋体" w:hAnsi="宋体" w:eastAsia="宋体" w:cs="宋体"/>
                      <w:sz w:val="24"/>
                      <w:szCs w:val="24"/>
                    </w:rPr>
                  </w:pPr>
                  <w:r>
                    <w:rPr>
                      <w:rFonts w:hint="eastAsia" w:ascii="宋体" w:hAnsi="宋体" w:eastAsia="宋体" w:cs="宋体"/>
                      <w:sz w:val="24"/>
                      <w:szCs w:val="24"/>
                    </w:rPr>
                    <w:t>第3阶段</w:t>
                  </w:r>
                </w:p>
              </w:tc>
              <w:tc>
                <w:tcPr>
                  <w:tcW w:w="2920" w:type="dxa"/>
                  <w:tcBorders>
                    <w:top w:val="single" w:color="000000" w:sz="4" w:space="0"/>
                    <w:left w:val="single" w:color="000000" w:sz="4" w:space="0"/>
                    <w:bottom w:val="single" w:color="000000" w:sz="12" w:space="0"/>
                    <w:right w:val="single" w:color="000000" w:sz="4" w:space="0"/>
                  </w:tcBorders>
                </w:tcPr>
                <w:p w14:paraId="3EA64C82">
                  <w:pPr>
                    <w:kinsoku/>
                    <w:wordWrap w:val="0"/>
                    <w:spacing w:line="520" w:lineRule="exact"/>
                    <w:rPr>
                      <w:rFonts w:ascii="宋体" w:hAnsi="宋体" w:eastAsia="宋体" w:cs="宋体"/>
                      <w:sz w:val="24"/>
                      <w:szCs w:val="24"/>
                    </w:rPr>
                  </w:pPr>
                  <w:r>
                    <w:rPr>
                      <w:rFonts w:hint="eastAsia" w:ascii="宋体" w:hAnsi="宋体" w:eastAsia="宋体" w:cs="宋体"/>
                      <w:sz w:val="24"/>
                      <w:szCs w:val="24"/>
                    </w:rPr>
                    <w:t>最终成果编制</w:t>
                  </w:r>
                </w:p>
              </w:tc>
              <w:tc>
                <w:tcPr>
                  <w:tcW w:w="1365" w:type="dxa"/>
                  <w:tcBorders>
                    <w:top w:val="single" w:color="000000" w:sz="4" w:space="0"/>
                    <w:left w:val="single" w:color="000000" w:sz="4" w:space="0"/>
                    <w:bottom w:val="single" w:color="000000" w:sz="12" w:space="0"/>
                    <w:right w:val="single" w:color="000000" w:sz="12" w:space="0"/>
                  </w:tcBorders>
                </w:tcPr>
                <w:p w14:paraId="32DBD9D4">
                  <w:pPr>
                    <w:kinsoku/>
                    <w:wordWrap w:val="0"/>
                    <w:spacing w:line="520" w:lineRule="exact"/>
                    <w:rPr>
                      <w:rFonts w:ascii="宋体" w:hAnsi="宋体" w:eastAsia="宋体" w:cs="宋体"/>
                      <w:sz w:val="24"/>
                      <w:szCs w:val="24"/>
                    </w:rPr>
                  </w:pPr>
                  <w:r>
                    <w:rPr>
                      <w:rFonts w:hint="eastAsia" w:ascii="宋体" w:hAnsi="宋体" w:eastAsia="宋体" w:cs="宋体"/>
                      <w:sz w:val="24"/>
                      <w:szCs w:val="24"/>
                    </w:rPr>
                    <w:t>30日历日</w:t>
                  </w:r>
                </w:p>
              </w:tc>
            </w:tr>
          </w:tbl>
          <w:p w14:paraId="2DE77DA2">
            <w:pPr>
              <w:kinsoku/>
              <w:wordWrap w:val="0"/>
              <w:spacing w:line="520" w:lineRule="exact"/>
              <w:rPr>
                <w:rFonts w:ascii="宋体" w:hAnsi="宋体" w:eastAsia="宋体" w:cs="宋体"/>
                <w:sz w:val="24"/>
                <w:szCs w:val="24"/>
              </w:rPr>
            </w:pPr>
          </w:p>
        </w:tc>
      </w:tr>
      <w:tr w14:paraId="0E25A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0" w:type="dxa"/>
          </w:tcPr>
          <w:p w14:paraId="7733E7E0">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其他要求：</w:t>
            </w:r>
          </w:p>
          <w:p w14:paraId="3D429D17">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1）以上服务要求为本项目的基本要求，供应商可选用相当于或优于以上要求的服务，同时填写服务规范偏离表。</w:t>
            </w:r>
          </w:p>
          <w:p w14:paraId="13DDDAAF">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2）服务内容不得变更。</w:t>
            </w:r>
          </w:p>
          <w:p w14:paraId="139AEDAE">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3）供应商及其工作人员对在本项目实施过程中接触到的采购人的文件、资料、数据、案件信息等，负有保密义务。未经采购人书面同意，中标人及其工作人员不得以任何方式向第三方提供或泄露，否则应承担相应的法律责任。</w:t>
            </w:r>
          </w:p>
          <w:p w14:paraId="7A58B6E0">
            <w:pPr>
              <w:kinsoku/>
              <w:wordWrap w:val="0"/>
              <w:spacing w:line="520" w:lineRule="exact"/>
              <w:rPr>
                <w:rFonts w:ascii="宋体" w:hAnsi="宋体" w:eastAsia="宋体" w:cs="宋体"/>
                <w:sz w:val="24"/>
                <w:szCs w:val="24"/>
                <w:lang w:eastAsia="zh-CN"/>
              </w:rPr>
            </w:pPr>
            <w:r>
              <w:rPr>
                <w:rFonts w:hint="eastAsia" w:ascii="宋体" w:hAnsi="宋体" w:eastAsia="宋体" w:cs="宋体"/>
                <w:sz w:val="24"/>
                <w:szCs w:val="24"/>
                <w:lang w:eastAsia="zh-CN"/>
              </w:rPr>
              <w:t>4）相关文件中如出现名称不一致情况须提供相关部门出具的变更证明原件。</w:t>
            </w:r>
          </w:p>
        </w:tc>
      </w:tr>
    </w:tbl>
    <w:p w14:paraId="0455DF0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EB3EBB">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0940E9">
      <w:pPr>
        <w:pStyle w:val="4"/>
        <w:rPr>
          <w:rFonts w:hint="eastAsia"/>
        </w:rPr>
      </w:pPr>
    </w:p>
    <w:p w14:paraId="3774492E">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6F62048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96712C2">
      <w:pPr>
        <w:pStyle w:val="4"/>
        <w:keepNext w:val="0"/>
        <w:keepLines w:val="0"/>
        <w:pageBreakBefore w:val="0"/>
        <w:kinsoku/>
        <w:wordWrap w:val="0"/>
        <w:overflowPunct/>
        <w:topLinePunct w:val="0"/>
        <w:bidi w:val="0"/>
        <w:spacing w:line="220" w:lineRule="auto"/>
        <w:ind w:firstLine="3058" w:firstLineChars="1100"/>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2"/>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85E4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C3FFFC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58403E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6DE2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F9411B">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5C41CDC">
            <w:pPr>
              <w:pStyle w:val="1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1F339EE5">
            <w:pPr>
              <w:pStyle w:val="1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65FFC8AE">
            <w:pPr>
              <w:pStyle w:val="1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5AD82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3C2F1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23E7A2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0C10EBB">
            <w:pPr>
              <w:pStyle w:val="1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08B1935E">
            <w:pPr>
              <w:pStyle w:val="1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BCC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05AB1BE">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1A5BECB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CE75BB8">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3327454">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C3BEF8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7F94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C304C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CE06777">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028F1A6E">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1E6DEB3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3005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6479F4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6396C2D">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其他未列明行业</w:t>
            </w:r>
          </w:p>
          <w:p w14:paraId="21E47B31">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1E12E43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10%</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1A987E3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1D2E2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783A549B">
            <w:pPr>
              <w:pStyle w:val="1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369E140">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CBBD22">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06A379A0">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42B1F56">
            <w:pPr>
              <w:pStyle w:val="1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E2607F1">
            <w:pPr>
              <w:pStyle w:val="1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F9DC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2B4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3F51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120 </w:t>
            </w:r>
            <w:r>
              <w:rPr>
                <w:rFonts w:hint="eastAsia" w:asciiTheme="minorEastAsia" w:hAnsiTheme="minorEastAsia" w:eastAsiaTheme="minorEastAsia" w:cstheme="minorEastAsia"/>
                <w:b w:val="0"/>
                <w:bCs/>
                <w:sz w:val="24"/>
                <w:szCs w:val="24"/>
                <w:lang w:val="en-US" w:eastAsia="zh-CN"/>
              </w:rPr>
              <w:t>万元</w:t>
            </w:r>
          </w:p>
        </w:tc>
      </w:tr>
      <w:tr w14:paraId="4F9FC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C9BA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C7BA5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57ED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28FFF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62D4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32A4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9BBF2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05093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2025年07月02日09时00分（北京时间）</w:t>
            </w:r>
          </w:p>
        </w:tc>
      </w:tr>
      <w:tr w14:paraId="6DA47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05B8E6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C1C20A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2025年07月02日09时00分（北京时间）</w:t>
            </w:r>
          </w:p>
        </w:tc>
      </w:tr>
      <w:tr w14:paraId="2FB66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4D9DC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B0B8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712B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E497C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577AFEFA">
            <w:pPr>
              <w:pStyle w:val="1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1BD58FA4">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4D826489">
            <w:pPr>
              <w:pStyle w:val="19"/>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收费标准：代理服务费按照“豫招协[2023]002号”文件规定的支付方式向中标人收取，在中标人领取中标通知书时以现金方式或转账向代理机构缴纳。此费用由供应商综合考虑到投标报价中，不再单独列项。</w:t>
            </w:r>
          </w:p>
        </w:tc>
      </w:tr>
    </w:tbl>
    <w:p w14:paraId="7E6A6436">
      <w:pPr>
        <w:keepNext w:val="0"/>
        <w:keepLines w:val="0"/>
        <w:pageBreakBefore w:val="0"/>
        <w:kinsoku/>
        <w:wordWrap w:val="0"/>
        <w:overflowPunct/>
        <w:topLinePunct w:val="0"/>
        <w:bidi w:val="0"/>
        <w:spacing w:line="371" w:lineRule="auto"/>
        <w:jc w:val="both"/>
        <w:rPr>
          <w:rFonts w:ascii="Arial"/>
          <w:sz w:val="21"/>
        </w:rPr>
      </w:pPr>
    </w:p>
    <w:p w14:paraId="39AB0F15">
      <w:pPr>
        <w:keepNext w:val="0"/>
        <w:keepLines w:val="0"/>
        <w:pageBreakBefore w:val="0"/>
        <w:kinsoku/>
        <w:wordWrap w:val="0"/>
        <w:overflowPunct/>
        <w:topLinePunct w:val="0"/>
        <w:bidi w:val="0"/>
        <w:spacing w:line="243" w:lineRule="auto"/>
        <w:jc w:val="both"/>
        <w:rPr>
          <w:rFonts w:ascii="Arial"/>
          <w:sz w:val="21"/>
        </w:rPr>
      </w:pPr>
    </w:p>
    <w:p w14:paraId="4A854B99">
      <w:pPr>
        <w:keepNext w:val="0"/>
        <w:keepLines w:val="0"/>
        <w:pageBreakBefore w:val="0"/>
        <w:kinsoku/>
        <w:wordWrap w:val="0"/>
        <w:overflowPunct/>
        <w:topLinePunct w:val="0"/>
        <w:bidi w:val="0"/>
        <w:spacing w:line="244" w:lineRule="auto"/>
        <w:jc w:val="both"/>
        <w:rPr>
          <w:rFonts w:ascii="Arial"/>
          <w:sz w:val="21"/>
        </w:rPr>
      </w:pPr>
    </w:p>
    <w:p w14:paraId="72DE24A7">
      <w:pPr>
        <w:pStyle w:val="4"/>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306FAC73">
      <w:pPr>
        <w:pStyle w:val="4"/>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69FF9E34">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04B0A5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FC252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7A980F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573B5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09017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307E1A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财政性资金</w:t>
      </w:r>
      <w:r>
        <w:rPr>
          <w:rFonts w:hint="eastAsia" w:asciiTheme="minorEastAsia" w:hAnsiTheme="minorEastAsia" w:eastAsiaTheme="minorEastAsia" w:cstheme="minorEastAsia"/>
          <w:spacing w:val="7"/>
          <w:sz w:val="24"/>
          <w:szCs w:val="24"/>
          <w:u w:val="single"/>
          <w:lang w:val="en-US" w:eastAsia="zh-CN"/>
        </w:rPr>
        <w:t xml:space="preserve">  120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4EE088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516827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121B34F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600FD11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711F9B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67EB02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4FAA4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011831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141CD0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2A73F5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7D01D47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DCDAB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9C5F8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A2B72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965AF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E060A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D69C8A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DC9A5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23944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44114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18996DA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6E834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D2E47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61414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138218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19079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49A532F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0617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D79419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1D9EAE2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118F104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059EF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AFCF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CCAE0F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65DDA9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14:paraId="6EDB888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2875EB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C0A20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66F1E4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17CBA5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35728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225AC21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7D9E89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1AAAE2A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58D38C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6CFB44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2E047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292063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3F270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CD275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规划编制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3AA53123">
      <w:pPr>
        <w:keepNext w:val="0"/>
        <w:keepLines w:val="0"/>
        <w:pageBreakBefore w:val="0"/>
        <w:kinsoku/>
        <w:wordWrap w:val="0"/>
        <w:overflowPunct/>
        <w:topLinePunct w:val="0"/>
        <w:bidi w:val="0"/>
        <w:spacing w:line="292" w:lineRule="auto"/>
        <w:jc w:val="both"/>
        <w:rPr>
          <w:rFonts w:ascii="Arial"/>
          <w:sz w:val="21"/>
        </w:rPr>
      </w:pPr>
    </w:p>
    <w:p w14:paraId="0275F41F">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6099CF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66DA81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45AD26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19E7C61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0333626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7772EF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633D06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AF6E4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648620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545B0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5AF97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18D262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439086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3082DB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2640FD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71C3C9B7">
      <w:pPr>
        <w:pStyle w:val="4"/>
        <w:keepNext w:val="0"/>
        <w:keepLines w:val="0"/>
        <w:pageBreakBefore w:val="0"/>
        <w:kinsoku/>
        <w:wordWrap w:val="0"/>
        <w:overflowPunct/>
        <w:topLinePunct w:val="0"/>
        <w:bidi w:val="0"/>
        <w:spacing w:before="179" w:line="220" w:lineRule="auto"/>
        <w:jc w:val="both"/>
        <w:rPr>
          <w:sz w:val="24"/>
          <w:szCs w:val="24"/>
        </w:rPr>
      </w:pPr>
    </w:p>
    <w:p w14:paraId="2E8B0426">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01C923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51658B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6401E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14293F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3D96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A67A0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7AC38F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731958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086A4D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34006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040F67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6A3697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ADBEEE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6F6773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07DAC5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2FA8C5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C6FDB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2FF217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AA00C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504A7E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2387384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E5620D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3B77157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3F2B67E7">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75241CE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062097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332ADEE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1F1CD8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1EDE6E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3BE32543">
      <w:pPr>
        <w:pStyle w:val="4"/>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1816C482">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15821DD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06335A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5D78C3B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7AF187A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105B73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6C6D1F9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5A7B03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21DE3B7C">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007C1A6">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4DA9F3D">
      <w:pPr>
        <w:pStyle w:val="16"/>
        <w:rPr>
          <w:spacing w:val="-1"/>
          <w:sz w:val="36"/>
          <w:szCs w:val="36"/>
          <w14:textOutline w14:w="2306" w14:cap="flat" w14:cmpd="sng">
            <w14:solidFill>
              <w14:srgbClr w14:val="000000"/>
            </w14:solidFill>
            <w14:prstDash w14:val="solid"/>
            <w14:miter w14:val="0"/>
          </w14:textOutline>
        </w:rPr>
      </w:pPr>
    </w:p>
    <w:p w14:paraId="0F76DE4E">
      <w:pPr>
        <w:rPr>
          <w:spacing w:val="-1"/>
          <w:sz w:val="36"/>
          <w:szCs w:val="36"/>
          <w14:textOutline w14:w="2306"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br w:type="page"/>
      </w:r>
    </w:p>
    <w:p w14:paraId="142604EA">
      <w:pPr>
        <w:pStyle w:val="4"/>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3B9F826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116F3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7F60791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15BFDFFA">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A28D446">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30A129B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14:paraId="381E8B6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C3A6F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23EB0B8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66D0A62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48CB22E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1F236A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73713C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3913907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8338E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B9841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015132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有效性。解密时未在开启响应文件时间后30分钟内进行解密成功的视为撤销其响应文件（因电子开标系统原因除外）。</w:t>
      </w:r>
    </w:p>
    <w:p w14:paraId="6E5F35C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FF1C13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D878D5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693F96F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8"/>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335"/>
        <w:gridCol w:w="3178"/>
      </w:tblGrid>
      <w:tr w14:paraId="41FD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A7A7A4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02F0E7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335" w:type="dxa"/>
            <w:vAlign w:val="top"/>
          </w:tcPr>
          <w:p w14:paraId="6303F7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178" w:type="dxa"/>
            <w:vAlign w:val="top"/>
          </w:tcPr>
          <w:p w14:paraId="1935203B">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1C6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21" w:type="dxa"/>
            <w:vAlign w:val="center"/>
          </w:tcPr>
          <w:p w14:paraId="3EE98AEC">
            <w:pPr>
              <w:pStyle w:val="1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7B2BFD0">
            <w:pPr>
              <w:pStyle w:val="1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773AD65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335" w:type="dxa"/>
            <w:vAlign w:val="top"/>
          </w:tcPr>
          <w:p w14:paraId="65D1B18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1.注册于中华人民共和国境内，具有独立承担民事责任能力；</w:t>
            </w:r>
          </w:p>
          <w:p w14:paraId="73BB342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09A754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47BEDB1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E8DE98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5.参加政府采购活动前三年内，在经营活动中没有重大违法记录；</w:t>
            </w:r>
          </w:p>
          <w:p w14:paraId="348B48B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tc>
        <w:tc>
          <w:tcPr>
            <w:tcW w:w="3178" w:type="dxa"/>
            <w:vAlign w:val="top"/>
          </w:tcPr>
          <w:p w14:paraId="5BB0570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C0408C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23FCA9C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5D9A75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61A1A3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16D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1B9E0487">
            <w:pPr>
              <w:pStyle w:val="19"/>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058" w:type="dxa"/>
            <w:vAlign w:val="top"/>
          </w:tcPr>
          <w:p w14:paraId="1B448B27">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335" w:type="dxa"/>
            <w:vAlign w:val="top"/>
          </w:tcPr>
          <w:p w14:paraId="32E850D3">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3178" w:type="dxa"/>
            <w:vAlign w:val="top"/>
          </w:tcPr>
          <w:p w14:paraId="7E97778A">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BC36D6C">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58086D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4CC3795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6F786845">
      <w:pPr>
        <w:pStyle w:val="4"/>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1536" w14:cap="flat" w14:cmpd="sng" w14:algn="ctr">
            <w14:solidFill>
              <w14:srgbClr w14:val="000000"/>
            </w14:solidFill>
            <w14:prstDash w14:val="solid"/>
            <w14:miter w14:val="0"/>
          </w14:textOutline>
        </w:rPr>
        <w:t>符合性审查要求</w:t>
      </w:r>
    </w:p>
    <w:p w14:paraId="73C7FD27">
      <w:pPr>
        <w:kinsoku/>
        <w:wordWrap w:val="0"/>
        <w:spacing w:line="145" w:lineRule="exact"/>
        <w:jc w:val="both"/>
        <w:rPr>
          <w:rFonts w:asciiTheme="minorEastAsia" w:hAnsiTheme="minorEastAsia" w:eastAsiaTheme="minorEastAsia" w:cstheme="minorEastAsia"/>
        </w:rPr>
      </w:pPr>
    </w:p>
    <w:tbl>
      <w:tblPr>
        <w:tblStyle w:val="18"/>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057D9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415BA81">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1536" w14:cap="flat" w14:cmpd="sng" w14:algn="ctr">
                  <w14:solidFill>
                    <w14:srgbClr w14:val="000000"/>
                  </w14:solidFill>
                  <w14:prstDash w14:val="solid"/>
                  <w14:miter w14:val="0"/>
                </w14:textOutline>
              </w:rPr>
              <w:t>序号</w:t>
            </w:r>
          </w:p>
        </w:tc>
        <w:tc>
          <w:tcPr>
            <w:tcW w:w="1812" w:type="dxa"/>
          </w:tcPr>
          <w:p w14:paraId="4B428806">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1536" w14:cap="flat" w14:cmpd="sng" w14:algn="ctr">
                  <w14:solidFill>
                    <w14:srgbClr w14:val="000000"/>
                  </w14:solidFill>
                  <w14:prstDash w14:val="solid"/>
                  <w14:miter w14:val="0"/>
                </w14:textOutline>
              </w:rPr>
              <w:t>审查因素</w:t>
            </w:r>
          </w:p>
        </w:tc>
        <w:tc>
          <w:tcPr>
            <w:tcW w:w="5791" w:type="dxa"/>
          </w:tcPr>
          <w:p w14:paraId="7A25F9A3">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1536" w14:cap="flat" w14:cmpd="sng" w14:algn="ctr">
                  <w14:solidFill>
                    <w14:srgbClr w14:val="000000"/>
                  </w14:solidFill>
                  <w14:prstDash w14:val="solid"/>
                  <w14:miter w14:val="0"/>
                </w14:textOutline>
              </w:rPr>
              <w:t>审查内容</w:t>
            </w:r>
          </w:p>
        </w:tc>
      </w:tr>
      <w:tr w14:paraId="2AEB8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3B120A9">
            <w:pPr>
              <w:pStyle w:val="19"/>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7E1CCCC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5791" w:type="dxa"/>
          </w:tcPr>
          <w:p w14:paraId="1D87B5EA">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按招标文件要求提供授权委托书。</w:t>
            </w:r>
          </w:p>
        </w:tc>
      </w:tr>
      <w:tr w14:paraId="7EAD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A0A00E8">
            <w:pPr>
              <w:pStyle w:val="19"/>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2" w:type="dxa"/>
            <w:vAlign w:val="center"/>
          </w:tcPr>
          <w:p w14:paraId="0699ECFC">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投标完整性</w:t>
            </w:r>
          </w:p>
        </w:tc>
        <w:tc>
          <w:tcPr>
            <w:tcW w:w="5791" w:type="dxa"/>
            <w:vAlign w:val="center"/>
          </w:tcPr>
          <w:p w14:paraId="3A9A4E0B">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未将一个采购包中的内容拆分投标；</w:t>
            </w:r>
          </w:p>
          <w:p w14:paraId="0B8B8C88">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投标人对所投招标文件中所列的所有内容进行投标。</w:t>
            </w:r>
          </w:p>
        </w:tc>
      </w:tr>
      <w:tr w14:paraId="7461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BF5F9C3">
            <w:pPr>
              <w:pStyle w:val="19"/>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28AA5E75">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5791" w:type="dxa"/>
          </w:tcPr>
          <w:p w14:paraId="7EEEEE5F">
            <w:pPr>
              <w:pStyle w:val="19"/>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投标报价未超过招标文件中规定的项目/采购包预算金额或者项目/采购包最高限价。</w:t>
            </w:r>
          </w:p>
        </w:tc>
      </w:tr>
      <w:tr w14:paraId="0114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6A07BFE">
            <w:pPr>
              <w:pStyle w:val="19"/>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12" w:type="dxa"/>
          </w:tcPr>
          <w:p w14:paraId="7AB30F0D">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报价唯一性</w:t>
            </w:r>
          </w:p>
        </w:tc>
        <w:tc>
          <w:tcPr>
            <w:tcW w:w="5791" w:type="dxa"/>
          </w:tcPr>
          <w:p w14:paraId="56C90D3A">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投标文件未出现可选择性或可调整的报价（招标文件另有规定的除外）。</w:t>
            </w:r>
          </w:p>
        </w:tc>
      </w:tr>
      <w:tr w14:paraId="0F40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29F44D">
            <w:pPr>
              <w:pStyle w:val="19"/>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002B9CC8">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5791" w:type="dxa"/>
          </w:tcPr>
          <w:p w14:paraId="0A61BC0E">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投标文件中承诺的投标有效期满足招标文件中载明的投标有效期的。</w:t>
            </w:r>
          </w:p>
        </w:tc>
      </w:tr>
      <w:tr w14:paraId="52E7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DC28F2A">
            <w:pPr>
              <w:pStyle w:val="19"/>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12" w:type="dxa"/>
          </w:tcPr>
          <w:p w14:paraId="5C17C039">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实质性格式</w:t>
            </w:r>
          </w:p>
        </w:tc>
        <w:tc>
          <w:tcPr>
            <w:tcW w:w="5791" w:type="dxa"/>
          </w:tcPr>
          <w:p w14:paraId="40642101">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标记为实质性格式的文件均按招标文件要求提供且签署、盖章的。</w:t>
            </w:r>
          </w:p>
        </w:tc>
      </w:tr>
      <w:tr w14:paraId="5FEB4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E130DA8">
            <w:pPr>
              <w:pStyle w:val="19"/>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1812" w:type="dxa"/>
          </w:tcPr>
          <w:p w14:paraId="425814D3">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报价的修正（如有）</w:t>
            </w:r>
          </w:p>
        </w:tc>
        <w:tc>
          <w:tcPr>
            <w:tcW w:w="5791" w:type="dxa"/>
          </w:tcPr>
          <w:p w14:paraId="4D1BDCCA">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不涉及报价修正，或投标文件报价出现前后不一致时，投标人对修正后的报价予以确认。</w:t>
            </w:r>
            <w:r>
              <w:rPr>
                <w:rFonts w:hint="eastAsia" w:asciiTheme="minorEastAsia" w:hAnsiTheme="minorEastAsia" w:eastAsiaTheme="minorEastAsia" w:cstheme="minorEastAsia"/>
                <w:sz w:val="24"/>
                <w:szCs w:val="24"/>
              </w:rPr>
              <w:t>（如有）</w:t>
            </w:r>
          </w:p>
        </w:tc>
      </w:tr>
      <w:tr w14:paraId="45A9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342FCB07">
            <w:pPr>
              <w:pStyle w:val="19"/>
              <w:kinsoku/>
              <w:wordWrap w:val="0"/>
              <w:spacing w:line="304" w:lineRule="auto"/>
              <w:jc w:val="center"/>
              <w:rPr>
                <w:rFonts w:asciiTheme="minorEastAsia" w:hAnsiTheme="minorEastAsia" w:eastAsiaTheme="minorEastAsia" w:cstheme="minorEastAsia"/>
              </w:rPr>
            </w:pPr>
          </w:p>
          <w:p w14:paraId="4A0174CC">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1812" w:type="dxa"/>
          </w:tcPr>
          <w:p w14:paraId="7F73DEB4">
            <w:pPr>
              <w:pStyle w:val="19"/>
              <w:kinsoku/>
              <w:wordWrap w:val="0"/>
              <w:spacing w:line="271" w:lineRule="auto"/>
              <w:jc w:val="both"/>
              <w:rPr>
                <w:rFonts w:asciiTheme="minorEastAsia" w:hAnsiTheme="minorEastAsia" w:eastAsiaTheme="minorEastAsia" w:cstheme="minorEastAsia"/>
              </w:rPr>
            </w:pPr>
          </w:p>
          <w:p w14:paraId="795D974B">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报价合理性</w:t>
            </w:r>
          </w:p>
        </w:tc>
        <w:tc>
          <w:tcPr>
            <w:tcW w:w="5791" w:type="dxa"/>
          </w:tcPr>
          <w:p w14:paraId="5F5307AB">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15FA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F71FF32">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1812" w:type="dxa"/>
          </w:tcPr>
          <w:p w14:paraId="3F817E04">
            <w:pPr>
              <w:kinsoku/>
              <w:wordWrap w:val="0"/>
              <w:spacing w:before="69" w:line="196" w:lineRule="auto"/>
              <w:ind w:left="122" w:right="129" w:hanging="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服务期限</w:t>
            </w:r>
          </w:p>
        </w:tc>
        <w:tc>
          <w:tcPr>
            <w:tcW w:w="5791" w:type="dxa"/>
            <w:vAlign w:val="center"/>
          </w:tcPr>
          <w:p w14:paraId="55955EB1">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是否符合招标要求</w:t>
            </w:r>
            <w:r>
              <w:rPr>
                <w:rFonts w:hint="eastAsia" w:asciiTheme="minorEastAsia" w:hAnsiTheme="minorEastAsia" w:eastAsiaTheme="minorEastAsia" w:cstheme="minorEastAsia"/>
                <w:sz w:val="24"/>
                <w:szCs w:val="24"/>
                <w:lang w:eastAsia="zh-CN"/>
              </w:rPr>
              <w:t>。</w:t>
            </w:r>
          </w:p>
        </w:tc>
      </w:tr>
      <w:tr w14:paraId="3D20E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752C42F">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1812" w:type="dxa"/>
            <w:vAlign w:val="center"/>
          </w:tcPr>
          <w:p w14:paraId="3A369FE7">
            <w:pPr>
              <w:kinsoku/>
              <w:wordWrap w:val="0"/>
              <w:spacing w:before="78" w:line="219" w:lineRule="auto"/>
              <w:ind w:left="11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服务质量</w:t>
            </w:r>
          </w:p>
        </w:tc>
        <w:tc>
          <w:tcPr>
            <w:tcW w:w="5791" w:type="dxa"/>
            <w:vAlign w:val="center"/>
          </w:tcPr>
          <w:p w14:paraId="0996EBE4">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是否符合招标要求</w:t>
            </w:r>
            <w:r>
              <w:rPr>
                <w:rFonts w:hint="eastAsia" w:asciiTheme="minorEastAsia" w:hAnsiTheme="minorEastAsia" w:eastAsiaTheme="minorEastAsia" w:cstheme="minorEastAsia"/>
                <w:sz w:val="24"/>
                <w:szCs w:val="24"/>
                <w:lang w:eastAsia="zh-CN"/>
              </w:rPr>
              <w:t>。</w:t>
            </w:r>
          </w:p>
        </w:tc>
      </w:tr>
      <w:tr w14:paraId="5496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E42DE7A">
            <w:pPr>
              <w:pStyle w:val="19"/>
              <w:kinsoku/>
              <w:wordWrap w:val="0"/>
              <w:spacing w:line="301" w:lineRule="auto"/>
              <w:jc w:val="center"/>
              <w:rPr>
                <w:rFonts w:asciiTheme="minorEastAsia" w:hAnsiTheme="minorEastAsia" w:eastAsiaTheme="minorEastAsia" w:cstheme="minorEastAsia"/>
              </w:rPr>
            </w:pPr>
          </w:p>
          <w:p w14:paraId="5337EF79">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p>
        </w:tc>
        <w:tc>
          <w:tcPr>
            <w:tcW w:w="1812" w:type="dxa"/>
          </w:tcPr>
          <w:p w14:paraId="7982DE04">
            <w:pPr>
              <w:pStyle w:val="19"/>
              <w:kinsoku/>
              <w:wordWrap w:val="0"/>
              <w:spacing w:line="269" w:lineRule="auto"/>
              <w:jc w:val="both"/>
              <w:rPr>
                <w:rFonts w:asciiTheme="minorEastAsia" w:hAnsiTheme="minorEastAsia" w:eastAsiaTheme="minorEastAsia" w:cstheme="minorEastAsia"/>
              </w:rPr>
            </w:pPr>
          </w:p>
          <w:p w14:paraId="171258A5">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公平竞争</w:t>
            </w:r>
          </w:p>
        </w:tc>
        <w:tc>
          <w:tcPr>
            <w:tcW w:w="5791" w:type="dxa"/>
          </w:tcPr>
          <w:p w14:paraId="18E98E59">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投标人遵循公平竞争的原则，不存在恶意串通，妨碍其他投标人的竞争行为，不存在损害采购人或者其他投标人的合法权益情形的。</w:t>
            </w:r>
          </w:p>
        </w:tc>
      </w:tr>
      <w:tr w14:paraId="5794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685" w:type="dxa"/>
          </w:tcPr>
          <w:p w14:paraId="050DD24D">
            <w:pPr>
              <w:pStyle w:val="19"/>
              <w:kinsoku/>
              <w:wordWrap w:val="0"/>
              <w:spacing w:line="307" w:lineRule="auto"/>
              <w:jc w:val="center"/>
              <w:rPr>
                <w:rFonts w:asciiTheme="minorEastAsia" w:hAnsiTheme="minorEastAsia" w:eastAsiaTheme="minorEastAsia" w:cstheme="minorEastAsia"/>
                <w:lang w:eastAsia="zh-CN"/>
              </w:rPr>
            </w:pPr>
          </w:p>
          <w:p w14:paraId="4A845015">
            <w:pPr>
              <w:pStyle w:val="19"/>
              <w:kinsoku/>
              <w:wordWrap w:val="0"/>
              <w:spacing w:line="307" w:lineRule="auto"/>
              <w:jc w:val="center"/>
              <w:rPr>
                <w:rFonts w:asciiTheme="minorEastAsia" w:hAnsiTheme="minorEastAsia" w:eastAsiaTheme="minorEastAsia" w:cstheme="minorEastAsia"/>
                <w:lang w:eastAsia="zh-CN"/>
              </w:rPr>
            </w:pPr>
          </w:p>
          <w:p w14:paraId="35081773">
            <w:pPr>
              <w:pStyle w:val="19"/>
              <w:kinsoku/>
              <w:wordWrap w:val="0"/>
              <w:spacing w:line="307" w:lineRule="auto"/>
              <w:jc w:val="center"/>
              <w:rPr>
                <w:rFonts w:asciiTheme="minorEastAsia" w:hAnsiTheme="minorEastAsia" w:eastAsiaTheme="minorEastAsia" w:cstheme="minorEastAsia"/>
                <w:lang w:eastAsia="zh-CN"/>
              </w:rPr>
            </w:pPr>
          </w:p>
          <w:p w14:paraId="2CBD26A0">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p>
        </w:tc>
        <w:tc>
          <w:tcPr>
            <w:tcW w:w="1812" w:type="dxa"/>
          </w:tcPr>
          <w:p w14:paraId="3698867F">
            <w:pPr>
              <w:pStyle w:val="19"/>
              <w:kinsoku/>
              <w:wordWrap w:val="0"/>
              <w:spacing w:line="296" w:lineRule="auto"/>
              <w:jc w:val="both"/>
              <w:rPr>
                <w:rFonts w:asciiTheme="minorEastAsia" w:hAnsiTheme="minorEastAsia" w:eastAsiaTheme="minorEastAsia" w:cstheme="minorEastAsia"/>
              </w:rPr>
            </w:pPr>
          </w:p>
          <w:p w14:paraId="07752A33">
            <w:pPr>
              <w:pStyle w:val="19"/>
              <w:kinsoku/>
              <w:wordWrap w:val="0"/>
              <w:spacing w:line="296" w:lineRule="auto"/>
              <w:jc w:val="both"/>
              <w:rPr>
                <w:rFonts w:asciiTheme="minorEastAsia" w:hAnsiTheme="minorEastAsia" w:eastAsiaTheme="minorEastAsia" w:cstheme="minorEastAsia"/>
              </w:rPr>
            </w:pPr>
          </w:p>
          <w:p w14:paraId="7F1C9CFE">
            <w:pPr>
              <w:pStyle w:val="19"/>
              <w:kinsoku/>
              <w:wordWrap w:val="0"/>
              <w:spacing w:line="297" w:lineRule="auto"/>
              <w:jc w:val="both"/>
              <w:rPr>
                <w:rFonts w:asciiTheme="minorEastAsia" w:hAnsiTheme="minorEastAsia" w:eastAsiaTheme="minorEastAsia" w:cstheme="minorEastAsia"/>
              </w:rPr>
            </w:pPr>
          </w:p>
          <w:p w14:paraId="516B3BA9">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串通投标</w:t>
            </w:r>
          </w:p>
        </w:tc>
        <w:tc>
          <w:tcPr>
            <w:tcW w:w="5791" w:type="dxa"/>
          </w:tcPr>
          <w:p w14:paraId="4B155A0E">
            <w:pPr>
              <w:kinsoku/>
              <w:wordWrap w:val="0"/>
              <w:spacing w:before="42" w:line="234" w:lineRule="auto"/>
              <w:ind w:left="113" w:right="2" w:firstLine="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不存在南阳市财政局关于防范供应商串通投标促进政府采购公平竞争的通知（宛财购〔2022〕3号）投标人串通投标的情形：</w:t>
            </w:r>
          </w:p>
          <w:p w14:paraId="7179142D">
            <w:pPr>
              <w:kinsoku/>
              <w:wordWrap w:val="0"/>
              <w:spacing w:line="234" w:lineRule="auto"/>
              <w:ind w:firstLine="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30CD4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9F42065">
            <w:pPr>
              <w:pStyle w:val="19"/>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3</w:t>
            </w:r>
          </w:p>
        </w:tc>
        <w:tc>
          <w:tcPr>
            <w:tcW w:w="1812" w:type="dxa"/>
          </w:tcPr>
          <w:p w14:paraId="54F1E10F">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附加条件</w:t>
            </w:r>
          </w:p>
        </w:tc>
        <w:tc>
          <w:tcPr>
            <w:tcW w:w="5791" w:type="dxa"/>
          </w:tcPr>
          <w:p w14:paraId="0C6FB239">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投标文件未含有采购人不能接受的附加条件的。</w:t>
            </w:r>
          </w:p>
        </w:tc>
      </w:tr>
      <w:tr w14:paraId="5D59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4458B2F6">
            <w:pPr>
              <w:pStyle w:val="19"/>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4</w:t>
            </w:r>
          </w:p>
        </w:tc>
        <w:tc>
          <w:tcPr>
            <w:tcW w:w="1812" w:type="dxa"/>
          </w:tcPr>
          <w:p w14:paraId="5E8F5072">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其他无效情形</w:t>
            </w:r>
          </w:p>
        </w:tc>
        <w:tc>
          <w:tcPr>
            <w:tcW w:w="5791" w:type="dxa"/>
          </w:tcPr>
          <w:p w14:paraId="46B99646">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投标人、投标文件不存在不符合法律、法规和招标文件规定的其他无效情形。</w:t>
            </w:r>
          </w:p>
        </w:tc>
      </w:tr>
    </w:tbl>
    <w:p w14:paraId="7BCFB28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EBC796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168B9F3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人员配备、管理计划、管理制度、监督考核办法等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6CA70CD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35671B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4AEB7B3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77AB351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F525D3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0102F71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682CCC0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1A017950">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4B4A6D0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3BCE784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816D00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20F66C9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5DEE8C3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2A2118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3127A8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5579DD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C5EBE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5769620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599A748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2E05FC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40350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684A71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38DA4306">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3CCCA1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7DB450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E4A78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56076F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247D7F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26AF3D9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23E66A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1D1D18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685ECB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3B6E69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6B12B0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7E42FC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79FF46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14:paraId="24C58D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13AF508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1B378B4C">
      <w:pPr>
        <w:pStyle w:val="4"/>
        <w:keepNext w:val="0"/>
        <w:keepLines w:val="0"/>
        <w:pageBreakBefore w:val="0"/>
        <w:kinsoku/>
        <w:wordWrap w:val="0"/>
        <w:overflowPunct/>
        <w:topLinePunct w:val="0"/>
        <w:bidi w:val="0"/>
        <w:spacing w:before="78" w:line="221" w:lineRule="auto"/>
        <w:jc w:val="center"/>
        <w:outlineLvl w:val="1"/>
        <w:rPr>
          <w:color w:val="000000" w:themeColor="text1"/>
          <w:spacing w:val="-2"/>
          <w:sz w:val="24"/>
          <w:szCs w:val="24"/>
          <w14:textOutline w14:w="1537" w14:cap="flat" w14:cmpd="sng">
            <w14:solidFill>
              <w14:srgbClr w14:val="000000"/>
            </w14:solidFill>
            <w14:prstDash w14:val="solid"/>
            <w14:miter w14:val="0"/>
          </w14:textOutline>
          <w14:textFill>
            <w14:solidFill>
              <w14:schemeClr w14:val="tx1"/>
            </w14:solidFill>
          </w14:textFill>
        </w:rPr>
      </w:pPr>
      <w:r>
        <w:rPr>
          <w:color w:val="000000" w:themeColor="text1"/>
          <w:spacing w:val="-2"/>
          <w:sz w:val="24"/>
          <w:szCs w:val="24"/>
          <w14:textOutline w14:w="1537" w14:cap="flat" w14:cmpd="sng">
            <w14:solidFill>
              <w14:srgbClr w14:val="000000"/>
            </w14:solidFill>
            <w14:prstDash w14:val="solid"/>
            <w14:miter w14:val="0"/>
          </w14:textOutline>
          <w14:textFill>
            <w14:solidFill>
              <w14:schemeClr w14:val="tx1"/>
            </w14:solidFill>
          </w14:textFill>
        </w:rPr>
        <w:t>评审标准</w:t>
      </w: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952"/>
        <w:gridCol w:w="1184"/>
        <w:gridCol w:w="6728"/>
      </w:tblGrid>
      <w:tr w14:paraId="5FE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2" w:type="dxa"/>
            <w:noWrap w:val="0"/>
            <w:vAlign w:val="center"/>
          </w:tcPr>
          <w:p w14:paraId="6D430C95">
            <w:pPr>
              <w:pStyle w:val="10"/>
              <w:spacing w:before="0" w:beforeAutospacing="0" w:after="0" w:afterAutospacing="0"/>
              <w:ind w:firstLine="0"/>
              <w:jc w:val="center"/>
              <w:rPr>
                <w:rFonts w:hint="eastAsia" w:ascii="宋体" w:hAnsi="宋体" w:eastAsia="宋体" w:cs="宋体"/>
                <w:color w:val="auto"/>
                <w:sz w:val="24"/>
                <w:szCs w:val="24"/>
              </w:rPr>
            </w:pPr>
            <w:bookmarkStart w:id="22" w:name="_Hlk529214052"/>
            <w:r>
              <w:rPr>
                <w:rFonts w:hint="eastAsia" w:ascii="宋体" w:hAnsi="宋体" w:eastAsia="宋体" w:cs="宋体"/>
                <w:color w:val="auto"/>
                <w:sz w:val="24"/>
                <w:szCs w:val="24"/>
              </w:rPr>
              <w:t>序号</w:t>
            </w:r>
          </w:p>
        </w:tc>
        <w:tc>
          <w:tcPr>
            <w:tcW w:w="952" w:type="dxa"/>
            <w:noWrap w:val="0"/>
            <w:vAlign w:val="center"/>
          </w:tcPr>
          <w:p w14:paraId="5467F059">
            <w:pPr>
              <w:pStyle w:val="10"/>
              <w:spacing w:before="0" w:beforeAutospacing="0" w:after="0" w:afterAutospacing="0"/>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912" w:type="dxa"/>
            <w:gridSpan w:val="2"/>
            <w:noWrap w:val="0"/>
            <w:vAlign w:val="center"/>
          </w:tcPr>
          <w:p w14:paraId="52AF218B">
            <w:pPr>
              <w:pStyle w:val="10"/>
              <w:spacing w:before="0" w:beforeAutospacing="0" w:after="0" w:afterAutospacing="0"/>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37FD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noWrap w:val="0"/>
            <w:vAlign w:val="center"/>
          </w:tcPr>
          <w:p w14:paraId="20506976">
            <w:pPr>
              <w:pStyle w:val="21"/>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w:t>
            </w:r>
          </w:p>
        </w:tc>
        <w:tc>
          <w:tcPr>
            <w:tcW w:w="952" w:type="dxa"/>
            <w:noWrap w:val="0"/>
            <w:vAlign w:val="center"/>
          </w:tcPr>
          <w:p w14:paraId="4D3C6736">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投标报价（满分20分）</w:t>
            </w:r>
          </w:p>
        </w:tc>
        <w:tc>
          <w:tcPr>
            <w:tcW w:w="1184" w:type="dxa"/>
            <w:noWrap w:val="0"/>
            <w:vAlign w:val="center"/>
          </w:tcPr>
          <w:p w14:paraId="0416AB40">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0"/>
              <w:jc w:val="both"/>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报价（满分20分）</w:t>
            </w:r>
          </w:p>
        </w:tc>
        <w:tc>
          <w:tcPr>
            <w:tcW w:w="6728" w:type="dxa"/>
            <w:noWrap w:val="0"/>
            <w:vAlign w:val="center"/>
          </w:tcPr>
          <w:p w14:paraId="56B2704F">
            <w:pPr>
              <w:pStyle w:val="19"/>
              <w:numPr>
                <w:ilvl w:val="0"/>
                <w:numId w:val="2"/>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采用低价优先法计算，即满足招标文件要求且投标价格最低的投标报价为评标基准价，其价格分为</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分。其他投标人的价格分统一按照下列公式计算：投标报价得分=（评标基准价/投标报价）×</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p>
          <w:p w14:paraId="5F10E15A">
            <w:pPr>
              <w:pStyle w:val="19"/>
              <w:numPr>
                <w:ilvl w:val="0"/>
                <w:numId w:val="2"/>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（如投标人中出现明显低价或不符合招标参数要求的服务市场价格的投标报价，评标委员会各成员需对此类报价进行综合审查及评定，如发现恶意竞标行为予以废标，上报主管部门进行相应处罚） 对小型和微型企业、监狱企业、残疾人福利性等单位的投标报价给予10%的扣除，用扣除后的价格参与评审。</w:t>
            </w:r>
          </w:p>
        </w:tc>
      </w:tr>
      <w:tr w14:paraId="3D63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restart"/>
            <w:noWrap w:val="0"/>
            <w:vAlign w:val="center"/>
          </w:tcPr>
          <w:p w14:paraId="19481999">
            <w:pPr>
              <w:pStyle w:val="21"/>
              <w:widowControl/>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w:t>
            </w:r>
          </w:p>
        </w:tc>
        <w:tc>
          <w:tcPr>
            <w:tcW w:w="952" w:type="dxa"/>
            <w:vMerge w:val="restart"/>
            <w:noWrap w:val="0"/>
            <w:vAlign w:val="center"/>
          </w:tcPr>
          <w:p w14:paraId="670205CC">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技术部分（55分）</w:t>
            </w:r>
          </w:p>
        </w:tc>
        <w:tc>
          <w:tcPr>
            <w:tcW w:w="1184" w:type="dxa"/>
            <w:noWrap w:val="0"/>
            <w:vAlign w:val="center"/>
          </w:tcPr>
          <w:p w14:paraId="7A7DE2A6">
            <w:pPr>
              <w:pStyle w:val="19"/>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项目解读</w:t>
            </w:r>
            <w:r>
              <w:rPr>
                <w:rFonts w:hint="eastAsia" w:ascii="宋体" w:hAnsi="宋体" w:eastAsia="宋体" w:cs="宋体"/>
                <w:sz w:val="24"/>
                <w:szCs w:val="24"/>
                <w:lang w:eastAsia="zh-CN"/>
              </w:rPr>
              <w:t>（10分）</w:t>
            </w:r>
          </w:p>
        </w:tc>
        <w:tc>
          <w:tcPr>
            <w:tcW w:w="6728" w:type="dxa"/>
            <w:noWrap w:val="0"/>
            <w:vAlign w:val="top"/>
          </w:tcPr>
          <w:p w14:paraId="45729533">
            <w:pPr>
              <w:pStyle w:val="19"/>
              <w:numPr>
                <w:ilvl w:val="0"/>
                <w:numId w:val="3"/>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根据供应商提供的对本项目的理解与分析（包括但不限于对项目实际情况的调查了解、对相关资料整理研究、对项目重点难点的分析等）进行评审：</w:t>
            </w:r>
          </w:p>
          <w:p w14:paraId="3DE3BCFA">
            <w:pPr>
              <w:pStyle w:val="19"/>
              <w:numPr>
                <w:ilvl w:val="0"/>
                <w:numId w:val="3"/>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调查了解深入、透彻，对项目情况研究全面，对项目相关资料整理研究并提供详细全面的说明，对项目的重点难点分析准确的，得10分；</w:t>
            </w:r>
          </w:p>
          <w:p w14:paraId="723C4847">
            <w:pPr>
              <w:pStyle w:val="19"/>
              <w:numPr>
                <w:ilvl w:val="0"/>
                <w:numId w:val="3"/>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有一定的调查研究，对项目情况有基本了解，对项目相关资料整理研究并提供较为详细的说明，对项目的重点难点分析较为准确的，得7分；</w:t>
            </w:r>
          </w:p>
          <w:p w14:paraId="041C08EB">
            <w:pPr>
              <w:pStyle w:val="19"/>
              <w:numPr>
                <w:ilvl w:val="0"/>
                <w:numId w:val="3"/>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调查了解程度一般，对项目情况了解较少，未对项目相关资料有相应的整理研究，对项目的重点难点分析不够准确的，得4分；</w:t>
            </w:r>
          </w:p>
          <w:p w14:paraId="5C3B316A">
            <w:pPr>
              <w:pStyle w:val="19"/>
              <w:numPr>
                <w:ilvl w:val="0"/>
                <w:numId w:val="3"/>
              </w:numPr>
              <w:kinsoku/>
              <w:wordWrap w:val="0"/>
              <w:spacing w:before="33" w:line="235" w:lineRule="auto"/>
              <w:ind w:left="76"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调查了解不够，对项目情况及相关资料整理研究笼统，未能把握项目的重点难点的，得1分；</w:t>
            </w:r>
          </w:p>
          <w:p w14:paraId="6AD16AD2">
            <w:pPr>
              <w:pStyle w:val="19"/>
              <w:numPr>
                <w:ilvl w:val="0"/>
                <w:numId w:val="3"/>
              </w:numPr>
              <w:kinsoku/>
              <w:wordWrap w:val="0"/>
              <w:spacing w:before="33" w:line="235" w:lineRule="auto"/>
              <w:ind w:left="76" w:firstLine="2"/>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其他或未提供，不得分。</w:t>
            </w:r>
          </w:p>
        </w:tc>
      </w:tr>
      <w:tr w14:paraId="740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687F7329">
            <w:pPr>
              <w:pStyle w:val="10"/>
              <w:spacing w:before="0" w:beforeAutospacing="0" w:after="0" w:afterAutospacing="0"/>
              <w:ind w:firstLine="0"/>
              <w:jc w:val="both"/>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6F202843">
            <w:pPr>
              <w:pStyle w:val="10"/>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2EF02B08">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 xml:space="preserve">现状分析报告 </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eastAsia="zh-CN"/>
              </w:rPr>
              <w:t>10</w:t>
            </w:r>
            <w:r>
              <w:rPr>
                <w:rFonts w:hint="eastAsia" w:ascii="宋体" w:hAnsi="宋体" w:eastAsia="宋体" w:cs="宋体"/>
                <w:sz w:val="24"/>
                <w:szCs w:val="24"/>
              </w:rPr>
              <w:t>分）</w:t>
            </w:r>
          </w:p>
        </w:tc>
        <w:tc>
          <w:tcPr>
            <w:tcW w:w="6728" w:type="dxa"/>
            <w:noWrap w:val="0"/>
            <w:vAlign w:val="top"/>
          </w:tcPr>
          <w:p w14:paraId="540F7AF1">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根据供应商提供的对本项目的现状分析报告（包括但不限于文物保存现状、保护工作现状、环境现状、管理现状、展示利用现状、研究现状、主要病害现状等）进行评审：</w:t>
            </w:r>
          </w:p>
          <w:p w14:paraId="68BDCF15">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（1）现状分析报告详细完整，对遗址的现状具有针对性，能全面分析总结主要病害现状和遗址的主要威胁因素，为保护开发措施的制定提供详细、合理的思路、流程和依据，得10分；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（2）现状分析报告较为详细完整，能概括遗址的现状，总结病害现状和遗址的威胁因素，为保护开发措施的制定提供较好的思路和依据，得7分；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（3）现状分析报告不够详细完整，能简述遗址的现状，能简单归纳病害现状和遗址的威胁因素，能为保护开发措施的制定提供简单依据，得4分；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（4）现状分析报告简单，能体现遗址已发掘区域的现状，但未能总结出病害现状和遗址的威胁因素，不能为保护开发措施的制定提供依据，得1分；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（5）其他或未提供，不得分。</w:t>
            </w:r>
          </w:p>
        </w:tc>
      </w:tr>
      <w:tr w14:paraId="3CE5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63BB0071">
            <w:pPr>
              <w:pStyle w:val="21"/>
              <w:widowControl/>
              <w:jc w:val="center"/>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53556987">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3CE9F0C7">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 xml:space="preserve">保护规划构思 </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eastAsia="zh-CN"/>
              </w:rPr>
              <w:t>0</w:t>
            </w:r>
            <w:r>
              <w:rPr>
                <w:rFonts w:hint="eastAsia" w:ascii="宋体" w:hAnsi="宋体" w:eastAsia="宋体" w:cs="宋体"/>
                <w:sz w:val="24"/>
                <w:szCs w:val="24"/>
              </w:rPr>
              <w:t>分）</w:t>
            </w:r>
          </w:p>
        </w:tc>
        <w:tc>
          <w:tcPr>
            <w:tcW w:w="6728" w:type="dxa"/>
            <w:noWrap w:val="0"/>
            <w:vAlign w:val="top"/>
          </w:tcPr>
          <w:p w14:paraId="7DC626C8">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根据提供的针对本项目的保护规划构思进行评审：</w:t>
            </w:r>
          </w:p>
          <w:p w14:paraId="3B9EE9A2">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（1）规划思路清晰紧扣主题，内容切合项目实际要求，说明表达清楚、思路和流程清晰、完整，符合遗址保护展示需求，得10分；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（2）规划思路一般，符合主题，内容符合项目实际要求，说明表达及思路较完整，符合遗址保护展示需求，得7分；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规划思路简单，内容符合项目实际要求，说明表达及思路一般，符合遗址保护展示需求，得4分；（4）规划思路粗略，内容基本符合项目实际要求，说明表达简单、思路不完整，与遗址保护展示需求不相适应，得1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（5）其他或未提供，不得分。</w:t>
            </w:r>
          </w:p>
        </w:tc>
      </w:tr>
      <w:tr w14:paraId="0975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0D7822B2">
            <w:pPr>
              <w:pStyle w:val="21"/>
              <w:widowControl/>
              <w:jc w:val="center"/>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043CECF7">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63F80756">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 xml:space="preserve">质量控制方案 </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6728" w:type="dxa"/>
            <w:noWrap w:val="0"/>
            <w:vAlign w:val="top"/>
          </w:tcPr>
          <w:p w14:paraId="5F026DA7">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根据供应商提供的质量控制方案（包括但不限于项目保障措施、监控措施、应急预案、成果保障措施等）进行评审：</w:t>
            </w:r>
          </w:p>
          <w:p w14:paraId="608EB447">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（1）质量控制方案明确，考虑全面，科学合理，针对性强，措施完善切实可行的，得</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（2）质量控制方案比较明确全面，科学合理，有针对性，措施比较完善可行的，得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（3）质量控制方案不够明确全面，比较科学合理，措施有一定的针对性和可行性的，得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（4）其他或未提供，不得分</w:t>
            </w:r>
          </w:p>
        </w:tc>
      </w:tr>
      <w:tr w14:paraId="536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4DCC5F79">
            <w:pPr>
              <w:pStyle w:val="21"/>
              <w:widowControl/>
              <w:jc w:val="center"/>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04EAD931">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4F5F6D1D">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 xml:space="preserve">进度控制方案 </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6728" w:type="dxa"/>
            <w:noWrap w:val="0"/>
            <w:vAlign w:val="top"/>
          </w:tcPr>
          <w:p w14:paraId="57675F8D">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根据供应商提供的进度控制方案（包括但不限于项目实施安排、工作流程、工作进度计划等）进行评审：</w:t>
            </w:r>
          </w:p>
          <w:p w14:paraId="09799494">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（1）项目实施安排详细，工作流程安排合理，各环节时间安排明确，得</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（2）项目实施安排比较详细，工作流程安排较合理，各环节时间安排比较明确，得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（3）项目实施安排一般，缺少相应的工作流程安排和各环节时间安排的，得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（4）其他或未提供，不得分。</w:t>
            </w:r>
          </w:p>
        </w:tc>
      </w:tr>
      <w:tr w14:paraId="3AAD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50C4222C">
            <w:pPr>
              <w:pStyle w:val="21"/>
              <w:widowControl/>
              <w:jc w:val="center"/>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495DA2A2">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75912307">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针对本项目的合理化建议 （</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tc>
        <w:tc>
          <w:tcPr>
            <w:tcW w:w="6728" w:type="dxa"/>
            <w:noWrap w:val="0"/>
            <w:vAlign w:val="top"/>
          </w:tcPr>
          <w:p w14:paraId="6AEABBA9">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根据供应商针对本项目提出的合理化建议进行评审：</w:t>
            </w:r>
          </w:p>
          <w:p w14:paraId="3311172F">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（1）建议合理可行、经济适用、针对性强的，得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（2）建议比较合理，经济适用，具有一定的针对性和可行性的，得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（3）建议不够科学合理，针对性可行性不足的，得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分； </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（4）其他或未提供，不得分。</w:t>
            </w:r>
          </w:p>
        </w:tc>
      </w:tr>
      <w:tr w14:paraId="3E0A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0B7F2C41">
            <w:pPr>
              <w:pStyle w:val="21"/>
              <w:widowControl/>
              <w:jc w:val="center"/>
              <w:rPr>
                <w:rFonts w:hint="eastAsia" w:asciiTheme="minorEastAsia" w:hAnsiTheme="minorEastAsia" w:eastAsiaTheme="minorEastAsia" w:cstheme="minorEastAsia"/>
                <w:color w:val="auto"/>
                <w:sz w:val="30"/>
                <w:szCs w:val="30"/>
                <w:highlight w:val="red"/>
              </w:rPr>
            </w:pPr>
          </w:p>
        </w:tc>
        <w:tc>
          <w:tcPr>
            <w:tcW w:w="952" w:type="dxa"/>
            <w:vMerge w:val="continue"/>
            <w:noWrap w:val="0"/>
            <w:vAlign w:val="center"/>
          </w:tcPr>
          <w:p w14:paraId="53828BAF">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6DE78E7C">
            <w:pPr>
              <w:kinsoku/>
              <w:wordWrap w:val="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rPr>
              <w:t>服务承诺 （</w:t>
            </w:r>
            <w:r>
              <w:rPr>
                <w:rFonts w:hint="eastAsia" w:ascii="宋体" w:hAnsi="宋体" w:eastAsia="宋体" w:cs="宋体"/>
                <w:sz w:val="24"/>
                <w:szCs w:val="24"/>
                <w:lang w:eastAsia="zh-CN"/>
              </w:rPr>
              <w:t>5</w:t>
            </w:r>
            <w:r>
              <w:rPr>
                <w:rFonts w:hint="eastAsia" w:ascii="宋体" w:hAnsi="宋体" w:eastAsia="宋体" w:cs="宋体"/>
                <w:sz w:val="24"/>
                <w:szCs w:val="24"/>
              </w:rPr>
              <w:t>分）</w:t>
            </w:r>
          </w:p>
        </w:tc>
        <w:tc>
          <w:tcPr>
            <w:tcW w:w="6728" w:type="dxa"/>
            <w:noWrap w:val="0"/>
            <w:vAlign w:val="top"/>
          </w:tcPr>
          <w:p w14:paraId="294D621E">
            <w:pPr>
              <w:kinsoku/>
              <w:wordWrap w:val="0"/>
              <w:rPr>
                <w:rFonts w:ascii="宋体" w:hAnsi="宋体" w:eastAsia="宋体" w:cs="宋体"/>
                <w:sz w:val="24"/>
                <w:szCs w:val="24"/>
                <w:lang w:eastAsia="zh-CN"/>
              </w:rPr>
            </w:pPr>
            <w:r>
              <w:rPr>
                <w:rFonts w:hint="eastAsia" w:ascii="宋体" w:hAnsi="宋体" w:eastAsia="宋体" w:cs="宋体"/>
                <w:sz w:val="24"/>
                <w:szCs w:val="24"/>
                <w:lang w:eastAsia="zh-CN"/>
              </w:rPr>
              <w:t>供应商应提供优质、高效的服务：</w:t>
            </w:r>
          </w:p>
          <w:p w14:paraId="2541AE2B">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（1）供应商承诺对于一般技术问题能当时解决、对于重要技术问题和关键性技术问题能及时解决，能提供现场技术咨询服务的，得5分；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（2）供应商承诺对于一般技术问题能及时解决、对于重要技术问题和关键性技术问题未能及时解决，能提供现场技术咨询服务的，得3分；</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（3）其他或未提供，不得分。</w:t>
            </w:r>
          </w:p>
        </w:tc>
      </w:tr>
      <w:tr w14:paraId="5BE6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restart"/>
            <w:noWrap w:val="0"/>
            <w:vAlign w:val="center"/>
          </w:tcPr>
          <w:p w14:paraId="4750E440">
            <w:pPr>
              <w:pStyle w:val="21"/>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3</w:t>
            </w:r>
          </w:p>
        </w:tc>
        <w:tc>
          <w:tcPr>
            <w:tcW w:w="952" w:type="dxa"/>
            <w:vMerge w:val="restart"/>
            <w:noWrap w:val="0"/>
            <w:vAlign w:val="center"/>
          </w:tcPr>
          <w:p w14:paraId="7BD4406A">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商务部</w:t>
            </w:r>
          </w:p>
          <w:p w14:paraId="78C7C3FD">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分（25分）</w:t>
            </w:r>
          </w:p>
        </w:tc>
        <w:tc>
          <w:tcPr>
            <w:tcW w:w="1184" w:type="dxa"/>
            <w:noWrap w:val="0"/>
            <w:vAlign w:val="center"/>
          </w:tcPr>
          <w:p w14:paraId="4240E00A">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企业实力（4分）</w:t>
            </w:r>
          </w:p>
        </w:tc>
        <w:tc>
          <w:tcPr>
            <w:tcW w:w="6728" w:type="dxa"/>
            <w:noWrap w:val="0"/>
            <w:vAlign w:val="top"/>
          </w:tcPr>
          <w:p w14:paraId="17F6CE24">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（1）具有住房和城乡建设部颁发的建筑行业（建筑工程）甲级资质的得2分；</w:t>
            </w:r>
          </w:p>
          <w:p w14:paraId="5FCD9D76">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具有ISO9001-2015标准质量管理体系认证证书（覆盖范围包括建筑工程设计）2分。</w:t>
            </w:r>
          </w:p>
          <w:p w14:paraId="7A7996A3">
            <w:pPr>
              <w:kinsoku/>
              <w:wordWrap w:val="0"/>
              <w:rPr>
                <w:rFonts w:hint="default"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备注：证明材料为资质证书复印件加盖单位公章。</w:t>
            </w:r>
          </w:p>
        </w:tc>
      </w:tr>
      <w:tr w14:paraId="7F31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427D60FD">
            <w:pPr>
              <w:pStyle w:val="21"/>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952" w:type="dxa"/>
            <w:vMerge w:val="continue"/>
            <w:noWrap w:val="0"/>
            <w:vAlign w:val="center"/>
          </w:tcPr>
          <w:p w14:paraId="071BBAD9">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59AAE4A8">
            <w:pPr>
              <w:kinsoku/>
              <w:wordWrap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同类业绩经验</w:t>
            </w:r>
          </w:p>
          <w:p w14:paraId="68ABCF25">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p>
        </w:tc>
        <w:tc>
          <w:tcPr>
            <w:tcW w:w="6728" w:type="dxa"/>
            <w:noWrap w:val="0"/>
            <w:vAlign w:val="top"/>
          </w:tcPr>
          <w:p w14:paraId="26C8902A">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（1）供应商2015年1月1日（合同签订之日起）至今，承接过全国重点文物保护单位的保护规划，通过国家文物局评审的，每提供一个得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分，本项最多得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p>
          <w:p w14:paraId="0E37343E">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注：投标时需提供合同关键页（含签订合同双方的单位名称、合同项目名称、合同清单/合同概况、签订合同双方的落款盖章、签订日期的关键页、设计对象为全国重点文物保护单位的证明材料）复印件及国家文物局或省文物局颁发的评审意见作为同类业绩评价证明资料，不提供不得分。</w:t>
            </w:r>
          </w:p>
        </w:tc>
      </w:tr>
      <w:tr w14:paraId="390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5C5C438F">
            <w:pPr>
              <w:pStyle w:val="21"/>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952" w:type="dxa"/>
            <w:vMerge w:val="continue"/>
            <w:noWrap w:val="0"/>
            <w:vAlign w:val="center"/>
          </w:tcPr>
          <w:p w14:paraId="1A5DF039">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4D424A6B">
            <w:pPr>
              <w:kinsoku/>
              <w:wordWrap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技术负责人</w:t>
            </w:r>
          </w:p>
          <w:p w14:paraId="3A7F545C">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tc>
        <w:tc>
          <w:tcPr>
            <w:tcW w:w="6728" w:type="dxa"/>
            <w:noWrap w:val="0"/>
            <w:vAlign w:val="top"/>
          </w:tcPr>
          <w:p w14:paraId="56177FAF">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拟投入技术负责人（与项目负责人和其他团队成员不得重复）：具有相关专业高级或以上技术职称、文物保护工程责任设计师证书、一级注册建筑师资格证书的，每具备一项得1分，本项最高得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14:paraId="5B333F08">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注：投标时需提供①相关职称证书复印件；②响应供应商在投标截止前三个月任意一个月为其缴纳社保的证明。提供不全或无提供不得分。上述资料均需加盖响应供应商公章。</w:t>
            </w:r>
          </w:p>
        </w:tc>
      </w:tr>
      <w:tr w14:paraId="4FB9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1CC012FB">
            <w:pPr>
              <w:pStyle w:val="21"/>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952" w:type="dxa"/>
            <w:vMerge w:val="continue"/>
            <w:noWrap w:val="0"/>
            <w:vAlign w:val="center"/>
          </w:tcPr>
          <w:p w14:paraId="151388B4">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noWrap w:val="0"/>
            <w:vAlign w:val="center"/>
          </w:tcPr>
          <w:p w14:paraId="1EBF347E">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项目团队其他成员（项目负责人和技术负责人除外）（</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分）</w:t>
            </w:r>
          </w:p>
        </w:tc>
        <w:tc>
          <w:tcPr>
            <w:tcW w:w="6728" w:type="dxa"/>
            <w:noWrap w:val="0"/>
            <w:vAlign w:val="top"/>
          </w:tcPr>
          <w:p w14:paraId="2F7A15D9">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拟投入本项目技术人员（项目负责人和技术负责人除外）：</w:t>
            </w:r>
          </w:p>
          <w:p w14:paraId="1F89A0B5">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（1）项目团队成员同时具备文物保护工程责任设计师和一级注册建筑师的，每提供一个得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分，本项最高得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p>
          <w:p w14:paraId="49E028AB">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（2）项目团队成员具备注册城乡规划师证书的，每提供1 人得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分，本项最多得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p w14:paraId="06F2164E">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（3）项目团队成员具备相关专业高级及以上职称的得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分，本项最高得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14:paraId="081BB28A">
            <w:pPr>
              <w:kinsoku/>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（4）主要参与人员项目成员中专业配备文化遗产、规划、景观、建筑、历史、考古相关专业，上述各专业人员（提供职称证或毕业证等相关证明）配备缺少一项专业扣</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分，本项最多得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分。（同一人同时具备多种上述专业背景不累计计算）</w:t>
            </w:r>
          </w:p>
          <w:p w14:paraId="59DD0CEC">
            <w:pPr>
              <w:kinsoku/>
              <w:wordWrap w:val="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eastAsia="zh-CN"/>
              </w:rPr>
              <w:t>注：以上各项不重复计分，即同一人员只能参与一项评审，只计算一次得分。投标时需提供①相关证书复印件；②响应供应商在投标截止前三个月任意1个月为其缴纳社保的证明。提供不全或无提供不得分。上述资料均需加盖响应供应商公章。</w:t>
            </w:r>
          </w:p>
        </w:tc>
      </w:tr>
      <w:tr w14:paraId="46DF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0"/>
            <w:vAlign w:val="center"/>
          </w:tcPr>
          <w:p w14:paraId="5232DD1F">
            <w:pPr>
              <w:pStyle w:val="21"/>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952" w:type="dxa"/>
            <w:vMerge w:val="continue"/>
            <w:noWrap w:val="0"/>
            <w:vAlign w:val="center"/>
          </w:tcPr>
          <w:p w14:paraId="07E1E7BA">
            <w:pPr>
              <w:pStyle w:val="10"/>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184" w:type="dxa"/>
            <w:shd w:val="clear" w:color="auto" w:fill="auto"/>
            <w:noWrap w:val="0"/>
            <w:vAlign w:val="center"/>
          </w:tcPr>
          <w:p w14:paraId="0BF3E535">
            <w:pPr>
              <w:kinsoku/>
              <w:wordWrap w:val="0"/>
              <w:rPr>
                <w:rFonts w:hint="default"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信用评价（2分）</w:t>
            </w:r>
          </w:p>
        </w:tc>
        <w:tc>
          <w:tcPr>
            <w:tcW w:w="6728" w:type="dxa"/>
            <w:shd w:val="clear" w:color="auto" w:fill="auto"/>
            <w:noWrap w:val="0"/>
            <w:vAlign w:val="center"/>
          </w:tcPr>
          <w:p w14:paraId="5211AFEF">
            <w:pPr>
              <w:kinsoku/>
              <w:wordWrap w:val="0"/>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bookmarkEnd w:id="22"/>
    </w:tbl>
    <w:p w14:paraId="6A2E0079">
      <w:pPr>
        <w:pStyle w:val="16"/>
        <w:rPr>
          <w:rFonts w:hint="eastAsia" w:ascii="宋体" w:hAnsi="宋体" w:eastAsia="宋体" w:cs="宋体"/>
          <w:snapToGrid w:val="0"/>
          <w:color w:val="000000"/>
          <w:kern w:val="0"/>
          <w:sz w:val="24"/>
          <w:szCs w:val="24"/>
          <w:lang w:val="en-US" w:eastAsia="zh-CN" w:bidi="ar-SA"/>
        </w:rPr>
      </w:pPr>
    </w:p>
    <w:p w14:paraId="00FBCB6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3178ED2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F7C8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177A7D0B">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303DC3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637FFCE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2DBF178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7083759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0BB4C2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1D417C7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6E3EAA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66EEF64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6EEBF2F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6A6550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4D63999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5596A2F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539D59B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0C304E0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27278E2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0595269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6A088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0A7B44A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3A822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7F47D09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2B78B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58977B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E37559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3DAE924A">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7A03164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4709F7A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14F1355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1DEB48C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715237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5A0964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D5C466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35E3CFD">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br w:type="page"/>
      </w:r>
    </w:p>
    <w:p w14:paraId="6F9236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82FB7B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7E9ED22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D65B07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1680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2C52FB2">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127176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64F03C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17408B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7592FD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A99F219">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2DE717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7CAFFA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EE1F673">
      <w:pP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br w:type="page"/>
      </w:r>
    </w:p>
    <w:p w14:paraId="14D4AF47">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7DFB61D9">
      <w:pPr>
        <w:kinsoku/>
        <w:wordWrap w:val="0"/>
        <w:autoSpaceDE/>
        <w:autoSpaceDN/>
        <w:spacing w:line="520" w:lineRule="exact"/>
        <w:ind w:firstLine="420"/>
        <w:textAlignment w:val="auto"/>
        <w:rPr>
          <w:rFonts w:ascii="宋体" w:hAnsi="宋体" w:eastAsia="宋体" w:cs="宋体"/>
          <w:lang w:eastAsia="zh-CN"/>
        </w:rPr>
      </w:pPr>
    </w:p>
    <w:p w14:paraId="4513DAFB">
      <w:pPr>
        <w:kinsoku/>
        <w:wordWrap w:val="0"/>
        <w:autoSpaceDE/>
        <w:autoSpaceDN/>
        <w:spacing w:line="520" w:lineRule="exact"/>
        <w:ind w:firstLine="422"/>
        <w:jc w:val="center"/>
        <w:textAlignment w:val="auto"/>
        <w:rPr>
          <w:rFonts w:ascii="宋体" w:hAnsi="宋体" w:eastAsia="宋体" w:cs="宋体"/>
          <w:lang w:eastAsia="zh-CN"/>
        </w:rPr>
      </w:pPr>
      <w:r>
        <w:rPr>
          <w:rFonts w:hint="eastAsia" w:ascii="宋体" w:hAnsi="宋体" w:eastAsia="宋体" w:cs="宋体"/>
          <w:b/>
          <w:lang w:eastAsia="zh-CN"/>
        </w:rPr>
        <w:t xml:space="preserve"> </w:t>
      </w:r>
    </w:p>
    <w:p w14:paraId="160419DE">
      <w:pPr>
        <w:kinsoku/>
        <w:wordWrap w:val="0"/>
        <w:autoSpaceDE/>
        <w:autoSpaceDN/>
        <w:spacing w:line="520" w:lineRule="exact"/>
        <w:ind w:firstLine="422"/>
        <w:jc w:val="center"/>
        <w:textAlignment w:val="auto"/>
        <w:rPr>
          <w:rFonts w:ascii="宋体" w:hAnsi="宋体" w:eastAsia="宋体" w:cs="宋体"/>
          <w:lang w:eastAsia="zh-CN"/>
        </w:rPr>
      </w:pPr>
      <w:r>
        <w:rPr>
          <w:rFonts w:hint="eastAsia" w:ascii="宋体" w:hAnsi="宋体" w:eastAsia="宋体" w:cs="宋体"/>
          <w:b/>
          <w:lang w:eastAsia="zh-CN"/>
        </w:rPr>
        <w:t xml:space="preserve"> </w:t>
      </w:r>
    </w:p>
    <w:p w14:paraId="04B1C8AC">
      <w:pPr>
        <w:kinsoku/>
        <w:wordWrap w:val="0"/>
        <w:autoSpaceDE/>
        <w:autoSpaceDN/>
        <w:spacing w:line="520" w:lineRule="exact"/>
        <w:ind w:firstLine="422"/>
        <w:jc w:val="center"/>
        <w:textAlignment w:val="auto"/>
        <w:rPr>
          <w:rFonts w:ascii="宋体" w:hAnsi="宋体" w:eastAsia="宋体" w:cs="宋体"/>
          <w:lang w:eastAsia="zh-CN"/>
        </w:rPr>
      </w:pPr>
      <w:r>
        <w:rPr>
          <w:rFonts w:hint="eastAsia" w:ascii="宋体" w:hAnsi="宋体" w:eastAsia="宋体" w:cs="宋体"/>
          <w:b/>
          <w:lang w:eastAsia="zh-CN"/>
        </w:rPr>
        <w:t xml:space="preserve">  </w:t>
      </w:r>
    </w:p>
    <w:p w14:paraId="5E7FE565">
      <w:pPr>
        <w:kinsoku/>
        <w:wordWrap w:val="0"/>
        <w:autoSpaceDE/>
        <w:autoSpaceDN/>
        <w:spacing w:line="520" w:lineRule="exact"/>
        <w:ind w:firstLine="420"/>
        <w:jc w:val="center"/>
        <w:textAlignment w:val="auto"/>
        <w:rPr>
          <w:rFonts w:ascii="宋体" w:hAnsi="宋体" w:eastAsia="宋体" w:cs="宋体"/>
          <w:lang w:eastAsia="zh-CN"/>
        </w:rPr>
      </w:pPr>
    </w:p>
    <w:p w14:paraId="7BBE0BCC">
      <w:pPr>
        <w:kinsoku/>
        <w:wordWrap w:val="0"/>
        <w:autoSpaceDE/>
        <w:autoSpaceDN/>
        <w:spacing w:line="520" w:lineRule="exact"/>
        <w:ind w:firstLine="540"/>
        <w:textAlignment w:val="auto"/>
        <w:rPr>
          <w:rFonts w:ascii="宋体" w:hAnsi="宋体" w:eastAsia="宋体" w:cs="宋体"/>
          <w:lang w:eastAsia="zh-CN"/>
        </w:rPr>
      </w:pPr>
      <w:r>
        <w:rPr>
          <w:rFonts w:hint="eastAsia" w:ascii="宋体" w:hAnsi="宋体" w:eastAsia="宋体" w:cs="宋体"/>
          <w:color w:val="222222"/>
          <w:sz w:val="27"/>
          <w:lang w:eastAsia="zh-CN"/>
        </w:rPr>
        <w:t xml:space="preserve"> </w:t>
      </w:r>
    </w:p>
    <w:p w14:paraId="5CC9D9C6">
      <w:pPr>
        <w:kinsoku/>
        <w:wordWrap w:val="0"/>
        <w:autoSpaceDE/>
        <w:autoSpaceDN/>
        <w:spacing w:line="520" w:lineRule="exact"/>
        <w:ind w:firstLine="964"/>
        <w:jc w:val="center"/>
        <w:textAlignment w:val="auto"/>
        <w:rPr>
          <w:rFonts w:ascii="宋体" w:hAnsi="宋体" w:eastAsia="宋体" w:cs="宋体"/>
          <w:lang w:eastAsia="zh-CN"/>
        </w:rPr>
      </w:pPr>
      <w:r>
        <w:rPr>
          <w:rFonts w:hint="eastAsia" w:ascii="宋体" w:hAnsi="宋体" w:eastAsia="宋体" w:cs="宋体"/>
          <w:b/>
          <w:sz w:val="48"/>
          <w:lang w:eastAsia="zh-CN"/>
        </w:rPr>
        <w:t>南阳市政府采购合同</w:t>
      </w:r>
    </w:p>
    <w:p w14:paraId="67E70F26">
      <w:pPr>
        <w:kinsoku/>
        <w:wordWrap w:val="0"/>
        <w:autoSpaceDE/>
        <w:autoSpaceDN/>
        <w:spacing w:line="520" w:lineRule="exact"/>
        <w:ind w:firstLine="420"/>
        <w:textAlignment w:val="auto"/>
        <w:rPr>
          <w:rFonts w:ascii="宋体" w:hAnsi="宋体" w:eastAsia="宋体" w:cs="宋体"/>
          <w:lang w:eastAsia="zh-CN"/>
        </w:rPr>
      </w:pPr>
    </w:p>
    <w:p w14:paraId="7C2F9219">
      <w:pPr>
        <w:kinsoku/>
        <w:wordWrap w:val="0"/>
        <w:autoSpaceDE/>
        <w:autoSpaceDN/>
        <w:spacing w:line="520" w:lineRule="exact"/>
        <w:ind w:firstLine="420"/>
        <w:jc w:val="center"/>
        <w:textAlignment w:val="auto"/>
        <w:rPr>
          <w:rFonts w:ascii="宋体" w:hAnsi="宋体" w:eastAsia="宋体" w:cs="宋体"/>
          <w:lang w:eastAsia="zh-CN"/>
        </w:rPr>
      </w:pPr>
    </w:p>
    <w:p w14:paraId="191D7E0B">
      <w:pPr>
        <w:kinsoku/>
        <w:wordWrap w:val="0"/>
        <w:autoSpaceDE/>
        <w:autoSpaceDN/>
        <w:spacing w:line="520" w:lineRule="exact"/>
        <w:ind w:firstLine="420"/>
        <w:jc w:val="center"/>
        <w:textAlignment w:val="auto"/>
        <w:rPr>
          <w:rFonts w:ascii="宋体" w:hAnsi="宋体" w:eastAsia="宋体" w:cs="宋体"/>
          <w:lang w:eastAsia="zh-CN"/>
        </w:rPr>
      </w:pPr>
    </w:p>
    <w:p w14:paraId="086D54CC">
      <w:pPr>
        <w:kinsoku/>
        <w:wordWrap w:val="0"/>
        <w:autoSpaceDE/>
        <w:autoSpaceDN/>
        <w:spacing w:line="520" w:lineRule="exact"/>
        <w:ind w:firstLine="420"/>
        <w:jc w:val="center"/>
        <w:textAlignment w:val="auto"/>
        <w:rPr>
          <w:rFonts w:ascii="宋体" w:hAnsi="宋体" w:eastAsia="宋体" w:cs="宋体"/>
          <w:lang w:eastAsia="zh-CN"/>
        </w:rPr>
      </w:pPr>
    </w:p>
    <w:p w14:paraId="28F8BB9A">
      <w:pPr>
        <w:kinsoku/>
        <w:wordWrap w:val="0"/>
        <w:autoSpaceDE/>
        <w:autoSpaceDN/>
        <w:spacing w:line="520" w:lineRule="exact"/>
        <w:ind w:firstLine="420"/>
        <w:jc w:val="center"/>
        <w:textAlignment w:val="auto"/>
        <w:rPr>
          <w:rFonts w:ascii="宋体" w:hAnsi="宋体" w:eastAsia="宋体" w:cs="宋体"/>
          <w:lang w:eastAsia="zh-CN"/>
        </w:rPr>
      </w:pPr>
    </w:p>
    <w:p w14:paraId="099AE347">
      <w:pPr>
        <w:kinsoku/>
        <w:wordWrap w:val="0"/>
        <w:autoSpaceDE/>
        <w:autoSpaceDN/>
        <w:spacing w:line="520" w:lineRule="exact"/>
        <w:ind w:firstLine="420"/>
        <w:jc w:val="center"/>
        <w:textAlignment w:val="auto"/>
        <w:rPr>
          <w:rFonts w:ascii="宋体" w:hAnsi="宋体" w:eastAsia="宋体" w:cs="宋体"/>
          <w:lang w:eastAsia="zh-CN"/>
        </w:rPr>
      </w:pPr>
    </w:p>
    <w:p w14:paraId="2EA23312">
      <w:pPr>
        <w:kinsoku/>
        <w:wordWrap w:val="0"/>
        <w:autoSpaceDE/>
        <w:autoSpaceDN/>
        <w:spacing w:line="520" w:lineRule="exact"/>
        <w:ind w:firstLine="420"/>
        <w:jc w:val="center"/>
        <w:textAlignment w:val="auto"/>
        <w:rPr>
          <w:rFonts w:ascii="宋体" w:hAnsi="宋体" w:eastAsia="宋体" w:cs="宋体"/>
          <w:lang w:eastAsia="zh-CN"/>
        </w:rPr>
      </w:pPr>
    </w:p>
    <w:p w14:paraId="272FDD84">
      <w:pPr>
        <w:kinsoku/>
        <w:wordWrap w:val="0"/>
        <w:autoSpaceDE/>
        <w:autoSpaceDN/>
        <w:spacing w:line="520" w:lineRule="exact"/>
        <w:ind w:firstLine="420"/>
        <w:jc w:val="center"/>
        <w:textAlignment w:val="auto"/>
        <w:rPr>
          <w:rFonts w:ascii="宋体" w:hAnsi="宋体" w:eastAsia="宋体" w:cs="宋体"/>
          <w:lang w:eastAsia="zh-CN"/>
        </w:rPr>
      </w:pPr>
    </w:p>
    <w:p w14:paraId="2D3A96C7">
      <w:pPr>
        <w:kinsoku/>
        <w:wordWrap w:val="0"/>
        <w:autoSpaceDE/>
        <w:autoSpaceDN/>
        <w:spacing w:line="520" w:lineRule="exact"/>
        <w:ind w:firstLine="420"/>
        <w:jc w:val="center"/>
        <w:textAlignment w:val="auto"/>
        <w:rPr>
          <w:rFonts w:ascii="宋体" w:hAnsi="宋体" w:eastAsia="宋体" w:cs="宋体"/>
          <w:highlight w:val="none"/>
          <w:lang w:eastAsia="zh-CN"/>
        </w:rPr>
      </w:pPr>
    </w:p>
    <w:p w14:paraId="0F5C4228">
      <w:pPr>
        <w:kinsoku/>
        <w:wordWrap w:val="0"/>
        <w:autoSpaceDE/>
        <w:autoSpaceDN/>
        <w:spacing w:line="520" w:lineRule="exact"/>
        <w:ind w:firstLine="562"/>
        <w:textAlignment w:val="auto"/>
        <w:rPr>
          <w:rFonts w:ascii="宋体" w:hAnsi="宋体" w:eastAsia="宋体" w:cs="宋体"/>
          <w:highlight w:val="none"/>
          <w:lang w:eastAsia="zh-CN"/>
        </w:rPr>
      </w:pPr>
      <w:r>
        <w:rPr>
          <w:rFonts w:hint="eastAsia" w:ascii="宋体" w:hAnsi="宋体" w:eastAsia="宋体" w:cs="宋体"/>
          <w:b/>
          <w:sz w:val="28"/>
          <w:highlight w:val="none"/>
          <w:lang w:eastAsia="zh-CN"/>
        </w:rPr>
        <w:t>合同编号：</w:t>
      </w:r>
      <w:r>
        <w:rPr>
          <w:rFonts w:hint="eastAsia" w:ascii="宋体" w:hAnsi="宋体" w:eastAsia="宋体" w:cs="宋体"/>
          <w:b/>
          <w:sz w:val="28"/>
          <w:highlight w:val="none"/>
          <w:u w:val="single"/>
          <w:lang w:eastAsia="zh-CN"/>
        </w:rPr>
        <w:t xml:space="preserve">                                  </w:t>
      </w:r>
      <w:r>
        <w:rPr>
          <w:rFonts w:hint="eastAsia" w:ascii="宋体" w:hAnsi="宋体" w:eastAsia="宋体" w:cs="宋体"/>
          <w:highlight w:val="none"/>
          <w:u w:val="single"/>
          <w:lang w:eastAsia="zh-CN"/>
        </w:rPr>
        <w:t xml:space="preserve">  </w:t>
      </w:r>
    </w:p>
    <w:p w14:paraId="5D95AAFD">
      <w:pPr>
        <w:kinsoku/>
        <w:wordWrap w:val="0"/>
        <w:autoSpaceDE/>
        <w:autoSpaceDN/>
        <w:spacing w:line="520" w:lineRule="exact"/>
        <w:ind w:firstLine="562"/>
        <w:textAlignment w:val="auto"/>
        <w:rPr>
          <w:rFonts w:ascii="宋体" w:hAnsi="宋体" w:eastAsia="宋体" w:cs="宋体"/>
          <w:highlight w:val="none"/>
          <w:lang w:eastAsia="zh-CN"/>
        </w:rPr>
      </w:pPr>
      <w:r>
        <w:rPr>
          <w:rFonts w:hint="eastAsia" w:ascii="宋体" w:hAnsi="宋体" w:eastAsia="宋体" w:cs="宋体"/>
          <w:b/>
          <w:sz w:val="28"/>
          <w:highlight w:val="none"/>
          <w:lang w:eastAsia="zh-CN"/>
        </w:rPr>
        <w:t>项目名称：</w:t>
      </w:r>
      <w:r>
        <w:rPr>
          <w:rFonts w:hint="eastAsia" w:ascii="宋体" w:hAnsi="宋体" w:eastAsia="宋体" w:cs="宋体"/>
          <w:b/>
          <w:sz w:val="28"/>
          <w:highlight w:val="none"/>
          <w:u w:val="single"/>
          <w:lang w:eastAsia="zh-CN"/>
        </w:rPr>
        <w:t xml:space="preserve"> 编制《全国重点文物保护单位瓦房庄冶铁遗址保护规划》项目</w:t>
      </w:r>
      <w:r>
        <w:rPr>
          <w:rFonts w:hint="eastAsia" w:ascii="宋体" w:hAnsi="宋体" w:eastAsia="宋体" w:cs="宋体"/>
          <w:highlight w:val="none"/>
          <w:u w:val="single"/>
          <w:lang w:eastAsia="zh-CN"/>
        </w:rPr>
        <w:t xml:space="preserve"> </w:t>
      </w:r>
      <w:r>
        <w:rPr>
          <w:rFonts w:hint="eastAsia" w:ascii="宋体" w:hAnsi="宋体" w:eastAsia="宋体" w:cs="宋体"/>
          <w:b/>
          <w:highlight w:val="none"/>
          <w:lang w:eastAsia="zh-CN"/>
        </w:rPr>
        <w:t xml:space="preserve"> </w:t>
      </w:r>
    </w:p>
    <w:p w14:paraId="47490419">
      <w:pPr>
        <w:kinsoku/>
        <w:wordWrap w:val="0"/>
        <w:autoSpaceDE/>
        <w:autoSpaceDN/>
        <w:spacing w:line="520" w:lineRule="exact"/>
        <w:ind w:firstLine="562"/>
        <w:textAlignment w:val="auto"/>
        <w:rPr>
          <w:rFonts w:ascii="宋体" w:hAnsi="宋体" w:eastAsia="宋体" w:cs="宋体"/>
          <w:highlight w:val="none"/>
          <w:lang w:eastAsia="zh-CN"/>
        </w:rPr>
      </w:pPr>
      <w:r>
        <w:rPr>
          <w:rFonts w:hint="eastAsia" w:ascii="宋体" w:hAnsi="宋体" w:eastAsia="宋体" w:cs="宋体"/>
          <w:b/>
          <w:sz w:val="28"/>
          <w:highlight w:val="none"/>
          <w:lang w:eastAsia="zh-CN"/>
        </w:rPr>
        <w:t>采购单位：</w:t>
      </w:r>
      <w:r>
        <w:rPr>
          <w:rFonts w:hint="eastAsia" w:ascii="宋体" w:hAnsi="宋体" w:eastAsia="宋体" w:cs="宋体"/>
          <w:b/>
          <w:sz w:val="28"/>
          <w:highlight w:val="none"/>
          <w:u w:val="single"/>
          <w:lang w:eastAsia="zh-CN"/>
        </w:rPr>
        <w:t xml:space="preserve"> 南阳市文化广电和旅游局 </w:t>
      </w:r>
    </w:p>
    <w:p w14:paraId="5B751A0A">
      <w:pPr>
        <w:kinsoku/>
        <w:wordWrap w:val="0"/>
        <w:autoSpaceDE/>
        <w:autoSpaceDN/>
        <w:spacing w:line="520" w:lineRule="exact"/>
        <w:ind w:firstLine="562"/>
        <w:textAlignment w:val="auto"/>
        <w:rPr>
          <w:rFonts w:ascii="宋体" w:hAnsi="宋体" w:eastAsia="宋体" w:cs="宋体"/>
          <w:highlight w:val="none"/>
          <w:lang w:eastAsia="zh-CN"/>
        </w:rPr>
      </w:pPr>
      <w:r>
        <w:rPr>
          <w:rFonts w:hint="eastAsia" w:ascii="宋体" w:hAnsi="宋体" w:eastAsia="宋体" w:cs="宋体"/>
          <w:b/>
          <w:sz w:val="28"/>
          <w:highlight w:val="none"/>
          <w:lang w:eastAsia="zh-CN"/>
        </w:rPr>
        <w:t>服务单位：</w:t>
      </w:r>
      <w:r>
        <w:rPr>
          <w:rFonts w:hint="eastAsia" w:ascii="宋体" w:hAnsi="宋体" w:eastAsia="宋体" w:cs="宋体"/>
          <w:b/>
          <w:sz w:val="28"/>
          <w:highlight w:val="none"/>
          <w:u w:val="single"/>
          <w:lang w:eastAsia="zh-CN"/>
        </w:rPr>
        <w:t xml:space="preserve">                                     </w:t>
      </w:r>
    </w:p>
    <w:p w14:paraId="7D7FE420">
      <w:pPr>
        <w:kinsoku/>
        <w:wordWrap w:val="0"/>
        <w:autoSpaceDE/>
        <w:autoSpaceDN/>
        <w:spacing w:line="520" w:lineRule="exact"/>
        <w:ind w:firstLine="562"/>
        <w:textAlignment w:val="auto"/>
        <w:rPr>
          <w:rFonts w:ascii="宋体" w:hAnsi="宋体" w:eastAsia="宋体" w:cs="宋体"/>
          <w:highlight w:val="none"/>
          <w:lang w:eastAsia="zh-CN"/>
        </w:rPr>
      </w:pPr>
      <w:r>
        <w:rPr>
          <w:rFonts w:hint="eastAsia" w:ascii="宋体" w:hAnsi="宋体" w:eastAsia="宋体" w:cs="宋体"/>
          <w:b/>
          <w:sz w:val="28"/>
          <w:highlight w:val="none"/>
          <w:lang w:eastAsia="zh-CN"/>
        </w:rPr>
        <w:t>签订时间：</w:t>
      </w:r>
      <w:r>
        <w:rPr>
          <w:rFonts w:hint="eastAsia" w:ascii="宋体" w:hAnsi="宋体" w:eastAsia="宋体" w:cs="宋体"/>
          <w:b/>
          <w:sz w:val="28"/>
          <w:highlight w:val="none"/>
          <w:u w:val="single"/>
          <w:lang w:eastAsia="zh-CN"/>
        </w:rPr>
        <w:t xml:space="preserve">                                      </w:t>
      </w:r>
    </w:p>
    <w:p w14:paraId="0DA18523">
      <w:pPr>
        <w:kinsoku/>
        <w:wordWrap w:val="0"/>
        <w:autoSpaceDE/>
        <w:autoSpaceDN/>
        <w:spacing w:line="520" w:lineRule="exact"/>
        <w:ind w:firstLine="420"/>
        <w:textAlignment w:val="auto"/>
        <w:rPr>
          <w:rFonts w:ascii="宋体" w:hAnsi="宋体" w:eastAsia="宋体" w:cs="宋体"/>
          <w:highlight w:val="none"/>
          <w:lang w:eastAsia="zh-CN"/>
        </w:rPr>
      </w:pPr>
    </w:p>
    <w:p w14:paraId="68660489">
      <w:pPr>
        <w:kinsoku/>
        <w:wordWrap w:val="0"/>
        <w:autoSpaceDE/>
        <w:autoSpaceDN/>
        <w:spacing w:line="520" w:lineRule="exact"/>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br w:type="page"/>
      </w:r>
    </w:p>
    <w:p w14:paraId="3C9FAE87">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highlight w:val="none"/>
          <w:u w:val="single"/>
          <w:lang w:eastAsia="zh-CN"/>
        </w:rPr>
      </w:pPr>
      <w:r>
        <w:rPr>
          <w:rFonts w:hint="eastAsia" w:ascii="宋体" w:hAnsi="宋体" w:eastAsia="宋体" w:cs="宋体"/>
          <w:sz w:val="24"/>
          <w:highlight w:val="none"/>
          <w:lang w:eastAsia="zh-CN"/>
        </w:rPr>
        <w:t>甲方：（采购方）</w:t>
      </w:r>
      <w:r>
        <w:rPr>
          <w:rFonts w:hint="eastAsia" w:ascii="宋体" w:hAnsi="宋体" w:eastAsia="宋体" w:cs="宋体"/>
          <w:sz w:val="24"/>
          <w:highlight w:val="none"/>
          <w:u w:val="single"/>
          <w:lang w:eastAsia="zh-CN"/>
        </w:rPr>
        <w:t xml:space="preserve">  南阳市文化广电和旅游局  </w:t>
      </w:r>
    </w:p>
    <w:p w14:paraId="0A5A3398">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highlight w:val="none"/>
          <w:u w:val="single"/>
          <w:lang w:eastAsia="zh-CN"/>
        </w:rPr>
      </w:pPr>
      <w:r>
        <w:rPr>
          <w:rFonts w:hint="eastAsia" w:ascii="宋体" w:hAnsi="宋体" w:eastAsia="宋体" w:cs="宋体"/>
          <w:sz w:val="24"/>
          <w:highlight w:val="none"/>
          <w:lang w:eastAsia="zh-CN"/>
        </w:rPr>
        <w:t>乙方：（供应商）</w:t>
      </w:r>
      <w:r>
        <w:rPr>
          <w:rFonts w:hint="eastAsia" w:ascii="宋体" w:hAnsi="宋体" w:eastAsia="宋体" w:cs="宋体"/>
          <w:sz w:val="24"/>
          <w:highlight w:val="none"/>
          <w:u w:val="single"/>
          <w:lang w:eastAsia="zh-CN"/>
        </w:rPr>
        <w:t xml:space="preserve">                 </w:t>
      </w:r>
    </w:p>
    <w:p w14:paraId="30BFCDE4">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甲、乙双方根据</w:t>
      </w:r>
      <w:r>
        <w:rPr>
          <w:rFonts w:hint="eastAsia" w:ascii="宋体" w:hAnsi="宋体" w:eastAsia="宋体" w:cs="宋体"/>
          <w:sz w:val="24"/>
          <w:highlight w:val="none"/>
          <w:u w:val="single"/>
          <w:lang w:eastAsia="zh-CN"/>
        </w:rPr>
        <w:t xml:space="preserve"> 编制《全国重点文物保护单位瓦房庄冶铁遗址保护规划》项目  </w:t>
      </w:r>
      <w:r>
        <w:rPr>
          <w:rFonts w:hint="eastAsia" w:ascii="宋体" w:hAnsi="宋体" w:eastAsia="宋体" w:cs="宋体"/>
          <w:sz w:val="24"/>
          <w:highlight w:val="none"/>
          <w:lang w:eastAsia="zh-CN"/>
        </w:rPr>
        <w:t>采购的结果，经甲乙双方协商一致，签订本合同。</w:t>
      </w:r>
    </w:p>
    <w:p w14:paraId="4809E5FE">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highlight w:val="none"/>
          <w:lang w:eastAsia="zh-CN"/>
        </w:rPr>
      </w:pPr>
      <w:r>
        <w:rPr>
          <w:rFonts w:hint="eastAsia" w:ascii="宋体" w:hAnsi="宋体" w:eastAsia="宋体" w:cs="宋体"/>
          <w:b/>
          <w:sz w:val="24"/>
          <w:highlight w:val="none"/>
          <w:lang w:eastAsia="zh-CN"/>
        </w:rPr>
        <w:t>一、本合同依据下列文件签订：</w:t>
      </w:r>
    </w:p>
    <w:p w14:paraId="41541F77">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1.1《中华人民共和国民法典》;</w:t>
      </w:r>
    </w:p>
    <w:p w14:paraId="7FF6F483">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1.2《中华人民共和国文物保护法》；</w:t>
      </w:r>
    </w:p>
    <w:p w14:paraId="60DE3023">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1.3《全国重点文物保护单位保护规划编制要求》、《全国重点文物保护单位保护规划编制审批管理办法》；</w:t>
      </w:r>
    </w:p>
    <w:p w14:paraId="10544C83">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1.4国家及地方有关报告设计管理的其它法律、法规和规章；</w:t>
      </w:r>
    </w:p>
    <w:p w14:paraId="5A4E0294">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1.5相关项目批准文件等。</w:t>
      </w:r>
    </w:p>
    <w:p w14:paraId="265C8865">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highlight w:val="none"/>
          <w:lang w:eastAsia="zh-CN"/>
        </w:rPr>
      </w:pPr>
      <w:r>
        <w:rPr>
          <w:rFonts w:hint="eastAsia" w:ascii="宋体" w:hAnsi="宋体" w:eastAsia="宋体" w:cs="宋体"/>
          <w:b/>
          <w:sz w:val="24"/>
          <w:highlight w:val="none"/>
          <w:lang w:eastAsia="zh-CN"/>
        </w:rPr>
        <w:t>二、项目概况及设计服务内容：</w:t>
      </w:r>
    </w:p>
    <w:p w14:paraId="3C7CE47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2.1项目名称：</w:t>
      </w:r>
    </w:p>
    <w:p w14:paraId="24ACC314">
      <w:pPr>
        <w:keepNext w:val="0"/>
        <w:keepLines w:val="0"/>
        <w:pageBreakBefore w:val="0"/>
        <w:widowControl/>
        <w:kinsoku/>
        <w:wordWrap w:val="0"/>
        <w:overflowPunct/>
        <w:topLinePunct w:val="0"/>
        <w:autoSpaceDE/>
        <w:autoSpaceDN/>
        <w:bidi w:val="0"/>
        <w:adjustRightInd w:val="0"/>
        <w:snapToGrid w:val="0"/>
        <w:spacing w:line="480" w:lineRule="exact"/>
        <w:ind w:firstLine="420"/>
        <w:textAlignment w:val="auto"/>
        <w:rPr>
          <w:rFonts w:ascii="宋体" w:hAnsi="宋体" w:eastAsia="宋体" w:cs="宋体"/>
          <w:sz w:val="24"/>
          <w:szCs w:val="32"/>
          <w:highlight w:val="none"/>
          <w:lang w:eastAsia="zh-CN"/>
        </w:rPr>
      </w:pPr>
      <w:r>
        <w:rPr>
          <w:rFonts w:hint="eastAsia" w:ascii="宋体" w:hAnsi="宋体" w:eastAsia="宋体" w:cs="宋体"/>
          <w:highlight w:val="none"/>
          <w:u w:val="single"/>
          <w:lang w:eastAsia="zh-CN"/>
        </w:rPr>
        <w:t xml:space="preserve"> </w:t>
      </w:r>
      <w:r>
        <w:rPr>
          <w:rFonts w:hint="eastAsia" w:ascii="宋体" w:hAnsi="宋体" w:eastAsia="宋体" w:cs="宋体"/>
          <w:sz w:val="24"/>
          <w:highlight w:val="none"/>
          <w:u w:val="single"/>
          <w:lang w:eastAsia="zh-CN"/>
        </w:rPr>
        <w:t>全国重点文物保护单位瓦房庄冶铁遗址保护规划</w:t>
      </w:r>
    </w:p>
    <w:p w14:paraId="57913D9B">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2.2项目内容及要求：</w:t>
      </w:r>
    </w:p>
    <w:p w14:paraId="72881527">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highlight w:val="none"/>
          <w:lang w:eastAsia="zh-CN"/>
        </w:rPr>
        <w:t>项目以</w:t>
      </w:r>
      <w:r>
        <w:rPr>
          <w:rFonts w:hint="eastAsia" w:ascii="宋体" w:hAnsi="宋体" w:eastAsia="宋体" w:cs="宋体"/>
          <w:sz w:val="24"/>
          <w:highlight w:val="none"/>
          <w:u w:val="single"/>
          <w:lang w:eastAsia="zh-CN"/>
        </w:rPr>
        <w:t xml:space="preserve"> 全国重点文物保护单位瓦房庄冶铁遗址 </w:t>
      </w:r>
      <w:r>
        <w:rPr>
          <w:rFonts w:hint="eastAsia" w:ascii="宋体" w:hAnsi="宋体" w:eastAsia="宋体" w:cs="宋体"/>
          <w:sz w:val="24"/>
          <w:highlight w:val="none"/>
          <w:lang w:eastAsia="zh-CN"/>
        </w:rPr>
        <w:t>为核心，包含周边环境，规划范围约为</w:t>
      </w:r>
      <w:r>
        <w:rPr>
          <w:rFonts w:hint="eastAsia" w:ascii="宋体" w:hAnsi="宋体" w:eastAsia="宋体" w:cs="宋体"/>
          <w:sz w:val="24"/>
          <w:highlight w:val="none"/>
          <w:u w:val="single"/>
          <w:lang w:eastAsia="zh-CN"/>
        </w:rPr>
        <w:t xml:space="preserve"> 132.4公顷 </w:t>
      </w:r>
      <w:r>
        <w:rPr>
          <w:rFonts w:hint="eastAsia" w:ascii="宋体" w:hAnsi="宋体" w:eastAsia="宋体" w:cs="宋体"/>
          <w:sz w:val="24"/>
          <w:highlight w:val="none"/>
          <w:lang w:eastAsia="zh-CN"/>
        </w:rPr>
        <w:t>。</w:t>
      </w:r>
      <w:r>
        <w:rPr>
          <w:rFonts w:hint="eastAsia" w:ascii="宋体" w:hAnsi="宋体" w:eastAsia="宋体" w:cs="宋体"/>
          <w:sz w:val="24"/>
          <w:lang w:eastAsia="zh-CN"/>
        </w:rPr>
        <w:t>规划依据《全国重点文物保护单位保护规划编制要求》编制，规划深度应达到《全重点文物保护单位保护规划编制审批管理办法》及其它相关技术规范所规定的内容与深度。</w:t>
      </w:r>
    </w:p>
    <w:p w14:paraId="37385D4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2.3规划成果:</w:t>
      </w:r>
    </w:p>
    <w:p w14:paraId="3279F461">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规划成果包含规划文本、规划图纸、规划说明和基础资料汇编。</w:t>
      </w:r>
    </w:p>
    <w:p w14:paraId="366BF4D7">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三、甲方应提供的有关资料及文件：</w:t>
      </w:r>
    </w:p>
    <w:tbl>
      <w:tblPr>
        <w:tblStyle w:val="12"/>
        <w:tblW w:w="4998" w:type="pct"/>
        <w:tblInd w:w="0" w:type="dxa"/>
        <w:tblLayout w:type="fixed"/>
        <w:tblCellMar>
          <w:top w:w="0" w:type="dxa"/>
          <w:left w:w="0" w:type="dxa"/>
          <w:bottom w:w="0" w:type="dxa"/>
          <w:right w:w="0" w:type="dxa"/>
        </w:tblCellMar>
      </w:tblPr>
      <w:tblGrid>
        <w:gridCol w:w="1102"/>
        <w:gridCol w:w="5543"/>
        <w:gridCol w:w="1101"/>
        <w:gridCol w:w="774"/>
      </w:tblGrid>
      <w:tr w14:paraId="258C4E1A">
        <w:tblPrEx>
          <w:tblCellMar>
            <w:top w:w="0" w:type="dxa"/>
            <w:left w:w="0" w:type="dxa"/>
            <w:bottom w:w="0" w:type="dxa"/>
            <w:right w:w="0" w:type="dxa"/>
          </w:tblCellMar>
        </w:tblPrEx>
        <w:trPr>
          <w:trHeight w:val="273" w:hRule="atLeast"/>
          <w:tblHeader/>
        </w:trPr>
        <w:tc>
          <w:tcPr>
            <w:tcW w:w="646" w:type="pct"/>
            <w:tcBorders>
              <w:top w:val="single" w:color="auto" w:sz="8" w:space="0"/>
              <w:left w:val="single" w:color="auto" w:sz="8" w:space="0"/>
              <w:bottom w:val="single" w:color="auto" w:sz="8" w:space="0"/>
              <w:right w:val="single" w:color="auto" w:sz="8" w:space="0"/>
            </w:tcBorders>
            <w:shd w:val="clear" w:color="auto" w:fill="DDD9C4" w:themeFill="background2" w:themeFillShade="E6"/>
            <w:tcMar>
              <w:top w:w="0" w:type="dxa"/>
              <w:left w:w="108" w:type="dxa"/>
              <w:bottom w:w="0" w:type="dxa"/>
              <w:right w:w="108" w:type="dxa"/>
            </w:tcMar>
            <w:vAlign w:val="center"/>
          </w:tcPr>
          <w:p w14:paraId="17A1934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rPr>
            </w:pPr>
            <w:r>
              <w:rPr>
                <w:rFonts w:hint="eastAsia" w:ascii="宋体" w:hAnsi="宋体" w:eastAsia="宋体" w:cs="宋体"/>
                <w:b/>
              </w:rPr>
              <w:t>类别</w:t>
            </w:r>
          </w:p>
        </w:tc>
        <w:tc>
          <w:tcPr>
            <w:tcW w:w="3252" w:type="pct"/>
            <w:tcBorders>
              <w:top w:val="single" w:color="auto" w:sz="8" w:space="0"/>
              <w:left w:val="single" w:color="auto" w:sz="8" w:space="0"/>
              <w:bottom w:val="single" w:color="auto" w:sz="8" w:space="0"/>
              <w:right w:val="single" w:color="auto" w:sz="8" w:space="0"/>
            </w:tcBorders>
            <w:shd w:val="clear" w:color="auto" w:fill="DDD9C4" w:themeFill="background2" w:themeFillShade="E6"/>
            <w:tcMar>
              <w:top w:w="0" w:type="dxa"/>
              <w:left w:w="108" w:type="dxa"/>
              <w:bottom w:w="0" w:type="dxa"/>
              <w:right w:w="108" w:type="dxa"/>
            </w:tcMar>
            <w:vAlign w:val="center"/>
          </w:tcPr>
          <w:p w14:paraId="5132920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rPr>
            </w:pPr>
            <w:r>
              <w:rPr>
                <w:rFonts w:hint="eastAsia" w:ascii="宋体" w:hAnsi="宋体" w:eastAsia="宋体" w:cs="宋体"/>
                <w:b/>
              </w:rPr>
              <w:t>资料及文件名称</w:t>
            </w:r>
          </w:p>
        </w:tc>
        <w:tc>
          <w:tcPr>
            <w:tcW w:w="646" w:type="pct"/>
            <w:tcBorders>
              <w:top w:val="single" w:color="auto" w:sz="8" w:space="0"/>
              <w:left w:val="single" w:color="auto" w:sz="8" w:space="0"/>
              <w:bottom w:val="single" w:color="auto" w:sz="8" w:space="0"/>
              <w:right w:val="single" w:color="auto" w:sz="8" w:space="0"/>
            </w:tcBorders>
            <w:shd w:val="clear" w:color="auto" w:fill="DDD9C4" w:themeFill="background2" w:themeFillShade="E6"/>
            <w:tcMar>
              <w:top w:w="0" w:type="dxa"/>
              <w:left w:w="108" w:type="dxa"/>
              <w:bottom w:w="0" w:type="dxa"/>
              <w:right w:w="108" w:type="dxa"/>
            </w:tcMar>
          </w:tcPr>
          <w:p w14:paraId="3D7D1E7A">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rPr>
            </w:pPr>
            <w:r>
              <w:rPr>
                <w:rFonts w:hint="eastAsia" w:ascii="宋体" w:hAnsi="宋体" w:eastAsia="宋体" w:cs="宋体"/>
                <w:b/>
              </w:rPr>
              <w:t>格式</w:t>
            </w:r>
          </w:p>
        </w:tc>
        <w:tc>
          <w:tcPr>
            <w:tcW w:w="454" w:type="pct"/>
            <w:tcBorders>
              <w:top w:val="single" w:color="auto" w:sz="8" w:space="0"/>
              <w:left w:val="single" w:color="auto" w:sz="8" w:space="0"/>
              <w:bottom w:val="single" w:color="auto" w:sz="8" w:space="0"/>
              <w:right w:val="single" w:color="auto" w:sz="8" w:space="0"/>
            </w:tcBorders>
            <w:shd w:val="clear" w:color="auto" w:fill="DDD9C4" w:themeFill="background2" w:themeFillShade="E6"/>
            <w:tcMar>
              <w:top w:w="0" w:type="dxa"/>
              <w:left w:w="108" w:type="dxa"/>
              <w:bottom w:w="0" w:type="dxa"/>
              <w:right w:w="108" w:type="dxa"/>
            </w:tcMar>
          </w:tcPr>
          <w:p w14:paraId="79109CA0">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rPr>
            </w:pPr>
            <w:r>
              <w:rPr>
                <w:rFonts w:hint="eastAsia" w:ascii="宋体" w:hAnsi="宋体" w:eastAsia="宋体" w:cs="宋体"/>
                <w:b/>
              </w:rPr>
              <w:t>备注</w:t>
            </w:r>
          </w:p>
        </w:tc>
      </w:tr>
      <w:tr w14:paraId="43AF78AE">
        <w:tblPrEx>
          <w:tblCellMar>
            <w:top w:w="0" w:type="dxa"/>
            <w:left w:w="0" w:type="dxa"/>
            <w:bottom w:w="0" w:type="dxa"/>
            <w:right w:w="0" w:type="dxa"/>
          </w:tblCellMar>
        </w:tblPrEx>
        <w:trPr>
          <w:cantSplit/>
          <w:trHeight w:val="273" w:hRule="atLeast"/>
        </w:trPr>
        <w:tc>
          <w:tcPr>
            <w:tcW w:w="646"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65A2AF">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资料图纸</w:t>
            </w: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250F6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涵盖遗址及周边区域的卫星影像图</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0F48E7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Jpg</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F1234C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0538CBF1">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6F77A696">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64BE9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 xml:space="preserve">涵盖规划范围的地形图1：1000~1：2000， </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92A478E">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dwg</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8E216E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29203CE8">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31592693">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3D625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文物本体测绘图1：100或1：200</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D584C8E">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dwg</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450376B">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4BC6AC44">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5978551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B0CBB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矢量图：遗址区周边国土空间三区三线、用地现状、用地规划矢量数据图纸</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143A31">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Dwg/Shp</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453096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06B70CF2">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1153AB0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45C9D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遗址及周边环境范围内基础设施相关现状图纸（给排水，电力，电信，消防，避雷等）</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0AFC2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Dwg/Shp/Jpg/Tiff</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A806B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427C60CA">
        <w:tblPrEx>
          <w:tblCellMar>
            <w:top w:w="0" w:type="dxa"/>
            <w:left w:w="0" w:type="dxa"/>
            <w:bottom w:w="0" w:type="dxa"/>
            <w:right w:w="0" w:type="dxa"/>
          </w:tblCellMar>
        </w:tblPrEx>
        <w:trPr>
          <w:cantSplit/>
          <w:trHeight w:val="273" w:hRule="atLeast"/>
        </w:trPr>
        <w:tc>
          <w:tcPr>
            <w:tcW w:w="646" w:type="pct"/>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0BF19DD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文物本体基础资料</w:t>
            </w: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B32E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国保申报书电子版及相关批文</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204D376">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0CE785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68EEF174">
        <w:tblPrEx>
          <w:tblCellMar>
            <w:top w:w="0" w:type="dxa"/>
            <w:left w:w="0" w:type="dxa"/>
            <w:bottom w:w="0" w:type="dxa"/>
            <w:right w:w="0" w:type="dxa"/>
          </w:tblCellMar>
        </w:tblPrEx>
        <w:trPr>
          <w:cantSplit/>
          <w:trHeight w:val="273" w:hRule="atLeast"/>
        </w:trPr>
        <w:tc>
          <w:tcPr>
            <w:tcW w:w="646" w:type="pct"/>
            <w:vMerge w:val="continue"/>
            <w:tcBorders>
              <w:left w:val="single" w:color="auto" w:sz="8" w:space="0"/>
              <w:right w:val="single" w:color="auto" w:sz="8" w:space="0"/>
            </w:tcBorders>
            <w:vAlign w:val="center"/>
          </w:tcPr>
          <w:p w14:paraId="4B72FA1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138E7E">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历次考古发掘报告、简报、调查资料及考古工作计划、相关图像资料，照片</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BF55F01">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B7EB89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7651B8D5">
        <w:tblPrEx>
          <w:tblCellMar>
            <w:top w:w="0" w:type="dxa"/>
            <w:left w:w="0" w:type="dxa"/>
            <w:bottom w:w="0" w:type="dxa"/>
            <w:right w:w="0" w:type="dxa"/>
          </w:tblCellMar>
        </w:tblPrEx>
        <w:trPr>
          <w:cantSplit/>
          <w:trHeight w:val="273" w:hRule="atLeast"/>
        </w:trPr>
        <w:tc>
          <w:tcPr>
            <w:tcW w:w="646" w:type="pct"/>
            <w:vMerge w:val="continue"/>
            <w:tcBorders>
              <w:left w:val="single" w:color="auto" w:sz="8" w:space="0"/>
              <w:right w:val="single" w:color="auto" w:sz="8" w:space="0"/>
            </w:tcBorders>
            <w:vAlign w:val="center"/>
          </w:tcPr>
          <w:p w14:paraId="1BA33670">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5365F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现有文物管理机构，文物使用状况，文物管理条例、规章制度</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07F90EE">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36F258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11671433">
        <w:tblPrEx>
          <w:tblCellMar>
            <w:top w:w="0" w:type="dxa"/>
            <w:left w:w="0" w:type="dxa"/>
            <w:bottom w:w="0" w:type="dxa"/>
            <w:right w:w="0" w:type="dxa"/>
          </w:tblCellMar>
        </w:tblPrEx>
        <w:trPr>
          <w:cantSplit/>
          <w:trHeight w:val="273" w:hRule="atLeast"/>
        </w:trPr>
        <w:tc>
          <w:tcPr>
            <w:tcW w:w="646" w:type="pct"/>
            <w:vMerge w:val="continue"/>
            <w:tcBorders>
              <w:left w:val="single" w:color="auto" w:sz="8" w:space="0"/>
              <w:right w:val="single" w:color="auto" w:sz="8" w:space="0"/>
            </w:tcBorders>
            <w:vAlign w:val="center"/>
          </w:tcPr>
          <w:p w14:paraId="74347F0A">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52052">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地方政府政策及资金支持情况</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D3F340">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DF3E0A1">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53244156">
        <w:tblPrEx>
          <w:tblCellMar>
            <w:top w:w="0" w:type="dxa"/>
            <w:left w:w="0" w:type="dxa"/>
            <w:bottom w:w="0" w:type="dxa"/>
            <w:right w:w="0" w:type="dxa"/>
          </w:tblCellMar>
        </w:tblPrEx>
        <w:trPr>
          <w:cantSplit/>
          <w:trHeight w:val="273" w:hRule="atLeast"/>
        </w:trPr>
        <w:tc>
          <w:tcPr>
            <w:tcW w:w="646" w:type="pct"/>
            <w:vMerge w:val="continue"/>
            <w:tcBorders>
              <w:left w:val="single" w:color="auto" w:sz="8" w:space="0"/>
              <w:right w:val="single" w:color="auto" w:sz="8" w:space="0"/>
            </w:tcBorders>
            <w:vAlign w:val="center"/>
          </w:tcPr>
          <w:p w14:paraId="6F018B6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48A16">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历次修缮、维护记录及档案</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1B752B1">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EC89675">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331A0580">
        <w:tblPrEx>
          <w:tblCellMar>
            <w:top w:w="0" w:type="dxa"/>
            <w:left w:w="0" w:type="dxa"/>
            <w:bottom w:w="0" w:type="dxa"/>
            <w:right w:w="0" w:type="dxa"/>
          </w:tblCellMar>
        </w:tblPrEx>
        <w:trPr>
          <w:cantSplit/>
          <w:trHeight w:val="273" w:hRule="atLeast"/>
        </w:trPr>
        <w:tc>
          <w:tcPr>
            <w:tcW w:w="646" w:type="pct"/>
            <w:vMerge w:val="continue"/>
            <w:tcBorders>
              <w:left w:val="single" w:color="auto" w:sz="8" w:space="0"/>
              <w:bottom w:val="single" w:color="auto" w:sz="8" w:space="0"/>
              <w:right w:val="single" w:color="auto" w:sz="8" w:space="0"/>
            </w:tcBorders>
            <w:vAlign w:val="center"/>
          </w:tcPr>
          <w:p w14:paraId="548C01C3">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64EA44">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已编制/拟实施的文物保护工程方案、环境整治工程方案、展示利用方案等成果</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2C17FE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FA6BA52">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19F4A450">
        <w:tblPrEx>
          <w:tblCellMar>
            <w:top w:w="0" w:type="dxa"/>
            <w:left w:w="0" w:type="dxa"/>
            <w:bottom w:w="0" w:type="dxa"/>
            <w:right w:w="0" w:type="dxa"/>
          </w:tblCellMar>
        </w:tblPrEx>
        <w:trPr>
          <w:cantSplit/>
          <w:trHeight w:val="273" w:hRule="atLeast"/>
        </w:trPr>
        <w:tc>
          <w:tcPr>
            <w:tcW w:w="646"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18BA40">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周边环境</w:t>
            </w: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76623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当地社会、文化、经济、交通、人口、地理、地震、环境、气候、水文、地质的基础资料，尤其是规划范围内的村庄、企业、人口数量、分布、性质、农业发展构想</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72B5FA">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93B29CB">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776084F4">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46CACF01">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13228E">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历年自然灾害对文物的影响统计（含记录文字及现场照片）</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7D2F6A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99D165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7D623618">
        <w:tblPrEx>
          <w:tblCellMar>
            <w:top w:w="0" w:type="dxa"/>
            <w:left w:w="0" w:type="dxa"/>
            <w:bottom w:w="0" w:type="dxa"/>
            <w:right w:w="0" w:type="dxa"/>
          </w:tblCellMar>
        </w:tblPrEx>
        <w:trPr>
          <w:cantSplit/>
          <w:trHeight w:val="273" w:hRule="atLeast"/>
        </w:trPr>
        <w:tc>
          <w:tcPr>
            <w:tcW w:w="646"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87C7D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相关规划及资料</w:t>
            </w: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453632">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《南阳市新城区发展总体规划（2018-2035）》</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84AF1C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E59799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059E0576">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825085">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92EB0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《南阳市国土空间总体规划》</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47397E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Pdf/word/Dwg/Shp</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B3C16E6">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563E1760">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0B84D712">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574F03">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《南阳市宛城区城市更新控制性详细规划》</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1F715E5">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AE1060">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4479255C">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399AA93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CA9A5">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《南阳县文庙等16处文物保护单位保护规划》</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2B59662">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4EADEE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47F78293">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71F4A8BF">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6949C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《南阳市新型城镇化规划（2021—2035年）》</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3BC26B">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121E6FA">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67393847">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1185668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ACAE2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《南阳市国民经济和社会发展第十四个五年规划和二○三五年远景目标纲要》</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144B8A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160E2AB">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42FF2FFF">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0886EACB">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5C254">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《南阳市“十四五”规划纲要》</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CED419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35AB4F8">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2A51E156">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7953D09E">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1EC44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《南阳市“十四五”生态环境保护规划》</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9D6619F">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3CBB689">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sz w:val="24"/>
              </w:rPr>
            </w:pPr>
            <w:r>
              <w:rPr>
                <w:rFonts w:hint="eastAsia" w:ascii="宋体" w:hAnsi="宋体" w:eastAsia="宋体" w:cs="宋体"/>
                <w:sz w:val="24"/>
              </w:rPr>
              <w:t>□</w:t>
            </w:r>
          </w:p>
        </w:tc>
      </w:tr>
      <w:tr w14:paraId="6715B174">
        <w:tblPrEx>
          <w:tblCellMar>
            <w:top w:w="0" w:type="dxa"/>
            <w:left w:w="0" w:type="dxa"/>
            <w:bottom w:w="0" w:type="dxa"/>
            <w:right w:w="0" w:type="dxa"/>
          </w:tblCellMar>
        </w:tblPrEx>
        <w:trPr>
          <w:cantSplit/>
          <w:trHeight w:val="273" w:hRule="atLeast"/>
        </w:trPr>
        <w:tc>
          <w:tcPr>
            <w:tcW w:w="646"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1D3D9C">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研究文献</w:t>
            </w: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EEFDAF">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rPr>
              <w:t>地方志</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7F7E00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BAD402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r w14:paraId="51989E5D">
        <w:tblPrEx>
          <w:tblCellMar>
            <w:top w:w="0" w:type="dxa"/>
            <w:left w:w="0" w:type="dxa"/>
            <w:bottom w:w="0" w:type="dxa"/>
            <w:right w:w="0" w:type="dxa"/>
          </w:tblCellMar>
        </w:tblPrEx>
        <w:trPr>
          <w:cantSplit/>
          <w:trHeight w:val="273" w:hRule="atLeast"/>
        </w:trPr>
        <w:tc>
          <w:tcPr>
            <w:tcW w:w="646" w:type="pct"/>
            <w:vMerge w:val="continue"/>
            <w:tcBorders>
              <w:top w:val="single" w:color="auto" w:sz="8" w:space="0"/>
              <w:left w:val="single" w:color="auto" w:sz="8" w:space="0"/>
              <w:bottom w:val="single" w:color="auto" w:sz="8" w:space="0"/>
              <w:right w:val="single" w:color="auto" w:sz="8" w:space="0"/>
            </w:tcBorders>
            <w:vAlign w:val="center"/>
          </w:tcPr>
          <w:p w14:paraId="5B09640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p>
        </w:tc>
        <w:tc>
          <w:tcPr>
            <w:tcW w:w="32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33BDDC">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lang w:eastAsia="zh-CN"/>
              </w:rPr>
              <w:t>相关研究文献（会议论文集等）</w:t>
            </w:r>
          </w:p>
        </w:tc>
        <w:tc>
          <w:tcPr>
            <w:tcW w:w="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4BB53E2">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rPr>
              <w:t>Pdf/word</w:t>
            </w:r>
          </w:p>
        </w:tc>
        <w:tc>
          <w:tcPr>
            <w:tcW w:w="45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18E296C">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w:t>
            </w:r>
          </w:p>
        </w:tc>
      </w:tr>
    </w:tbl>
    <w:p w14:paraId="2F47DB7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注：▲ ——甲方必须按时提供的基础资料。</w:t>
      </w:r>
    </w:p>
    <w:p w14:paraId="36F5BF29">
      <w:pPr>
        <w:keepNext w:val="0"/>
        <w:keepLines w:val="0"/>
        <w:pageBreakBefore w:val="0"/>
        <w:widowControl/>
        <w:kinsoku/>
        <w:wordWrap w:val="0"/>
        <w:overflowPunct/>
        <w:topLinePunct w:val="0"/>
        <w:autoSpaceDE/>
        <w:autoSpaceDN/>
        <w:bidi w:val="0"/>
        <w:adjustRightInd w:val="0"/>
        <w:snapToGrid w:val="0"/>
        <w:spacing w:line="480" w:lineRule="exact"/>
        <w:ind w:firstLine="960" w:firstLineChars="400"/>
        <w:textAlignment w:val="auto"/>
        <w:rPr>
          <w:rFonts w:ascii="宋体" w:hAnsi="宋体" w:eastAsia="宋体" w:cs="宋体"/>
          <w:lang w:eastAsia="zh-CN"/>
        </w:rPr>
      </w:pPr>
      <w:r>
        <w:rPr>
          <w:rFonts w:hint="eastAsia" w:ascii="宋体" w:hAnsi="宋体" w:eastAsia="宋体" w:cs="宋体"/>
          <w:sz w:val="24"/>
          <w:lang w:eastAsia="zh-CN"/>
        </w:rPr>
        <w:t>□  ——乙方协助甲方收集的基础资料。</w:t>
      </w:r>
    </w:p>
    <w:p w14:paraId="573B2D8E">
      <w:pPr>
        <w:keepNext w:val="0"/>
        <w:keepLines w:val="0"/>
        <w:pageBreakBefore w:val="0"/>
        <w:widowControl/>
        <w:kinsoku/>
        <w:wordWrap w:val="0"/>
        <w:overflowPunct/>
        <w:topLinePunct w:val="0"/>
        <w:autoSpaceDE/>
        <w:autoSpaceDN/>
        <w:bidi w:val="0"/>
        <w:adjustRightInd w:val="0"/>
        <w:snapToGrid w:val="0"/>
        <w:spacing w:line="480" w:lineRule="exact"/>
        <w:ind w:firstLine="960" w:firstLineChars="400"/>
        <w:textAlignment w:val="auto"/>
        <w:rPr>
          <w:rFonts w:ascii="宋体" w:hAnsi="宋体" w:eastAsia="宋体" w:cs="宋体"/>
          <w:sz w:val="24"/>
          <w:lang w:eastAsia="zh-CN"/>
        </w:rPr>
      </w:pPr>
      <w:r>
        <w:rPr>
          <w:rFonts w:hint="eastAsia" w:ascii="宋体" w:hAnsi="宋体" w:eastAsia="宋体" w:cs="宋体"/>
          <w:sz w:val="24"/>
          <w:lang w:eastAsia="zh-CN"/>
        </w:rPr>
        <w:t>－ ——标记的内容如确定存在，甲方应尽力提供的资料。</w:t>
      </w:r>
    </w:p>
    <w:p w14:paraId="60661175">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四、成果文件及验收方式：</w:t>
      </w:r>
    </w:p>
    <w:p w14:paraId="76B5E4C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rPr>
      </w:pPr>
      <w:r>
        <w:rPr>
          <w:rFonts w:hint="eastAsia" w:ascii="宋体" w:hAnsi="宋体" w:eastAsia="宋体" w:cs="宋体"/>
          <w:sz w:val="24"/>
        </w:rPr>
        <w:t>4.1成果文件</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1527"/>
        <w:gridCol w:w="3622"/>
        <w:gridCol w:w="848"/>
        <w:gridCol w:w="1638"/>
      </w:tblGrid>
      <w:tr w14:paraId="53A25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Pr>
          <w:p w14:paraId="115A9246">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序号</w:t>
            </w:r>
          </w:p>
        </w:tc>
        <w:tc>
          <w:tcPr>
            <w:tcW w:w="1527" w:type="dxa"/>
            <w:tcBorders>
              <w:top w:val="single" w:color="000000" w:sz="4" w:space="0"/>
              <w:left w:val="nil"/>
              <w:bottom w:val="single" w:color="000000" w:sz="4" w:space="0"/>
              <w:right w:val="single" w:color="000000" w:sz="4" w:space="0"/>
            </w:tcBorders>
          </w:tcPr>
          <w:p w14:paraId="3080D60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设计阶段</w:t>
            </w:r>
          </w:p>
        </w:tc>
        <w:tc>
          <w:tcPr>
            <w:tcW w:w="3622" w:type="dxa"/>
            <w:tcBorders>
              <w:top w:val="single" w:color="000000" w:sz="4" w:space="0"/>
              <w:left w:val="nil"/>
              <w:bottom w:val="single" w:color="000000" w:sz="4" w:space="0"/>
              <w:right w:val="single" w:color="000000" w:sz="4" w:space="0"/>
            </w:tcBorders>
          </w:tcPr>
          <w:p w14:paraId="37614D95">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设计成果</w:t>
            </w:r>
          </w:p>
        </w:tc>
        <w:tc>
          <w:tcPr>
            <w:tcW w:w="848" w:type="dxa"/>
            <w:tcBorders>
              <w:top w:val="single" w:color="000000" w:sz="4" w:space="0"/>
              <w:left w:val="nil"/>
              <w:bottom w:val="single" w:color="000000" w:sz="4" w:space="0"/>
              <w:right w:val="single" w:color="000000" w:sz="4" w:space="0"/>
            </w:tcBorders>
          </w:tcPr>
          <w:p w14:paraId="32DF584C">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份数</w:t>
            </w:r>
          </w:p>
        </w:tc>
        <w:tc>
          <w:tcPr>
            <w:tcW w:w="1638" w:type="dxa"/>
            <w:tcBorders>
              <w:top w:val="single" w:color="000000" w:sz="4" w:space="0"/>
              <w:left w:val="nil"/>
              <w:bottom w:val="single" w:color="000000" w:sz="4" w:space="0"/>
              <w:right w:val="single" w:color="000000" w:sz="4" w:space="0"/>
            </w:tcBorders>
          </w:tcPr>
          <w:p w14:paraId="1E3858F4">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rPr>
            </w:pPr>
            <w:r>
              <w:rPr>
                <w:rFonts w:hint="eastAsia" w:ascii="宋体" w:hAnsi="宋体" w:eastAsia="宋体" w:cs="宋体"/>
                <w:sz w:val="24"/>
              </w:rPr>
              <w:t>备注</w:t>
            </w:r>
          </w:p>
        </w:tc>
      </w:tr>
      <w:tr w14:paraId="5DACF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Pr>
          <w:p w14:paraId="6B341B2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1</w:t>
            </w:r>
          </w:p>
        </w:tc>
        <w:tc>
          <w:tcPr>
            <w:tcW w:w="1527" w:type="dxa"/>
            <w:tcBorders>
              <w:top w:val="nil"/>
              <w:left w:val="nil"/>
              <w:bottom w:val="single" w:color="000000" w:sz="4" w:space="0"/>
              <w:right w:val="single" w:color="000000" w:sz="4" w:space="0"/>
            </w:tcBorders>
          </w:tcPr>
          <w:p w14:paraId="7650D57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初稿成果</w:t>
            </w:r>
          </w:p>
        </w:tc>
        <w:tc>
          <w:tcPr>
            <w:tcW w:w="3622" w:type="dxa"/>
            <w:tcBorders>
              <w:top w:val="nil"/>
              <w:left w:val="nil"/>
              <w:bottom w:val="single" w:color="000000" w:sz="4" w:space="0"/>
              <w:right w:val="single" w:color="000000" w:sz="4" w:space="0"/>
            </w:tcBorders>
          </w:tcPr>
          <w:p w14:paraId="7D2E57F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《全国重点文物保护单位瓦房庄冶铁遗址保护规划》（初稿/征求意见稿）</w:t>
            </w:r>
          </w:p>
        </w:tc>
        <w:tc>
          <w:tcPr>
            <w:tcW w:w="848" w:type="dxa"/>
            <w:tcBorders>
              <w:top w:val="nil"/>
              <w:left w:val="nil"/>
              <w:bottom w:val="single" w:color="000000" w:sz="4" w:space="0"/>
              <w:right w:val="single" w:color="000000" w:sz="4" w:space="0"/>
            </w:tcBorders>
          </w:tcPr>
          <w:p w14:paraId="56038BF6">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2份</w:t>
            </w:r>
          </w:p>
        </w:tc>
        <w:tc>
          <w:tcPr>
            <w:tcW w:w="1638" w:type="dxa"/>
            <w:tcBorders>
              <w:top w:val="nil"/>
              <w:left w:val="nil"/>
              <w:bottom w:val="single" w:color="000000" w:sz="4" w:space="0"/>
              <w:right w:val="single" w:color="000000" w:sz="4" w:space="0"/>
            </w:tcBorders>
          </w:tcPr>
          <w:p w14:paraId="5ED956DC">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A3或A4规格纸质文件，电子文件</w:t>
            </w:r>
          </w:p>
        </w:tc>
      </w:tr>
      <w:tr w14:paraId="7649A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Pr>
          <w:p w14:paraId="3CAE042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2</w:t>
            </w:r>
          </w:p>
        </w:tc>
        <w:tc>
          <w:tcPr>
            <w:tcW w:w="1527" w:type="dxa"/>
            <w:tcBorders>
              <w:top w:val="nil"/>
              <w:left w:val="nil"/>
              <w:bottom w:val="single" w:color="000000" w:sz="4" w:space="0"/>
              <w:right w:val="single" w:color="000000" w:sz="4" w:space="0"/>
            </w:tcBorders>
          </w:tcPr>
          <w:p w14:paraId="6016E09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阶段报审成果</w:t>
            </w:r>
          </w:p>
        </w:tc>
        <w:tc>
          <w:tcPr>
            <w:tcW w:w="3622" w:type="dxa"/>
            <w:tcBorders>
              <w:top w:val="nil"/>
              <w:left w:val="nil"/>
              <w:bottom w:val="single" w:color="000000" w:sz="4" w:space="0"/>
              <w:right w:val="single" w:color="000000" w:sz="4" w:space="0"/>
            </w:tcBorders>
          </w:tcPr>
          <w:p w14:paraId="3B3E77F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《全国重点文物保护单位瓦房庄冶铁遗址保护规划》（报审稿）</w:t>
            </w:r>
          </w:p>
        </w:tc>
        <w:tc>
          <w:tcPr>
            <w:tcW w:w="848" w:type="dxa"/>
            <w:tcBorders>
              <w:top w:val="nil"/>
              <w:left w:val="nil"/>
              <w:bottom w:val="single" w:color="000000" w:sz="4" w:space="0"/>
              <w:right w:val="single" w:color="000000" w:sz="4" w:space="0"/>
            </w:tcBorders>
          </w:tcPr>
          <w:p w14:paraId="4211824F">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4份</w:t>
            </w:r>
          </w:p>
        </w:tc>
        <w:tc>
          <w:tcPr>
            <w:tcW w:w="1638" w:type="dxa"/>
            <w:tcBorders>
              <w:top w:val="nil"/>
              <w:left w:val="nil"/>
              <w:bottom w:val="single" w:color="000000" w:sz="4" w:space="0"/>
              <w:right w:val="single" w:color="000000" w:sz="4" w:space="0"/>
            </w:tcBorders>
          </w:tcPr>
          <w:p w14:paraId="0A802CDE">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A3或A4规格纸质文件，电子文件</w:t>
            </w:r>
          </w:p>
        </w:tc>
      </w:tr>
      <w:tr w14:paraId="2944E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Pr>
          <w:p w14:paraId="5F537B7A">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3</w:t>
            </w:r>
          </w:p>
        </w:tc>
        <w:tc>
          <w:tcPr>
            <w:tcW w:w="1527" w:type="dxa"/>
            <w:tcBorders>
              <w:top w:val="nil"/>
              <w:left w:val="nil"/>
              <w:bottom w:val="single" w:color="000000" w:sz="4" w:space="0"/>
              <w:right w:val="single" w:color="000000" w:sz="4" w:space="0"/>
            </w:tcBorders>
          </w:tcPr>
          <w:p w14:paraId="13282F4E">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最终成果</w:t>
            </w:r>
          </w:p>
        </w:tc>
        <w:tc>
          <w:tcPr>
            <w:tcW w:w="3622" w:type="dxa"/>
            <w:tcBorders>
              <w:top w:val="nil"/>
              <w:left w:val="nil"/>
              <w:bottom w:val="single" w:color="000000" w:sz="4" w:space="0"/>
              <w:right w:val="single" w:color="000000" w:sz="4" w:space="0"/>
            </w:tcBorders>
          </w:tcPr>
          <w:p w14:paraId="207126CD">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《全国重点文物保护单位瓦房庄冶铁遗址保护规划》（终稿）</w:t>
            </w:r>
          </w:p>
        </w:tc>
        <w:tc>
          <w:tcPr>
            <w:tcW w:w="848" w:type="dxa"/>
            <w:tcBorders>
              <w:top w:val="nil"/>
              <w:left w:val="nil"/>
              <w:bottom w:val="single" w:color="000000" w:sz="4" w:space="0"/>
              <w:right w:val="single" w:color="000000" w:sz="4" w:space="0"/>
            </w:tcBorders>
          </w:tcPr>
          <w:p w14:paraId="21135F16">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6份</w:t>
            </w:r>
          </w:p>
        </w:tc>
        <w:tc>
          <w:tcPr>
            <w:tcW w:w="1638" w:type="dxa"/>
            <w:tcBorders>
              <w:top w:val="nil"/>
              <w:left w:val="nil"/>
              <w:bottom w:val="single" w:color="000000" w:sz="4" w:space="0"/>
              <w:right w:val="single" w:color="000000" w:sz="4" w:space="0"/>
            </w:tcBorders>
          </w:tcPr>
          <w:p w14:paraId="680BDE12">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A3规格纸质文件，电子文件</w:t>
            </w:r>
          </w:p>
        </w:tc>
      </w:tr>
    </w:tbl>
    <w:p w14:paraId="65D6817B">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说明：提交各阶段性设计成果文件时，甲方需及时进行书面签收确认；上报市、省主管部门各阶段审核，乙方应予以配合并提供报审稿（包括纸质稿和电子稿，纸质报审稿份数按审核部门要求提供份数，每次不超4份），相关费用由乙方负责；通过</w:t>
      </w:r>
      <w:r>
        <w:rPr>
          <w:rFonts w:hint="eastAsia" w:ascii="宋体" w:hAnsi="宋体" w:eastAsia="宋体" w:cs="宋体"/>
          <w:sz w:val="24"/>
          <w:lang w:val="en-US" w:eastAsia="zh-CN"/>
        </w:rPr>
        <w:t>河南省文物局</w:t>
      </w:r>
      <w:r>
        <w:rPr>
          <w:rFonts w:hint="eastAsia" w:ascii="宋体" w:hAnsi="宋体" w:eastAsia="宋体" w:cs="宋体"/>
          <w:sz w:val="24"/>
          <w:lang w:eastAsia="zh-CN"/>
        </w:rPr>
        <w:t>审核后形成最终成果。</w:t>
      </w:r>
    </w:p>
    <w:p w14:paraId="17D233A9">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4.2成果文件的验收方式</w:t>
      </w:r>
    </w:p>
    <w:p w14:paraId="4616886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甲乙双方约定，本项目最终验收方式为通河南省文物局评审，甲方在乙方提交各个阶段设计成果后应积极组织相应评审会进行验收，如乙方提交阶段设计成果文件后</w:t>
      </w:r>
      <w:r>
        <w:rPr>
          <w:rFonts w:hint="eastAsia" w:ascii="宋体" w:hAnsi="宋体" w:eastAsia="宋体" w:cs="宋体"/>
          <w:sz w:val="24"/>
          <w:u w:val="single"/>
          <w:lang w:eastAsia="zh-CN"/>
        </w:rPr>
        <w:t xml:space="preserve"> 30 </w:t>
      </w:r>
      <w:r>
        <w:rPr>
          <w:rFonts w:hint="eastAsia" w:ascii="宋体" w:hAnsi="宋体" w:eastAsia="宋体" w:cs="宋体"/>
          <w:sz w:val="24"/>
          <w:lang w:eastAsia="zh-CN"/>
        </w:rPr>
        <w:t>个工作日甲方未组织相应评审会进行验收（已提交上一级主管部门审核，视为已开展组织，上级主管部门安排不受上述工作日所限），则视为本阶段工作已验收，甲方应支付该阶段的设计费，否则乙方有权暂停项目工作。</w:t>
      </w:r>
    </w:p>
    <w:p w14:paraId="33DA6C75">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五、工作进度安排：</w:t>
      </w:r>
    </w:p>
    <w:p w14:paraId="6BAAFC10">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lang w:eastAsia="zh-CN"/>
        </w:rPr>
      </w:pPr>
      <w:r>
        <w:rPr>
          <w:rFonts w:hint="eastAsia" w:ascii="宋体" w:hAnsi="宋体" w:eastAsia="宋体" w:cs="宋体"/>
          <w:sz w:val="24"/>
          <w:highlight w:val="none"/>
          <w:lang w:eastAsia="zh-CN"/>
        </w:rPr>
        <w:t>项目工期：240日历日</w:t>
      </w:r>
    </w:p>
    <w:tbl>
      <w:tblPr>
        <w:tblStyle w:val="1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20"/>
        <w:gridCol w:w="3260"/>
        <w:gridCol w:w="2145"/>
      </w:tblGrid>
      <w:tr w14:paraId="1EFDA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20" w:type="dxa"/>
            <w:tcBorders>
              <w:top w:val="single" w:color="000000" w:sz="12" w:space="0"/>
              <w:left w:val="single" w:color="000000" w:sz="12" w:space="0"/>
              <w:bottom w:val="single" w:color="000000" w:sz="4" w:space="0"/>
              <w:right w:val="single" w:color="000000" w:sz="4" w:space="0"/>
            </w:tcBorders>
            <w:shd w:val="clear" w:color="auto" w:fill="D9D9D9"/>
          </w:tcPr>
          <w:p w14:paraId="7E0406A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阶段</w:t>
            </w:r>
          </w:p>
        </w:tc>
        <w:tc>
          <w:tcPr>
            <w:tcW w:w="3260" w:type="dxa"/>
            <w:tcBorders>
              <w:top w:val="single" w:color="000000" w:sz="12" w:space="0"/>
              <w:left w:val="single" w:color="000000" w:sz="4" w:space="0"/>
              <w:bottom w:val="single" w:color="000000" w:sz="4" w:space="0"/>
              <w:right w:val="single" w:color="000000" w:sz="4" w:space="0"/>
            </w:tcBorders>
            <w:shd w:val="clear" w:color="auto" w:fill="D9D9D9"/>
          </w:tcPr>
          <w:p w14:paraId="34A6556C">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工作内容</w:t>
            </w:r>
          </w:p>
        </w:tc>
        <w:tc>
          <w:tcPr>
            <w:tcW w:w="2145" w:type="dxa"/>
            <w:tcBorders>
              <w:top w:val="single" w:color="000000" w:sz="12" w:space="0"/>
              <w:left w:val="single" w:color="000000" w:sz="4" w:space="0"/>
              <w:bottom w:val="single" w:color="000000" w:sz="4" w:space="0"/>
              <w:right w:val="single" w:color="000000" w:sz="12" w:space="0"/>
            </w:tcBorders>
            <w:shd w:val="clear" w:color="auto" w:fill="D9D9D9"/>
          </w:tcPr>
          <w:p w14:paraId="5E868345">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工作时间</w:t>
            </w:r>
          </w:p>
        </w:tc>
      </w:tr>
      <w:tr w14:paraId="2F4CF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20" w:type="dxa"/>
            <w:tcBorders>
              <w:top w:val="single" w:color="000000" w:sz="4" w:space="0"/>
              <w:left w:val="single" w:color="000000" w:sz="12" w:space="0"/>
              <w:bottom w:val="single" w:color="000000" w:sz="4" w:space="0"/>
              <w:right w:val="single" w:color="000000" w:sz="4" w:space="0"/>
            </w:tcBorders>
          </w:tcPr>
          <w:p w14:paraId="5B214317">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第1阶段</w:t>
            </w:r>
          </w:p>
        </w:tc>
        <w:tc>
          <w:tcPr>
            <w:tcW w:w="3260" w:type="dxa"/>
            <w:tcBorders>
              <w:top w:val="single" w:color="000000" w:sz="4" w:space="0"/>
              <w:left w:val="single" w:color="000000" w:sz="4" w:space="0"/>
              <w:bottom w:val="single" w:color="000000" w:sz="4" w:space="0"/>
              <w:right w:val="single" w:color="000000" w:sz="4" w:space="0"/>
            </w:tcBorders>
          </w:tcPr>
          <w:p w14:paraId="5D50B1F4">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初稿成果编制</w:t>
            </w:r>
          </w:p>
        </w:tc>
        <w:tc>
          <w:tcPr>
            <w:tcW w:w="2145" w:type="dxa"/>
            <w:tcBorders>
              <w:top w:val="single" w:color="000000" w:sz="4" w:space="0"/>
              <w:left w:val="single" w:color="000000" w:sz="4" w:space="0"/>
              <w:bottom w:val="single" w:color="000000" w:sz="4" w:space="0"/>
              <w:right w:val="single" w:color="000000" w:sz="12" w:space="0"/>
            </w:tcBorders>
          </w:tcPr>
          <w:p w14:paraId="3402CBEF">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120日历日</w:t>
            </w:r>
          </w:p>
        </w:tc>
      </w:tr>
      <w:tr w14:paraId="23DD1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20" w:type="dxa"/>
            <w:tcBorders>
              <w:top w:val="single" w:color="000000" w:sz="4" w:space="0"/>
              <w:left w:val="single" w:color="000000" w:sz="12" w:space="0"/>
              <w:bottom w:val="single" w:color="000000" w:sz="4" w:space="0"/>
              <w:right w:val="single" w:color="000000" w:sz="4" w:space="0"/>
            </w:tcBorders>
          </w:tcPr>
          <w:p w14:paraId="5737FDC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第2阶段</w:t>
            </w:r>
          </w:p>
        </w:tc>
        <w:tc>
          <w:tcPr>
            <w:tcW w:w="3260" w:type="dxa"/>
            <w:tcBorders>
              <w:top w:val="single" w:color="000000" w:sz="4" w:space="0"/>
              <w:left w:val="single" w:color="000000" w:sz="4" w:space="0"/>
              <w:bottom w:val="single" w:color="000000" w:sz="4" w:space="0"/>
              <w:right w:val="single" w:color="000000" w:sz="4" w:space="0"/>
            </w:tcBorders>
          </w:tcPr>
          <w:p w14:paraId="2E4AEA3D">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阶段报审成果编制</w:t>
            </w:r>
          </w:p>
        </w:tc>
        <w:tc>
          <w:tcPr>
            <w:tcW w:w="2145" w:type="dxa"/>
            <w:tcBorders>
              <w:top w:val="single" w:color="000000" w:sz="4" w:space="0"/>
              <w:left w:val="single" w:color="000000" w:sz="4" w:space="0"/>
              <w:bottom w:val="single" w:color="000000" w:sz="4" w:space="0"/>
              <w:right w:val="single" w:color="000000" w:sz="12" w:space="0"/>
            </w:tcBorders>
          </w:tcPr>
          <w:p w14:paraId="59D1C3CB">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90日历日</w:t>
            </w:r>
          </w:p>
        </w:tc>
      </w:tr>
      <w:tr w14:paraId="57D5E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20" w:type="dxa"/>
            <w:tcBorders>
              <w:top w:val="single" w:color="000000" w:sz="4" w:space="0"/>
              <w:left w:val="single" w:color="000000" w:sz="12" w:space="0"/>
              <w:bottom w:val="single" w:color="000000" w:sz="12" w:space="0"/>
              <w:right w:val="single" w:color="000000" w:sz="4" w:space="0"/>
            </w:tcBorders>
          </w:tcPr>
          <w:p w14:paraId="4F00BD08">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第3阶段</w:t>
            </w:r>
          </w:p>
        </w:tc>
        <w:tc>
          <w:tcPr>
            <w:tcW w:w="3260" w:type="dxa"/>
            <w:tcBorders>
              <w:top w:val="single" w:color="000000" w:sz="4" w:space="0"/>
              <w:left w:val="single" w:color="000000" w:sz="4" w:space="0"/>
              <w:bottom w:val="single" w:color="000000" w:sz="12" w:space="0"/>
              <w:right w:val="single" w:color="000000" w:sz="4" w:space="0"/>
            </w:tcBorders>
          </w:tcPr>
          <w:p w14:paraId="0322B9FF">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最终成果编制</w:t>
            </w:r>
          </w:p>
        </w:tc>
        <w:tc>
          <w:tcPr>
            <w:tcW w:w="2145" w:type="dxa"/>
            <w:tcBorders>
              <w:top w:val="single" w:color="000000" w:sz="4" w:space="0"/>
              <w:left w:val="single" w:color="000000" w:sz="4" w:space="0"/>
              <w:bottom w:val="single" w:color="000000" w:sz="12" w:space="0"/>
              <w:right w:val="single" w:color="000000" w:sz="12" w:space="0"/>
            </w:tcBorders>
          </w:tcPr>
          <w:p w14:paraId="5A49F1BC">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30日历日</w:t>
            </w:r>
          </w:p>
        </w:tc>
      </w:tr>
    </w:tbl>
    <w:p w14:paraId="32A8B30B">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highlight w:val="none"/>
        </w:rPr>
      </w:pPr>
      <w:r>
        <w:rPr>
          <w:rFonts w:hint="eastAsia" w:ascii="宋体" w:hAnsi="宋体" w:eastAsia="宋体" w:cs="宋体"/>
          <w:sz w:val="24"/>
          <w:highlight w:val="none"/>
        </w:rPr>
        <w:t>说明：</w:t>
      </w:r>
    </w:p>
    <w:p w14:paraId="1F709FC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highlight w:val="none"/>
          <w:lang w:eastAsia="zh-CN"/>
        </w:rPr>
        <w:t>（1）合同生效后、甲方支付乙方进度款且按时提供设计基础资料后，乙方</w:t>
      </w:r>
      <w:r>
        <w:rPr>
          <w:rFonts w:hint="eastAsia" w:ascii="宋体" w:hAnsi="宋体" w:eastAsia="宋体" w:cs="宋体"/>
          <w:sz w:val="24"/>
          <w:lang w:eastAsia="zh-CN"/>
        </w:rPr>
        <w:t>正式启动工作；乙方收到上一阶段设计费、甲方对上阶段成果的书面确认函后启动下一阶段的工作；</w:t>
      </w:r>
    </w:p>
    <w:p w14:paraId="7F9C884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（2）上述工作时间不包含因其他专项设计单位配合工作可能产生的延误。</w:t>
      </w:r>
    </w:p>
    <w:p w14:paraId="33F4A448">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（3）上述工作时间不包含国家有关标准调整、政府政策调整、政府审查、审批、专家评审及甲方成果确认所需时间。</w:t>
      </w:r>
    </w:p>
    <w:p w14:paraId="491C810F">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六、设计费用及支付方式：</w:t>
      </w:r>
    </w:p>
    <w:p w14:paraId="03B251C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6.1设计费用：</w:t>
      </w:r>
    </w:p>
    <w:p w14:paraId="252030D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该项目设计服务费：人民币</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万元整，计￥</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3CDAE564">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（1）上述设计费用包含乙方承担本项目的人工费用，总计不超过</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人次的差旅费（含交通、住宿、餐饮费，超出该人次的差旅费由甲方承担）、专家的劳务及差旅费用（总计不超过</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人次，超出该人次的专家费用甲方另行支付）、本项目所产生的乙方公司管理费用及税费等合同履行过程中产生的费用；</w:t>
      </w:r>
    </w:p>
    <w:p w14:paraId="3F92176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（2）乙方为本合同项目所采用的国家或地方标准图、考古资料，需由甲方协助提供。</w:t>
      </w:r>
    </w:p>
    <w:p w14:paraId="339C7ED4">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6.2支付方式：</w:t>
      </w:r>
    </w:p>
    <w:p w14:paraId="0851B04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采用分期支付方式，合同款额共分3次支付。</w:t>
      </w:r>
    </w:p>
    <w:tbl>
      <w:tblPr>
        <w:tblStyle w:val="12"/>
        <w:tblW w:w="0" w:type="auto"/>
        <w:tblInd w:w="1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90"/>
        <w:gridCol w:w="1665"/>
        <w:gridCol w:w="1665"/>
        <w:gridCol w:w="3727"/>
      </w:tblGrid>
      <w:tr w14:paraId="76DAEA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290" w:type="dxa"/>
            <w:tcBorders>
              <w:top w:val="single" w:color="000000" w:sz="12" w:space="0"/>
              <w:left w:val="single" w:color="000000" w:sz="12" w:space="0"/>
              <w:bottom w:val="single" w:color="000000" w:sz="4" w:space="0"/>
              <w:right w:val="single" w:color="000000" w:sz="4" w:space="0"/>
            </w:tcBorders>
            <w:shd w:val="clear" w:color="auto" w:fill="D9D9D9"/>
            <w:vAlign w:val="center"/>
          </w:tcPr>
          <w:p w14:paraId="2B6BF41E">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bCs/>
              </w:rPr>
            </w:pPr>
            <w:r>
              <w:rPr>
                <w:rFonts w:hint="eastAsia" w:ascii="宋体" w:hAnsi="宋体" w:eastAsia="宋体" w:cs="宋体"/>
                <w:b/>
                <w:bCs/>
                <w:sz w:val="24"/>
              </w:rPr>
              <w:t>付费次序</w:t>
            </w:r>
          </w:p>
        </w:tc>
        <w:tc>
          <w:tcPr>
            <w:tcW w:w="1665"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4AEA3C95">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bCs/>
                <w:highlight w:val="none"/>
              </w:rPr>
            </w:pPr>
            <w:r>
              <w:rPr>
                <w:rFonts w:hint="eastAsia" w:ascii="宋体" w:hAnsi="宋体" w:eastAsia="宋体" w:cs="宋体"/>
                <w:b/>
                <w:bCs/>
                <w:sz w:val="24"/>
                <w:highlight w:val="none"/>
              </w:rPr>
              <w:t>占总报告设计费比例</w:t>
            </w:r>
          </w:p>
        </w:tc>
        <w:tc>
          <w:tcPr>
            <w:tcW w:w="1665"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482719D6">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bCs/>
                <w:sz w:val="24"/>
              </w:rPr>
            </w:pPr>
            <w:r>
              <w:rPr>
                <w:rFonts w:hint="eastAsia" w:ascii="宋体" w:hAnsi="宋体" w:eastAsia="宋体" w:cs="宋体"/>
                <w:b/>
                <w:bCs/>
                <w:sz w:val="24"/>
              </w:rPr>
              <w:t>付费额</w:t>
            </w:r>
          </w:p>
          <w:p w14:paraId="7308BCDD">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bCs/>
              </w:rPr>
            </w:pPr>
            <w:r>
              <w:rPr>
                <w:rFonts w:hint="eastAsia" w:ascii="宋体" w:hAnsi="宋体" w:eastAsia="宋体" w:cs="宋体"/>
                <w:b/>
                <w:bCs/>
                <w:sz w:val="24"/>
              </w:rPr>
              <w:t>（人民币）</w:t>
            </w:r>
          </w:p>
        </w:tc>
        <w:tc>
          <w:tcPr>
            <w:tcW w:w="3727" w:type="dxa"/>
            <w:tcBorders>
              <w:top w:val="single" w:color="000000" w:sz="12" w:space="0"/>
              <w:left w:val="single" w:color="000000" w:sz="4" w:space="0"/>
              <w:bottom w:val="single" w:color="000000" w:sz="4" w:space="0"/>
              <w:right w:val="single" w:color="000000" w:sz="12" w:space="0"/>
            </w:tcBorders>
            <w:shd w:val="clear" w:color="auto" w:fill="D9D9D9"/>
            <w:vAlign w:val="center"/>
          </w:tcPr>
          <w:p w14:paraId="6AE20867">
            <w:pPr>
              <w:keepNext w:val="0"/>
              <w:keepLines w:val="0"/>
              <w:pageBreakBefore w:val="0"/>
              <w:widowControl/>
              <w:kinsoku/>
              <w:wordWrap w:val="0"/>
              <w:overflowPunct/>
              <w:topLinePunct w:val="0"/>
              <w:autoSpaceDE/>
              <w:autoSpaceDN/>
              <w:bidi w:val="0"/>
              <w:adjustRightInd w:val="0"/>
              <w:snapToGrid w:val="0"/>
              <w:spacing w:line="480" w:lineRule="exact"/>
              <w:jc w:val="center"/>
              <w:textAlignment w:val="auto"/>
              <w:rPr>
                <w:rFonts w:ascii="宋体" w:hAnsi="宋体" w:eastAsia="宋体" w:cs="宋体"/>
                <w:b/>
                <w:bCs/>
              </w:rPr>
            </w:pPr>
            <w:r>
              <w:rPr>
                <w:rFonts w:hint="eastAsia" w:ascii="宋体" w:hAnsi="宋体" w:eastAsia="宋体" w:cs="宋体"/>
                <w:b/>
                <w:bCs/>
                <w:sz w:val="24"/>
              </w:rPr>
              <w:t>付费时间</w:t>
            </w:r>
          </w:p>
        </w:tc>
      </w:tr>
      <w:tr w14:paraId="0397B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0" w:type="dxa"/>
            <w:tcBorders>
              <w:top w:val="single" w:color="000000" w:sz="4" w:space="0"/>
              <w:left w:val="single" w:color="000000" w:sz="12" w:space="0"/>
              <w:bottom w:val="single" w:color="000000" w:sz="4" w:space="0"/>
              <w:right w:val="single" w:color="000000" w:sz="4" w:space="0"/>
            </w:tcBorders>
          </w:tcPr>
          <w:p w14:paraId="4762C617">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第1次</w:t>
            </w:r>
          </w:p>
        </w:tc>
        <w:tc>
          <w:tcPr>
            <w:tcW w:w="1665" w:type="dxa"/>
            <w:tcBorders>
              <w:top w:val="single" w:color="000000" w:sz="4" w:space="0"/>
              <w:left w:val="single" w:color="000000" w:sz="4" w:space="0"/>
              <w:bottom w:val="single" w:color="000000" w:sz="4" w:space="0"/>
              <w:right w:val="single" w:color="000000" w:sz="4" w:space="0"/>
            </w:tcBorders>
          </w:tcPr>
          <w:p w14:paraId="27A3F937">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40%</w:t>
            </w:r>
          </w:p>
        </w:tc>
        <w:tc>
          <w:tcPr>
            <w:tcW w:w="1665" w:type="dxa"/>
            <w:tcBorders>
              <w:top w:val="single" w:color="000000" w:sz="4" w:space="0"/>
              <w:left w:val="single" w:color="000000" w:sz="4" w:space="0"/>
              <w:bottom w:val="single" w:color="000000" w:sz="4" w:space="0"/>
              <w:right w:val="single" w:color="000000" w:sz="4" w:space="0"/>
            </w:tcBorders>
          </w:tcPr>
          <w:p w14:paraId="2C5CAEB7">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万元</w:t>
            </w:r>
          </w:p>
        </w:tc>
        <w:tc>
          <w:tcPr>
            <w:tcW w:w="3727" w:type="dxa"/>
            <w:tcBorders>
              <w:top w:val="single" w:color="000000" w:sz="4" w:space="0"/>
              <w:left w:val="single" w:color="000000" w:sz="4" w:space="0"/>
              <w:bottom w:val="single" w:color="000000" w:sz="4" w:space="0"/>
              <w:right w:val="single" w:color="000000" w:sz="12" w:space="0"/>
            </w:tcBorders>
          </w:tcPr>
          <w:p w14:paraId="08BD9E8F">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合同签订后</w:t>
            </w:r>
            <w:r>
              <w:rPr>
                <w:rFonts w:hint="eastAsia" w:ascii="宋体" w:hAnsi="宋体" w:eastAsia="宋体" w:cs="宋体"/>
                <w:sz w:val="24"/>
                <w:u w:val="single"/>
                <w:lang w:eastAsia="zh-CN"/>
              </w:rPr>
              <w:t>5</w:t>
            </w:r>
            <w:r>
              <w:rPr>
                <w:rFonts w:hint="eastAsia" w:ascii="宋体" w:hAnsi="宋体" w:eastAsia="宋体" w:cs="宋体"/>
                <w:sz w:val="24"/>
                <w:lang w:eastAsia="zh-CN"/>
              </w:rPr>
              <w:t>个工作日内</w:t>
            </w:r>
          </w:p>
        </w:tc>
      </w:tr>
      <w:tr w14:paraId="15355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0" w:type="dxa"/>
            <w:tcBorders>
              <w:top w:val="single" w:color="000000" w:sz="4" w:space="0"/>
              <w:left w:val="single" w:color="000000" w:sz="12" w:space="0"/>
              <w:bottom w:val="single" w:color="000000" w:sz="4" w:space="0"/>
              <w:right w:val="single" w:color="000000" w:sz="4" w:space="0"/>
            </w:tcBorders>
          </w:tcPr>
          <w:p w14:paraId="5AED2A0C">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第2次</w:t>
            </w:r>
          </w:p>
        </w:tc>
        <w:tc>
          <w:tcPr>
            <w:tcW w:w="1665" w:type="dxa"/>
            <w:tcBorders>
              <w:top w:val="single" w:color="000000" w:sz="4" w:space="0"/>
              <w:left w:val="single" w:color="000000" w:sz="4" w:space="0"/>
              <w:bottom w:val="single" w:color="000000" w:sz="4" w:space="0"/>
              <w:right w:val="single" w:color="000000" w:sz="4" w:space="0"/>
            </w:tcBorders>
          </w:tcPr>
          <w:p w14:paraId="1C821B97">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50%</w:t>
            </w:r>
          </w:p>
        </w:tc>
        <w:tc>
          <w:tcPr>
            <w:tcW w:w="1665" w:type="dxa"/>
            <w:tcBorders>
              <w:top w:val="single" w:color="000000" w:sz="4" w:space="0"/>
              <w:left w:val="single" w:color="000000" w:sz="4" w:space="0"/>
              <w:bottom w:val="single" w:color="000000" w:sz="4" w:space="0"/>
              <w:right w:val="single" w:color="000000" w:sz="4" w:space="0"/>
            </w:tcBorders>
          </w:tcPr>
          <w:p w14:paraId="028493B6">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万元</w:t>
            </w:r>
          </w:p>
        </w:tc>
        <w:tc>
          <w:tcPr>
            <w:tcW w:w="3727" w:type="dxa"/>
            <w:tcBorders>
              <w:top w:val="single" w:color="000000" w:sz="4" w:space="0"/>
              <w:left w:val="single" w:color="000000" w:sz="4" w:space="0"/>
              <w:bottom w:val="single" w:color="000000" w:sz="4" w:space="0"/>
              <w:right w:val="single" w:color="000000" w:sz="12" w:space="0"/>
            </w:tcBorders>
          </w:tcPr>
          <w:p w14:paraId="19022F50">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提交初稿成果，通过南阳市文化广电和旅游局评审后</w:t>
            </w:r>
            <w:r>
              <w:rPr>
                <w:rFonts w:hint="eastAsia" w:ascii="宋体" w:hAnsi="宋体" w:eastAsia="宋体" w:cs="宋体"/>
                <w:sz w:val="24"/>
                <w:u w:val="single"/>
                <w:lang w:eastAsia="zh-CN"/>
              </w:rPr>
              <w:t>5</w:t>
            </w:r>
            <w:r>
              <w:rPr>
                <w:rFonts w:hint="eastAsia" w:ascii="宋体" w:hAnsi="宋体" w:eastAsia="宋体" w:cs="宋体"/>
                <w:sz w:val="24"/>
                <w:lang w:eastAsia="zh-CN"/>
              </w:rPr>
              <w:t>个工作日内</w:t>
            </w:r>
          </w:p>
        </w:tc>
      </w:tr>
      <w:tr w14:paraId="3A7F1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90" w:type="dxa"/>
            <w:tcBorders>
              <w:top w:val="single" w:color="000000" w:sz="4" w:space="0"/>
              <w:left w:val="single" w:color="000000" w:sz="12" w:space="0"/>
              <w:bottom w:val="single" w:color="000000" w:sz="12" w:space="0"/>
              <w:right w:val="single" w:color="000000" w:sz="4" w:space="0"/>
            </w:tcBorders>
          </w:tcPr>
          <w:p w14:paraId="658948D9">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rPr>
            </w:pPr>
            <w:r>
              <w:rPr>
                <w:rFonts w:hint="eastAsia" w:ascii="宋体" w:hAnsi="宋体" w:eastAsia="宋体" w:cs="宋体"/>
                <w:sz w:val="24"/>
              </w:rPr>
              <w:t>第3次</w:t>
            </w:r>
          </w:p>
        </w:tc>
        <w:tc>
          <w:tcPr>
            <w:tcW w:w="1665" w:type="dxa"/>
            <w:tcBorders>
              <w:top w:val="single" w:color="000000" w:sz="4" w:space="0"/>
              <w:left w:val="single" w:color="000000" w:sz="4" w:space="0"/>
              <w:bottom w:val="single" w:color="000000" w:sz="12" w:space="0"/>
              <w:right w:val="single" w:color="000000" w:sz="4" w:space="0"/>
            </w:tcBorders>
          </w:tcPr>
          <w:p w14:paraId="602188F2">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highlight w:val="none"/>
              </w:rPr>
            </w:pPr>
            <w:r>
              <w:rPr>
                <w:rFonts w:hint="eastAsia" w:ascii="宋体" w:hAnsi="宋体" w:eastAsia="宋体" w:cs="宋体"/>
                <w:sz w:val="24"/>
                <w:highlight w:val="none"/>
              </w:rPr>
              <w:t>10%</w:t>
            </w:r>
          </w:p>
        </w:tc>
        <w:tc>
          <w:tcPr>
            <w:tcW w:w="1665" w:type="dxa"/>
            <w:tcBorders>
              <w:top w:val="single" w:color="000000" w:sz="4" w:space="0"/>
              <w:left w:val="single" w:color="000000" w:sz="4" w:space="0"/>
              <w:bottom w:val="single" w:color="000000" w:sz="12" w:space="0"/>
              <w:right w:val="single" w:color="000000" w:sz="4" w:space="0"/>
            </w:tcBorders>
          </w:tcPr>
          <w:p w14:paraId="37DC1C31">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万元</w:t>
            </w:r>
          </w:p>
        </w:tc>
        <w:tc>
          <w:tcPr>
            <w:tcW w:w="3727" w:type="dxa"/>
            <w:tcBorders>
              <w:top w:val="single" w:color="000000" w:sz="4" w:space="0"/>
              <w:left w:val="single" w:color="000000" w:sz="4" w:space="0"/>
              <w:bottom w:val="single" w:color="000000" w:sz="12" w:space="0"/>
              <w:right w:val="single" w:color="000000" w:sz="12" w:space="0"/>
            </w:tcBorders>
          </w:tcPr>
          <w:p w14:paraId="0C048EDE">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eastAsia="宋体" w:cs="宋体"/>
                <w:lang w:eastAsia="zh-CN"/>
              </w:rPr>
            </w:pPr>
            <w:r>
              <w:rPr>
                <w:rFonts w:hint="eastAsia" w:ascii="宋体" w:hAnsi="宋体" w:eastAsia="宋体" w:cs="宋体"/>
                <w:sz w:val="24"/>
                <w:lang w:eastAsia="zh-CN"/>
              </w:rPr>
              <w:t>经河南省文物局评审通过后</w:t>
            </w:r>
            <w:r>
              <w:rPr>
                <w:rFonts w:hint="eastAsia" w:ascii="宋体" w:hAnsi="宋体" w:eastAsia="宋体" w:cs="宋体"/>
                <w:sz w:val="24"/>
                <w:u w:val="single"/>
                <w:lang w:eastAsia="zh-CN"/>
              </w:rPr>
              <w:t>5</w:t>
            </w:r>
            <w:r>
              <w:rPr>
                <w:rFonts w:hint="eastAsia" w:ascii="宋体" w:hAnsi="宋体" w:eastAsia="宋体" w:cs="宋体"/>
                <w:sz w:val="24"/>
                <w:lang w:eastAsia="zh-CN"/>
              </w:rPr>
              <w:t>个工作日内</w:t>
            </w:r>
          </w:p>
        </w:tc>
      </w:tr>
    </w:tbl>
    <w:p w14:paraId="21E765FD">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说明：</w:t>
      </w:r>
    </w:p>
    <w:p w14:paraId="40C92DCA">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（1）乙方向甲方申请各阶段设计服务费前提供相应请款资料及正式等额发票（增值税专用发票或增值税普通发票），因乙方未按时提供请款资料及正式等额发票导致延期付款时甲方不承担责任。</w:t>
      </w:r>
    </w:p>
    <w:p w14:paraId="2634869D">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2）乙方按合同约定提供甲方合法票据，甲方向本合同乙方开户银行及帐号付款，以转帐支票方式支付。甲方持合法票据向财政部门报账后，按上述比例支付，在提请财务部门报账的流程中，不受上述工作日时限限制。</w:t>
      </w:r>
    </w:p>
    <w:p w14:paraId="1EF921EB">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七、双方义务</w:t>
      </w:r>
    </w:p>
    <w:p w14:paraId="74F7F72E">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7.1甲方义务：</w:t>
      </w:r>
    </w:p>
    <w:p w14:paraId="32FD0EE8">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7.1.1甲方不得要求乙方违反国家有关标准进行规划设计，否则乙方有权终止履行合同。同时甲方应积极配合组织该成果报送国家文物局审批工作。</w:t>
      </w:r>
    </w:p>
    <w:p w14:paraId="71B4F85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7.1.2甲方按本合同第四条规定向乙方提供基础资料及文件，并对其完整性、正确性、及时性负责。甲方提交基础资料及文件超过规定时间10天以内，乙方提交该阶段成果文件的时间顺延；甲方提交基础资料及文件超过规定时间10天以上或资料及文件无法满足设计要求，乙方有权重新确定提交设计成果文件的时间。</w:t>
      </w:r>
    </w:p>
    <w:p w14:paraId="19BA1CB0">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7.1.3甲方提交的资料错误，或变更本合同约定的设计条件、范围、规模、要求等，导致乙方返工或新增工作量超过10%，双方需另行协商签订补充协议（或另订合同）、重新明确费用、提交成果时间等。</w:t>
      </w:r>
    </w:p>
    <w:p w14:paraId="07E5F689">
      <w:pPr>
        <w:keepNext w:val="0"/>
        <w:keepLines w:val="0"/>
        <w:pageBreakBefore w:val="0"/>
        <w:widowControl/>
        <w:kinsoku/>
        <w:wordWrap w:val="0"/>
        <w:overflowPunct/>
        <w:topLinePunct w:val="0"/>
        <w:autoSpaceDE/>
        <w:autoSpaceDN/>
        <w:bidi w:val="0"/>
        <w:adjustRightInd w:val="0"/>
        <w:snapToGrid w:val="0"/>
        <w:spacing w:line="480" w:lineRule="exact"/>
        <w:ind w:firstLine="420"/>
        <w:textAlignment w:val="auto"/>
        <w:rPr>
          <w:rFonts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sz w:val="24"/>
          <w:lang w:eastAsia="zh-CN"/>
        </w:rPr>
        <w:t>合同生效后，如因甲方原因造成工作顺延，顺延时间超过3个月，乙方有权单方面终止合同，但甲方仍需支付乙方已完成工作阶段的费用，如需继续启动本工作项目，双方需另行协商签订补充协议。</w:t>
      </w:r>
    </w:p>
    <w:p w14:paraId="5D9E01B6">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7.1.4甲方应为派赴现场处理相关规划设计问题的工作人员，提供必要的工作生活及交通等方便条件、费用由乙方自理。</w:t>
      </w:r>
    </w:p>
    <w:p w14:paraId="01D9536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7.1.5甲方指定</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为项目代表与乙方对接项目联系事宜，甲方有权变更项目代表，并以书面形式通知乙方。</w:t>
      </w:r>
    </w:p>
    <w:p w14:paraId="6A0B9D86">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7.2乙方义务：</w:t>
      </w:r>
    </w:p>
    <w:p w14:paraId="438C3F3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7.2.1乙方应按国家技术规范、标准、规章及甲方提出的设计要求，进行成果编制，按合同规定的进度要求提交质量合格的设计文件，并对其负责。</w:t>
      </w:r>
    </w:p>
    <w:p w14:paraId="1FEB211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7.2.2乙方按本合同第五条、第六条规定的内容、进度及份数向甲方交付资料及文件。</w:t>
      </w:r>
    </w:p>
    <w:p w14:paraId="04E6FFF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7.2.3乙方交付设计资料及文件后，按规定参加有关的方案评审，并根据评审意见对不超出原定范围的设计工作做必要调整补充。</w:t>
      </w:r>
    </w:p>
    <w:p w14:paraId="108749EE">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7.2.4乙方保证向甲方提交的成果文件不会侵犯任何第三方的版权或任何其他权利，否则应承担由此所引起甲方的直接损失。</w:t>
      </w:r>
    </w:p>
    <w:p w14:paraId="28F01166">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7.2.5在履行本合同过程中，乙方不应从事与甲方利益有冲突的任何活动。</w:t>
      </w:r>
    </w:p>
    <w:p w14:paraId="2FF9EA62">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7.2.6乙方指定</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为项目代表与甲方对接项目联系事宜，如需变更项目代表，需征求甲方同意并以书面形式通知甲方。</w:t>
      </w:r>
    </w:p>
    <w:p w14:paraId="71D0DD8C">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八、保密条款</w:t>
      </w:r>
    </w:p>
    <w:p w14:paraId="5F00129B">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8.1甲方应保护乙方的投标书、设计方案、文件、资料图纸、数据、计算软件和专利技术。未经乙方同意，甲方对乙方交付的资料及文件不得擅自修改、复制或向第三人转让或用于本合同外的项目，否则甲方应赔偿由此给乙方造成的损失。</w:t>
      </w:r>
    </w:p>
    <w:p w14:paraId="2EB96781">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8.2乙方应保护甲方提交的有关文件及资料，不得向第三人泄露、转让甲方提交的产品图纸等技术经济资料。以上资料经甲方书面同意，乙方可用于公司宣传活动、展览、市场营销、专利申请、职称评定、著作、论文撰写发表等情况不构成违约。</w:t>
      </w:r>
    </w:p>
    <w:p w14:paraId="30EC9504">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8.3本次设计署名权归乙方单独所有，其余知识产权归甲方所有，乙方保证本项目不对任何第三方的知识产权、商业秘密及其他合法权利构成侵害。由甲方或甲方聘请的其他方提交的资料导致的对任何第三方的知识产权、商业秘密及其他合法权益的侵害，乙方不承担任何形式的责任和由此产生的任何费用。</w:t>
      </w:r>
    </w:p>
    <w:p w14:paraId="7F3E818E">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8.4不论本合同是否变更、解除、终止，本条款长期有效。</w:t>
      </w:r>
    </w:p>
    <w:p w14:paraId="00AE21C4">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九、违约金或损失赔偿额的计算方法：</w:t>
      </w:r>
    </w:p>
    <w:p w14:paraId="0478A89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9.1在合同履行期间，甲方变更或解除合同，需经双方协商一致。因甲方要求终止或解除合同，乙方未开始设计工作的，不退还甲方已付的定金；已开始设计工作的，甲方应根据乙方已进行的实际工作量，不足一半时，按该阶段设计费的一半支付；超过一半时，按该阶段设计费的全部支付。乙方保留按合同额30%违约金申请赔偿费的权利。</w:t>
      </w:r>
    </w:p>
    <w:p w14:paraId="5163D625">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 xml:space="preserve">9.2甲方应按本合同第七条规定的金额和时间向乙方支付设计费，每逾期支付一天，应承担应支付金额千分之二的逾期违约金，逾期超过30天以上时， </w:t>
      </w:r>
      <w:r>
        <w:rPr>
          <w:rFonts w:hint="eastAsia" w:ascii="宋体" w:hAnsi="宋体" w:eastAsia="宋体" w:cs="宋体"/>
          <w:sz w:val="24"/>
          <w:szCs w:val="24"/>
          <w:lang w:eastAsia="zh-CN"/>
        </w:rPr>
        <w:t>或甲方不确认、甲方的上级、审批部门对设计文件不审批超过30天以上时，</w:t>
      </w:r>
      <w:r>
        <w:rPr>
          <w:rFonts w:hint="eastAsia" w:ascii="宋体" w:hAnsi="宋体" w:eastAsia="宋体" w:cs="宋体"/>
          <w:sz w:val="24"/>
          <w:lang w:eastAsia="zh-CN"/>
        </w:rPr>
        <w:t>乙方有权暂停履行下阶段工作，并书面通知甲方。若项目无故停缓建时间超过3个月，乙方有权选择终止或继续履行合同，由双方协商解决。</w:t>
      </w:r>
    </w:p>
    <w:p w14:paraId="75F43A48">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9.3由于乙方自身原因，延误本合同第六条规定的成果的交付时间，每延误一天，向甲方支付项目该阶段设计费万分之五的违约金，逾期超过30天以上时，甲方有权选择终止合同，双方协商解决。</w:t>
      </w:r>
    </w:p>
    <w:p w14:paraId="6F54DF6A">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9.4在合同履行期间，乙方变更或解除合同，需经双方协商一致。</w:t>
      </w:r>
    </w:p>
    <w:p w14:paraId="40B0DEB1">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9.5本合同约定下的违约金额上限不超过本合同设计费总额，合同另有约定除外。</w:t>
      </w:r>
    </w:p>
    <w:p w14:paraId="1238D07D">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9.6甲乙双方中任意一方违反本合同约定的，违约方应当向守约方支付合同总金额10%的违约金，违约金不足以弥补守约方损失的（损失包括但不限于诉讼费、律师费、公证费、差旅费、住宿费等），违约方还应继续赔偿，合同另有约定除外。</w:t>
      </w:r>
    </w:p>
    <w:p w14:paraId="57B54127">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十、 争议的解决办法：</w:t>
      </w:r>
    </w:p>
    <w:p w14:paraId="223695D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10.1由于不可抗力因素致使合同无法履行时，双方应及时协商解决。</w:t>
      </w:r>
    </w:p>
    <w:p w14:paraId="4AF2C314">
      <w:pPr>
        <w:keepNext w:val="0"/>
        <w:keepLines w:val="0"/>
        <w:pageBreakBefore w:val="0"/>
        <w:widowControl/>
        <w:kinsoku/>
        <w:wordWrap w:val="0"/>
        <w:overflowPunct/>
        <w:topLinePunct w:val="0"/>
        <w:autoSpaceDE/>
        <w:autoSpaceDN/>
        <w:bidi w:val="0"/>
        <w:adjustRightInd w:val="0"/>
        <w:snapToGrid w:val="0"/>
        <w:spacing w:line="480" w:lineRule="exact"/>
        <w:ind w:firstLine="420"/>
        <w:textAlignment w:val="auto"/>
        <w:rPr>
          <w:rFonts w:ascii="宋体" w:hAnsi="宋体" w:eastAsia="宋体" w:cs="宋体"/>
          <w:sz w:val="24"/>
          <w:lang w:eastAsia="zh-CN"/>
        </w:rPr>
      </w:pPr>
      <w:r>
        <w:rPr>
          <w:rFonts w:hint="eastAsia" w:ascii="宋体" w:hAnsi="宋体" w:eastAsia="宋体" w:cs="宋体"/>
          <w:sz w:val="24"/>
          <w:lang w:eastAsia="zh-CN"/>
        </w:rPr>
        <w:t>10.2本合同发生争议，双方当事人应及时协商解决，也可由当地建设行政主管部门调解，调解不成时，双方当事人同意将争议提交      仲裁委员会仲裁。双方未达成仲裁书面协议的，可向人民法院起诉。</w:t>
      </w:r>
    </w:p>
    <w:p w14:paraId="1287A21F">
      <w:pPr>
        <w:keepNext w:val="0"/>
        <w:keepLines w:val="0"/>
        <w:pageBreakBefore w:val="0"/>
        <w:widowControl/>
        <w:kinsoku/>
        <w:wordWrap w:val="0"/>
        <w:overflowPunct/>
        <w:topLinePunct w:val="0"/>
        <w:autoSpaceDE/>
        <w:autoSpaceDN/>
        <w:bidi w:val="0"/>
        <w:adjustRightInd w:val="0"/>
        <w:snapToGrid w:val="0"/>
        <w:spacing w:line="480" w:lineRule="exact"/>
        <w:ind w:firstLine="482"/>
        <w:textAlignment w:val="auto"/>
        <w:rPr>
          <w:rFonts w:ascii="宋体" w:hAnsi="宋体" w:eastAsia="宋体" w:cs="宋体"/>
          <w:lang w:eastAsia="zh-CN"/>
        </w:rPr>
      </w:pPr>
      <w:r>
        <w:rPr>
          <w:rFonts w:hint="eastAsia" w:ascii="宋体" w:hAnsi="宋体" w:eastAsia="宋体" w:cs="宋体"/>
          <w:b/>
          <w:sz w:val="24"/>
          <w:lang w:eastAsia="zh-CN"/>
        </w:rPr>
        <w:t>十一、 其它：</w:t>
      </w:r>
    </w:p>
    <w:p w14:paraId="6C35B702">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11.1甲方委托乙方承担本合同内容之外的工作服务，另行签订补充协议并约定相关费用。</w:t>
      </w:r>
    </w:p>
    <w:p w14:paraId="22A3FACC">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11.2双方正式意见往来均采取书面形式，并以书面意见为最终确认文件，明确双方责任。口头指令需在24小时内形成书面文字形式并通过双方明确的正式渠道备忘给对方。</w:t>
      </w:r>
    </w:p>
    <w:p w14:paraId="76695E1B">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11.3项目成果以甲方项目代表的签字或甲方盖章为签收依据，两者具有同等效力；电子版成果以双方邮件、短信等往来记录作为签收凭证。</w:t>
      </w:r>
    </w:p>
    <w:p w14:paraId="64910792">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11.4由于不可抗力因素致使合同无法履行时，双方应及时协商解决。</w:t>
      </w:r>
    </w:p>
    <w:p w14:paraId="6D925618">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11.5合同有效期：本合同自双方签字盖章日起生效，至成果通过国家文物局评审后终止。</w:t>
      </w:r>
    </w:p>
    <w:p w14:paraId="6A61925E">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rPr>
      </w:pPr>
      <w:r>
        <w:rPr>
          <w:rFonts w:hint="eastAsia" w:ascii="宋体" w:hAnsi="宋体" w:eastAsia="宋体" w:cs="宋体"/>
          <w:sz w:val="24"/>
        </w:rPr>
        <w:t>11.6本合同一式</w:t>
      </w:r>
      <w:r>
        <w:rPr>
          <w:rFonts w:hint="eastAsia" w:ascii="宋体" w:hAnsi="宋体" w:eastAsia="宋体" w:cs="宋体"/>
          <w:sz w:val="24"/>
          <w:u w:val="single"/>
        </w:rPr>
        <w:t xml:space="preserve">    </w:t>
      </w:r>
      <w:r>
        <w:rPr>
          <w:rFonts w:hint="eastAsia" w:ascii="宋体" w:hAnsi="宋体" w:eastAsia="宋体" w:cs="宋体"/>
          <w:sz w:val="24"/>
        </w:rPr>
        <w:t>份，甲方</w:t>
      </w:r>
      <w:r>
        <w:rPr>
          <w:rFonts w:hint="eastAsia" w:ascii="宋体" w:hAnsi="宋体" w:eastAsia="宋体" w:cs="宋体"/>
          <w:sz w:val="24"/>
          <w:u w:val="single"/>
        </w:rPr>
        <w:t xml:space="preserve">    </w:t>
      </w:r>
      <w:r>
        <w:rPr>
          <w:rFonts w:hint="eastAsia" w:ascii="宋体" w:hAnsi="宋体" w:eastAsia="宋体" w:cs="宋体"/>
          <w:sz w:val="24"/>
        </w:rPr>
        <w:t>份，乙方</w:t>
      </w:r>
      <w:r>
        <w:rPr>
          <w:rFonts w:hint="eastAsia" w:ascii="宋体" w:hAnsi="宋体" w:eastAsia="宋体" w:cs="宋体"/>
          <w:sz w:val="24"/>
          <w:u w:val="single"/>
        </w:rPr>
        <w:t xml:space="preserve">    </w:t>
      </w:r>
      <w:r>
        <w:rPr>
          <w:rFonts w:hint="eastAsia" w:ascii="宋体" w:hAnsi="宋体" w:eastAsia="宋体" w:cs="宋体"/>
          <w:sz w:val="24"/>
        </w:rPr>
        <w:t>份，具有同等法律效力。</w:t>
      </w:r>
    </w:p>
    <w:p w14:paraId="2569302F">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11.7本合同未尽事宜，双方可签订补充协议，有关协议及双方认可的来往传真、会议纪要邮件等，均为本合同组成部分，与本合同具有同等法律效力。</w:t>
      </w:r>
    </w:p>
    <w:p w14:paraId="2FB6357D">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11.8本合同附件作为本合同不可分割的一部分，与本合同具有同等法律效力。</w:t>
      </w:r>
    </w:p>
    <w:p w14:paraId="487349E9">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lang w:eastAsia="zh-CN"/>
        </w:rPr>
      </w:pPr>
      <w:r>
        <w:rPr>
          <w:rFonts w:hint="eastAsia" w:ascii="宋体" w:hAnsi="宋体" w:eastAsia="宋体" w:cs="宋体"/>
          <w:sz w:val="24"/>
          <w:lang w:eastAsia="zh-CN"/>
        </w:rPr>
        <w:t>11.9甲方要求乙方派专人留驻现场进行配合与解决有关问题时，双方应另行签订补充协议或技术咨询服务合同。</w:t>
      </w:r>
    </w:p>
    <w:p w14:paraId="64917656">
      <w:pPr>
        <w:keepNext w:val="0"/>
        <w:keepLines w:val="0"/>
        <w:pageBreakBefore w:val="0"/>
        <w:widowControl/>
        <w:kinsoku/>
        <w:wordWrap w:val="0"/>
        <w:overflowPunct/>
        <w:topLinePunct w:val="0"/>
        <w:autoSpaceDE/>
        <w:autoSpaceDN/>
        <w:bidi w:val="0"/>
        <w:adjustRightInd w:val="0"/>
        <w:snapToGrid w:val="0"/>
        <w:spacing w:line="48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（以下为签章页，无正文）</w:t>
      </w:r>
    </w:p>
    <w:p w14:paraId="12E3C9CF">
      <w:pPr>
        <w:pStyle w:val="4"/>
        <w:kinsoku/>
        <w:wordWrap w:val="0"/>
        <w:autoSpaceDE/>
        <w:autoSpaceDN/>
        <w:spacing w:line="520" w:lineRule="exact"/>
        <w:ind w:firstLine="480"/>
        <w:textAlignment w:val="auto"/>
        <w:rPr>
          <w:sz w:val="24"/>
          <w:szCs w:val="32"/>
          <w:lang w:eastAsia="zh-CN"/>
        </w:rPr>
      </w:pPr>
    </w:p>
    <w:p w14:paraId="4AA390E6">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br w:type="page"/>
      </w:r>
    </w:p>
    <w:p w14:paraId="0668D765">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（本页为签章页，无正文）</w:t>
      </w:r>
    </w:p>
    <w:p w14:paraId="3E4A8754">
      <w:pPr>
        <w:kinsoku/>
        <w:wordWrap w:val="0"/>
        <w:autoSpaceDE/>
        <w:autoSpaceDN/>
        <w:spacing w:line="520" w:lineRule="exact"/>
        <w:ind w:firstLine="480"/>
        <w:textAlignment w:val="auto"/>
        <w:rPr>
          <w:rFonts w:ascii="宋体" w:hAnsi="宋体" w:eastAsia="宋体" w:cs="宋体"/>
          <w:sz w:val="24"/>
          <w:lang w:eastAsia="zh-CN"/>
        </w:rPr>
      </w:pPr>
    </w:p>
    <w:p w14:paraId="2853B930">
      <w:pPr>
        <w:kinsoku/>
        <w:wordWrap w:val="0"/>
        <w:autoSpaceDE/>
        <w:autoSpaceDN/>
        <w:spacing w:line="520" w:lineRule="exact"/>
        <w:ind w:firstLine="480"/>
        <w:textAlignment w:val="auto"/>
        <w:rPr>
          <w:rFonts w:ascii="宋体" w:hAnsi="宋体" w:eastAsia="宋体" w:cs="宋体"/>
          <w:sz w:val="24"/>
        </w:rPr>
      </w:pPr>
      <w:r>
        <w:rPr>
          <w:rFonts w:hint="eastAsia" w:ascii="宋体" w:hAnsi="宋体" w:eastAsia="宋体" w:cs="宋体"/>
          <w:sz w:val="24"/>
        </w:rPr>
        <w:t>甲方：</w:t>
      </w:r>
    </w:p>
    <w:p w14:paraId="21AEEFFD">
      <w:pPr>
        <w:kinsoku/>
        <w:wordWrap w:val="0"/>
        <w:autoSpaceDE/>
        <w:autoSpaceDN/>
        <w:spacing w:line="520" w:lineRule="exact"/>
        <w:ind w:firstLine="360" w:firstLineChars="150"/>
        <w:textAlignment w:val="auto"/>
        <w:rPr>
          <w:rFonts w:ascii="宋体" w:hAnsi="宋体" w:eastAsia="宋体" w:cs="宋体"/>
          <w:sz w:val="24"/>
          <w:u w:val="single"/>
        </w:rPr>
      </w:pPr>
      <w:r>
        <w:rPr>
          <w:rFonts w:hint="eastAsia" w:ascii="宋体" w:hAnsi="宋体" w:eastAsia="宋体" w:cs="宋体"/>
          <w:sz w:val="24"/>
          <w:u w:val="single"/>
        </w:rPr>
        <w:t xml:space="preserve">                                  （合同章）</w:t>
      </w:r>
      <w:r>
        <w:rPr>
          <w:rFonts w:hint="eastAsia" w:ascii="宋体" w:hAnsi="宋体" w:eastAsia="宋体" w:cs="宋体"/>
          <w:sz w:val="24"/>
        </w:rPr>
        <w:t xml:space="preserve">                     </w:t>
      </w:r>
    </w:p>
    <w:p w14:paraId="731F7A50">
      <w:pPr>
        <w:tabs>
          <w:tab w:val="left" w:pos="630"/>
        </w:tabs>
        <w:kinsoku/>
        <w:wordWrap w:val="0"/>
        <w:autoSpaceDE/>
        <w:autoSpaceDN/>
        <w:spacing w:line="520" w:lineRule="exact"/>
        <w:ind w:firstLine="480"/>
        <w:textAlignment w:val="auto"/>
        <w:rPr>
          <w:rFonts w:ascii="宋体" w:hAnsi="宋体" w:eastAsia="宋体" w:cs="宋体"/>
          <w:sz w:val="24"/>
        </w:rPr>
      </w:pPr>
      <w:r>
        <w:rPr>
          <w:rFonts w:hint="eastAsia" w:ascii="宋体" w:hAnsi="宋体" w:eastAsia="宋体" w:cs="宋体"/>
          <w:sz w:val="24"/>
        </w:rPr>
        <w:t>法定代表人</w:t>
      </w:r>
    </w:p>
    <w:p w14:paraId="161ED755">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或委托代理人（签字或盖章）：                            </w:t>
      </w:r>
    </w:p>
    <w:p w14:paraId="052F69C1">
      <w:pPr>
        <w:kinsoku/>
        <w:wordWrap w:val="0"/>
        <w:autoSpaceDE/>
        <w:autoSpaceDN/>
        <w:spacing w:line="520" w:lineRule="exact"/>
        <w:ind w:left="5519" w:leftChars="228" w:hanging="5040" w:hangingChars="2100"/>
        <w:textAlignment w:val="auto"/>
        <w:rPr>
          <w:rFonts w:ascii="宋体" w:hAnsi="宋体" w:eastAsia="宋体" w:cs="宋体"/>
          <w:sz w:val="24"/>
          <w:lang w:eastAsia="zh-CN"/>
        </w:rPr>
      </w:pPr>
      <w:r>
        <w:rPr>
          <w:rFonts w:hint="eastAsia" w:ascii="宋体" w:hAnsi="宋体" w:eastAsia="宋体" w:cs="宋体"/>
          <w:sz w:val="24"/>
          <w:lang w:eastAsia="zh-CN"/>
        </w:rPr>
        <w:t xml:space="preserve">地    址： </w:t>
      </w:r>
    </w:p>
    <w:p w14:paraId="6DD96E47">
      <w:pPr>
        <w:kinsoku/>
        <w:wordWrap w:val="0"/>
        <w:autoSpaceDE/>
        <w:autoSpaceDN/>
        <w:spacing w:line="520" w:lineRule="exact"/>
        <w:ind w:left="5519" w:leftChars="228" w:hanging="5040" w:hangingChars="2100"/>
        <w:textAlignment w:val="auto"/>
        <w:rPr>
          <w:rFonts w:ascii="宋体" w:hAnsi="宋体" w:eastAsia="宋体" w:cs="宋体"/>
          <w:sz w:val="24"/>
          <w:lang w:eastAsia="zh-CN"/>
        </w:rPr>
      </w:pPr>
      <w:r>
        <w:rPr>
          <w:rFonts w:hint="eastAsia" w:ascii="宋体" w:hAnsi="宋体" w:eastAsia="宋体" w:cs="宋体"/>
          <w:sz w:val="24"/>
          <w:lang w:eastAsia="zh-CN"/>
        </w:rPr>
        <w:t>传    真： /</w:t>
      </w:r>
    </w:p>
    <w:p w14:paraId="49107F3C">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电    话：                </w:t>
      </w:r>
    </w:p>
    <w:p w14:paraId="5889CDE4">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签约日期：</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日 </w:t>
      </w:r>
    </w:p>
    <w:p w14:paraId="5FFCBB21">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开户银行： </w:t>
      </w:r>
    </w:p>
    <w:p w14:paraId="37182D7A">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账    户： </w:t>
      </w:r>
    </w:p>
    <w:p w14:paraId="0BD1C428">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纳税人识别号： </w:t>
      </w:r>
    </w:p>
    <w:p w14:paraId="15D33F7A">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                            </w:t>
      </w:r>
    </w:p>
    <w:p w14:paraId="6EC4ED7F">
      <w:pPr>
        <w:tabs>
          <w:tab w:val="left" w:pos="630"/>
        </w:tabs>
        <w:kinsoku/>
        <w:wordWrap w:val="0"/>
        <w:autoSpaceDE/>
        <w:autoSpaceDN/>
        <w:spacing w:line="520" w:lineRule="exact"/>
        <w:ind w:firstLine="480"/>
        <w:textAlignment w:val="auto"/>
        <w:rPr>
          <w:rFonts w:ascii="宋体" w:hAnsi="宋体" w:eastAsia="宋体" w:cs="宋体"/>
          <w:sz w:val="24"/>
        </w:rPr>
      </w:pPr>
      <w:r>
        <w:rPr>
          <w:rFonts w:hint="eastAsia" w:ascii="宋体" w:hAnsi="宋体" w:eastAsia="宋体" w:cs="宋体"/>
          <w:sz w:val="24"/>
        </w:rPr>
        <w:t>乙方：</w:t>
      </w:r>
    </w:p>
    <w:p w14:paraId="52C99A90">
      <w:pPr>
        <w:tabs>
          <w:tab w:val="left" w:pos="630"/>
        </w:tabs>
        <w:kinsoku/>
        <w:wordWrap w:val="0"/>
        <w:autoSpaceDE/>
        <w:autoSpaceDN/>
        <w:spacing w:line="520" w:lineRule="exact"/>
        <w:ind w:firstLine="480"/>
        <w:textAlignment w:val="auto"/>
        <w:rPr>
          <w:rFonts w:ascii="宋体" w:hAnsi="宋体" w:eastAsia="宋体" w:cs="宋体"/>
          <w:sz w:val="24"/>
          <w:u w:val="single"/>
        </w:rPr>
      </w:pPr>
      <w:r>
        <w:rPr>
          <w:rFonts w:hint="eastAsia" w:ascii="宋体" w:hAnsi="宋体" w:eastAsia="宋体" w:cs="宋体"/>
          <w:sz w:val="24"/>
          <w:u w:val="single"/>
        </w:rPr>
        <w:t xml:space="preserve">                                 （合同章）</w:t>
      </w:r>
    </w:p>
    <w:p w14:paraId="069F845E">
      <w:pPr>
        <w:tabs>
          <w:tab w:val="left" w:pos="630"/>
        </w:tabs>
        <w:kinsoku/>
        <w:wordWrap w:val="0"/>
        <w:autoSpaceDE/>
        <w:autoSpaceDN/>
        <w:spacing w:line="520" w:lineRule="exact"/>
        <w:ind w:firstLine="480"/>
        <w:textAlignment w:val="auto"/>
        <w:rPr>
          <w:rFonts w:ascii="宋体" w:hAnsi="宋体" w:eastAsia="宋体" w:cs="宋体"/>
          <w:sz w:val="24"/>
        </w:rPr>
      </w:pPr>
      <w:r>
        <w:rPr>
          <w:rFonts w:hint="eastAsia" w:ascii="宋体" w:hAnsi="宋体" w:eastAsia="宋体" w:cs="宋体"/>
          <w:sz w:val="24"/>
        </w:rPr>
        <w:t>法定代表人</w:t>
      </w:r>
    </w:p>
    <w:p w14:paraId="5C0F99E6">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或委托代理人（签字或盖章）：</w:t>
      </w:r>
    </w:p>
    <w:p w14:paraId="69F5ADEA">
      <w:pPr>
        <w:kinsoku/>
        <w:wordWrap w:val="0"/>
        <w:autoSpaceDE/>
        <w:autoSpaceDN/>
        <w:spacing w:line="520" w:lineRule="exact"/>
        <w:ind w:left="5519" w:leftChars="228" w:hanging="5040" w:hangingChars="2100"/>
        <w:textAlignment w:val="auto"/>
        <w:rPr>
          <w:rFonts w:ascii="宋体" w:hAnsi="宋体" w:eastAsia="宋体" w:cs="宋体"/>
          <w:sz w:val="24"/>
          <w:lang w:eastAsia="zh-CN"/>
        </w:rPr>
      </w:pPr>
      <w:r>
        <w:rPr>
          <w:rFonts w:hint="eastAsia" w:ascii="宋体" w:hAnsi="宋体" w:eastAsia="宋体" w:cs="宋体"/>
          <w:sz w:val="24"/>
          <w:lang w:eastAsia="zh-CN"/>
        </w:rPr>
        <w:t xml:space="preserve">地    址： </w:t>
      </w:r>
    </w:p>
    <w:p w14:paraId="1048060E">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电    话： 传    真： </w:t>
      </w:r>
    </w:p>
    <w:p w14:paraId="7D3C89E8">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签约日期：</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14:paraId="0276C33C">
      <w:pPr>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开户银行：  </w:t>
      </w:r>
    </w:p>
    <w:p w14:paraId="36C92C5C">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账    户：  </w:t>
      </w:r>
    </w:p>
    <w:p w14:paraId="07931A03">
      <w:pPr>
        <w:tabs>
          <w:tab w:val="left" w:pos="630"/>
        </w:tabs>
        <w:kinsoku/>
        <w:wordWrap w:val="0"/>
        <w:autoSpaceDE/>
        <w:autoSpaceDN/>
        <w:spacing w:line="520" w:lineRule="exact"/>
        <w:ind w:firstLine="480"/>
        <w:textAlignment w:val="auto"/>
        <w:rPr>
          <w:rFonts w:ascii="宋体" w:hAnsi="宋体" w:eastAsia="宋体" w:cs="宋体"/>
          <w:sz w:val="24"/>
          <w:lang w:eastAsia="zh-CN"/>
        </w:rPr>
      </w:pPr>
      <w:r>
        <w:rPr>
          <w:rFonts w:hint="eastAsia" w:ascii="宋体" w:hAnsi="宋体" w:eastAsia="宋体" w:cs="宋体"/>
          <w:sz w:val="24"/>
          <w:lang w:eastAsia="zh-CN"/>
        </w:rPr>
        <w:t xml:space="preserve">纳税人识别号： </w:t>
      </w:r>
    </w:p>
    <w:p w14:paraId="5E1DF787">
      <w:pPr>
        <w:rPr>
          <w:spacing w:val="-5"/>
          <w:sz w:val="36"/>
          <w:szCs w:val="36"/>
          <w14:textOutline w14:w="2306" w14:cap="flat" w14:cmpd="sng">
            <w14:solidFill>
              <w14:srgbClr w14:val="000000"/>
            </w14:solidFill>
            <w14:prstDash w14:val="solid"/>
            <w14:miter w14:val="0"/>
          </w14:textOutline>
        </w:rPr>
      </w:pPr>
    </w:p>
    <w:p w14:paraId="09DD1EF0">
      <w:pPr>
        <w:rPr>
          <w:spacing w:val="-5"/>
          <w:sz w:val="36"/>
          <w:szCs w:val="36"/>
          <w14:textOutline w14:w="2306" w14:cap="flat" w14:cmpd="sng">
            <w14:solidFill>
              <w14:srgbClr w14:val="000000"/>
            </w14:solidFill>
            <w14:prstDash w14:val="solid"/>
            <w14:miter w14:val="0"/>
          </w14:textOutline>
        </w:rPr>
      </w:pPr>
      <w:r>
        <w:rPr>
          <w:spacing w:val="-5"/>
          <w:sz w:val="36"/>
          <w:szCs w:val="36"/>
          <w14:textOutline w14:w="2306" w14:cap="flat" w14:cmpd="sng">
            <w14:solidFill>
              <w14:srgbClr w14:val="000000"/>
            </w14:solidFill>
            <w14:prstDash w14:val="solid"/>
            <w14:miter w14:val="0"/>
          </w14:textOutline>
        </w:rPr>
        <w:br w:type="page"/>
      </w:r>
    </w:p>
    <w:p w14:paraId="43973C0F">
      <w:pPr>
        <w:pStyle w:val="4"/>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31EA0D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526FBC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C98CF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31D1A1BA">
      <w:pPr>
        <w:keepNext w:val="0"/>
        <w:keepLines w:val="0"/>
        <w:pageBreakBefore w:val="0"/>
        <w:kinsoku/>
        <w:wordWrap w:val="0"/>
        <w:overflowPunct/>
        <w:topLinePunct w:val="0"/>
        <w:bidi w:val="0"/>
        <w:spacing w:line="219" w:lineRule="auto"/>
        <w:jc w:val="both"/>
        <w:rPr>
          <w:sz w:val="24"/>
          <w:szCs w:val="24"/>
        </w:rPr>
        <w:sectPr>
          <w:footerReference r:id="rId8" w:type="default"/>
          <w:pgSz w:w="11907" w:h="16840"/>
          <w:pgMar w:top="1440" w:right="1800" w:bottom="1440" w:left="1800" w:header="878" w:footer="886" w:gutter="0"/>
          <w:pgNumType w:fmt="decimal" w:start="1"/>
          <w:cols w:space="720" w:num="1"/>
        </w:sectPr>
      </w:pPr>
    </w:p>
    <w:p w14:paraId="14BEB9C0">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77D2AF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B1EBDE1">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BACF40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CAA66D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52800FE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7CA7187D">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3A3329C0">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14F5144A">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6E91EC8">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2DABCF8A">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073388E">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0A5BF2F0">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A4FEE7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E741244">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644CD21C">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25FD5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664FF7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F99B2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7F723D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5FBC35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8758950">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4945A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5D07DC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03874E0A">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3B920EC5">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5BB1378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95C474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DF53C89">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4506FB3">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31B4B0B0">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0B19F5C6">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A94362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44558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089DEAB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E7E9DE5">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66F404F">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7DF3E7D3">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5E459E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14:paraId="6C9AD8A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6C861930">
      <w:pPr>
        <w:pStyle w:val="4"/>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0A21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lang w:val="en-US" w:eastAsia="zh-CN" w:bidi="ar-SA"/>
        </w:rPr>
        <w:t>服务类</w:t>
      </w:r>
    </w:p>
    <w:tbl>
      <w:tblPr>
        <w:tblStyle w:val="12"/>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A6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717F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70FF1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950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8170E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5334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8F2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6D09A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E556D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1D3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443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7A91E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w:t>
            </w:r>
          </w:p>
        </w:tc>
      </w:tr>
      <w:tr w14:paraId="5441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EEA92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27F91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10D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D25A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63054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8E7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2260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74F12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6E87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978DB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0BCBD6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w:t>
      </w:r>
    </w:p>
    <w:p w14:paraId="7FAA21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3C53EEB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lang w:val="en-US" w:eastAsia="en-US"/>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D5861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40286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6C3FE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4BF90E5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37C49E8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3F20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5354A2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05ADE6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71F9D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2D9AF3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687878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F69D9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1271E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43600AA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0560FB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E3127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F5757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2F34F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4D2C42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C5FD3E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5B5C2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E7137BE">
      <w:pPr>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14:paraId="00820588">
      <w:pPr>
        <w:keepNext w:val="0"/>
        <w:keepLines w:val="0"/>
        <w:pageBreakBefore w:val="0"/>
        <w:numPr>
          <w:ilvl w:val="0"/>
          <w:numId w:val="0"/>
        </w:numPr>
        <w:kinsoku/>
        <w:wordWrap w:val="0"/>
        <w:overflowPunct/>
        <w:topLinePunct w:val="0"/>
        <w:bidi w:val="0"/>
        <w:snapToGrid w:val="0"/>
        <w:spacing w:line="360" w:lineRule="auto"/>
        <w:ind w:left="0" w:leftChars="0" w:firstLine="0" w:firstLineChars="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五、商务偏差表、人员配备、设备配备、技术服务方案、业绩、企业实力证明材料等</w:t>
      </w:r>
    </w:p>
    <w:p w14:paraId="5D86EBFF">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287E0D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商务偏差表（格式）</w:t>
      </w:r>
    </w:p>
    <w:p w14:paraId="7343AA0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01BF3E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94E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166B8E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C3A24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1FA1F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05103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082BD3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CC0BE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CE4C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6EE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6E28B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903D6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11FE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3D3D10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4433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66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30683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5E74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09EF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6BD4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ADFB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6A2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BFA65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B0E31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9427A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D6F8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A88E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8B8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DDB7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387E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3B5D6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B1DAB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B458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28B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1183B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82641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55F2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1AFC9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4942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1A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1397C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7C287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FC77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66EC8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2943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6D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7B6CA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E39CA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19234F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516E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DF8E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11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A78F4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EF60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A2D4E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7F016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01D2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84E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9FFF0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4258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249E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31E5EE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2749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9AD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66A44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D4912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E5A74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AC613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E6F0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58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5FF8F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9283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AD798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B5BCD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2389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C14B1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5253C0E6">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819CE84">
      <w:pPr>
        <w:pStyle w:val="16"/>
        <w:rPr>
          <w:rFonts w:hint="eastAsia"/>
          <w:lang w:eastAsia="zh-CN"/>
        </w:rPr>
        <w:sectPr>
          <w:headerReference r:id="rId13" w:type="default"/>
          <w:footerReference r:id="rId14" w:type="default"/>
          <w:pgSz w:w="11907" w:h="16840"/>
          <w:pgMar w:top="1800" w:right="1440" w:bottom="1800" w:left="1440" w:header="851" w:footer="992" w:gutter="0"/>
          <w:pgNumType w:fmt="decimal"/>
          <w:cols w:space="720" w:num="1"/>
          <w:docGrid w:linePitch="332" w:charSpace="0"/>
        </w:sectPr>
      </w:pPr>
    </w:p>
    <w:p w14:paraId="461A2EE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55212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4F0258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68495E6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9F420D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F7D3B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49CCB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1EBBE0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FDF072F">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5F0611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2E5753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6044BB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4FFF886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77918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97E2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954B2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D85B0CE">
      <w:pPr>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14:paraId="422EF20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0AEBEB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（格式自拟）</w:t>
      </w:r>
    </w:p>
    <w:p w14:paraId="6199262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C6DF8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79C64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2A75FA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5BCFE7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06222F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55962B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7E6830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DAE40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B3C918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2E38D4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26B128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0AF9C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629F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7A5F04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3CA34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lang w:val="en-US" w:eastAsia="zh-CN"/>
        </w:rPr>
        <w:t>备注：</w:t>
      </w:r>
      <w:r>
        <w:rPr>
          <w:rFonts w:hint="eastAsia" w:asciiTheme="minorEastAsia" w:hAnsiTheme="minorEastAsia" w:eastAsiaTheme="minorEastAsia" w:cstheme="minorEastAsia"/>
          <w:spacing w:val="11"/>
          <w:sz w:val="24"/>
          <w:szCs w:val="24"/>
        </w:rPr>
        <w:t>从业人员、营业收入、资产总额填报上一年度数据，无上一年度数据的新成立企业可不填报。</w:t>
      </w:r>
    </w:p>
    <w:p w14:paraId="3F0692DA">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br w:type="page"/>
      </w:r>
    </w:p>
    <w:p w14:paraId="78DEB8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350AA0A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917D04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28E975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706E42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2F2DA4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D9A16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5B09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F79CE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CF7F262">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9DE1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FE590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AFA1A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DA09B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72A21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38B09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DA391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83F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9FA59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21E7301">
      <w:pP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br w:type="page"/>
      </w:r>
    </w:p>
    <w:p w14:paraId="3A115F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6902F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BA8F2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315648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13994C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2D3C4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235E62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9B536D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559D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6F941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67C36E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22D8B8D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011956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1ABCF7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59E4DD38">
      <w:pPr>
        <w:pStyle w:val="16"/>
        <w:rPr>
          <w:rFonts w:hint="eastAsia"/>
          <w:lang w:val="zh-CN" w:eastAsia="zh-CN"/>
        </w:rPr>
      </w:pPr>
    </w:p>
    <w:p w14:paraId="35DDCC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C8B5FC9">
      <w:pP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br w:type="page"/>
      </w:r>
    </w:p>
    <w:p w14:paraId="107CC9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6BDA46C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7AA3E20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C742E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C90B2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6E75141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7202756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582F683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044D2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06C7040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57C7D4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4179D48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421B4B6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9818A8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611381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AACB1C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E04D9AF">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4D172254">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2EC8A55B">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C3AF8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B340DA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FEBDFF7">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559B9B0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F0A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06418">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02306418">
                    <w:pPr>
                      <w:pStyle w:val="7"/>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1C9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D975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5D9759">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1F08">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q+xK/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5F61F08">
                    <w:pPr>
                      <w:pStyle w:val="7"/>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A862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7EBA9">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C7EBA9">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667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640D2">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A640D2">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D47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9EA8F">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09EA8F">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1FD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AE7C9">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FAE7C9">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C714">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ED05">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D3EB">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E33E">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E408">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2531">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04500"/>
    <w:multiLevelType w:val="singleLevel"/>
    <w:tmpl w:val="9EC04500"/>
    <w:lvl w:ilvl="0" w:tentative="0">
      <w:start w:val="4"/>
      <w:numFmt w:val="chineseCounting"/>
      <w:suff w:val="nothing"/>
      <w:lvlText w:val="%1、"/>
      <w:lvlJc w:val="left"/>
      <w:rPr>
        <w:rFonts w:hint="eastAsia"/>
      </w:rPr>
    </w:lvl>
  </w:abstractNum>
  <w:abstractNum w:abstractNumId="1">
    <w:nsid w:val="F1FE67E7"/>
    <w:multiLevelType w:val="singleLevel"/>
    <w:tmpl w:val="F1FE67E7"/>
    <w:lvl w:ilvl="0" w:tentative="0">
      <w:start w:val="1"/>
      <w:numFmt w:val="decimal"/>
      <w:suff w:val="nothing"/>
      <w:lvlText w:val="（%1）"/>
      <w:lvlJc w:val="left"/>
    </w:lvl>
  </w:abstractNum>
  <w:abstractNum w:abstractNumId="2">
    <w:nsid w:val="F484FFCF"/>
    <w:multiLevelType w:val="singleLevel"/>
    <w:tmpl w:val="F484FFC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0775CD8"/>
    <w:rsid w:val="009B326C"/>
    <w:rsid w:val="00EF5BA2"/>
    <w:rsid w:val="011078C7"/>
    <w:rsid w:val="0167398B"/>
    <w:rsid w:val="018E5CBE"/>
    <w:rsid w:val="019F5B76"/>
    <w:rsid w:val="02980B47"/>
    <w:rsid w:val="0304627B"/>
    <w:rsid w:val="03F005BF"/>
    <w:rsid w:val="049308F0"/>
    <w:rsid w:val="05404C1F"/>
    <w:rsid w:val="05C82C12"/>
    <w:rsid w:val="064B2778"/>
    <w:rsid w:val="064E5119"/>
    <w:rsid w:val="06731CDB"/>
    <w:rsid w:val="06BD7DF4"/>
    <w:rsid w:val="075633BE"/>
    <w:rsid w:val="08743EB7"/>
    <w:rsid w:val="08896F10"/>
    <w:rsid w:val="08DF64FD"/>
    <w:rsid w:val="095962AF"/>
    <w:rsid w:val="09A960A9"/>
    <w:rsid w:val="0A0106F5"/>
    <w:rsid w:val="0A2175C7"/>
    <w:rsid w:val="0A4E3858"/>
    <w:rsid w:val="0A530F50"/>
    <w:rsid w:val="0A9F717D"/>
    <w:rsid w:val="0AB3379D"/>
    <w:rsid w:val="0ADC6029"/>
    <w:rsid w:val="0C272EF4"/>
    <w:rsid w:val="0C450913"/>
    <w:rsid w:val="0CF167FE"/>
    <w:rsid w:val="0E3E7CBD"/>
    <w:rsid w:val="0EE83C0B"/>
    <w:rsid w:val="0F130CAE"/>
    <w:rsid w:val="0F3C44F9"/>
    <w:rsid w:val="0F571DE7"/>
    <w:rsid w:val="0FE91A0F"/>
    <w:rsid w:val="0FF95996"/>
    <w:rsid w:val="0FFF7484"/>
    <w:rsid w:val="10832DEB"/>
    <w:rsid w:val="10896096"/>
    <w:rsid w:val="11477335"/>
    <w:rsid w:val="119B4F8B"/>
    <w:rsid w:val="11B36778"/>
    <w:rsid w:val="11E54B27"/>
    <w:rsid w:val="11F10D0E"/>
    <w:rsid w:val="12810624"/>
    <w:rsid w:val="13504EE3"/>
    <w:rsid w:val="136B40CF"/>
    <w:rsid w:val="13D318D3"/>
    <w:rsid w:val="14184102"/>
    <w:rsid w:val="146A4EE4"/>
    <w:rsid w:val="147A2410"/>
    <w:rsid w:val="14B05372"/>
    <w:rsid w:val="156F62EF"/>
    <w:rsid w:val="15C27640"/>
    <w:rsid w:val="164D719B"/>
    <w:rsid w:val="16655340"/>
    <w:rsid w:val="16882EF5"/>
    <w:rsid w:val="16FD3ABE"/>
    <w:rsid w:val="172F0E42"/>
    <w:rsid w:val="176D73C9"/>
    <w:rsid w:val="189F0517"/>
    <w:rsid w:val="196A0814"/>
    <w:rsid w:val="1BFF6021"/>
    <w:rsid w:val="1C587110"/>
    <w:rsid w:val="1CC05665"/>
    <w:rsid w:val="1D7F2147"/>
    <w:rsid w:val="1D996CC8"/>
    <w:rsid w:val="1DA01659"/>
    <w:rsid w:val="1DCB0C58"/>
    <w:rsid w:val="1E6454A8"/>
    <w:rsid w:val="1FB24281"/>
    <w:rsid w:val="1FCD677B"/>
    <w:rsid w:val="1FCF1E87"/>
    <w:rsid w:val="20855784"/>
    <w:rsid w:val="208E4164"/>
    <w:rsid w:val="21A07893"/>
    <w:rsid w:val="21A52D0E"/>
    <w:rsid w:val="22D96A03"/>
    <w:rsid w:val="23554AEF"/>
    <w:rsid w:val="23645F64"/>
    <w:rsid w:val="23C6058D"/>
    <w:rsid w:val="23D21967"/>
    <w:rsid w:val="23ED5B1A"/>
    <w:rsid w:val="23F5677C"/>
    <w:rsid w:val="23FB5E39"/>
    <w:rsid w:val="240D3AC6"/>
    <w:rsid w:val="243C3056"/>
    <w:rsid w:val="244A2A1D"/>
    <w:rsid w:val="249379AA"/>
    <w:rsid w:val="2564491D"/>
    <w:rsid w:val="25B83A87"/>
    <w:rsid w:val="26181D17"/>
    <w:rsid w:val="2643688F"/>
    <w:rsid w:val="266463E7"/>
    <w:rsid w:val="269F64C8"/>
    <w:rsid w:val="26E9311B"/>
    <w:rsid w:val="27870033"/>
    <w:rsid w:val="28032F0B"/>
    <w:rsid w:val="281A0EA7"/>
    <w:rsid w:val="28CC03F4"/>
    <w:rsid w:val="2A3D0E7D"/>
    <w:rsid w:val="2A924A38"/>
    <w:rsid w:val="2AE32E31"/>
    <w:rsid w:val="2AF0159F"/>
    <w:rsid w:val="2B8E28F8"/>
    <w:rsid w:val="2CD208B5"/>
    <w:rsid w:val="2D214A86"/>
    <w:rsid w:val="2E6C7ED8"/>
    <w:rsid w:val="2EA57FA1"/>
    <w:rsid w:val="2EA821C2"/>
    <w:rsid w:val="2EF243BC"/>
    <w:rsid w:val="2F1A0B12"/>
    <w:rsid w:val="30EF0857"/>
    <w:rsid w:val="31315090"/>
    <w:rsid w:val="3140197F"/>
    <w:rsid w:val="31E05F1C"/>
    <w:rsid w:val="320C16C0"/>
    <w:rsid w:val="322717A4"/>
    <w:rsid w:val="32672625"/>
    <w:rsid w:val="32831B16"/>
    <w:rsid w:val="32F6583E"/>
    <w:rsid w:val="333A48FA"/>
    <w:rsid w:val="334A1323"/>
    <w:rsid w:val="33AC43D0"/>
    <w:rsid w:val="33D92F7A"/>
    <w:rsid w:val="34B2130C"/>
    <w:rsid w:val="350E12EA"/>
    <w:rsid w:val="35260E8C"/>
    <w:rsid w:val="354173ED"/>
    <w:rsid w:val="35992C99"/>
    <w:rsid w:val="360F3354"/>
    <w:rsid w:val="36FD75C5"/>
    <w:rsid w:val="37BD0585"/>
    <w:rsid w:val="37CA6352"/>
    <w:rsid w:val="38533A18"/>
    <w:rsid w:val="38D267EF"/>
    <w:rsid w:val="38D806EF"/>
    <w:rsid w:val="39222869"/>
    <w:rsid w:val="396226AE"/>
    <w:rsid w:val="3AB900AC"/>
    <w:rsid w:val="3B223EA3"/>
    <w:rsid w:val="3BAF7174"/>
    <w:rsid w:val="3D660BE0"/>
    <w:rsid w:val="3E370654"/>
    <w:rsid w:val="3E4C232D"/>
    <w:rsid w:val="3EB41E07"/>
    <w:rsid w:val="40491072"/>
    <w:rsid w:val="41523008"/>
    <w:rsid w:val="41F66AB4"/>
    <w:rsid w:val="42113341"/>
    <w:rsid w:val="43D372D6"/>
    <w:rsid w:val="44B74AB0"/>
    <w:rsid w:val="44C27AD5"/>
    <w:rsid w:val="45300AE7"/>
    <w:rsid w:val="463F4C16"/>
    <w:rsid w:val="46832AB5"/>
    <w:rsid w:val="46942B8F"/>
    <w:rsid w:val="48A40198"/>
    <w:rsid w:val="498A3D49"/>
    <w:rsid w:val="4B50680B"/>
    <w:rsid w:val="4BBB7B8C"/>
    <w:rsid w:val="4C51283A"/>
    <w:rsid w:val="4C69381A"/>
    <w:rsid w:val="4CB97E79"/>
    <w:rsid w:val="4CBA2C7D"/>
    <w:rsid w:val="4E5C03B2"/>
    <w:rsid w:val="4E992277"/>
    <w:rsid w:val="4F0E207C"/>
    <w:rsid w:val="4FA36E2B"/>
    <w:rsid w:val="4FAA4DA5"/>
    <w:rsid w:val="50CD1D3A"/>
    <w:rsid w:val="50DF62FA"/>
    <w:rsid w:val="524D5852"/>
    <w:rsid w:val="538452A3"/>
    <w:rsid w:val="543D5452"/>
    <w:rsid w:val="54AE5E5A"/>
    <w:rsid w:val="554A067A"/>
    <w:rsid w:val="562B2D19"/>
    <w:rsid w:val="566F2249"/>
    <w:rsid w:val="571C70F4"/>
    <w:rsid w:val="578C1E3F"/>
    <w:rsid w:val="579B0E0D"/>
    <w:rsid w:val="58122B18"/>
    <w:rsid w:val="582157B7"/>
    <w:rsid w:val="583737A8"/>
    <w:rsid w:val="586E207E"/>
    <w:rsid w:val="59791FCF"/>
    <w:rsid w:val="59C70462"/>
    <w:rsid w:val="5B942EAB"/>
    <w:rsid w:val="5BC052E6"/>
    <w:rsid w:val="5BC356DB"/>
    <w:rsid w:val="5BFB1656"/>
    <w:rsid w:val="5C5E71F5"/>
    <w:rsid w:val="5C805C3A"/>
    <w:rsid w:val="5CED210B"/>
    <w:rsid w:val="5CEF69E2"/>
    <w:rsid w:val="5DD33159"/>
    <w:rsid w:val="5E401EE1"/>
    <w:rsid w:val="5E862024"/>
    <w:rsid w:val="5FE54AEF"/>
    <w:rsid w:val="5FE62E42"/>
    <w:rsid w:val="604F0C94"/>
    <w:rsid w:val="60811390"/>
    <w:rsid w:val="60E905BC"/>
    <w:rsid w:val="611C486A"/>
    <w:rsid w:val="612C3317"/>
    <w:rsid w:val="613320B7"/>
    <w:rsid w:val="616D381B"/>
    <w:rsid w:val="61C96577"/>
    <w:rsid w:val="62C27B96"/>
    <w:rsid w:val="64060EA6"/>
    <w:rsid w:val="64B4350F"/>
    <w:rsid w:val="64C17C5F"/>
    <w:rsid w:val="64E32222"/>
    <w:rsid w:val="660C0310"/>
    <w:rsid w:val="674A54CB"/>
    <w:rsid w:val="67B657F0"/>
    <w:rsid w:val="6832131A"/>
    <w:rsid w:val="68740EAF"/>
    <w:rsid w:val="691A37DC"/>
    <w:rsid w:val="69400627"/>
    <w:rsid w:val="695F7E2D"/>
    <w:rsid w:val="69F04FE9"/>
    <w:rsid w:val="6A1707C7"/>
    <w:rsid w:val="6A443604"/>
    <w:rsid w:val="6ACC2E0B"/>
    <w:rsid w:val="6B497844"/>
    <w:rsid w:val="6B6B37C9"/>
    <w:rsid w:val="6B70387B"/>
    <w:rsid w:val="6B851493"/>
    <w:rsid w:val="6B9F656F"/>
    <w:rsid w:val="6BC524A5"/>
    <w:rsid w:val="6DAF0580"/>
    <w:rsid w:val="6DD02520"/>
    <w:rsid w:val="6DE17F47"/>
    <w:rsid w:val="6E1128F7"/>
    <w:rsid w:val="6E6B7F83"/>
    <w:rsid w:val="6EE2110B"/>
    <w:rsid w:val="70411D13"/>
    <w:rsid w:val="708729E7"/>
    <w:rsid w:val="718B602C"/>
    <w:rsid w:val="721E4206"/>
    <w:rsid w:val="7222612A"/>
    <w:rsid w:val="727D45B0"/>
    <w:rsid w:val="727F5D14"/>
    <w:rsid w:val="74143D3D"/>
    <w:rsid w:val="749F1AE5"/>
    <w:rsid w:val="74B24AE5"/>
    <w:rsid w:val="7571756C"/>
    <w:rsid w:val="75EA0EAB"/>
    <w:rsid w:val="76102BC1"/>
    <w:rsid w:val="76263B40"/>
    <w:rsid w:val="762F3B57"/>
    <w:rsid w:val="768D73E4"/>
    <w:rsid w:val="778B45A3"/>
    <w:rsid w:val="77AC443F"/>
    <w:rsid w:val="786749F3"/>
    <w:rsid w:val="78F607B2"/>
    <w:rsid w:val="79A15AC2"/>
    <w:rsid w:val="7B0411AF"/>
    <w:rsid w:val="7BC65611"/>
    <w:rsid w:val="7C2619F1"/>
    <w:rsid w:val="7C2C76E7"/>
    <w:rsid w:val="7C88163C"/>
    <w:rsid w:val="7DAB214F"/>
    <w:rsid w:val="7DBE0EAA"/>
    <w:rsid w:val="7E9F26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rPr>
      <w:rFonts w:ascii="宋体" w:hAnsi="宋体" w:eastAsia="宋体" w:cs="宋体"/>
      <w:sz w:val="31"/>
      <w:szCs w:val="31"/>
      <w:lang w:val="en-US" w:eastAsia="en-US" w:bidi="ar-SA"/>
    </w:rPr>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0">
    <w:name w:val="Normal (Web)"/>
    <w:basedOn w:val="1"/>
    <w:qFormat/>
    <w:uiPriority w:val="0"/>
    <w:pPr>
      <w:spacing w:before="100" w:beforeLines="0" w:beforeAutospacing="1" w:after="100" w:afterLines="0" w:afterAutospacing="1"/>
    </w:pPr>
    <w:rPr>
      <w:rFonts w:ascii="宋体" w:hAnsi="宋体" w:cs="宋体"/>
      <w:sz w:val="18"/>
      <w:szCs w:val="18"/>
    </w:rPr>
  </w:style>
  <w:style w:type="paragraph" w:styleId="11">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Arial" w:hAnsi="Arial" w:eastAsia="Arial" w:cs="Arial"/>
      <w:sz w:val="21"/>
      <w:szCs w:val="21"/>
      <w:lang w:val="en-US" w:eastAsia="en-US" w:bidi="ar-SA"/>
    </w:rPr>
  </w:style>
  <w:style w:type="paragraph" w:customStyle="1" w:styleId="20">
    <w:name w:val="列出段落1"/>
    <w:basedOn w:val="1"/>
    <w:autoRedefine/>
    <w:qFormat/>
    <w:uiPriority w:val="0"/>
    <w:pPr>
      <w:ind w:firstLine="420" w:firstLineChars="200"/>
    </w:pPr>
    <w:rPr>
      <w:szCs w:val="21"/>
    </w:rPr>
  </w:style>
  <w:style w:type="paragraph" w:customStyle="1" w:styleId="21">
    <w:name w:val="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3593</Words>
  <Characters>4045</Characters>
  <TotalTime>21</TotalTime>
  <ScaleCrop>false</ScaleCrop>
  <LinksUpToDate>false</LinksUpToDate>
  <CharactersWithSpaces>4072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或多或少</cp:lastModifiedBy>
  <dcterms:modified xsi:type="dcterms:W3CDTF">2025-06-18T09:12:56Z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2052-12.1.0.21541</vt:lpwstr>
  </property>
  <property fmtid="{D5CDD505-2E9C-101B-9397-08002B2CF9AE}" pid="5" name="ICV">
    <vt:lpwstr>284DEDCCCCAE4C38A45057E8B3139546_13</vt:lpwstr>
  </property>
  <property fmtid="{D5CDD505-2E9C-101B-9397-08002B2CF9AE}" pid="6" name="KSOTemplateDocerSaveRecord">
    <vt:lpwstr>eyJoZGlkIjoiYmFmMjJmODhlYmEyY2VlNmRiOWJmOGIwZTRlODMwMmYiLCJ1c2VySWQiOiIyMzA3MTg1ODAifQ==</vt:lpwstr>
  </property>
</Properties>
</file>