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2BE9F">
      <w:pPr>
        <w:tabs>
          <w:tab w:val="left" w:pos="7567"/>
        </w:tabs>
        <w:spacing w:line="360" w:lineRule="auto"/>
        <w:ind w:firstLine="2891" w:firstLineChars="400"/>
        <w:jc w:val="both"/>
        <w:rPr>
          <w:rFonts w:hint="eastAsia" w:ascii="仿宋" w:hAnsi="仿宋" w:eastAsia="仿宋" w:cs="宋体"/>
          <w:b/>
          <w:sz w:val="72"/>
          <w:szCs w:val="72"/>
        </w:rPr>
      </w:pPr>
    </w:p>
    <w:p w14:paraId="5F1A2A98">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val="en-US" w:eastAsia="zh-CN"/>
          <w14:textOutline w14:w="3844" w14:cap="flat" w14:cmpd="sng">
            <w14:solidFill>
              <w14:srgbClr w14:val="000000"/>
            </w14:solidFill>
            <w14:prstDash w14:val="solid"/>
            <w14:miter w14:val="0"/>
          </w14:textOutline>
        </w:rPr>
      </w:pPr>
    </w:p>
    <w:p w14:paraId="6D805126">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val="en-US"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52"/>
          <w:szCs w:val="52"/>
          <w:lang w:val="en-US" w:eastAsia="zh-CN"/>
          <w14:textOutline w14:w="3844" w14:cap="flat" w14:cmpd="sng">
            <w14:solidFill>
              <w14:srgbClr w14:val="000000"/>
            </w14:solidFill>
            <w14:prstDash w14:val="solid"/>
            <w14:miter w14:val="0"/>
          </w14:textOutline>
        </w:rPr>
        <w:t>南阳市政府采购项目</w:t>
      </w:r>
    </w:p>
    <w:p w14:paraId="4FE44F3F">
      <w:pPr>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outlineLvl w:val="0"/>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52"/>
          <w:szCs w:val="52"/>
          <w:lang w:eastAsia="zh-CN"/>
          <w14:textOutline w14:w="3844" w14:cap="flat" w14:cmpd="sng">
            <w14:solidFill>
              <w14:srgbClr w14:val="000000"/>
            </w14:solidFill>
            <w14:prstDash w14:val="solid"/>
            <w14:miter w14:val="0"/>
          </w14:textOutline>
        </w:rPr>
        <w:t>征集文件</w:t>
      </w:r>
    </w:p>
    <w:p w14:paraId="1178A90B">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41BC3CD8">
      <w:pPr>
        <w:keepNext w:val="0"/>
        <w:keepLines w:val="0"/>
        <w:pageBreakBefore w:val="0"/>
        <w:kinsoku/>
        <w:wordWrap w:val="0"/>
        <w:overflowPunct/>
        <w:topLinePunct w:val="0"/>
        <w:bidi w:val="0"/>
        <w:spacing w:line="316" w:lineRule="auto"/>
        <w:jc w:val="both"/>
        <w:rPr>
          <w:rFonts w:hint="eastAsia" w:asciiTheme="minorEastAsia" w:hAnsiTheme="minorEastAsia" w:eastAsiaTheme="minorEastAsia" w:cstheme="minorEastAsia"/>
          <w:sz w:val="21"/>
        </w:rPr>
      </w:pPr>
    </w:p>
    <w:p w14:paraId="34B623D3">
      <w:pPr>
        <w:keepNext w:val="0"/>
        <w:keepLines w:val="0"/>
        <w:pageBreakBefore w:val="0"/>
        <w:kinsoku/>
        <w:wordWrap w:val="0"/>
        <w:overflowPunct/>
        <w:topLinePunct w:val="0"/>
        <w:bidi w:val="0"/>
        <w:spacing w:line="317" w:lineRule="auto"/>
        <w:jc w:val="both"/>
        <w:rPr>
          <w:rFonts w:hint="eastAsia" w:asciiTheme="minorEastAsia" w:hAnsiTheme="minorEastAsia" w:eastAsiaTheme="minorEastAsia" w:cstheme="minorEastAsia"/>
          <w:sz w:val="21"/>
        </w:rPr>
      </w:pPr>
    </w:p>
    <w:p w14:paraId="6F25EAF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B316E78">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4F5E6661">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7F95BE5">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0A284E40">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b/>
          <w:bCs/>
          <w:spacing w:val="-17"/>
          <w:sz w:val="36"/>
          <w:szCs w:val="36"/>
        </w:rPr>
      </w:pPr>
    </w:p>
    <w:p w14:paraId="583C7E18">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val="0"/>
          <w:bCs w:val="0"/>
          <w:spacing w:val="-17"/>
          <w:sz w:val="32"/>
          <w:szCs w:val="32"/>
          <w:u w:val="single"/>
          <w:lang w:val="en-US" w:eastAsia="zh-CN"/>
        </w:rPr>
      </w:pPr>
      <w:r>
        <w:rPr>
          <w:rFonts w:hint="eastAsia" w:asciiTheme="minorEastAsia" w:hAnsiTheme="minorEastAsia" w:eastAsiaTheme="minorEastAsia" w:cstheme="minorEastAsia"/>
          <w:b/>
          <w:bCs/>
          <w:spacing w:val="-17"/>
          <w:sz w:val="36"/>
          <w:szCs w:val="36"/>
          <w:lang w:val="en-US" w:eastAsia="zh-CN"/>
        </w:rPr>
        <w:t>项目名称：</w:t>
      </w:r>
      <w:r>
        <w:rPr>
          <w:rFonts w:hint="eastAsia" w:asciiTheme="minorEastAsia" w:hAnsiTheme="minorEastAsia" w:eastAsiaTheme="minorEastAsia" w:cstheme="minorEastAsia"/>
          <w:b w:val="0"/>
          <w:bCs w:val="0"/>
          <w:spacing w:val="-17"/>
          <w:sz w:val="32"/>
          <w:szCs w:val="32"/>
          <w:u w:val="single"/>
          <w:lang w:val="en-US" w:eastAsia="zh-CN"/>
        </w:rPr>
        <w:t>南阳市财政局预算绩效管理第三方</w:t>
      </w:r>
    </w:p>
    <w:p w14:paraId="0C7D81EA">
      <w:pPr>
        <w:keepNext w:val="0"/>
        <w:keepLines w:val="0"/>
        <w:pageBreakBefore w:val="0"/>
        <w:widowControl/>
        <w:kinsoku/>
        <w:wordWrap w:val="0"/>
        <w:overflowPunct/>
        <w:topLinePunct w:val="0"/>
        <w:autoSpaceDE w:val="0"/>
        <w:autoSpaceDN w:val="0"/>
        <w:bidi w:val="0"/>
        <w:adjustRightInd w:val="0"/>
        <w:snapToGrid w:val="0"/>
        <w:spacing w:line="360" w:lineRule="auto"/>
        <w:ind w:firstLine="1716" w:firstLineChars="600"/>
        <w:jc w:val="both"/>
        <w:textAlignment w:val="baseline"/>
        <w:rPr>
          <w:rFonts w:hint="eastAsia" w:asciiTheme="minorEastAsia" w:hAnsiTheme="minorEastAsia" w:eastAsiaTheme="minorEastAsia" w:cstheme="minorEastAsia"/>
          <w:b w:val="0"/>
          <w:bCs w:val="0"/>
          <w:spacing w:val="-17"/>
          <w:sz w:val="32"/>
          <w:szCs w:val="32"/>
          <w:u w:val="single"/>
          <w:lang w:val="en-US" w:eastAsia="zh-CN"/>
        </w:rPr>
      </w:pPr>
      <w:r>
        <w:rPr>
          <w:rFonts w:hint="eastAsia" w:asciiTheme="minorEastAsia" w:hAnsiTheme="minorEastAsia" w:eastAsiaTheme="minorEastAsia" w:cstheme="minorEastAsia"/>
          <w:b w:val="0"/>
          <w:bCs w:val="0"/>
          <w:spacing w:val="-17"/>
          <w:sz w:val="32"/>
          <w:szCs w:val="32"/>
          <w:u w:val="single"/>
          <w:lang w:val="en-US" w:eastAsia="zh-CN"/>
        </w:rPr>
        <w:t>服务框架协议（2025-2026年）采购项目</w:t>
      </w:r>
    </w:p>
    <w:p w14:paraId="7616F4AE">
      <w:pPr>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rPr>
          <w:rFonts w:hint="default" w:asciiTheme="minorEastAsia" w:hAnsiTheme="minorEastAsia" w:eastAsiaTheme="minorEastAsia" w:cstheme="minorEastAsia"/>
          <w:b w:val="0"/>
          <w:bCs w:val="0"/>
          <w:spacing w:val="-17"/>
          <w:sz w:val="32"/>
          <w:szCs w:val="32"/>
          <w:u w:val="single"/>
          <w:lang w:val="en-US" w:eastAsia="zh-CN"/>
        </w:rPr>
      </w:pPr>
      <w:r>
        <w:rPr>
          <w:rFonts w:hint="eastAsia" w:asciiTheme="minorEastAsia" w:hAnsiTheme="minorEastAsia" w:eastAsiaTheme="minorEastAsia" w:cstheme="minorEastAsia"/>
          <w:b/>
          <w:bCs/>
          <w:spacing w:val="-17"/>
          <w:sz w:val="36"/>
          <w:szCs w:val="36"/>
          <w:lang w:val="en-US" w:eastAsia="zh-CN"/>
        </w:rPr>
        <w:t>项目编号：</w:t>
      </w:r>
      <w:r>
        <w:rPr>
          <w:rFonts w:hint="eastAsia" w:asciiTheme="minorEastAsia" w:hAnsiTheme="minorEastAsia" w:eastAsiaTheme="minorEastAsia" w:cstheme="minorEastAsia"/>
          <w:b w:val="0"/>
          <w:bCs w:val="0"/>
          <w:spacing w:val="-17"/>
          <w:sz w:val="32"/>
          <w:szCs w:val="32"/>
          <w:u w:val="single"/>
          <w:lang w:val="en-US" w:eastAsia="zh-CN"/>
        </w:rPr>
        <w:t xml:space="preserve">       南阳政采公开-2025-34         </w:t>
      </w:r>
    </w:p>
    <w:p w14:paraId="449F9AFD">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default" w:asciiTheme="minorEastAsia" w:hAnsiTheme="minorEastAsia" w:eastAsiaTheme="minorEastAsia" w:cstheme="minorEastAsia"/>
          <w:b w:val="0"/>
          <w:bCs w:val="0"/>
          <w:spacing w:val="-17"/>
          <w:sz w:val="32"/>
          <w:szCs w:val="32"/>
          <w:u w:val="single"/>
          <w:lang w:val="en-US" w:eastAsia="zh-CN"/>
        </w:rPr>
      </w:pPr>
      <w:r>
        <w:rPr>
          <w:rFonts w:hint="eastAsia" w:asciiTheme="minorEastAsia" w:hAnsiTheme="minorEastAsia" w:eastAsiaTheme="minorEastAsia" w:cstheme="minorEastAsia"/>
          <w:b/>
          <w:bCs/>
          <w:spacing w:val="-17"/>
          <w:sz w:val="32"/>
          <w:szCs w:val="32"/>
          <w:lang w:val="en-US" w:eastAsia="zh-CN"/>
        </w:rPr>
        <w:t>征集人</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32"/>
          <w:szCs w:val="32"/>
          <w:u w:val="single"/>
          <w:lang w:val="en-US" w:eastAsia="zh-CN"/>
        </w:rPr>
        <w:t xml:space="preserve">南阳市财政局               </w:t>
      </w:r>
    </w:p>
    <w:p w14:paraId="638F2A5E">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44"/>
          <w:szCs w:val="44"/>
          <w14:textOutline w14:w="2306" w14:cap="flat" w14:cmpd="sng">
            <w14:solidFill>
              <w14:srgbClr w14:val="000000"/>
            </w14:solidFill>
            <w14:prstDash w14:val="solid"/>
            <w14:miter w14:val="0"/>
          </w14:textOutline>
        </w:rPr>
        <w:sectPr>
          <w:headerReference r:id="rId5" w:type="default"/>
          <w:footerReference r:id="rId6"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val="en-US" w:eastAsia="zh-CN"/>
        </w:rPr>
        <w:t xml:space="preserve">  </w:t>
      </w:r>
      <w:r>
        <w:rPr>
          <w:rFonts w:hint="eastAsia" w:asciiTheme="minorEastAsia" w:hAnsiTheme="minorEastAsia" w:eastAsiaTheme="minorEastAsia" w:cstheme="minorEastAsia"/>
          <w:b w:val="0"/>
          <w:bCs w:val="0"/>
          <w:spacing w:val="-17"/>
          <w:sz w:val="32"/>
          <w:szCs w:val="32"/>
          <w:u w:val="single"/>
          <w:lang w:val="en-US" w:eastAsia="zh-CN"/>
        </w:rPr>
        <w:t xml:space="preserve">南阳市公共资源交易中心    </w:t>
      </w:r>
      <w:r>
        <w:rPr>
          <w:rFonts w:hint="eastAsia" w:asciiTheme="minorEastAsia" w:hAnsiTheme="minorEastAsia" w:eastAsiaTheme="minorEastAsia" w:cstheme="minorEastAsia"/>
          <w:b/>
          <w:bCs/>
          <w:spacing w:val="-17"/>
          <w:sz w:val="32"/>
          <w:szCs w:val="32"/>
          <w:u w:val="single"/>
          <w:lang w:val="en-US" w:eastAsia="zh-CN"/>
        </w:rPr>
        <w:t xml:space="preserve">    </w:t>
      </w:r>
    </w:p>
    <w:sdt>
      <w:sdtPr>
        <w:rPr>
          <w:rFonts w:hint="eastAsia" w:asciiTheme="minorEastAsia" w:hAnsiTheme="minorEastAsia" w:eastAsiaTheme="minorEastAsia" w:cstheme="minorEastAsia"/>
          <w:sz w:val="21"/>
          <w:szCs w:val="21"/>
        </w:rPr>
        <w:id w:val="2"/>
        <w:docPartObj>
          <w:docPartGallery w:val="Table of Contents"/>
          <w:docPartUnique/>
        </w:docPartObj>
      </w:sdtPr>
      <w:sdtEndPr>
        <w:rPr>
          <w:rFonts w:hint="eastAsia" w:asciiTheme="minorEastAsia" w:hAnsiTheme="minorEastAsia" w:eastAsiaTheme="minorEastAsia" w:cstheme="minorEastAsia"/>
          <w:sz w:val="28"/>
          <w:szCs w:val="28"/>
          <w:lang w:val="en-US"/>
        </w:rPr>
      </w:sdtEndPr>
      <w:sdtContent>
        <w:p w14:paraId="413E6206">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目</w:t>
          </w:r>
          <w:r>
            <w:rPr>
              <w:rFonts w:hint="eastAsia" w:asciiTheme="minorEastAsia" w:hAnsiTheme="minorEastAsia" w:eastAsiaTheme="minorEastAsia" w:cstheme="minorEastAsia"/>
              <w:spacing w:val="-42"/>
              <w:sz w:val="44"/>
              <w:szCs w:val="44"/>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42"/>
              <w:sz w:val="44"/>
              <w:szCs w:val="44"/>
              <w14:textOutline w14:w="2306" w14:cap="flat" w14:cmpd="sng">
                <w14:solidFill>
                  <w14:srgbClr w14:val="000000"/>
                </w14:solidFill>
                <w14:prstDash w14:val="solid"/>
                <w14:miter w14:val="0"/>
              </w14:textOutline>
            </w:rPr>
            <w:t>录</w:t>
          </w:r>
        </w:p>
        <w:p w14:paraId="6D4245DF">
          <w:pPr>
            <w:pStyle w:val="5"/>
            <w:keepNext w:val="0"/>
            <w:keepLines w:val="0"/>
            <w:pageBreakBefore w:val="0"/>
            <w:kinsoku/>
            <w:wordWrap w:val="0"/>
            <w:overflowPunct/>
            <w:topLinePunct w:val="0"/>
            <w:bidi w:val="0"/>
            <w:jc w:val="both"/>
            <w:rPr>
              <w:rFonts w:hint="eastAsia"/>
              <w:shd w:val="clear" w:color="FFFFFF" w:fill="D9D9D9"/>
            </w:rPr>
          </w:pPr>
        </w:p>
        <w:p w14:paraId="24BF1EE8">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第一章</w:t>
          </w:r>
          <w:r>
            <w:rPr>
              <w:rFonts w:hint="eastAsia"/>
              <w:sz w:val="28"/>
              <w:szCs w:val="28"/>
              <w:lang w:val="en-US" w:eastAsia="zh-CN"/>
            </w:rPr>
            <w:t xml:space="preserve"> 征集</w:t>
          </w:r>
          <w:r>
            <w:rPr>
              <w:rFonts w:hint="eastAsia"/>
              <w:sz w:val="28"/>
              <w:szCs w:val="28"/>
              <w:lang w:eastAsia="zh-CN"/>
            </w:rPr>
            <w:t>公告</w:t>
          </w:r>
        </w:p>
        <w:p w14:paraId="2DAFFB5F">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二</w:t>
          </w:r>
          <w:r>
            <w:rPr>
              <w:rFonts w:hint="eastAsia"/>
              <w:sz w:val="28"/>
              <w:szCs w:val="28"/>
            </w:rPr>
            <w:t>章</w:t>
          </w:r>
          <w:r>
            <w:rPr>
              <w:rFonts w:hint="eastAsia"/>
              <w:sz w:val="28"/>
              <w:szCs w:val="28"/>
              <w:lang w:val="en-US" w:eastAsia="zh-CN"/>
            </w:rPr>
            <w:t xml:space="preserve"> </w:t>
          </w:r>
          <w:r>
            <w:rPr>
              <w:rFonts w:hint="eastAsia"/>
              <w:sz w:val="28"/>
              <w:szCs w:val="28"/>
            </w:rPr>
            <w:t>采购需求</w:t>
          </w:r>
        </w:p>
        <w:p w14:paraId="5915FD39">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三</w:t>
          </w:r>
          <w:r>
            <w:rPr>
              <w:rFonts w:hint="eastAsia"/>
              <w:sz w:val="28"/>
              <w:szCs w:val="28"/>
            </w:rPr>
            <w:t>章</w:t>
          </w:r>
          <w:r>
            <w:rPr>
              <w:rFonts w:hint="eastAsia"/>
              <w:sz w:val="28"/>
              <w:szCs w:val="28"/>
              <w:lang w:val="en-US" w:eastAsia="zh-CN"/>
            </w:rPr>
            <w:t xml:space="preserve"> </w:t>
          </w:r>
          <w:r>
            <w:rPr>
              <w:rFonts w:hint="eastAsia"/>
              <w:sz w:val="28"/>
              <w:szCs w:val="28"/>
              <w:lang w:eastAsia="zh-CN"/>
            </w:rPr>
            <w:t>供应商</w:t>
          </w:r>
          <w:r>
            <w:rPr>
              <w:rFonts w:hint="eastAsia"/>
              <w:sz w:val="28"/>
              <w:szCs w:val="28"/>
            </w:rPr>
            <w:t>须知</w:t>
          </w:r>
        </w:p>
        <w:p w14:paraId="240AFA06">
          <w:pPr>
            <w:pStyle w:val="5"/>
            <w:keepNext w:val="0"/>
            <w:keepLines w:val="0"/>
            <w:pageBreakBefore w:val="0"/>
            <w:kinsoku/>
            <w:wordWrap w:val="0"/>
            <w:overflowPunct/>
            <w:topLinePunct w:val="0"/>
            <w:bidi w:val="0"/>
            <w:spacing w:line="360" w:lineRule="auto"/>
            <w:jc w:val="both"/>
            <w:rPr>
              <w:rFonts w:hint="eastAsia"/>
              <w:sz w:val="28"/>
              <w:szCs w:val="28"/>
              <w:lang w:val="en-US" w:eastAsia="zh-CN"/>
            </w:rPr>
          </w:pPr>
          <w:r>
            <w:rPr>
              <w:rFonts w:hint="eastAsia"/>
              <w:sz w:val="28"/>
              <w:szCs w:val="28"/>
            </w:rPr>
            <w:t>第</w:t>
          </w:r>
          <w:r>
            <w:rPr>
              <w:rFonts w:hint="eastAsia"/>
              <w:sz w:val="28"/>
              <w:szCs w:val="28"/>
              <w:lang w:val="en-US" w:eastAsia="zh-CN"/>
            </w:rPr>
            <w:t>四</w:t>
          </w:r>
          <w:r>
            <w:rPr>
              <w:rFonts w:hint="eastAsia"/>
              <w:sz w:val="28"/>
              <w:szCs w:val="28"/>
            </w:rPr>
            <w:t>章</w:t>
          </w:r>
          <w:r>
            <w:rPr>
              <w:rFonts w:hint="eastAsia"/>
              <w:sz w:val="28"/>
              <w:szCs w:val="28"/>
              <w:lang w:val="en-US" w:eastAsia="zh-CN"/>
            </w:rPr>
            <w:t xml:space="preserve"> 开、</w:t>
          </w:r>
          <w:r>
            <w:rPr>
              <w:rFonts w:hint="eastAsia"/>
              <w:sz w:val="28"/>
              <w:szCs w:val="28"/>
              <w:lang w:eastAsia="zh-CN"/>
            </w:rPr>
            <w:t>评审</w:t>
          </w:r>
          <w:r>
            <w:rPr>
              <w:rFonts w:hint="eastAsia"/>
              <w:sz w:val="28"/>
              <w:szCs w:val="28"/>
            </w:rPr>
            <w:t>程序、</w:t>
          </w:r>
          <w:r>
            <w:rPr>
              <w:rFonts w:hint="eastAsia"/>
              <w:sz w:val="28"/>
              <w:szCs w:val="28"/>
              <w:lang w:eastAsia="zh-CN"/>
            </w:rPr>
            <w:t>评审</w:t>
          </w:r>
          <w:r>
            <w:rPr>
              <w:rFonts w:hint="eastAsia"/>
              <w:sz w:val="28"/>
              <w:szCs w:val="28"/>
            </w:rPr>
            <w:t>方法和</w:t>
          </w:r>
          <w:r>
            <w:rPr>
              <w:rFonts w:hint="eastAsia"/>
              <w:sz w:val="28"/>
              <w:szCs w:val="28"/>
              <w:lang w:eastAsia="zh-CN"/>
            </w:rPr>
            <w:t>评审</w:t>
          </w:r>
          <w:r>
            <w:rPr>
              <w:rFonts w:hint="eastAsia"/>
              <w:sz w:val="28"/>
              <w:szCs w:val="28"/>
            </w:rPr>
            <w:t>标准</w:t>
          </w:r>
        </w:p>
        <w:p w14:paraId="394305BF">
          <w:pPr>
            <w:pStyle w:val="5"/>
            <w:keepNext w:val="0"/>
            <w:keepLines w:val="0"/>
            <w:pageBreakBefore w:val="0"/>
            <w:kinsoku/>
            <w:wordWrap w:val="0"/>
            <w:overflowPunct/>
            <w:topLinePunct w:val="0"/>
            <w:bidi w:val="0"/>
            <w:spacing w:line="360" w:lineRule="auto"/>
            <w:jc w:val="both"/>
            <w:rPr>
              <w:rFonts w:hint="eastAsia"/>
              <w:sz w:val="28"/>
              <w:szCs w:val="28"/>
              <w:lang w:eastAsia="zh-CN"/>
            </w:rPr>
          </w:pPr>
          <w:r>
            <w:rPr>
              <w:rFonts w:hint="eastAsia"/>
              <w:sz w:val="28"/>
              <w:szCs w:val="28"/>
            </w:rPr>
            <w:t>第</w:t>
          </w:r>
          <w:r>
            <w:rPr>
              <w:rFonts w:hint="eastAsia"/>
              <w:sz w:val="28"/>
              <w:szCs w:val="28"/>
              <w:lang w:val="en-US" w:eastAsia="zh-CN"/>
            </w:rPr>
            <w:t>五</w:t>
          </w:r>
          <w:r>
            <w:rPr>
              <w:rFonts w:hint="eastAsia"/>
              <w:sz w:val="28"/>
              <w:szCs w:val="28"/>
            </w:rPr>
            <w:t>章</w:t>
          </w:r>
          <w:r>
            <w:rPr>
              <w:rFonts w:hint="eastAsia"/>
              <w:sz w:val="28"/>
              <w:szCs w:val="28"/>
              <w:lang w:val="en-US" w:eastAsia="zh-CN"/>
            </w:rPr>
            <w:t xml:space="preserve"> </w:t>
          </w:r>
          <w:r>
            <w:rPr>
              <w:rFonts w:hint="eastAsia"/>
              <w:sz w:val="28"/>
              <w:szCs w:val="28"/>
              <w:lang w:eastAsia="zh-CN"/>
            </w:rPr>
            <w:t>政府采购合同（草案）</w:t>
          </w:r>
        </w:p>
        <w:p w14:paraId="2D74A23B">
          <w:pPr>
            <w:pStyle w:val="5"/>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8"/>
              <w:szCs w:val="28"/>
              <w:lang w:val="en-US"/>
            </w:rPr>
          </w:pPr>
          <w:r>
            <w:rPr>
              <w:rFonts w:hint="eastAsia"/>
              <w:sz w:val="28"/>
              <w:szCs w:val="28"/>
            </w:rPr>
            <w:t>第</w:t>
          </w:r>
          <w:r>
            <w:rPr>
              <w:rFonts w:hint="eastAsia"/>
              <w:sz w:val="28"/>
              <w:szCs w:val="28"/>
              <w:lang w:val="en-US" w:eastAsia="zh-CN"/>
            </w:rPr>
            <w:t>六</w:t>
          </w:r>
          <w:r>
            <w:rPr>
              <w:rFonts w:hint="eastAsia"/>
              <w:sz w:val="28"/>
              <w:szCs w:val="28"/>
            </w:rPr>
            <w:t>章</w:t>
          </w:r>
          <w:r>
            <w:rPr>
              <w:rFonts w:hint="eastAsia"/>
              <w:sz w:val="28"/>
              <w:szCs w:val="28"/>
              <w:lang w:val="en-US" w:eastAsia="zh-CN"/>
            </w:rPr>
            <w:t xml:space="preserve"> </w:t>
          </w:r>
          <w:r>
            <w:rPr>
              <w:rFonts w:hint="eastAsia"/>
              <w:sz w:val="28"/>
              <w:szCs w:val="28"/>
              <w:lang w:eastAsia="zh-CN"/>
            </w:rPr>
            <w:t>响应文件</w:t>
          </w:r>
          <w:r>
            <w:rPr>
              <w:rFonts w:hint="eastAsia"/>
              <w:sz w:val="28"/>
              <w:szCs w:val="28"/>
            </w:rPr>
            <w:t>格式</w:t>
          </w:r>
        </w:p>
      </w:sdtContent>
    </w:sdt>
    <w:p w14:paraId="3A320E1E">
      <w:pPr>
        <w:pStyle w:val="21"/>
        <w:rPr>
          <w:rFonts w:hint="eastAsia"/>
        </w:rPr>
      </w:pPr>
    </w:p>
    <w:p w14:paraId="09F7028B">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14:paraId="31D378ED">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14:paraId="0490319D">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14:paraId="53D72FF2">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14:paraId="117A1A47">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pPr>
    </w:p>
    <w:p w14:paraId="7F571A64">
      <w:pPr>
        <w:pStyle w:val="5"/>
        <w:keepNext w:val="0"/>
        <w:keepLines w:val="0"/>
        <w:pageBreakBefore w:val="0"/>
        <w:kinsoku/>
        <w:wordWrap w:val="0"/>
        <w:overflowPunct/>
        <w:topLinePunct w:val="0"/>
        <w:bidi w:val="0"/>
        <w:spacing w:before="353" w:line="222" w:lineRule="auto"/>
        <w:ind w:left="3716"/>
        <w:jc w:val="both"/>
        <w:rPr>
          <w:rFonts w:hint="eastAsia" w:asciiTheme="minorEastAsia" w:hAnsiTheme="minorEastAsia" w:eastAsiaTheme="minorEastAsia" w:cstheme="minorEastAsia"/>
          <w:sz w:val="21"/>
          <w:szCs w:val="21"/>
        </w:rPr>
        <w:sectPr>
          <w:footerReference r:id="rId7" w:type="default"/>
          <w:pgSz w:w="11907" w:h="16840"/>
          <w:pgMar w:top="1440" w:right="1800" w:bottom="1440" w:left="1800" w:header="878" w:footer="886" w:gutter="0"/>
          <w:pgNumType w:fmt="decimal"/>
          <w:cols w:space="720" w:num="1"/>
        </w:sectPr>
      </w:pPr>
    </w:p>
    <w:p w14:paraId="675FAC02">
      <w:pPr>
        <w:pStyle w:val="5"/>
        <w:keepNext w:val="0"/>
        <w:keepLines w:val="0"/>
        <w:pageBreakBefore w:val="0"/>
        <w:kinsoku/>
        <w:wordWrap w:val="0"/>
        <w:overflowPunct/>
        <w:topLinePunct w:val="0"/>
        <w:bidi w:val="0"/>
        <w:spacing w:before="353" w:line="360" w:lineRule="auto"/>
        <w:ind w:firstLine="2506" w:firstLineChars="700"/>
        <w:jc w:val="both"/>
        <w:rPr>
          <w:spacing w:val="-6"/>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第一章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征集</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公告</w:t>
      </w:r>
    </w:p>
    <w:p w14:paraId="0767D78B">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56" w:firstLineChars="200"/>
        <w:jc w:val="both"/>
        <w:textAlignment w:val="baseline"/>
        <w:outlineLvl w:val="1"/>
        <w:rPr>
          <w:spacing w:val="-6"/>
          <w:sz w:val="24"/>
          <w:szCs w:val="24"/>
        </w:rPr>
      </w:pPr>
    </w:p>
    <w:p w14:paraId="1DA6E23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一、项目基本情况</w:t>
      </w:r>
    </w:p>
    <w:p w14:paraId="12B96AE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pacing w:val="-25"/>
          <w:sz w:val="24"/>
          <w:szCs w:val="24"/>
        </w:rPr>
        <w:t>1.</w:t>
      </w:r>
      <w:r>
        <w:rPr>
          <w:rFonts w:hint="eastAsia" w:asciiTheme="minorEastAsia" w:hAnsiTheme="minorEastAsia" w:eastAsiaTheme="minorEastAsia" w:cstheme="minorEastAsia"/>
          <w:spacing w:val="-25"/>
          <w:sz w:val="24"/>
          <w:szCs w:val="24"/>
          <w:highlight w:val="none"/>
        </w:rPr>
        <w:t>项目编号：南阳政采公开-2025-34</w:t>
      </w:r>
    </w:p>
    <w:p w14:paraId="13CC10E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val="en-US" w:eastAsia="zh-CN"/>
        </w:rPr>
        <w:t>南阳市财政局预算绩效管理第三方服务框架协议（2025-2026年）采购项目</w:t>
      </w:r>
    </w:p>
    <w:p w14:paraId="1CDB4B0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lang w:val="en-US" w:eastAsia="zh-CN"/>
        </w:rPr>
        <w:t>260</w:t>
      </w:r>
      <w:r>
        <w:rPr>
          <w:rFonts w:hint="eastAsia" w:asciiTheme="minorEastAsia" w:hAnsiTheme="minorEastAsia" w:eastAsiaTheme="minorEastAsia" w:cstheme="minorEastAsia"/>
          <w:spacing w:val="-14"/>
          <w:sz w:val="24"/>
          <w:szCs w:val="24"/>
        </w:rPr>
        <w:t>万元、项目最高限价</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val="en-US" w:eastAsia="zh-CN"/>
        </w:rPr>
        <w:t>260</w:t>
      </w:r>
      <w:r>
        <w:rPr>
          <w:rFonts w:hint="eastAsia" w:asciiTheme="minorEastAsia" w:hAnsiTheme="minorEastAsia" w:eastAsiaTheme="minorEastAsia" w:cstheme="minorEastAsia"/>
          <w:spacing w:val="-14"/>
          <w:sz w:val="24"/>
          <w:szCs w:val="24"/>
        </w:rPr>
        <w:t>万元</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仅供参考</w:t>
      </w:r>
      <w:r>
        <w:rPr>
          <w:rFonts w:hint="eastAsia" w:asciiTheme="minorEastAsia" w:hAnsiTheme="minorEastAsia" w:eastAsiaTheme="minorEastAsia" w:cstheme="minorEastAsia"/>
          <w:spacing w:val="-14"/>
          <w:sz w:val="24"/>
          <w:szCs w:val="24"/>
          <w:lang w:eastAsia="zh-CN"/>
        </w:rPr>
        <w:t>）</w:t>
      </w:r>
    </w:p>
    <w:p w14:paraId="52BD01F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22"/>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14:paraId="68226A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14:paraId="6945A12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14:paraId="775FBC7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14:paraId="2833542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万</w:t>
            </w:r>
            <w:r>
              <w:rPr>
                <w:rFonts w:hint="eastAsia" w:asciiTheme="minorEastAsia" w:hAnsiTheme="minorEastAsia" w:eastAsiaTheme="minorEastAsia" w:cstheme="minorEastAsia"/>
                <w:sz w:val="24"/>
                <w:szCs w:val="24"/>
              </w:rPr>
              <w:t>元）</w:t>
            </w:r>
          </w:p>
        </w:tc>
      </w:tr>
      <w:tr w14:paraId="3A4355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1635" w:type="dxa"/>
            <w:vAlign w:val="top"/>
          </w:tcPr>
          <w:p w14:paraId="10B5DA8C">
            <w:pPr>
              <w:pStyle w:val="23"/>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val="en-US" w:eastAsia="zh-CN"/>
              </w:rPr>
              <w:t>项目编号-</w:t>
            </w:r>
            <w:r>
              <w:rPr>
                <w:rFonts w:hint="eastAsia" w:asciiTheme="minorEastAsia" w:hAnsiTheme="minorEastAsia" w:eastAsiaTheme="minorEastAsia" w:cstheme="minorEastAsia"/>
                <w:spacing w:val="14"/>
                <w:sz w:val="24"/>
                <w:szCs w:val="24"/>
              </w:rPr>
              <w:t>1</w:t>
            </w:r>
          </w:p>
        </w:tc>
        <w:tc>
          <w:tcPr>
            <w:tcW w:w="4215" w:type="dxa"/>
            <w:vAlign w:val="top"/>
          </w:tcPr>
          <w:p w14:paraId="759CE978">
            <w:pPr>
              <w:pStyle w:val="2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南阳市财政局预算绩效管理第三方服务框架协议（2025-2026年）采购项目</w:t>
            </w:r>
          </w:p>
        </w:tc>
        <w:tc>
          <w:tcPr>
            <w:tcW w:w="2321" w:type="dxa"/>
            <w:vAlign w:val="top"/>
          </w:tcPr>
          <w:p w14:paraId="333B2C5E">
            <w:pPr>
              <w:pStyle w:val="23"/>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720" w:firstLineChars="3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260</w:t>
            </w:r>
          </w:p>
        </w:tc>
      </w:tr>
    </w:tbl>
    <w:p w14:paraId="244CC32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5.服务要求</w:t>
      </w:r>
    </w:p>
    <w:p w14:paraId="4FEAD71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76" w:firstLineChars="200"/>
        <w:jc w:val="both"/>
        <w:textAlignment w:val="baseline"/>
        <w:rPr>
          <w:rFonts w:hint="eastAsia" w:asciiTheme="minorEastAsia" w:hAnsiTheme="minorEastAsia" w:eastAsiaTheme="minorEastAsia" w:cstheme="minorEastAsia"/>
          <w:snapToGrid w:val="0"/>
          <w:color w:val="000000"/>
          <w:spacing w:val="-1"/>
          <w:kern w:val="0"/>
          <w:sz w:val="24"/>
          <w:szCs w:val="24"/>
          <w:lang w:val="en-US" w:eastAsia="en-US" w:bidi="ar-SA"/>
        </w:rPr>
      </w:pPr>
      <w:r>
        <w:rPr>
          <w:rFonts w:hint="eastAsia" w:asciiTheme="minorEastAsia" w:hAnsiTheme="minorEastAsia" w:eastAsiaTheme="minorEastAsia" w:cstheme="minorEastAsia"/>
          <w:snapToGrid w:val="0"/>
          <w:color w:val="000000"/>
          <w:spacing w:val="-1"/>
          <w:kern w:val="0"/>
          <w:sz w:val="24"/>
          <w:szCs w:val="24"/>
          <w:lang w:val="en-US" w:eastAsia="en-US" w:bidi="ar-SA"/>
        </w:rPr>
        <w:t>接受南阳市财政局的委托，对财政事前绩效评估、绩效目标审核、财政重点绩效监控、财政重点绩效评价或评价结果复核、全成本预算绩效分析和支出标准制定、绩效指标和标准体系制定、预算绩效管理课题研究等预算绩效管理提供综合服务。</w:t>
      </w:r>
    </w:p>
    <w:p w14:paraId="29D492A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leftChars="0" w:right="0" w:firstLine="460" w:firstLineChars="200"/>
        <w:jc w:val="both"/>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5"/>
          <w:sz w:val="24"/>
          <w:szCs w:val="24"/>
          <w:lang w:val="en-US" w:eastAsia="zh-CN"/>
        </w:rPr>
        <w:t>框架协议</w:t>
      </w:r>
      <w:r>
        <w:rPr>
          <w:rFonts w:hint="eastAsia" w:asciiTheme="minorEastAsia" w:hAnsiTheme="minorEastAsia" w:eastAsiaTheme="minorEastAsia" w:cstheme="minorEastAsia"/>
          <w:spacing w:val="-5"/>
          <w:sz w:val="24"/>
          <w:szCs w:val="24"/>
        </w:rPr>
        <w:t>期限：</w:t>
      </w:r>
      <w:r>
        <w:rPr>
          <w:rFonts w:hint="eastAsia" w:asciiTheme="minorEastAsia" w:hAnsiTheme="minorEastAsia" w:eastAsiaTheme="minorEastAsia" w:cstheme="minorEastAsia"/>
          <w:spacing w:val="-5"/>
          <w:sz w:val="24"/>
          <w:szCs w:val="24"/>
          <w:lang w:val="en-US" w:eastAsia="zh-CN"/>
        </w:rPr>
        <w:t>两年</w:t>
      </w:r>
    </w:p>
    <w:p w14:paraId="342AF02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Chars="200" w:right="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.本项目是否接受联合体投标：</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14:paraId="5C9BE9F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6D5CC9A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14:paraId="26D4D7D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申请人具备的</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资格要求（须同时满足）</w:t>
      </w:r>
    </w:p>
    <w:p w14:paraId="14FBE51D">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12D2B08D">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444DBD83">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0209BA4B">
      <w:pPr>
        <w:keepNext w:val="0"/>
        <w:keepLines w:val="0"/>
        <w:pageBreakBefore w:val="0"/>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46E3FA67">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26E589A7">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6、单位负责人为同一人或者存在直接控股、管理关系的不同供应商，不得参加同一合同项下的政府采购活动。提供承诺函，格式自拟；</w:t>
      </w:r>
    </w:p>
    <w:p w14:paraId="14D438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firstLine="424" w:firstLine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2139BE71">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8、遵守国家有关法律、法规、规章。</w:t>
      </w:r>
    </w:p>
    <w:p w14:paraId="573780C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9、符合《第三方机构预算绩效评价业务监督管理暂行办法》（财监[2021]4号）第二条、第七条规定，提供相应的资格证明材料及承诺函，格式自拟；</w:t>
      </w:r>
    </w:p>
    <w:p w14:paraId="4F3CB212">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9.1 第三方机构是指依法设立并向各级财政部门、预算部门和单位等管理、使用财政资金的主体（以下简称委托方）提供预算绩效评价服务，独立于委托方和预算绩效评价对象的组织，主要包括专业咨询机构、会计师事务所、资产评估机构、律师事务所、科研院所、高等院校等。</w:t>
      </w:r>
    </w:p>
    <w:p w14:paraId="58D49073">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9.2供应商拟派项目负责人（主评人）应符合《第三方机构预算绩效评价业务监督管理暂行办法》第七条规定：</w:t>
      </w:r>
    </w:p>
    <w:p w14:paraId="72850EE7">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（1）遵守法律、行政法规和本办法的规定，具有良好的职业道德；</w:t>
      </w:r>
    </w:p>
    <w:p w14:paraId="685F83E5">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（2）具有与预算绩效评价业务相适应的学历、能力；</w:t>
      </w:r>
    </w:p>
    <w:p w14:paraId="2C21F653">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（3）具备中高级职称或注册会计师、评估师、律师、内审师、注册造价工程师、注册咨询工程师等相关行业管理部门认可的专业资质；</w:t>
      </w:r>
    </w:p>
    <w:p w14:paraId="77B85BC9">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（4）具有5年以上工作经验，其中从事预算绩效评价工作3年以上；</w:t>
      </w:r>
    </w:p>
    <w:p w14:paraId="333EED7F">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（5）具有较强的政策理解、项目管理和沟通协调能力；</w:t>
      </w:r>
    </w:p>
    <w:p w14:paraId="02EE5D94">
      <w:pPr>
        <w:keepNext w:val="0"/>
        <w:keepLines w:val="0"/>
        <w:pageBreakBefore w:val="0"/>
        <w:widowControl/>
        <w:kinsoku/>
        <w:wordWrap w:val="0"/>
        <w:overflowPunct/>
        <w:topLinePunct w:val="0"/>
        <w:autoSpaceDE/>
        <w:autoSpaceDN/>
        <w:bidi w:val="0"/>
        <w:adjustRightInd/>
        <w:snapToGrid/>
        <w:spacing w:line="360" w:lineRule="auto"/>
        <w:ind w:left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（6）未被追究过刑事责任，或者从事评估、财务、会计、审计活动中因过失犯罪而受刑事处罚，刑罚执行期满逾5年。</w:t>
      </w:r>
    </w:p>
    <w:p w14:paraId="18A0EB58">
      <w:pPr>
        <w:keepNext w:val="0"/>
        <w:keepLines w:val="0"/>
        <w:pageBreakBefore w:val="0"/>
        <w:kinsoku/>
        <w:wordWrap w:val="0"/>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512CA4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756EA6B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14:paraId="34C9793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val="en-US" w:eastAsia="zh-CN"/>
        </w:rPr>
        <w:t>1.</w:t>
      </w:r>
      <w:r>
        <w:rPr>
          <w:rFonts w:hint="eastAsia" w:asciiTheme="minorEastAsia" w:hAnsiTheme="minorEastAsia" w:eastAsiaTheme="minorEastAsia" w:cstheme="minorEastAsia"/>
          <w:spacing w:val="1"/>
          <w:sz w:val="24"/>
          <w:szCs w:val="24"/>
          <w:highlight w:val="none"/>
        </w:rPr>
        <w:t>中小企业政策</w:t>
      </w:r>
    </w:p>
    <w:p w14:paraId="41E5F9A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
          <w:sz w:val="24"/>
          <w:szCs w:val="24"/>
          <w:highlight w:val="none"/>
          <w:lang w:eastAsia="zh-CN"/>
        </w:rPr>
        <w:t>☑</w:t>
      </w:r>
      <w:r>
        <w:rPr>
          <w:rFonts w:hint="eastAsia" w:asciiTheme="minorEastAsia" w:hAnsiTheme="minorEastAsia" w:eastAsiaTheme="minorEastAsia" w:cstheme="minorEastAsia"/>
          <w:spacing w:val="1"/>
          <w:sz w:val="24"/>
          <w:szCs w:val="24"/>
          <w:highlight w:val="none"/>
        </w:rPr>
        <w:t>本项目不专门面向中小企业预留采购份额。</w:t>
      </w:r>
    </w:p>
    <w:p w14:paraId="0214E67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14:paraId="60E9343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14:paraId="347BBE5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0" w:firstLineChars="200"/>
        <w:jc w:val="both"/>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14:paraId="0C4BC26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2" w:firstLineChars="200"/>
        <w:jc w:val="both"/>
        <w:textAlignment w:val="baseline"/>
        <w:rPr>
          <w:rFonts w:hint="eastAsia" w:asciiTheme="minorEastAsia" w:hAnsiTheme="minorEastAsia" w:eastAsiaTheme="minorEastAsia" w:cstheme="minorEastAsia"/>
          <w:spacing w:val="-12"/>
          <w:sz w:val="24"/>
          <w:szCs w:val="24"/>
          <w:highlight w:val="none"/>
        </w:rPr>
      </w:pPr>
      <w:r>
        <w:rPr>
          <w:rFonts w:hint="eastAsia" w:asciiTheme="minorEastAsia" w:hAnsiTheme="minorEastAsia" w:eastAsiaTheme="minorEastAsia" w:cstheme="minorEastAsia"/>
          <w:spacing w:val="-2"/>
          <w:sz w:val="24"/>
          <w:szCs w:val="24"/>
          <w:highlight w:val="none"/>
          <w:lang w:eastAsia="zh-CN"/>
        </w:rPr>
        <w:t>☑</w:t>
      </w:r>
      <w:r>
        <w:rPr>
          <w:rFonts w:hint="eastAsia" w:asciiTheme="minorEastAsia" w:hAnsiTheme="minorEastAsia" w:eastAsiaTheme="minorEastAsia" w:cstheme="minorEastAsia"/>
          <w:spacing w:val="-2"/>
          <w:sz w:val="24"/>
          <w:szCs w:val="24"/>
          <w:highlight w:val="none"/>
        </w:rPr>
        <w:t>是，公益一类事业单位、使用事业编制且由财政</w:t>
      </w:r>
      <w:r>
        <w:rPr>
          <w:rFonts w:hint="eastAsia" w:asciiTheme="minorEastAsia" w:hAnsiTheme="minorEastAsia" w:eastAsiaTheme="minorEastAsia" w:cstheme="minorEastAsia"/>
          <w:spacing w:val="-3"/>
          <w:sz w:val="24"/>
          <w:szCs w:val="24"/>
          <w:highlight w:val="none"/>
        </w:rPr>
        <w:t>拨款保障的群团组织，不得</w:t>
      </w:r>
      <w:r>
        <w:rPr>
          <w:rFonts w:hint="eastAsia" w:asciiTheme="minorEastAsia" w:hAnsiTheme="minorEastAsia" w:eastAsiaTheme="minorEastAsia" w:cstheme="minorEastAsia"/>
          <w:spacing w:val="-9"/>
          <w:sz w:val="24"/>
          <w:szCs w:val="24"/>
          <w:highlight w:val="none"/>
        </w:rPr>
        <w:t>作为承接主体</w:t>
      </w:r>
      <w:r>
        <w:rPr>
          <w:rFonts w:hint="eastAsia" w:asciiTheme="minorEastAsia" w:hAnsiTheme="minorEastAsia" w:eastAsiaTheme="minorEastAsia" w:cstheme="minorEastAsia"/>
          <w:spacing w:val="-12"/>
          <w:sz w:val="24"/>
          <w:szCs w:val="24"/>
          <w:highlight w:val="none"/>
        </w:rPr>
        <w:t>。</w:t>
      </w:r>
    </w:p>
    <w:p w14:paraId="66AB3A1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3656337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1AC8B90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四</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、获取</w:t>
      </w:r>
      <w:r>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t>征集文件</w:t>
      </w:r>
    </w:p>
    <w:p w14:paraId="6F9B0B3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8" w:firstLineChars="200"/>
        <w:jc w:val="both"/>
        <w:textAlignment w:val="baseline"/>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pacing w:val="-13"/>
          <w:sz w:val="24"/>
          <w:szCs w:val="24"/>
          <w:highlight w:val="none"/>
        </w:rPr>
        <w:t>1.时间：</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10 </w:t>
      </w:r>
      <w:r>
        <w:rPr>
          <w:rFonts w:hint="eastAsia" w:asciiTheme="minorEastAsia" w:hAnsiTheme="minorEastAsia" w:eastAsiaTheme="minorEastAsia" w:cstheme="minorEastAsia"/>
          <w:spacing w:val="-13"/>
          <w:sz w:val="24"/>
          <w:szCs w:val="24"/>
          <w:highlight w:val="none"/>
        </w:rPr>
        <w:t>日至</w:t>
      </w:r>
      <w:r>
        <w:rPr>
          <w:rFonts w:hint="eastAsia" w:asciiTheme="minorEastAsia" w:hAnsiTheme="minorEastAsia" w:eastAsiaTheme="minorEastAsia" w:cstheme="minorEastAsia"/>
          <w:spacing w:val="-13"/>
          <w:sz w:val="24"/>
          <w:szCs w:val="24"/>
          <w:highlight w:val="none"/>
          <w:u w:val="single"/>
          <w:lang w:val="en-US" w:eastAsia="zh-CN"/>
        </w:rPr>
        <w:t xml:space="preserve">  2025  </w:t>
      </w:r>
      <w:r>
        <w:rPr>
          <w:rFonts w:hint="eastAsia" w:asciiTheme="minorEastAsia" w:hAnsiTheme="minorEastAsia" w:eastAsiaTheme="minorEastAsia" w:cstheme="minorEastAsia"/>
          <w:spacing w:val="-13"/>
          <w:sz w:val="24"/>
          <w:szCs w:val="24"/>
          <w:highlight w:val="none"/>
        </w:rPr>
        <w:t>年</w:t>
      </w:r>
      <w:r>
        <w:rPr>
          <w:rFonts w:hint="eastAsia" w:asciiTheme="minorEastAsia" w:hAnsiTheme="minorEastAsia" w:eastAsiaTheme="minorEastAsia" w:cstheme="minorEastAsia"/>
          <w:spacing w:val="-13"/>
          <w:sz w:val="24"/>
          <w:szCs w:val="24"/>
          <w:highlight w:val="none"/>
          <w:u w:val="single"/>
          <w:lang w:val="en-US" w:eastAsia="zh-CN"/>
        </w:rPr>
        <w:t xml:space="preserve"> 7 </w:t>
      </w:r>
      <w:r>
        <w:rPr>
          <w:rFonts w:hint="eastAsia" w:asciiTheme="minorEastAsia" w:hAnsiTheme="minorEastAsia" w:eastAsiaTheme="minorEastAsia" w:cstheme="minorEastAsia"/>
          <w:spacing w:val="-13"/>
          <w:sz w:val="24"/>
          <w:szCs w:val="24"/>
          <w:highlight w:val="none"/>
        </w:rPr>
        <w:t>月</w:t>
      </w:r>
      <w:r>
        <w:rPr>
          <w:rFonts w:hint="eastAsia" w:asciiTheme="minorEastAsia" w:hAnsiTheme="minorEastAsia" w:eastAsiaTheme="minorEastAsia" w:cstheme="minorEastAsia"/>
          <w:spacing w:val="-13"/>
          <w:sz w:val="24"/>
          <w:szCs w:val="24"/>
          <w:highlight w:val="none"/>
          <w:u w:val="single"/>
          <w:lang w:val="en-US" w:eastAsia="zh-CN"/>
        </w:rPr>
        <w:t xml:space="preserve"> 16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4"/>
          <w:sz w:val="24"/>
          <w:szCs w:val="24"/>
          <w:highlight w:val="none"/>
        </w:rPr>
        <w:t>每天上午</w:t>
      </w:r>
      <w:r>
        <w:rPr>
          <w:rFonts w:hint="eastAsia" w:asciiTheme="minorEastAsia" w:hAnsiTheme="minorEastAsia" w:eastAsiaTheme="minorEastAsia" w:cstheme="minorEastAsia"/>
          <w:spacing w:val="-13"/>
          <w:sz w:val="24"/>
          <w:szCs w:val="24"/>
          <w:highlight w:val="none"/>
          <w:u w:val="single"/>
          <w:lang w:val="en-US" w:eastAsia="zh-CN"/>
        </w:rPr>
        <w:t xml:space="preserve"> 0：00</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，下午</w:t>
      </w:r>
      <w:r>
        <w:rPr>
          <w:rFonts w:hint="eastAsia" w:asciiTheme="minorEastAsia" w:hAnsiTheme="minorEastAsia" w:eastAsiaTheme="minorEastAsia" w:cstheme="minorEastAsia"/>
          <w:spacing w:val="-13"/>
          <w:sz w:val="24"/>
          <w:szCs w:val="24"/>
          <w:highlight w:val="none"/>
          <w:u w:val="single"/>
          <w:lang w:val="en-US" w:eastAsia="zh-CN"/>
        </w:rPr>
        <w:t xml:space="preserve">  12：00  </w:t>
      </w:r>
      <w:r>
        <w:rPr>
          <w:rFonts w:hint="eastAsia" w:asciiTheme="minorEastAsia" w:hAnsiTheme="minorEastAsia" w:eastAsiaTheme="minorEastAsia" w:cstheme="minorEastAsia"/>
          <w:spacing w:val="-14"/>
          <w:sz w:val="24"/>
          <w:szCs w:val="24"/>
          <w:highlight w:val="none"/>
        </w:rPr>
        <w:t>至</w:t>
      </w:r>
      <w:r>
        <w:rPr>
          <w:rFonts w:hint="eastAsia" w:asciiTheme="minorEastAsia" w:hAnsiTheme="minorEastAsia" w:eastAsiaTheme="minorEastAsia" w:cstheme="minorEastAsia"/>
          <w:spacing w:val="-13"/>
          <w:sz w:val="24"/>
          <w:szCs w:val="24"/>
          <w:highlight w:val="none"/>
          <w:u w:val="single"/>
          <w:lang w:val="en-US" w:eastAsia="zh-CN"/>
        </w:rPr>
        <w:t xml:space="preserve">  23：59   </w:t>
      </w:r>
      <w:r>
        <w:rPr>
          <w:rFonts w:hint="eastAsia" w:asciiTheme="minorEastAsia" w:hAnsiTheme="minorEastAsia" w:eastAsiaTheme="minorEastAsia" w:cstheme="minorEastAsia"/>
          <w:spacing w:val="-14"/>
          <w:sz w:val="24"/>
          <w:szCs w:val="24"/>
          <w:highlight w:val="none"/>
        </w:rPr>
        <w:t>（北京时</w:t>
      </w:r>
      <w:r>
        <w:rPr>
          <w:rFonts w:hint="eastAsia" w:asciiTheme="minorEastAsia" w:hAnsiTheme="minorEastAsia" w:eastAsiaTheme="minorEastAsia" w:cstheme="minorEastAsia"/>
          <w:spacing w:val="-15"/>
          <w:sz w:val="24"/>
          <w:szCs w:val="24"/>
          <w:highlight w:val="none"/>
        </w:rPr>
        <w:t>间，法定节假日除外）。</w:t>
      </w:r>
    </w:p>
    <w:p w14:paraId="536629B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https://ggzyjy.nanyang.gov.cn</w:t>
      </w:r>
      <w:r>
        <w:rPr>
          <w:rFonts w:hint="eastAsia" w:asciiTheme="minorEastAsia" w:hAnsiTheme="minorEastAsia" w:eastAsiaTheme="minorEastAsia" w:cstheme="minorEastAsia"/>
          <w:sz w:val="24"/>
          <w:szCs w:val="24"/>
          <w:lang w:eastAsia="zh-CN"/>
        </w:rPr>
        <w:t>）</w:t>
      </w:r>
    </w:p>
    <w:p w14:paraId="509FA3B2">
      <w:pPr>
        <w:keepNext w:val="0"/>
        <w:keepLines w:val="0"/>
        <w:pageBreakBefore w:val="0"/>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征集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w:t>
      </w:r>
      <w:r>
        <w:rPr>
          <w:rFonts w:hint="eastAsia" w:asciiTheme="minorEastAsia" w:hAnsiTheme="minorEastAsia" w:eastAsiaTheme="minorEastAsia" w:cstheme="minorEastAsia"/>
          <w:spacing w:val="-4"/>
          <w:sz w:val="24"/>
          <w:szCs w:val="24"/>
          <w:lang w:val="en-US" w:eastAsia="zh-CN"/>
        </w:rPr>
        <w:t>详见：https://ggzyjy.nanyang.gov.cn/ptdl/011009/single.html</w:t>
      </w:r>
      <w:r>
        <w:rPr>
          <w:rFonts w:hint="eastAsia" w:asciiTheme="minorEastAsia" w:hAnsiTheme="minorEastAsia" w:eastAsiaTheme="minorEastAsia" w:cstheme="minorEastAsia"/>
          <w:spacing w:val="-4"/>
          <w:sz w:val="24"/>
          <w:szCs w:val="24"/>
          <w:lang w:eastAsia="zh-CN"/>
        </w:rPr>
        <w:t>。</w:t>
      </w:r>
    </w:p>
    <w:p w14:paraId="5CE6117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4.售价：0元。</w:t>
      </w:r>
    </w:p>
    <w:p w14:paraId="4A3BCEC9">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97418C3">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51F3087A">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14:paraId="5A82F4B5">
      <w:pPr>
        <w:keepNext w:val="0"/>
        <w:keepLines w:val="0"/>
        <w:pageBreakBefore w:val="0"/>
        <w:shd w:val="clear" w:color="auto" w:fill="FFFFFF"/>
        <w:kinsoku/>
        <w:wordWrap w:val="0"/>
        <w:overflowPunct/>
        <w:topLinePunct w:val="0"/>
        <w:bidi w:val="0"/>
        <w:spacing w:line="360" w:lineRule="auto"/>
        <w:ind w:firstLine="600"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w:t>
      </w:r>
      <w:r>
        <w:rPr>
          <w:rFonts w:hint="eastAsia" w:asciiTheme="minorEastAsia" w:hAnsiTheme="minorEastAsia" w:eastAsiaTheme="minorEastAsia" w:cstheme="minorEastAsia"/>
          <w:spacing w:val="-4"/>
          <w:sz w:val="24"/>
          <w:szCs w:val="24"/>
          <w:lang w:eastAsia="zh-CN"/>
        </w:rPr>
        <w:t>。供应商须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电子响应文件，电子响应文件需要使用响应文件制作工具制作，制作工具及操作手册可在南阳市公共资源交易中心网站“下载专区”中下载。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电子响应文件应在征集文件规定的响应截止时间前到达交易系统。逾期到达交易系统的电子响应文件视为放弃本次投标。</w:t>
      </w:r>
    </w:p>
    <w:p w14:paraId="39540D87">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lang w:eastAsia="zh-CN"/>
        </w:rPr>
        <w:t>因供应商无需现场参与开标，所有准备工作需要自行到位。开标过程中如遇到紧急事项，可在不见面开标大厅中进行提出异议或文字交流，严重问题可拨打技术支持电话0377-61176137。不见面开标过程中，如</w:t>
      </w:r>
      <w:r>
        <w:rPr>
          <w:rFonts w:hint="eastAsia" w:asciiTheme="minorEastAsia" w:hAnsiTheme="minorEastAsia" w:eastAsiaTheme="minorEastAsia" w:cstheme="minorEastAsia"/>
          <w:spacing w:val="-4"/>
          <w:sz w:val="24"/>
          <w:szCs w:val="24"/>
          <w:lang w:val="en-US" w:eastAsia="zh-CN"/>
        </w:rPr>
        <w:t>因</w:t>
      </w:r>
      <w:r>
        <w:rPr>
          <w:rFonts w:hint="eastAsia" w:asciiTheme="minorEastAsia" w:hAnsiTheme="minorEastAsia" w:eastAsiaTheme="minorEastAsia" w:cstheme="minorEastAsia"/>
          <w:spacing w:val="-4"/>
          <w:sz w:val="24"/>
          <w:szCs w:val="24"/>
          <w:lang w:eastAsia="zh-CN"/>
        </w:rPr>
        <w:t>供应商准备不到位、网络问题等情况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造成开标无法继续的，视为该供应商自动放弃投标，将被退回响应文件”。电子交易系统技术支持电话：400-998-0000。</w:t>
      </w:r>
    </w:p>
    <w:p w14:paraId="537C48F6">
      <w:pPr>
        <w:keepNext w:val="0"/>
        <w:keepLines w:val="0"/>
        <w:pageBreakBefore w:val="0"/>
        <w:shd w:val="clear" w:color="auto" w:fill="FFFFFF"/>
        <w:kinsoku/>
        <w:wordWrap w:val="0"/>
        <w:overflowPunct/>
        <w:topLinePunct w:val="0"/>
        <w:bidi w:val="0"/>
        <w:spacing w:line="360" w:lineRule="auto"/>
        <w:ind w:firstLine="464" w:firstLineChars="200"/>
        <w:jc w:val="both"/>
        <w:rPr>
          <w:rFonts w:hint="eastAsia" w:asciiTheme="minorEastAsia" w:hAnsiTheme="minorEastAsia" w:eastAsiaTheme="minorEastAsia" w:cstheme="minorEastAsia"/>
          <w:spacing w:val="-4"/>
          <w:sz w:val="24"/>
          <w:szCs w:val="24"/>
          <w:lang w:val="en-US" w:eastAsia="zh-CN"/>
        </w:rPr>
      </w:pPr>
    </w:p>
    <w:p w14:paraId="0CDBA7B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p>
    <w:p w14:paraId="283AAA7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六</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交</w:t>
      </w:r>
      <w:r>
        <w:rPr>
          <w:rFonts w:hint="eastAsia" w:asciiTheme="minorEastAsia" w:hAnsiTheme="minorEastAsia" w:eastAsiaTheme="minorEastAsia" w:cstheme="minorEastAsia"/>
          <w:sz w:val="24"/>
          <w:szCs w:val="24"/>
          <w:lang w:eastAsia="zh-CN"/>
          <w14:textOutline w14:w="1537" w14:cap="flat" w14:cmpd="sng">
            <w14:solidFill>
              <w14:srgbClr w14:val="000000"/>
            </w14:solidFill>
            <w14:prstDash w14:val="solid"/>
            <w14:miter w14:val="0"/>
          </w14:textOutline>
        </w:rPr>
        <w:t>响应文件</w:t>
      </w:r>
      <w:r>
        <w:rPr>
          <w:rFonts w:hint="eastAsia" w:asciiTheme="minorEastAsia" w:hAnsiTheme="minorEastAsia" w:eastAsiaTheme="minorEastAsia" w:cstheme="minorEastAsia"/>
          <w:sz w:val="24"/>
          <w:szCs w:val="24"/>
          <w14:textOutline w14:w="1537" w14:cap="flat" w14:cmpd="sng">
            <w14:solidFill>
              <w14:srgbClr w14:val="000000"/>
            </w14:solidFill>
            <w14:prstDash w14:val="solid"/>
            <w14:miter w14:val="0"/>
          </w14:textOutline>
        </w:rPr>
        <w:t>截止时间、开标时间和地点</w:t>
      </w:r>
    </w:p>
    <w:p w14:paraId="0CF5772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响应</w:t>
      </w:r>
      <w:r>
        <w:rPr>
          <w:rFonts w:hint="eastAsia" w:asciiTheme="minorEastAsia" w:hAnsiTheme="minorEastAsia" w:eastAsiaTheme="minorEastAsia" w:cstheme="minorEastAsia"/>
          <w:spacing w:val="-14"/>
          <w:sz w:val="24"/>
          <w:szCs w:val="24"/>
        </w:rPr>
        <w:t>截止时间、开标时间：</w:t>
      </w:r>
      <w:r>
        <w:rPr>
          <w:rFonts w:hint="eastAsia" w:asciiTheme="minorEastAsia" w:hAnsiTheme="minorEastAsia" w:eastAsiaTheme="minorEastAsia" w:cstheme="minorEastAsia"/>
          <w:spacing w:val="-14"/>
          <w:sz w:val="24"/>
          <w:szCs w:val="24"/>
          <w:highlight w:val="none"/>
          <w:u w:val="single"/>
          <w:lang w:val="en-US" w:eastAsia="zh-CN"/>
        </w:rPr>
        <w:t xml:space="preserve">  2025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年</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7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月</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30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日</w:t>
      </w:r>
      <w:r>
        <w:rPr>
          <w:rFonts w:hint="eastAsia" w:asciiTheme="minorEastAsia" w:hAnsiTheme="minorEastAsia" w:eastAsiaTheme="minorEastAsia" w:cstheme="minorEastAsia"/>
          <w:snapToGrid w:val="0"/>
          <w:color w:val="000000"/>
          <w:spacing w:val="-4"/>
          <w:kern w:val="0"/>
          <w:sz w:val="24"/>
          <w:szCs w:val="24"/>
          <w:highlight w:val="none"/>
          <w:u w:val="single"/>
          <w:lang w:val="en-US" w:eastAsia="zh-CN" w:bidi="ar-SA"/>
        </w:rPr>
        <w:t xml:space="preserve"> 9 </w:t>
      </w:r>
      <w:r>
        <w:rPr>
          <w:rFonts w:hint="eastAsia" w:asciiTheme="minorEastAsia" w:hAnsiTheme="minorEastAsia" w:eastAsiaTheme="minorEastAsia" w:cstheme="minorEastAsia"/>
          <w:snapToGrid w:val="0"/>
          <w:color w:val="000000"/>
          <w:spacing w:val="-4"/>
          <w:kern w:val="0"/>
          <w:sz w:val="24"/>
          <w:szCs w:val="24"/>
          <w:highlight w:val="none"/>
          <w:lang w:val="en-US" w:eastAsia="zh-CN" w:bidi="ar-SA"/>
        </w:rPr>
        <w:t>点（北</w:t>
      </w:r>
      <w:r>
        <w:rPr>
          <w:rFonts w:hint="eastAsia" w:asciiTheme="minorEastAsia" w:hAnsiTheme="minorEastAsia" w:eastAsiaTheme="minorEastAsia" w:cstheme="minorEastAsia"/>
          <w:spacing w:val="-15"/>
          <w:sz w:val="24"/>
          <w:szCs w:val="24"/>
          <w:highlight w:val="none"/>
        </w:rPr>
        <w:t>京时间）。</w:t>
      </w:r>
    </w:p>
    <w:p w14:paraId="5226304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7"/>
          <w:sz w:val="24"/>
          <w:szCs w:val="24"/>
          <w:lang w:val="en-US" w:eastAsia="zh-CN"/>
        </w:rPr>
      </w:pPr>
      <w:r>
        <w:rPr>
          <w:rFonts w:hint="eastAsia" w:asciiTheme="minorEastAsia" w:hAnsiTheme="minorEastAsia" w:eastAsiaTheme="minorEastAsia" w:cstheme="minorEastAsia"/>
          <w:spacing w:val="-17"/>
          <w:sz w:val="24"/>
          <w:szCs w:val="24"/>
          <w:lang w:val="en-US" w:eastAsia="zh-CN"/>
        </w:rPr>
        <w:t>开标方式：不见面开标</w:t>
      </w:r>
    </w:p>
    <w:p w14:paraId="474EAC2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7"/>
          <w:sz w:val="24"/>
          <w:szCs w:val="24"/>
        </w:rPr>
        <w:t>地点：</w:t>
      </w:r>
      <w:r>
        <w:rPr>
          <w:rFonts w:hint="eastAsia"/>
          <w:color w:val="000000" w:themeColor="text1"/>
          <w:spacing w:val="-17"/>
          <w:sz w:val="24"/>
          <w:szCs w:val="24"/>
          <w:lang w:eastAsia="zh-CN"/>
          <w14:textFill>
            <w14:solidFill>
              <w14:schemeClr w14:val="tx1"/>
            </w14:solidFill>
          </w14:textFill>
        </w:rPr>
        <w:t>不见面开标大厅（</w:t>
      </w:r>
      <w:r>
        <w:rPr>
          <w:rFonts w:hint="eastAsia" w:ascii="微软雅黑" w:hAnsi="微软雅黑" w:eastAsia="微软雅黑" w:cs="微软雅黑"/>
          <w:color w:val="000000" w:themeColor="text1"/>
          <w:sz w:val="21"/>
          <w:szCs w:val="21"/>
          <w:u w:val="single"/>
          <w:lang w:eastAsia="zh-CN"/>
          <w14:textFill>
            <w14:solidFill>
              <w14:schemeClr w14:val="tx1"/>
            </w14:solidFill>
          </w14:textFill>
        </w:rPr>
        <w:t>https://ggzyjy.nanyang.gov.cn/BidOpening/bidopeninghallaction/hall/login</w:t>
      </w:r>
      <w:r>
        <w:rPr>
          <w:rFonts w:hint="eastAsia"/>
          <w:color w:val="000000" w:themeColor="text1"/>
          <w:sz w:val="24"/>
          <w:szCs w:val="24"/>
          <w:u w:val="single"/>
          <w:lang w:eastAsia="zh-CN"/>
          <w14:textFill>
            <w14:solidFill>
              <w14:schemeClr w14:val="tx1"/>
            </w14:solidFill>
          </w14:textFill>
        </w:rPr>
        <w:t>）</w:t>
      </w:r>
      <w:r>
        <w:rPr>
          <w:rFonts w:hint="eastAsia" w:asciiTheme="minorEastAsia" w:hAnsiTheme="minorEastAsia" w:eastAsiaTheme="minorEastAsia" w:cstheme="minorEastAsia"/>
          <w:spacing w:val="-17"/>
          <w:sz w:val="24"/>
          <w:szCs w:val="24"/>
          <w:u w:val="single"/>
        </w:rPr>
        <w:t>。</w:t>
      </w:r>
    </w:p>
    <w:p w14:paraId="021B822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76A61FE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pPr>
    </w:p>
    <w:p w14:paraId="6C68D86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七</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、公告期限</w:t>
      </w:r>
    </w:p>
    <w:p w14:paraId="64EFE1E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lang w:eastAsia="zh-CN"/>
        </w:rPr>
      </w:pPr>
      <w:r>
        <w:rPr>
          <w:rFonts w:hint="eastAsia" w:asciiTheme="minorEastAsia" w:hAnsiTheme="minorEastAsia" w:eastAsiaTheme="minorEastAsia" w:cstheme="minorEastAsia"/>
          <w:spacing w:val="-13"/>
          <w:sz w:val="24"/>
          <w:szCs w:val="24"/>
          <w:u w:val="none"/>
          <w:lang w:val="en-US" w:eastAsia="zh-CN"/>
        </w:rPr>
        <w:t xml:space="preserve">  </w:t>
      </w:r>
      <w:r>
        <w:rPr>
          <w:rFonts w:hint="eastAsia" w:asciiTheme="minorEastAsia" w:hAnsiTheme="minorEastAsia" w:eastAsiaTheme="minorEastAsia" w:cstheme="minorEastAsia"/>
          <w:spacing w:val="-13"/>
          <w:sz w:val="24"/>
          <w:szCs w:val="24"/>
          <w:highlight w:val="none"/>
          <w:u w:val="none"/>
          <w:lang w:val="en-US" w:eastAsia="zh-CN"/>
        </w:rPr>
        <w:t xml:space="preserve"> 2025 </w:t>
      </w:r>
      <w:r>
        <w:rPr>
          <w:rFonts w:hint="eastAsia" w:asciiTheme="minorEastAsia" w:hAnsiTheme="minorEastAsia" w:eastAsiaTheme="minorEastAsia" w:cstheme="minorEastAsia"/>
          <w:spacing w:val="-13"/>
          <w:sz w:val="24"/>
          <w:szCs w:val="24"/>
          <w:highlight w:val="none"/>
          <w:u w:val="none"/>
        </w:rPr>
        <w:t>年</w:t>
      </w:r>
      <w:r>
        <w:rPr>
          <w:rFonts w:hint="eastAsia" w:asciiTheme="minorEastAsia" w:hAnsiTheme="minorEastAsia" w:eastAsiaTheme="minorEastAsia" w:cstheme="minorEastAsia"/>
          <w:spacing w:val="-13"/>
          <w:sz w:val="24"/>
          <w:szCs w:val="24"/>
          <w:highlight w:val="none"/>
          <w:u w:val="none"/>
          <w:lang w:val="en-US" w:eastAsia="zh-CN"/>
        </w:rPr>
        <w:t xml:space="preserve"> 7 </w:t>
      </w:r>
      <w:r>
        <w:rPr>
          <w:rFonts w:hint="eastAsia" w:asciiTheme="minorEastAsia" w:hAnsiTheme="minorEastAsia" w:eastAsiaTheme="minorEastAsia" w:cstheme="minorEastAsia"/>
          <w:spacing w:val="-13"/>
          <w:sz w:val="24"/>
          <w:szCs w:val="24"/>
          <w:highlight w:val="none"/>
          <w:u w:val="none"/>
        </w:rPr>
        <w:t>月</w:t>
      </w:r>
      <w:r>
        <w:rPr>
          <w:rFonts w:hint="eastAsia" w:asciiTheme="minorEastAsia" w:hAnsiTheme="minorEastAsia" w:eastAsiaTheme="minorEastAsia" w:cstheme="minorEastAsia"/>
          <w:spacing w:val="-13"/>
          <w:sz w:val="24"/>
          <w:szCs w:val="24"/>
          <w:highlight w:val="none"/>
          <w:u w:val="none"/>
          <w:lang w:val="en-US" w:eastAsia="zh-CN"/>
        </w:rPr>
        <w:t xml:space="preserve"> 10 </w:t>
      </w:r>
      <w:r>
        <w:rPr>
          <w:rFonts w:hint="eastAsia" w:asciiTheme="minorEastAsia" w:hAnsiTheme="minorEastAsia" w:eastAsiaTheme="minorEastAsia" w:cstheme="minorEastAsia"/>
          <w:spacing w:val="-13"/>
          <w:sz w:val="24"/>
          <w:szCs w:val="24"/>
          <w:highlight w:val="none"/>
          <w:u w:val="none"/>
        </w:rPr>
        <w:t>日至</w:t>
      </w:r>
      <w:r>
        <w:rPr>
          <w:rFonts w:hint="eastAsia" w:asciiTheme="minorEastAsia" w:hAnsiTheme="minorEastAsia" w:eastAsiaTheme="minorEastAsia" w:cstheme="minorEastAsia"/>
          <w:spacing w:val="-13"/>
          <w:sz w:val="24"/>
          <w:szCs w:val="24"/>
          <w:highlight w:val="none"/>
          <w:u w:val="none"/>
          <w:lang w:val="en-US" w:eastAsia="zh-CN"/>
        </w:rPr>
        <w:t xml:space="preserve"> 2025 </w:t>
      </w:r>
      <w:r>
        <w:rPr>
          <w:rFonts w:hint="eastAsia" w:asciiTheme="minorEastAsia" w:hAnsiTheme="minorEastAsia" w:eastAsiaTheme="minorEastAsia" w:cstheme="minorEastAsia"/>
          <w:spacing w:val="-13"/>
          <w:sz w:val="24"/>
          <w:szCs w:val="24"/>
          <w:highlight w:val="none"/>
          <w:u w:val="none"/>
        </w:rPr>
        <w:t>年</w:t>
      </w:r>
      <w:r>
        <w:rPr>
          <w:rFonts w:hint="eastAsia" w:asciiTheme="minorEastAsia" w:hAnsiTheme="minorEastAsia" w:eastAsiaTheme="minorEastAsia" w:cstheme="minorEastAsia"/>
          <w:spacing w:val="-13"/>
          <w:sz w:val="24"/>
          <w:szCs w:val="24"/>
          <w:highlight w:val="none"/>
          <w:u w:val="none"/>
          <w:lang w:val="en-US" w:eastAsia="zh-CN"/>
        </w:rPr>
        <w:t xml:space="preserve"> 7 </w:t>
      </w:r>
      <w:r>
        <w:rPr>
          <w:rFonts w:hint="eastAsia" w:asciiTheme="minorEastAsia" w:hAnsiTheme="minorEastAsia" w:eastAsiaTheme="minorEastAsia" w:cstheme="minorEastAsia"/>
          <w:spacing w:val="-13"/>
          <w:sz w:val="24"/>
          <w:szCs w:val="24"/>
          <w:highlight w:val="none"/>
          <w:u w:val="none"/>
        </w:rPr>
        <w:t>月</w:t>
      </w:r>
      <w:r>
        <w:rPr>
          <w:rFonts w:hint="eastAsia" w:asciiTheme="minorEastAsia" w:hAnsiTheme="minorEastAsia" w:eastAsiaTheme="minorEastAsia" w:cstheme="minorEastAsia"/>
          <w:spacing w:val="-13"/>
          <w:sz w:val="24"/>
          <w:szCs w:val="24"/>
          <w:highlight w:val="none"/>
          <w:u w:val="none"/>
          <w:lang w:val="en-US" w:eastAsia="zh-CN"/>
        </w:rPr>
        <w:t xml:space="preserve"> 16 </w:t>
      </w:r>
      <w:r>
        <w:rPr>
          <w:rFonts w:hint="eastAsia" w:asciiTheme="minorEastAsia" w:hAnsiTheme="minorEastAsia" w:eastAsiaTheme="minorEastAsia" w:cstheme="minorEastAsia"/>
          <w:spacing w:val="-13"/>
          <w:sz w:val="24"/>
          <w:szCs w:val="24"/>
          <w:highlight w:val="none"/>
        </w:rPr>
        <w:t>日</w:t>
      </w:r>
      <w:r>
        <w:rPr>
          <w:rFonts w:hint="eastAsia" w:asciiTheme="minorEastAsia" w:hAnsiTheme="minorEastAsia" w:eastAsiaTheme="minorEastAsia" w:cstheme="minorEastAsia"/>
          <w:spacing w:val="-13"/>
          <w:sz w:val="24"/>
          <w:szCs w:val="24"/>
          <w:lang w:eastAsia="zh-CN"/>
        </w:rPr>
        <w:t>。</w:t>
      </w:r>
    </w:p>
    <w:p w14:paraId="4A08F8E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3"/>
          <w:sz w:val="24"/>
          <w:szCs w:val="24"/>
        </w:rPr>
      </w:pPr>
    </w:p>
    <w:p w14:paraId="2922B7C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pPr>
    </w:p>
    <w:p w14:paraId="5B197AF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八</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、其他补充事宜</w:t>
      </w:r>
    </w:p>
    <w:p w14:paraId="5F15780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宋体" w:hAnsi="宋体" w:cs="宋体"/>
          <w:sz w:val="24"/>
          <w:szCs w:val="24"/>
        </w:rPr>
        <w:t>本项目采用</w:t>
      </w:r>
      <w:r>
        <w:rPr>
          <w:rFonts w:hint="eastAsia" w:ascii="宋体" w:hAnsi="宋体" w:cs="宋体"/>
          <w:b/>
          <w:bCs/>
          <w:sz w:val="24"/>
          <w:szCs w:val="24"/>
        </w:rPr>
        <w:t>“暗标”评审</w:t>
      </w:r>
      <w:r>
        <w:rPr>
          <w:rFonts w:hint="eastAsia" w:ascii="宋体" w:hAnsi="宋体" w:cs="宋体"/>
          <w:sz w:val="24"/>
          <w:szCs w:val="24"/>
        </w:rPr>
        <w:t>。供应商应按照</w:t>
      </w:r>
      <w:r>
        <w:rPr>
          <w:rFonts w:hint="eastAsia" w:cs="宋体"/>
          <w:sz w:val="24"/>
          <w:szCs w:val="24"/>
          <w:lang w:val="en-US" w:eastAsia="zh-CN"/>
        </w:rPr>
        <w:t>招标</w:t>
      </w:r>
      <w:r>
        <w:rPr>
          <w:rFonts w:hint="eastAsia" w:ascii="宋体" w:hAnsi="宋体" w:cs="宋体"/>
          <w:sz w:val="24"/>
          <w:szCs w:val="24"/>
        </w:rPr>
        <w:t>文件要求制作投标文件。</w:t>
      </w:r>
      <w:r>
        <w:rPr>
          <w:rFonts w:hint="eastAsia" w:asciiTheme="minorEastAsia" w:hAnsiTheme="minorEastAsia" w:eastAsiaTheme="minorEastAsia" w:cstheme="minorEastAsia"/>
          <w:spacing w:val="-9"/>
          <w:sz w:val="24"/>
          <w:szCs w:val="24"/>
          <w:lang w:val="en-US" w:eastAsia="zh-CN"/>
        </w:rPr>
        <w:t>本次招标公告在河南省政府采购网、南阳市公共资源交易中心网发布。</w:t>
      </w:r>
    </w:p>
    <w:p w14:paraId="25017DC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458C0F0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p>
    <w:p w14:paraId="21A13E6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、对本次招标</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14:paraId="1F700AA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w:t>
      </w:r>
      <w:r>
        <w:rPr>
          <w:rFonts w:hint="eastAsia" w:asciiTheme="minorEastAsia" w:hAnsiTheme="minorEastAsia" w:eastAsiaTheme="minorEastAsia" w:cstheme="minorEastAsia"/>
          <w:spacing w:val="5"/>
          <w:sz w:val="24"/>
          <w:szCs w:val="24"/>
          <w:lang w:val="en-US" w:eastAsia="zh-CN"/>
          <w14:textOutline w14:w="1537" w14:cap="flat" w14:cmpd="sng">
            <w14:solidFill>
              <w14:srgbClr w14:val="000000"/>
            </w14:solidFill>
            <w14:prstDash w14:val="solid"/>
            <w14:miter w14:val="0"/>
          </w14:textOutline>
        </w:rPr>
        <w:t>征集</w:t>
      </w: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人信息</w:t>
      </w:r>
    </w:p>
    <w:p w14:paraId="0E0740D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rPr>
        <w:t>名称：</w:t>
      </w:r>
      <w:r>
        <w:rPr>
          <w:rFonts w:hint="eastAsia" w:asciiTheme="minorEastAsia" w:hAnsiTheme="minorEastAsia" w:eastAsiaTheme="minorEastAsia" w:cstheme="minorEastAsia"/>
          <w:color w:val="auto"/>
          <w:spacing w:val="-15"/>
          <w:sz w:val="24"/>
          <w:szCs w:val="24"/>
          <w:lang w:val="en-US" w:eastAsia="zh-CN"/>
        </w:rPr>
        <w:t>南阳市财政局</w:t>
      </w:r>
    </w:p>
    <w:p w14:paraId="485983B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color w:val="auto"/>
          <w:spacing w:val="-15"/>
          <w:sz w:val="24"/>
          <w:szCs w:val="24"/>
        </w:rPr>
      </w:pPr>
      <w:r>
        <w:rPr>
          <w:rFonts w:hint="eastAsia" w:asciiTheme="minorEastAsia" w:hAnsiTheme="minorEastAsia" w:eastAsiaTheme="minorEastAsia" w:cstheme="minorEastAsia"/>
          <w:color w:val="auto"/>
          <w:spacing w:val="-15"/>
          <w:sz w:val="24"/>
          <w:szCs w:val="24"/>
        </w:rPr>
        <w:t>地址：南阳市张衡东路396号</w:t>
      </w:r>
    </w:p>
    <w:p w14:paraId="023B378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color w:val="auto"/>
          <w:spacing w:val="-15"/>
          <w:sz w:val="24"/>
          <w:szCs w:val="24"/>
          <w:lang w:val="en-US" w:eastAsia="zh-CN"/>
        </w:rPr>
      </w:pPr>
      <w:r>
        <w:rPr>
          <w:rFonts w:hint="eastAsia" w:asciiTheme="minorEastAsia" w:hAnsiTheme="minorEastAsia" w:eastAsiaTheme="minorEastAsia" w:cstheme="minorEastAsia"/>
          <w:color w:val="auto"/>
          <w:spacing w:val="-15"/>
          <w:sz w:val="24"/>
          <w:szCs w:val="24"/>
          <w:lang w:val="en-US" w:eastAsia="zh-CN"/>
        </w:rPr>
        <w:t>联系人：贺先生</w:t>
      </w:r>
    </w:p>
    <w:p w14:paraId="480F7AE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b/>
          <w:bCs/>
          <w:color w:val="FF0000"/>
          <w:spacing w:val="4"/>
          <w:sz w:val="24"/>
          <w:szCs w:val="24"/>
          <w:lang w:val="en-US" w:eastAsia="zh-CN"/>
        </w:rPr>
      </w:pPr>
      <w:r>
        <w:rPr>
          <w:rFonts w:hint="eastAsia" w:asciiTheme="minorEastAsia" w:hAnsiTheme="minorEastAsia" w:eastAsiaTheme="minorEastAsia" w:cstheme="minorEastAsia"/>
          <w:color w:val="auto"/>
          <w:spacing w:val="-15"/>
          <w:sz w:val="24"/>
          <w:szCs w:val="24"/>
        </w:rPr>
        <w:t>联系方式：</w:t>
      </w:r>
      <w:r>
        <w:rPr>
          <w:rFonts w:hint="eastAsia" w:asciiTheme="minorEastAsia" w:hAnsiTheme="minorEastAsia" w:eastAsiaTheme="minorEastAsia" w:cstheme="minorEastAsia"/>
          <w:color w:val="auto"/>
          <w:spacing w:val="-15"/>
          <w:sz w:val="24"/>
          <w:szCs w:val="24"/>
          <w:lang w:val="en-US" w:eastAsia="zh-CN"/>
        </w:rPr>
        <w:t>0377-62376368</w:t>
      </w:r>
    </w:p>
    <w:p w14:paraId="5E544A0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p>
    <w:p w14:paraId="076156B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14:paraId="29559D6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lang w:val="en-US" w:eastAsia="zh-CN"/>
        </w:rPr>
        <w:t>南阳市公共资源交易中心</w:t>
      </w:r>
    </w:p>
    <w:p w14:paraId="26CDA48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lang w:val="en-US" w:eastAsia="zh-CN"/>
        </w:rPr>
        <w:t>南阳市范蠡东路与南都路交叉口市民服务中心中区3号楼5楼</w:t>
      </w:r>
    </w:p>
    <w:p w14:paraId="72618E8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联系人：黄先生</w:t>
      </w:r>
    </w:p>
    <w:p w14:paraId="06447AB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lang w:val="en-US" w:eastAsia="zh-CN"/>
        </w:rPr>
        <w:t xml:space="preserve">0377-61176178 </w:t>
      </w:r>
    </w:p>
    <w:p w14:paraId="7183C0E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1"/>
        <w:rPr>
          <w:rFonts w:hint="eastAsia" w:ascii="仿宋_GB2312" w:hAnsi="宋体" w:eastAsia="仿宋_GB2312"/>
          <w:color w:val="0000FF"/>
          <w:sz w:val="28"/>
          <w:szCs w:val="28"/>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3.网址：</w:t>
      </w:r>
      <w:r>
        <w:rPr>
          <w:rFonts w:hint="eastAsia" w:asciiTheme="minorEastAsia" w:hAnsiTheme="minorEastAsia" w:eastAsiaTheme="minorEastAsia" w:cstheme="minorEastAsia"/>
          <w:spacing w:val="-15"/>
          <w:sz w:val="24"/>
          <w:szCs w:val="24"/>
          <w:lang w:val="en-US" w:eastAsia="zh-CN"/>
        </w:rPr>
        <w:fldChar w:fldCharType="begin"/>
      </w:r>
      <w:r>
        <w:rPr>
          <w:rFonts w:hint="eastAsia" w:asciiTheme="minorEastAsia" w:hAnsiTheme="minorEastAsia" w:eastAsiaTheme="minorEastAsia" w:cstheme="minorEastAsia"/>
          <w:spacing w:val="-15"/>
          <w:sz w:val="24"/>
          <w:szCs w:val="24"/>
          <w:lang w:val="en-US" w:eastAsia="zh-CN"/>
        </w:rPr>
        <w:instrText xml:space="preserve"> HYPERLINK "https://ggzyjy.nanyang.gov.cn" </w:instrText>
      </w:r>
      <w:r>
        <w:rPr>
          <w:rFonts w:hint="eastAsia" w:asciiTheme="minorEastAsia" w:hAnsiTheme="minorEastAsia" w:eastAsiaTheme="minorEastAsia" w:cstheme="minorEastAsia"/>
          <w:spacing w:val="-15"/>
          <w:sz w:val="24"/>
          <w:szCs w:val="24"/>
          <w:lang w:val="en-US" w:eastAsia="zh-CN"/>
        </w:rPr>
        <w:fldChar w:fldCharType="separate"/>
      </w:r>
      <w:r>
        <w:rPr>
          <w:rStyle w:val="20"/>
          <w:rFonts w:hint="eastAsia" w:asciiTheme="minorEastAsia" w:hAnsiTheme="minorEastAsia" w:eastAsiaTheme="minorEastAsia" w:cstheme="minorEastAsia"/>
          <w:spacing w:val="-15"/>
          <w:sz w:val="24"/>
          <w:szCs w:val="24"/>
          <w:lang w:val="en-US" w:eastAsia="zh-CN"/>
        </w:rPr>
        <w:t>https://ggzyjy.nanyang.gov.cn</w:t>
      </w:r>
      <w:r>
        <w:rPr>
          <w:rFonts w:hint="eastAsia" w:asciiTheme="minorEastAsia" w:hAnsiTheme="minorEastAsia" w:eastAsiaTheme="minorEastAsia" w:cstheme="minorEastAsia"/>
          <w:spacing w:val="-15"/>
          <w:sz w:val="24"/>
          <w:szCs w:val="24"/>
          <w:lang w:val="en-US" w:eastAsia="zh-CN"/>
        </w:rPr>
        <w:fldChar w:fldCharType="end"/>
      </w:r>
      <w:r>
        <w:rPr>
          <w:rFonts w:hint="eastAsia" w:asciiTheme="minorEastAsia" w:hAnsiTheme="minorEastAsia" w:eastAsiaTheme="minorEastAsia" w:cstheme="minorEastAsia"/>
          <w:spacing w:val="-15"/>
          <w:sz w:val="24"/>
          <w:szCs w:val="24"/>
          <w:lang w:val="en-US" w:eastAsia="zh-CN"/>
        </w:rPr>
        <w:t xml:space="preserve">   E-mail:</w:t>
      </w:r>
      <w:r>
        <w:rPr>
          <w:rFonts w:hint="eastAsia" w:asciiTheme="minorEastAsia" w:hAnsiTheme="minorEastAsia" w:eastAsiaTheme="minorEastAsia" w:cstheme="minorEastAsia"/>
          <w:spacing w:val="-15"/>
          <w:sz w:val="24"/>
          <w:szCs w:val="24"/>
          <w:lang w:eastAsia="zh-CN"/>
        </w:rPr>
        <w:t xml:space="preserve">nyszfcgzx@126.com </w:t>
      </w:r>
    </w:p>
    <w:p w14:paraId="5FA87FC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p>
    <w:p w14:paraId="67CBF4A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50" w:firstLineChars="2500"/>
        <w:jc w:val="both"/>
        <w:textAlignment w:val="baseline"/>
        <w:outlineLvl w:val="1"/>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南阳市公共资源交易中心</w:t>
      </w:r>
    </w:p>
    <w:p w14:paraId="5CA0157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564" w:firstLineChars="2600"/>
        <w:jc w:val="both"/>
        <w:textAlignment w:val="baseline"/>
        <w:outlineLvl w:val="1"/>
        <w:rPr>
          <w:rFonts w:hint="eastAsia" w:asciiTheme="minorEastAsia" w:hAnsiTheme="minorEastAsia" w:eastAsiaTheme="minorEastAsia" w:cstheme="minorEastAsia"/>
          <w:spacing w:val="-1"/>
          <w:sz w:val="36"/>
          <w:szCs w:val="36"/>
          <w:highlight w:val="yellow"/>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3"/>
          <w:sz w:val="24"/>
          <w:szCs w:val="24"/>
          <w:highlight w:val="none"/>
          <w:u w:val="none"/>
          <w:lang w:val="en-US" w:eastAsia="zh-CN"/>
        </w:rPr>
        <w:t xml:space="preserve">2025 </w:t>
      </w:r>
      <w:r>
        <w:rPr>
          <w:rFonts w:hint="eastAsia" w:asciiTheme="minorEastAsia" w:hAnsiTheme="minorEastAsia" w:eastAsiaTheme="minorEastAsia" w:cstheme="minorEastAsia"/>
          <w:spacing w:val="-13"/>
          <w:sz w:val="24"/>
          <w:szCs w:val="24"/>
          <w:highlight w:val="none"/>
          <w:u w:val="none"/>
        </w:rPr>
        <w:t>年</w:t>
      </w:r>
      <w:r>
        <w:rPr>
          <w:rFonts w:hint="eastAsia" w:asciiTheme="minorEastAsia" w:hAnsiTheme="minorEastAsia" w:eastAsiaTheme="minorEastAsia" w:cstheme="minorEastAsia"/>
          <w:spacing w:val="-13"/>
          <w:sz w:val="24"/>
          <w:szCs w:val="24"/>
          <w:highlight w:val="none"/>
          <w:u w:val="none"/>
          <w:lang w:val="en-US" w:eastAsia="zh-CN"/>
        </w:rPr>
        <w:t xml:space="preserve"> 7 </w:t>
      </w:r>
      <w:r>
        <w:rPr>
          <w:rFonts w:hint="eastAsia" w:asciiTheme="minorEastAsia" w:hAnsiTheme="minorEastAsia" w:eastAsiaTheme="minorEastAsia" w:cstheme="minorEastAsia"/>
          <w:spacing w:val="-13"/>
          <w:sz w:val="24"/>
          <w:szCs w:val="24"/>
          <w:highlight w:val="none"/>
          <w:u w:val="none"/>
        </w:rPr>
        <w:t>月</w:t>
      </w:r>
      <w:r>
        <w:rPr>
          <w:rFonts w:hint="eastAsia" w:asciiTheme="minorEastAsia" w:hAnsiTheme="minorEastAsia" w:eastAsiaTheme="minorEastAsia" w:cstheme="minorEastAsia"/>
          <w:spacing w:val="-13"/>
          <w:sz w:val="24"/>
          <w:szCs w:val="24"/>
          <w:highlight w:val="none"/>
          <w:u w:val="none"/>
          <w:lang w:val="en-US" w:eastAsia="zh-CN"/>
        </w:rPr>
        <w:t xml:space="preserve"> 9 </w:t>
      </w:r>
      <w:r>
        <w:rPr>
          <w:rFonts w:hint="eastAsia" w:asciiTheme="minorEastAsia" w:hAnsiTheme="minorEastAsia" w:eastAsiaTheme="minorEastAsia" w:cstheme="minorEastAsia"/>
          <w:spacing w:val="-13"/>
          <w:sz w:val="24"/>
          <w:szCs w:val="24"/>
          <w:highlight w:val="none"/>
        </w:rPr>
        <w:t>日</w:t>
      </w:r>
    </w:p>
    <w:p w14:paraId="540FDBF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284749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E668E7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7B900D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FE0B6C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5D151E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349EC56">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11B0C1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39373C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00E0EA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99EF6B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50C2EE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35907C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6B255B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3F02AB4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14:paraId="3A70864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28D34AB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14:paraId="422ED735">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（一）项目概况</w:t>
      </w:r>
    </w:p>
    <w:p w14:paraId="07C233A7">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为深入贯彻落实全面实施预算绩效管理改革要求,保障预算绩效管理服务相关工作顺利开展,现通过框架协议采购方式选择入围第三方预算绩效管理服务机构。</w:t>
      </w:r>
    </w:p>
    <w:p w14:paraId="63D5A98C">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预算绩效管理服务范围：南阳市财政局委托的财政重点绩效评价等与预算绩效管理相关的工作（包括但不限于：财政事前绩效评估；绩效目标审核；财政重点绩效监控；财政重点绩效评价或评价结果复核；全成本预算绩效分析和支出标准制定；绩效指标和标准体系制定；预算绩效管理课题研究）。</w:t>
      </w:r>
    </w:p>
    <w:p w14:paraId="75FC1DA6">
      <w:pPr>
        <w:spacing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p>
    <w:p w14:paraId="403DDA5E">
      <w:pPr>
        <w:numPr>
          <w:ilvl w:val="0"/>
          <w:numId w:val="1"/>
        </w:numPr>
        <w:spacing w:line="360" w:lineRule="auto"/>
        <w:ind w:firstLine="488" w:firstLineChars="200"/>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技术要求</w:t>
      </w:r>
    </w:p>
    <w:p w14:paraId="78B1DED2">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1.服务要求</w:t>
      </w:r>
    </w:p>
    <w:p w14:paraId="4726F98D">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1.1拟订工作实施方案，报委托人审定。</w:t>
      </w:r>
    </w:p>
    <w:p w14:paraId="40365001">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1.2按照预算绩效管理及相关法律法规要求，客观公正、规范有序地开展受托的预算绩效管理工作，并全程接受委托人督导。</w:t>
      </w:r>
    </w:p>
    <w:p w14:paraId="69C73D73">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1.3按规定程序真实、完整地取得数据、成果，对提交的评价意见或报告等工作结果的客观公正性负责。</w:t>
      </w:r>
    </w:p>
    <w:p w14:paraId="083A11CC">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1.4对工作中获悉的国家秘密、商业秘密和工作信息负有保密义务，未经委托人同意，不得以任何形式对外提供、泄露或公开委托事项的有关情况。</w:t>
      </w:r>
    </w:p>
    <w:p w14:paraId="6E1B1FA9">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1.5按时提交工作成果，做好相关信息资料归档保管工作。</w:t>
      </w:r>
    </w:p>
    <w:p w14:paraId="7CCE213F">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1.6按照协议或合同收取委托服务费用。</w:t>
      </w:r>
    </w:p>
    <w:p w14:paraId="0D7D0E24">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 xml:space="preserve">1.7预算绩效管理服务涉及各种领域，在服务过程中需各种专业技术人员、财务人员、评估人员进行评估和评价，项目团队应根据项目实际情况由具有相关专业技术职称、注册会计师、资产评估师等执业资格相关人员组成。 </w:t>
      </w:r>
    </w:p>
    <w:p w14:paraId="5557122C">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2.服务标准</w:t>
      </w:r>
    </w:p>
    <w:p w14:paraId="659330C9">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供应商提供的预算绩效管理服务应符合《南阳市市级部门委托第三方机构参与预算绩效管理工作办法》等有关规定。</w:t>
      </w:r>
    </w:p>
    <w:p w14:paraId="5546FA0E">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3.服务方案</w:t>
      </w:r>
    </w:p>
    <w:p w14:paraId="75CEADD2">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包括但不限于以下内容：</w:t>
      </w:r>
    </w:p>
    <w:p w14:paraId="5BC00022">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3.1对预算绩效管理服务的认识和理解：对预算绩效管理有全面深入的认识和理解，能够详细介绍预算绩效管理有关法律和政策要求、管理框架、积极作用和最新进展等有关内容，介绍预算绩效管理与预算管理各环节、各相关方及预算管理理念的相互作用。</w:t>
      </w:r>
    </w:p>
    <w:p w14:paraId="33EBBE15">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3.2服务实施方案：根据征集人服务需求，制定切实可行的整体服务实施方案，服务内容详实、项目需求理解全面，工作部署、岗位职责安排（含项目负责人或主评人、专家）、资源配置清晰，服务流程具体，制定的服务方案能够保证项目的顺利完成。</w:t>
      </w:r>
    </w:p>
    <w:p w14:paraId="4DC8D464">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3.3服务质量保障措施：质量目标明确，有各阶段的工作内容、工作方法、工作重点、难点分析及相关的处理方法的服务质量保障措施，对服务过程中的关键节点均有具体质量控制措施和处理方法。</w:t>
      </w:r>
    </w:p>
    <w:p w14:paraId="17372239">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3.4履约服务便利度：有针对拟投入本项目人员到岗、执业服务质量、工作期间提供驻场服务、积极配合采购人工作、服从安排等内容的保障措施。</w:t>
      </w:r>
    </w:p>
    <w:p w14:paraId="13726462">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3.5内部管理制度：有完善的规章和包括财务管理、质量控制、时效控制、风险控制、保密、技术档案等相关管理制度。</w:t>
      </w:r>
    </w:p>
    <w:p w14:paraId="6CE0372D">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3.6进度保障措施：按照征集人要求能按时完成项目，制定包括进度计划、人员配备、资源配备计划、在服务期限内完成项目任务的进度控制措施和处理方法。</w:t>
      </w:r>
    </w:p>
    <w:p w14:paraId="4DBF0133">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3.7业务操作流程：结合对预算绩效管理全流程及预算绩效管理不同阶段特点的理解，阐述预算绩效管理不同工作内容的工作思路及方法，提出完善的工作流程、工作计划及实施时间，体现标准化服务，管理服务水平符合国家和行业标准。</w:t>
      </w:r>
    </w:p>
    <w:p w14:paraId="7A3EAA95">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3.8风险管控措施：有对项目风险的识别及应对，有包括项目开展的事前、事中、事后风险控制及应急措施的详细方案和应对措施。</w:t>
      </w:r>
    </w:p>
    <w:p w14:paraId="1AE6C69E">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3.9档案管理措施：有切实可行的档案管理制度、良好的档案存放环境和存放档案的设施设备，档案资料存放达到法定的储存年限，并且档案资料具有可追溯性。</w:t>
      </w:r>
    </w:p>
    <w:p w14:paraId="2B78A74B">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highlight w:val="yellow"/>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3.10拟派项目团队：由负责人（主评人）及项目团队人员组成。应阐述项目组成员配备情况，包括组织结构，拟派负责人（主评人）、项目团队人员所具备的与预算绩效管理服务相关的专业能力、证书等内容。</w:t>
      </w:r>
    </w:p>
    <w:p w14:paraId="3300A2F0">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3.11其他内容。</w:t>
      </w:r>
    </w:p>
    <w:p w14:paraId="0A337478">
      <w:pPr>
        <w:spacing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p>
    <w:p w14:paraId="14369F72">
      <w:pPr>
        <w:spacing w:line="360" w:lineRule="auto"/>
        <w:ind w:firstLine="488" w:firstLineChars="200"/>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（三）报价要求</w:t>
      </w:r>
    </w:p>
    <w:p w14:paraId="63DCE627">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1.报价为综合费率报价。即按照本征集文件所规定“基础收费标准”的百分之几收取。供应商应根据自身情况，考虑所有基础收费标准报出综合费率。</w:t>
      </w:r>
    </w:p>
    <w:p w14:paraId="469E2DE2">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如供应商响应文件或开标一览表中填写错误，将承担一切不利责任。</w:t>
      </w:r>
    </w:p>
    <w:p w14:paraId="2DE775F9">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2.供应商计费不得高于下述基础收费标准。</w:t>
      </w:r>
    </w:p>
    <w:p w14:paraId="559B366F">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3.基础收费标准</w:t>
      </w:r>
    </w:p>
    <w:p w14:paraId="0DD8DCAD">
      <w:pPr>
        <w:ind w:firstLine="480" w:firstLineChars="200"/>
        <w:rPr>
          <w:rFonts w:hint="eastAsia" w:cs="Calibri"/>
          <w:b/>
          <w:sz w:val="28"/>
          <w:szCs w:val="28"/>
        </w:rPr>
      </w:pPr>
      <w:bookmarkStart w:id="0" w:name="_Hlk200353548"/>
      <w:r>
        <w:rPr>
          <w:rFonts w:hint="eastAsia" w:ascii="宋体" w:hAnsi="宋体" w:cs="宋体"/>
          <w:b/>
          <w:bCs w:val="0"/>
          <w:sz w:val="24"/>
          <w:szCs w:val="24"/>
        </w:rPr>
        <w:t>①</w:t>
      </w:r>
      <w:r>
        <w:rPr>
          <w:rFonts w:cs="Calibri"/>
          <w:b/>
          <w:bCs w:val="0"/>
          <w:sz w:val="24"/>
          <w:szCs w:val="24"/>
        </w:rPr>
        <w:t>计件费用标准</w:t>
      </w:r>
      <w:bookmarkEnd w:id="0"/>
      <w:r>
        <w:rPr>
          <w:rFonts w:cs="Calibri"/>
          <w:b/>
          <w:bCs w:val="0"/>
          <w:sz w:val="24"/>
          <w:szCs w:val="24"/>
        </w:rPr>
        <w:t>上限</w:t>
      </w:r>
    </w:p>
    <w:p w14:paraId="6D4CD45E">
      <w:pPr>
        <w:pStyle w:val="21"/>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p>
    <w:tbl>
      <w:tblPr>
        <w:tblStyle w:val="16"/>
        <w:tblW w:w="8079" w:type="dxa"/>
        <w:tblInd w:w="534" w:type="dxa"/>
        <w:tblLayout w:type="fixed"/>
        <w:tblCellMar>
          <w:top w:w="0" w:type="dxa"/>
          <w:left w:w="108" w:type="dxa"/>
          <w:bottom w:w="0" w:type="dxa"/>
          <w:right w:w="108" w:type="dxa"/>
        </w:tblCellMar>
      </w:tblPr>
      <w:tblGrid>
        <w:gridCol w:w="1701"/>
        <w:gridCol w:w="2976"/>
        <w:gridCol w:w="3402"/>
      </w:tblGrid>
      <w:tr w14:paraId="78FEC499">
        <w:tblPrEx>
          <w:tblCellMar>
            <w:top w:w="0" w:type="dxa"/>
            <w:left w:w="108" w:type="dxa"/>
            <w:bottom w:w="0" w:type="dxa"/>
            <w:right w:w="108" w:type="dxa"/>
          </w:tblCellMar>
        </w:tblPrEx>
        <w:trPr>
          <w:trHeight w:val="799" w:hRule="atLeast"/>
        </w:trPr>
        <w:tc>
          <w:tcPr>
            <w:tcW w:w="1701" w:type="dxa"/>
            <w:tcBorders>
              <w:top w:val="single" w:color="auto" w:sz="8" w:space="0"/>
              <w:left w:val="single" w:color="auto" w:sz="8" w:space="0"/>
              <w:bottom w:val="single" w:color="auto" w:sz="8" w:space="0"/>
              <w:right w:val="single" w:color="auto" w:sz="8" w:space="0"/>
            </w:tcBorders>
            <w:noWrap w:val="0"/>
            <w:vAlign w:val="center"/>
          </w:tcPr>
          <w:p w14:paraId="32179BD5">
            <w:pPr>
              <w:widowControl/>
              <w:jc w:val="center"/>
              <w:rPr>
                <w:b/>
                <w:bCs/>
                <w:color w:val="000000"/>
                <w:kern w:val="0"/>
                <w:sz w:val="24"/>
                <w:szCs w:val="24"/>
              </w:rPr>
            </w:pPr>
            <w:r>
              <w:rPr>
                <w:rFonts w:cs="Calibri"/>
                <w:b/>
                <w:bCs/>
                <w:color w:val="000000"/>
                <w:kern w:val="0"/>
                <w:sz w:val="24"/>
                <w:szCs w:val="24"/>
              </w:rPr>
              <w:t>计费依据</w:t>
            </w:r>
          </w:p>
        </w:tc>
        <w:tc>
          <w:tcPr>
            <w:tcW w:w="2976" w:type="dxa"/>
            <w:tcBorders>
              <w:top w:val="single" w:color="auto" w:sz="8" w:space="0"/>
              <w:left w:val="nil"/>
              <w:bottom w:val="single" w:color="auto" w:sz="8" w:space="0"/>
              <w:right w:val="single" w:color="auto" w:sz="8" w:space="0"/>
            </w:tcBorders>
            <w:noWrap w:val="0"/>
            <w:vAlign w:val="center"/>
          </w:tcPr>
          <w:p w14:paraId="1E16996F">
            <w:pPr>
              <w:widowControl/>
              <w:jc w:val="center"/>
              <w:rPr>
                <w:rFonts w:cs="宋体"/>
                <w:b/>
                <w:bCs/>
                <w:color w:val="000000"/>
                <w:kern w:val="0"/>
                <w:sz w:val="24"/>
                <w:szCs w:val="24"/>
              </w:rPr>
            </w:pPr>
            <w:r>
              <w:rPr>
                <w:rFonts w:cs="Calibri"/>
                <w:b/>
                <w:bCs/>
                <w:color w:val="000000"/>
                <w:kern w:val="0"/>
                <w:sz w:val="24"/>
                <w:szCs w:val="24"/>
              </w:rPr>
              <w:t>超额累进费率计费（万元）</w:t>
            </w:r>
          </w:p>
        </w:tc>
        <w:tc>
          <w:tcPr>
            <w:tcW w:w="3402" w:type="dxa"/>
            <w:tcBorders>
              <w:top w:val="single" w:color="auto" w:sz="8" w:space="0"/>
              <w:left w:val="nil"/>
              <w:bottom w:val="single" w:color="auto" w:sz="8" w:space="0"/>
              <w:right w:val="single" w:color="auto" w:sz="8" w:space="0"/>
            </w:tcBorders>
            <w:noWrap w:val="0"/>
            <w:vAlign w:val="center"/>
          </w:tcPr>
          <w:p w14:paraId="6241C3E2">
            <w:pPr>
              <w:widowControl/>
              <w:jc w:val="center"/>
              <w:rPr>
                <w:b/>
                <w:bCs/>
                <w:color w:val="000000"/>
                <w:kern w:val="0"/>
                <w:sz w:val="24"/>
                <w:szCs w:val="24"/>
              </w:rPr>
            </w:pPr>
            <w:r>
              <w:rPr>
                <w:rFonts w:cs="Calibri"/>
                <w:b/>
                <w:bCs/>
                <w:color w:val="000000"/>
                <w:kern w:val="0"/>
                <w:sz w:val="24"/>
                <w:szCs w:val="24"/>
              </w:rPr>
              <w:t>最高费率</w:t>
            </w:r>
            <w:r>
              <w:rPr>
                <w:rFonts w:ascii="宋体" w:hAnsi="宋体" w:cs="宋体"/>
                <w:b/>
                <w:color w:val="000000"/>
                <w:kern w:val="0"/>
                <w:sz w:val="24"/>
              </w:rPr>
              <w:t>（‰）</w:t>
            </w:r>
          </w:p>
        </w:tc>
      </w:tr>
      <w:tr w14:paraId="73EBA812">
        <w:tblPrEx>
          <w:tblCellMar>
            <w:top w:w="0" w:type="dxa"/>
            <w:left w:w="108" w:type="dxa"/>
            <w:bottom w:w="0" w:type="dxa"/>
            <w:right w:w="108" w:type="dxa"/>
          </w:tblCellMar>
        </w:tblPrEx>
        <w:trPr>
          <w:trHeight w:val="660" w:hRule="atLeast"/>
        </w:trPr>
        <w:tc>
          <w:tcPr>
            <w:tcW w:w="1701" w:type="dxa"/>
            <w:vMerge w:val="restart"/>
            <w:tcBorders>
              <w:top w:val="nil"/>
              <w:left w:val="single" w:color="auto" w:sz="8" w:space="0"/>
              <w:bottom w:val="single" w:color="auto" w:sz="8" w:space="0"/>
              <w:right w:val="single" w:color="auto" w:sz="8" w:space="0"/>
            </w:tcBorders>
            <w:noWrap w:val="0"/>
            <w:vAlign w:val="center"/>
          </w:tcPr>
          <w:p w14:paraId="02A81858">
            <w:pPr>
              <w:widowControl/>
              <w:jc w:val="center"/>
              <w:rPr>
                <w:color w:val="000000"/>
                <w:kern w:val="0"/>
                <w:sz w:val="24"/>
                <w:szCs w:val="24"/>
              </w:rPr>
            </w:pPr>
            <w:r>
              <w:rPr>
                <w:rFonts w:cs="Calibri"/>
                <w:color w:val="000000"/>
                <w:kern w:val="0"/>
                <w:sz w:val="24"/>
                <w:szCs w:val="24"/>
              </w:rPr>
              <w:t>绩效评价对象的资金规模</w:t>
            </w:r>
          </w:p>
        </w:tc>
        <w:tc>
          <w:tcPr>
            <w:tcW w:w="2976" w:type="dxa"/>
            <w:tcBorders>
              <w:top w:val="nil"/>
              <w:left w:val="nil"/>
              <w:bottom w:val="single" w:color="auto" w:sz="8" w:space="0"/>
              <w:right w:val="single" w:color="auto" w:sz="8" w:space="0"/>
            </w:tcBorders>
            <w:noWrap w:val="0"/>
            <w:vAlign w:val="center"/>
          </w:tcPr>
          <w:p w14:paraId="51F5F311">
            <w:pPr>
              <w:widowControl/>
              <w:jc w:val="center"/>
              <w:rPr>
                <w:color w:val="000000"/>
                <w:kern w:val="0"/>
                <w:sz w:val="24"/>
                <w:szCs w:val="24"/>
              </w:rPr>
            </w:pPr>
            <w:r>
              <w:rPr>
                <w:color w:val="000000"/>
                <w:kern w:val="0"/>
                <w:sz w:val="24"/>
                <w:szCs w:val="24"/>
              </w:rPr>
              <w:t>X</w:t>
            </w:r>
            <w:r>
              <w:rPr>
                <w:rFonts w:cs="Calibri"/>
                <w:color w:val="000000"/>
                <w:kern w:val="0"/>
                <w:sz w:val="24"/>
                <w:szCs w:val="24"/>
              </w:rPr>
              <w:t>≤</w:t>
            </w:r>
            <w:r>
              <w:rPr>
                <w:color w:val="000000"/>
                <w:kern w:val="0"/>
                <w:sz w:val="24"/>
                <w:szCs w:val="24"/>
              </w:rPr>
              <w:t>500</w:t>
            </w:r>
          </w:p>
        </w:tc>
        <w:tc>
          <w:tcPr>
            <w:tcW w:w="3402" w:type="dxa"/>
            <w:tcBorders>
              <w:top w:val="nil"/>
              <w:left w:val="nil"/>
              <w:bottom w:val="single" w:color="auto" w:sz="8" w:space="0"/>
              <w:right w:val="single" w:color="auto" w:sz="8" w:space="0"/>
            </w:tcBorders>
            <w:noWrap/>
            <w:vAlign w:val="center"/>
          </w:tcPr>
          <w:p w14:paraId="674B5D43">
            <w:pPr>
              <w:widowControl/>
              <w:jc w:val="center"/>
              <w:rPr>
                <w:rFonts w:hint="default"/>
                <w:kern w:val="0"/>
                <w:sz w:val="24"/>
                <w:szCs w:val="24"/>
              </w:rPr>
            </w:pPr>
            <w:r>
              <w:rPr>
                <w:kern w:val="0"/>
                <w:sz w:val="24"/>
                <w:szCs w:val="24"/>
              </w:rPr>
              <w:t>3.78</w:t>
            </w:r>
          </w:p>
        </w:tc>
      </w:tr>
      <w:tr w14:paraId="3447BF49">
        <w:tblPrEx>
          <w:tblCellMar>
            <w:top w:w="0" w:type="dxa"/>
            <w:left w:w="108" w:type="dxa"/>
            <w:bottom w:w="0" w:type="dxa"/>
            <w:right w:w="108" w:type="dxa"/>
          </w:tblCellMar>
        </w:tblPrEx>
        <w:trPr>
          <w:trHeight w:val="6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30F3691C">
            <w:pPr>
              <w:widowControl/>
              <w:jc w:val="left"/>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0C66ED0B">
            <w:pPr>
              <w:widowControl/>
              <w:jc w:val="center"/>
              <w:rPr>
                <w:color w:val="000000"/>
                <w:kern w:val="0"/>
                <w:sz w:val="24"/>
                <w:szCs w:val="24"/>
              </w:rPr>
            </w:pPr>
            <w:r>
              <w:rPr>
                <w:color w:val="000000"/>
                <w:kern w:val="0"/>
                <w:sz w:val="24"/>
                <w:szCs w:val="24"/>
              </w:rPr>
              <w:t>500</w:t>
            </w:r>
            <w:r>
              <w:rPr>
                <w:rFonts w:cs="Calibri"/>
                <w:color w:val="000000"/>
                <w:kern w:val="0"/>
                <w:sz w:val="24"/>
                <w:szCs w:val="24"/>
              </w:rPr>
              <w:t>＜</w:t>
            </w:r>
            <w:r>
              <w:rPr>
                <w:color w:val="000000"/>
                <w:kern w:val="0"/>
                <w:sz w:val="24"/>
                <w:szCs w:val="24"/>
              </w:rPr>
              <w:t>X</w:t>
            </w:r>
            <w:r>
              <w:rPr>
                <w:rFonts w:cs="Calibri"/>
                <w:color w:val="000000"/>
                <w:kern w:val="0"/>
                <w:sz w:val="24"/>
                <w:szCs w:val="24"/>
              </w:rPr>
              <w:t>≤</w:t>
            </w:r>
            <w:r>
              <w:rPr>
                <w:color w:val="000000"/>
                <w:kern w:val="0"/>
                <w:sz w:val="24"/>
                <w:szCs w:val="24"/>
              </w:rPr>
              <w:t>2000</w:t>
            </w:r>
          </w:p>
        </w:tc>
        <w:tc>
          <w:tcPr>
            <w:tcW w:w="3402" w:type="dxa"/>
            <w:tcBorders>
              <w:top w:val="nil"/>
              <w:left w:val="nil"/>
              <w:bottom w:val="single" w:color="auto" w:sz="8" w:space="0"/>
              <w:right w:val="single" w:color="auto" w:sz="8" w:space="0"/>
            </w:tcBorders>
            <w:noWrap/>
            <w:vAlign w:val="center"/>
          </w:tcPr>
          <w:p w14:paraId="31B1061D">
            <w:pPr>
              <w:widowControl/>
              <w:jc w:val="center"/>
              <w:rPr>
                <w:rFonts w:hint="default"/>
                <w:kern w:val="0"/>
                <w:sz w:val="24"/>
                <w:szCs w:val="24"/>
              </w:rPr>
            </w:pPr>
            <w:r>
              <w:rPr>
                <w:kern w:val="0"/>
                <w:sz w:val="24"/>
                <w:szCs w:val="24"/>
              </w:rPr>
              <w:t>0.96</w:t>
            </w:r>
          </w:p>
        </w:tc>
      </w:tr>
      <w:tr w14:paraId="6598C35B">
        <w:tblPrEx>
          <w:tblCellMar>
            <w:top w:w="0" w:type="dxa"/>
            <w:left w:w="108" w:type="dxa"/>
            <w:bottom w:w="0" w:type="dxa"/>
            <w:right w:w="108" w:type="dxa"/>
          </w:tblCellMar>
        </w:tblPrEx>
        <w:trPr>
          <w:trHeight w:val="6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13E73164">
            <w:pPr>
              <w:widowControl/>
              <w:jc w:val="left"/>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02364AEE">
            <w:pPr>
              <w:widowControl/>
              <w:jc w:val="center"/>
              <w:rPr>
                <w:color w:val="000000"/>
                <w:kern w:val="0"/>
                <w:sz w:val="24"/>
                <w:szCs w:val="24"/>
              </w:rPr>
            </w:pPr>
            <w:r>
              <w:rPr>
                <w:color w:val="000000"/>
                <w:kern w:val="0"/>
                <w:sz w:val="24"/>
                <w:szCs w:val="24"/>
              </w:rPr>
              <w:t>2000</w:t>
            </w:r>
            <w:r>
              <w:rPr>
                <w:rFonts w:cs="Calibri"/>
                <w:color w:val="000000"/>
                <w:kern w:val="0"/>
                <w:sz w:val="24"/>
                <w:szCs w:val="24"/>
              </w:rPr>
              <w:t>＜</w:t>
            </w:r>
            <w:r>
              <w:rPr>
                <w:color w:val="000000"/>
                <w:kern w:val="0"/>
                <w:sz w:val="24"/>
                <w:szCs w:val="24"/>
              </w:rPr>
              <w:t>X</w:t>
            </w:r>
            <w:r>
              <w:rPr>
                <w:rFonts w:cs="Calibri"/>
                <w:color w:val="000000"/>
                <w:kern w:val="0"/>
                <w:sz w:val="24"/>
                <w:szCs w:val="24"/>
              </w:rPr>
              <w:t>≤</w:t>
            </w:r>
            <w:r>
              <w:rPr>
                <w:color w:val="000000"/>
                <w:kern w:val="0"/>
                <w:sz w:val="24"/>
                <w:szCs w:val="24"/>
              </w:rPr>
              <w:t>5000</w:t>
            </w:r>
          </w:p>
        </w:tc>
        <w:tc>
          <w:tcPr>
            <w:tcW w:w="3402" w:type="dxa"/>
            <w:tcBorders>
              <w:top w:val="nil"/>
              <w:left w:val="nil"/>
              <w:bottom w:val="single" w:color="auto" w:sz="8" w:space="0"/>
              <w:right w:val="single" w:color="auto" w:sz="8" w:space="0"/>
            </w:tcBorders>
            <w:noWrap/>
            <w:vAlign w:val="center"/>
          </w:tcPr>
          <w:p w14:paraId="10BD3F7E">
            <w:pPr>
              <w:widowControl/>
              <w:jc w:val="center"/>
              <w:rPr>
                <w:rFonts w:hint="default"/>
                <w:kern w:val="0"/>
                <w:sz w:val="24"/>
                <w:szCs w:val="24"/>
              </w:rPr>
            </w:pPr>
            <w:r>
              <w:rPr>
                <w:kern w:val="0"/>
                <w:sz w:val="24"/>
                <w:szCs w:val="24"/>
              </w:rPr>
              <w:t>0.36</w:t>
            </w:r>
          </w:p>
        </w:tc>
      </w:tr>
      <w:tr w14:paraId="08724F2D">
        <w:tblPrEx>
          <w:tblCellMar>
            <w:top w:w="0" w:type="dxa"/>
            <w:left w:w="108" w:type="dxa"/>
            <w:bottom w:w="0" w:type="dxa"/>
            <w:right w:w="108" w:type="dxa"/>
          </w:tblCellMar>
        </w:tblPrEx>
        <w:trPr>
          <w:trHeight w:val="6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22D072FE">
            <w:pPr>
              <w:widowControl/>
              <w:jc w:val="left"/>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4EF4F4B8">
            <w:pPr>
              <w:widowControl/>
              <w:jc w:val="center"/>
              <w:rPr>
                <w:color w:val="000000"/>
                <w:kern w:val="0"/>
                <w:sz w:val="24"/>
                <w:szCs w:val="24"/>
              </w:rPr>
            </w:pPr>
            <w:r>
              <w:rPr>
                <w:color w:val="000000"/>
                <w:kern w:val="0"/>
                <w:sz w:val="24"/>
                <w:szCs w:val="24"/>
              </w:rPr>
              <w:t>5000</w:t>
            </w:r>
            <w:r>
              <w:rPr>
                <w:rFonts w:cs="Calibri"/>
                <w:color w:val="000000"/>
                <w:kern w:val="0"/>
                <w:sz w:val="24"/>
                <w:szCs w:val="24"/>
              </w:rPr>
              <w:t>＜</w:t>
            </w:r>
            <w:r>
              <w:rPr>
                <w:color w:val="000000"/>
                <w:kern w:val="0"/>
                <w:sz w:val="24"/>
                <w:szCs w:val="24"/>
              </w:rPr>
              <w:t>X</w:t>
            </w:r>
            <w:r>
              <w:rPr>
                <w:rFonts w:cs="Calibri"/>
                <w:color w:val="000000"/>
                <w:kern w:val="0"/>
                <w:sz w:val="24"/>
                <w:szCs w:val="24"/>
              </w:rPr>
              <w:t>≤</w:t>
            </w:r>
            <w:r>
              <w:rPr>
                <w:color w:val="000000"/>
                <w:kern w:val="0"/>
                <w:sz w:val="24"/>
                <w:szCs w:val="24"/>
              </w:rPr>
              <w:t>10000</w:t>
            </w:r>
          </w:p>
        </w:tc>
        <w:tc>
          <w:tcPr>
            <w:tcW w:w="3402" w:type="dxa"/>
            <w:tcBorders>
              <w:top w:val="nil"/>
              <w:left w:val="nil"/>
              <w:bottom w:val="single" w:color="auto" w:sz="8" w:space="0"/>
              <w:right w:val="single" w:color="auto" w:sz="8" w:space="0"/>
            </w:tcBorders>
            <w:noWrap/>
            <w:vAlign w:val="center"/>
          </w:tcPr>
          <w:p w14:paraId="6BF4E75C">
            <w:pPr>
              <w:widowControl/>
              <w:jc w:val="center"/>
              <w:rPr>
                <w:rFonts w:hint="default"/>
                <w:kern w:val="0"/>
                <w:sz w:val="24"/>
                <w:szCs w:val="24"/>
              </w:rPr>
            </w:pPr>
            <w:r>
              <w:rPr>
                <w:kern w:val="0"/>
                <w:sz w:val="24"/>
                <w:szCs w:val="24"/>
              </w:rPr>
              <w:t>0.198</w:t>
            </w:r>
          </w:p>
        </w:tc>
      </w:tr>
      <w:tr w14:paraId="6A006829">
        <w:tblPrEx>
          <w:tblCellMar>
            <w:top w:w="0" w:type="dxa"/>
            <w:left w:w="108" w:type="dxa"/>
            <w:bottom w:w="0" w:type="dxa"/>
            <w:right w:w="108" w:type="dxa"/>
          </w:tblCellMar>
        </w:tblPrEx>
        <w:trPr>
          <w:trHeight w:val="6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3DBF644F">
            <w:pPr>
              <w:widowControl/>
              <w:jc w:val="left"/>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7587D563">
            <w:pPr>
              <w:widowControl/>
              <w:jc w:val="center"/>
              <w:rPr>
                <w:color w:val="000000"/>
                <w:kern w:val="0"/>
                <w:sz w:val="24"/>
                <w:szCs w:val="24"/>
              </w:rPr>
            </w:pPr>
            <w:r>
              <w:rPr>
                <w:color w:val="000000"/>
                <w:kern w:val="0"/>
                <w:sz w:val="24"/>
                <w:szCs w:val="24"/>
              </w:rPr>
              <w:t>10000</w:t>
            </w:r>
            <w:r>
              <w:rPr>
                <w:rFonts w:cs="Calibri"/>
                <w:color w:val="000000"/>
                <w:kern w:val="0"/>
                <w:sz w:val="24"/>
                <w:szCs w:val="24"/>
              </w:rPr>
              <w:t>＜</w:t>
            </w:r>
            <w:r>
              <w:rPr>
                <w:color w:val="000000"/>
                <w:kern w:val="0"/>
                <w:sz w:val="24"/>
                <w:szCs w:val="24"/>
              </w:rPr>
              <w:t>X</w:t>
            </w:r>
            <w:r>
              <w:rPr>
                <w:rFonts w:cs="Calibri"/>
                <w:color w:val="000000"/>
                <w:kern w:val="0"/>
                <w:sz w:val="24"/>
                <w:szCs w:val="24"/>
              </w:rPr>
              <w:t>≤</w:t>
            </w:r>
            <w:r>
              <w:rPr>
                <w:color w:val="000000"/>
                <w:kern w:val="0"/>
                <w:sz w:val="24"/>
                <w:szCs w:val="24"/>
              </w:rPr>
              <w:t>50000</w:t>
            </w:r>
          </w:p>
        </w:tc>
        <w:tc>
          <w:tcPr>
            <w:tcW w:w="3402" w:type="dxa"/>
            <w:tcBorders>
              <w:top w:val="nil"/>
              <w:left w:val="nil"/>
              <w:bottom w:val="single" w:color="auto" w:sz="8" w:space="0"/>
              <w:right w:val="single" w:color="auto" w:sz="8" w:space="0"/>
            </w:tcBorders>
            <w:noWrap/>
            <w:vAlign w:val="center"/>
          </w:tcPr>
          <w:p w14:paraId="2611856F">
            <w:pPr>
              <w:widowControl/>
              <w:jc w:val="center"/>
              <w:rPr>
                <w:rFonts w:hint="default"/>
                <w:kern w:val="0"/>
                <w:sz w:val="24"/>
                <w:szCs w:val="24"/>
              </w:rPr>
            </w:pPr>
            <w:r>
              <w:rPr>
                <w:kern w:val="0"/>
                <w:sz w:val="24"/>
                <w:szCs w:val="24"/>
              </w:rPr>
              <w:t>0.03</w:t>
            </w:r>
          </w:p>
        </w:tc>
      </w:tr>
      <w:tr w14:paraId="00133393">
        <w:tblPrEx>
          <w:tblCellMar>
            <w:top w:w="0" w:type="dxa"/>
            <w:left w:w="108" w:type="dxa"/>
            <w:bottom w:w="0" w:type="dxa"/>
            <w:right w:w="108" w:type="dxa"/>
          </w:tblCellMar>
        </w:tblPrEx>
        <w:trPr>
          <w:trHeight w:val="6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07FF3F6E">
            <w:pPr>
              <w:widowControl/>
              <w:jc w:val="left"/>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27502B0C">
            <w:pPr>
              <w:widowControl/>
              <w:jc w:val="center"/>
              <w:rPr>
                <w:color w:val="000000"/>
                <w:kern w:val="0"/>
                <w:sz w:val="24"/>
                <w:szCs w:val="24"/>
              </w:rPr>
            </w:pPr>
            <w:r>
              <w:rPr>
                <w:color w:val="000000"/>
                <w:kern w:val="0"/>
                <w:sz w:val="24"/>
                <w:szCs w:val="24"/>
              </w:rPr>
              <w:t>50000</w:t>
            </w:r>
            <w:r>
              <w:rPr>
                <w:rFonts w:cs="Calibri"/>
                <w:color w:val="000000"/>
                <w:kern w:val="0"/>
                <w:sz w:val="24"/>
                <w:szCs w:val="24"/>
              </w:rPr>
              <w:t>＜</w:t>
            </w:r>
            <w:r>
              <w:rPr>
                <w:color w:val="000000"/>
                <w:kern w:val="0"/>
                <w:sz w:val="24"/>
                <w:szCs w:val="24"/>
              </w:rPr>
              <w:t>X</w:t>
            </w:r>
            <w:r>
              <w:rPr>
                <w:rFonts w:cs="Calibri"/>
                <w:color w:val="000000"/>
                <w:kern w:val="0"/>
                <w:sz w:val="24"/>
                <w:szCs w:val="24"/>
              </w:rPr>
              <w:t>≤</w:t>
            </w:r>
            <w:r>
              <w:rPr>
                <w:color w:val="000000"/>
                <w:kern w:val="0"/>
                <w:sz w:val="24"/>
                <w:szCs w:val="24"/>
              </w:rPr>
              <w:t>100000</w:t>
            </w:r>
          </w:p>
        </w:tc>
        <w:tc>
          <w:tcPr>
            <w:tcW w:w="3402" w:type="dxa"/>
            <w:tcBorders>
              <w:top w:val="nil"/>
              <w:left w:val="nil"/>
              <w:bottom w:val="single" w:color="auto" w:sz="8" w:space="0"/>
              <w:right w:val="single" w:color="auto" w:sz="8" w:space="0"/>
            </w:tcBorders>
            <w:noWrap/>
            <w:vAlign w:val="center"/>
          </w:tcPr>
          <w:p w14:paraId="5F344316">
            <w:pPr>
              <w:widowControl/>
              <w:jc w:val="center"/>
              <w:rPr>
                <w:rFonts w:hint="default"/>
                <w:kern w:val="0"/>
                <w:sz w:val="24"/>
                <w:szCs w:val="24"/>
              </w:rPr>
            </w:pPr>
            <w:r>
              <w:rPr>
                <w:kern w:val="0"/>
                <w:sz w:val="24"/>
                <w:szCs w:val="24"/>
              </w:rPr>
              <w:t>0.012</w:t>
            </w:r>
          </w:p>
        </w:tc>
      </w:tr>
      <w:tr w14:paraId="4E8C5D1C">
        <w:tblPrEx>
          <w:tblCellMar>
            <w:top w:w="0" w:type="dxa"/>
            <w:left w:w="108" w:type="dxa"/>
            <w:bottom w:w="0" w:type="dxa"/>
            <w:right w:w="108" w:type="dxa"/>
          </w:tblCellMar>
        </w:tblPrEx>
        <w:trPr>
          <w:trHeight w:val="6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124A8489">
            <w:pPr>
              <w:widowControl/>
              <w:jc w:val="left"/>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137741B4">
            <w:pPr>
              <w:widowControl/>
              <w:jc w:val="center"/>
              <w:rPr>
                <w:color w:val="000000"/>
                <w:kern w:val="0"/>
                <w:sz w:val="24"/>
                <w:szCs w:val="24"/>
              </w:rPr>
            </w:pPr>
            <w:r>
              <w:rPr>
                <w:color w:val="000000"/>
                <w:kern w:val="0"/>
                <w:sz w:val="24"/>
                <w:szCs w:val="24"/>
              </w:rPr>
              <w:t>X</w:t>
            </w:r>
            <w:r>
              <w:rPr>
                <w:rFonts w:cs="Calibri"/>
                <w:color w:val="000000"/>
                <w:kern w:val="0"/>
                <w:sz w:val="24"/>
                <w:szCs w:val="24"/>
              </w:rPr>
              <w:t>＞</w:t>
            </w:r>
            <w:r>
              <w:rPr>
                <w:color w:val="000000"/>
                <w:kern w:val="0"/>
                <w:sz w:val="24"/>
                <w:szCs w:val="24"/>
              </w:rPr>
              <w:t>100000</w:t>
            </w:r>
          </w:p>
        </w:tc>
        <w:tc>
          <w:tcPr>
            <w:tcW w:w="3402" w:type="dxa"/>
            <w:tcBorders>
              <w:top w:val="nil"/>
              <w:left w:val="nil"/>
              <w:bottom w:val="single" w:color="auto" w:sz="8" w:space="0"/>
              <w:right w:val="single" w:color="auto" w:sz="8" w:space="0"/>
            </w:tcBorders>
            <w:noWrap/>
            <w:vAlign w:val="center"/>
          </w:tcPr>
          <w:p w14:paraId="562C3451">
            <w:pPr>
              <w:widowControl/>
              <w:jc w:val="center"/>
              <w:rPr>
                <w:rFonts w:hint="default"/>
                <w:kern w:val="0"/>
                <w:sz w:val="24"/>
                <w:szCs w:val="24"/>
              </w:rPr>
            </w:pPr>
            <w:r>
              <w:rPr>
                <w:kern w:val="0"/>
                <w:sz w:val="24"/>
                <w:szCs w:val="24"/>
              </w:rPr>
              <w:t>0.006</w:t>
            </w:r>
          </w:p>
        </w:tc>
      </w:tr>
    </w:tbl>
    <w:p w14:paraId="5238E8C7">
      <w:pPr>
        <w:pStyle w:val="30"/>
        <w:adjustRightInd w:val="0"/>
        <w:spacing w:after="0" w:line="360" w:lineRule="auto"/>
        <w:ind w:left="0" w:leftChars="0" w:firstLine="560"/>
        <w:jc w:val="left"/>
        <w:textAlignment w:val="baseline"/>
        <w:rPr>
          <w:rFonts w:hint="eastAsia" w:ascii="宋体" w:hAnsi="宋体"/>
          <w:b/>
          <w:sz w:val="24"/>
          <w:szCs w:val="24"/>
        </w:rPr>
      </w:pPr>
      <w:r>
        <w:rPr>
          <w:rFonts w:hint="eastAsia" w:ascii="宋体" w:hAnsi="宋体" w:cs="宋体"/>
          <w:b/>
          <w:sz w:val="24"/>
          <w:szCs w:val="24"/>
        </w:rPr>
        <w:t>②</w:t>
      </w:r>
      <w:r>
        <w:rPr>
          <w:rFonts w:ascii="Calibri" w:hAnsi="Calibri" w:cs="Calibri"/>
          <w:b/>
          <w:sz w:val="24"/>
          <w:szCs w:val="24"/>
        </w:rPr>
        <w:t>计时费用标准上限：</w:t>
      </w:r>
    </w:p>
    <w:tbl>
      <w:tblPr>
        <w:tblStyle w:val="16"/>
        <w:tblW w:w="8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685"/>
        <w:gridCol w:w="3515"/>
      </w:tblGrid>
      <w:tr w14:paraId="21D35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1FEBBCEB">
            <w:pPr>
              <w:widowControl/>
              <w:spacing w:line="560" w:lineRule="exact"/>
              <w:jc w:val="center"/>
              <w:rPr>
                <w:b/>
                <w:bCs/>
                <w:color w:val="000000"/>
                <w:kern w:val="0"/>
                <w:sz w:val="24"/>
                <w:szCs w:val="24"/>
              </w:rPr>
            </w:pPr>
            <w:bookmarkStart w:id="1" w:name="_Hlk200353591"/>
            <w:r>
              <w:rPr>
                <w:rFonts w:cs="Calibri"/>
                <w:b/>
                <w:bCs/>
                <w:color w:val="000000"/>
                <w:kern w:val="0"/>
                <w:sz w:val="24"/>
                <w:szCs w:val="24"/>
              </w:rPr>
              <w:t>序号</w:t>
            </w:r>
          </w:p>
        </w:tc>
        <w:tc>
          <w:tcPr>
            <w:tcW w:w="3685" w:type="dxa"/>
            <w:tcBorders>
              <w:top w:val="single" w:color="auto" w:sz="4" w:space="0"/>
              <w:left w:val="nil"/>
              <w:bottom w:val="single" w:color="auto" w:sz="4" w:space="0"/>
              <w:right w:val="single" w:color="auto" w:sz="4" w:space="0"/>
            </w:tcBorders>
            <w:noWrap w:val="0"/>
            <w:vAlign w:val="center"/>
          </w:tcPr>
          <w:p w14:paraId="492D0966">
            <w:pPr>
              <w:widowControl/>
              <w:spacing w:line="560" w:lineRule="exact"/>
              <w:jc w:val="center"/>
              <w:rPr>
                <w:b/>
                <w:bCs/>
                <w:color w:val="000000"/>
                <w:kern w:val="0"/>
                <w:sz w:val="24"/>
                <w:szCs w:val="24"/>
              </w:rPr>
            </w:pPr>
            <w:r>
              <w:rPr>
                <w:rFonts w:cs="Calibri"/>
                <w:b/>
                <w:bCs/>
                <w:color w:val="000000"/>
                <w:kern w:val="0"/>
                <w:sz w:val="24"/>
                <w:szCs w:val="24"/>
              </w:rPr>
              <w:t>人员类别</w:t>
            </w:r>
          </w:p>
        </w:tc>
        <w:tc>
          <w:tcPr>
            <w:tcW w:w="3515" w:type="dxa"/>
            <w:tcBorders>
              <w:top w:val="single" w:color="auto" w:sz="4" w:space="0"/>
              <w:left w:val="nil"/>
              <w:bottom w:val="single" w:color="auto" w:sz="4" w:space="0"/>
              <w:right w:val="single" w:color="auto" w:sz="4" w:space="0"/>
            </w:tcBorders>
            <w:noWrap w:val="0"/>
            <w:vAlign w:val="center"/>
          </w:tcPr>
          <w:p w14:paraId="7BBA7388">
            <w:pPr>
              <w:widowControl/>
              <w:spacing w:line="560" w:lineRule="exact"/>
              <w:jc w:val="center"/>
              <w:rPr>
                <w:b/>
                <w:bCs/>
                <w:color w:val="000000"/>
                <w:kern w:val="0"/>
                <w:sz w:val="24"/>
                <w:szCs w:val="24"/>
              </w:rPr>
            </w:pPr>
            <w:r>
              <w:rPr>
                <w:rFonts w:cs="Calibri"/>
                <w:b/>
                <w:bCs/>
                <w:color w:val="000000"/>
                <w:kern w:val="0"/>
                <w:sz w:val="24"/>
                <w:szCs w:val="24"/>
              </w:rPr>
              <w:t>最高收费限额（元</w:t>
            </w:r>
            <w:r>
              <w:rPr>
                <w:b/>
                <w:bCs/>
                <w:color w:val="000000"/>
                <w:kern w:val="0"/>
                <w:sz w:val="24"/>
                <w:szCs w:val="24"/>
              </w:rPr>
              <w:t>/</w:t>
            </w:r>
            <w:r>
              <w:rPr>
                <w:rFonts w:cs="Calibri"/>
                <w:b/>
                <w:bCs/>
                <w:color w:val="000000"/>
                <w:kern w:val="0"/>
                <w:sz w:val="24"/>
                <w:szCs w:val="24"/>
              </w:rPr>
              <w:t>天）</w:t>
            </w:r>
          </w:p>
        </w:tc>
      </w:tr>
      <w:tr w14:paraId="0CEB7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6615F65E">
            <w:pPr>
              <w:widowControl/>
              <w:spacing w:line="560" w:lineRule="exact"/>
              <w:jc w:val="center"/>
              <w:rPr>
                <w:color w:val="000000"/>
                <w:kern w:val="0"/>
                <w:sz w:val="24"/>
                <w:szCs w:val="24"/>
              </w:rPr>
            </w:pPr>
            <w:r>
              <w:rPr>
                <w:color w:val="000000"/>
                <w:kern w:val="0"/>
                <w:sz w:val="24"/>
                <w:szCs w:val="24"/>
              </w:rPr>
              <w:t>1</w:t>
            </w:r>
          </w:p>
        </w:tc>
        <w:tc>
          <w:tcPr>
            <w:tcW w:w="3685" w:type="dxa"/>
            <w:tcBorders>
              <w:top w:val="single" w:color="auto" w:sz="4" w:space="0"/>
              <w:left w:val="nil"/>
              <w:bottom w:val="single" w:color="auto" w:sz="4" w:space="0"/>
              <w:right w:val="single" w:color="auto" w:sz="4" w:space="0"/>
            </w:tcBorders>
            <w:noWrap w:val="0"/>
            <w:vAlign w:val="center"/>
          </w:tcPr>
          <w:p w14:paraId="1A609D9C">
            <w:pPr>
              <w:widowControl/>
              <w:spacing w:line="560" w:lineRule="exact"/>
              <w:jc w:val="center"/>
              <w:rPr>
                <w:color w:val="000000"/>
                <w:kern w:val="0"/>
                <w:sz w:val="24"/>
                <w:szCs w:val="24"/>
              </w:rPr>
            </w:pPr>
            <w:r>
              <w:rPr>
                <w:rFonts w:cs="Calibri"/>
                <w:color w:val="000000"/>
                <w:kern w:val="0"/>
                <w:sz w:val="24"/>
                <w:szCs w:val="24"/>
              </w:rPr>
              <w:t>副高级及以上技术职称专业人员</w:t>
            </w:r>
          </w:p>
        </w:tc>
        <w:tc>
          <w:tcPr>
            <w:tcW w:w="3515" w:type="dxa"/>
            <w:tcBorders>
              <w:top w:val="single" w:color="auto" w:sz="4" w:space="0"/>
              <w:left w:val="nil"/>
              <w:bottom w:val="single" w:color="auto" w:sz="4" w:space="0"/>
              <w:right w:val="single" w:color="auto" w:sz="4" w:space="0"/>
            </w:tcBorders>
            <w:noWrap w:val="0"/>
            <w:vAlign w:val="center"/>
          </w:tcPr>
          <w:p w14:paraId="28D60545">
            <w:pPr>
              <w:widowControl/>
              <w:spacing w:line="560" w:lineRule="exact"/>
              <w:jc w:val="center"/>
              <w:rPr>
                <w:color w:val="000000"/>
                <w:kern w:val="0"/>
                <w:sz w:val="24"/>
                <w:szCs w:val="24"/>
              </w:rPr>
            </w:pPr>
            <w:r>
              <w:rPr>
                <w:color w:val="000000"/>
                <w:kern w:val="0"/>
                <w:sz w:val="24"/>
                <w:szCs w:val="24"/>
              </w:rPr>
              <w:t>500</w:t>
            </w:r>
          </w:p>
        </w:tc>
      </w:tr>
      <w:tr w14:paraId="79AC6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593A936B">
            <w:pPr>
              <w:widowControl/>
              <w:spacing w:line="560" w:lineRule="exact"/>
              <w:jc w:val="center"/>
              <w:rPr>
                <w:color w:val="000000"/>
                <w:kern w:val="0"/>
                <w:sz w:val="24"/>
                <w:szCs w:val="24"/>
              </w:rPr>
            </w:pPr>
            <w:r>
              <w:rPr>
                <w:color w:val="000000"/>
                <w:kern w:val="0"/>
                <w:sz w:val="24"/>
                <w:szCs w:val="24"/>
              </w:rPr>
              <w:t>2</w:t>
            </w:r>
          </w:p>
        </w:tc>
        <w:tc>
          <w:tcPr>
            <w:tcW w:w="3685" w:type="dxa"/>
            <w:tcBorders>
              <w:top w:val="single" w:color="auto" w:sz="4" w:space="0"/>
              <w:left w:val="nil"/>
              <w:bottom w:val="single" w:color="auto" w:sz="4" w:space="0"/>
              <w:right w:val="single" w:color="auto" w:sz="4" w:space="0"/>
            </w:tcBorders>
            <w:noWrap w:val="0"/>
            <w:vAlign w:val="center"/>
          </w:tcPr>
          <w:p w14:paraId="54945998">
            <w:pPr>
              <w:widowControl/>
              <w:spacing w:line="560" w:lineRule="exact"/>
              <w:jc w:val="center"/>
              <w:rPr>
                <w:color w:val="000000"/>
                <w:kern w:val="0"/>
                <w:sz w:val="24"/>
                <w:szCs w:val="24"/>
              </w:rPr>
            </w:pPr>
            <w:r>
              <w:rPr>
                <w:rFonts w:cs="Calibri"/>
                <w:color w:val="000000"/>
                <w:kern w:val="0"/>
                <w:sz w:val="24"/>
                <w:szCs w:val="24"/>
              </w:rPr>
              <w:t>中级以上技术职称专业人员</w:t>
            </w:r>
          </w:p>
        </w:tc>
        <w:tc>
          <w:tcPr>
            <w:tcW w:w="3515" w:type="dxa"/>
            <w:tcBorders>
              <w:top w:val="single" w:color="auto" w:sz="4" w:space="0"/>
              <w:left w:val="nil"/>
              <w:bottom w:val="single" w:color="auto" w:sz="4" w:space="0"/>
              <w:right w:val="single" w:color="auto" w:sz="4" w:space="0"/>
            </w:tcBorders>
            <w:noWrap w:val="0"/>
            <w:vAlign w:val="center"/>
          </w:tcPr>
          <w:p w14:paraId="6C9B70C8">
            <w:pPr>
              <w:widowControl/>
              <w:spacing w:line="560" w:lineRule="exact"/>
              <w:jc w:val="center"/>
              <w:rPr>
                <w:color w:val="000000"/>
                <w:kern w:val="0"/>
                <w:sz w:val="24"/>
                <w:szCs w:val="24"/>
              </w:rPr>
            </w:pPr>
            <w:r>
              <w:rPr>
                <w:color w:val="000000"/>
                <w:kern w:val="0"/>
                <w:sz w:val="24"/>
                <w:szCs w:val="24"/>
              </w:rPr>
              <w:t>300</w:t>
            </w:r>
          </w:p>
        </w:tc>
      </w:tr>
      <w:tr w14:paraId="7022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35BD2AF1">
            <w:pPr>
              <w:widowControl/>
              <w:spacing w:line="560" w:lineRule="exact"/>
              <w:jc w:val="center"/>
              <w:rPr>
                <w:color w:val="000000"/>
                <w:kern w:val="0"/>
                <w:sz w:val="24"/>
                <w:szCs w:val="24"/>
              </w:rPr>
            </w:pPr>
            <w:r>
              <w:rPr>
                <w:color w:val="000000"/>
                <w:kern w:val="0"/>
                <w:sz w:val="24"/>
                <w:szCs w:val="24"/>
              </w:rPr>
              <w:t>3</w:t>
            </w:r>
          </w:p>
        </w:tc>
        <w:tc>
          <w:tcPr>
            <w:tcW w:w="3685" w:type="dxa"/>
            <w:tcBorders>
              <w:top w:val="single" w:color="auto" w:sz="4" w:space="0"/>
              <w:left w:val="nil"/>
              <w:bottom w:val="single" w:color="auto" w:sz="4" w:space="0"/>
              <w:right w:val="single" w:color="auto" w:sz="4" w:space="0"/>
            </w:tcBorders>
            <w:noWrap w:val="0"/>
            <w:vAlign w:val="center"/>
          </w:tcPr>
          <w:p w14:paraId="3D1991CA">
            <w:pPr>
              <w:widowControl/>
              <w:spacing w:line="560" w:lineRule="exact"/>
              <w:jc w:val="center"/>
              <w:rPr>
                <w:color w:val="000000"/>
                <w:kern w:val="0"/>
                <w:sz w:val="24"/>
                <w:szCs w:val="24"/>
              </w:rPr>
            </w:pPr>
            <w:r>
              <w:rPr>
                <w:rFonts w:cs="Calibri"/>
                <w:color w:val="000000"/>
                <w:kern w:val="0"/>
                <w:sz w:val="24"/>
                <w:szCs w:val="24"/>
              </w:rPr>
              <w:t>助理人员</w:t>
            </w:r>
          </w:p>
        </w:tc>
        <w:tc>
          <w:tcPr>
            <w:tcW w:w="3515" w:type="dxa"/>
            <w:tcBorders>
              <w:top w:val="single" w:color="auto" w:sz="4" w:space="0"/>
              <w:left w:val="nil"/>
              <w:bottom w:val="single" w:color="auto" w:sz="4" w:space="0"/>
              <w:right w:val="single" w:color="auto" w:sz="4" w:space="0"/>
            </w:tcBorders>
            <w:noWrap w:val="0"/>
            <w:vAlign w:val="center"/>
          </w:tcPr>
          <w:p w14:paraId="273D4057">
            <w:pPr>
              <w:widowControl/>
              <w:spacing w:line="560" w:lineRule="exact"/>
              <w:jc w:val="center"/>
              <w:rPr>
                <w:color w:val="000000"/>
                <w:kern w:val="0"/>
                <w:sz w:val="24"/>
                <w:szCs w:val="24"/>
              </w:rPr>
            </w:pPr>
            <w:r>
              <w:rPr>
                <w:color w:val="000000"/>
                <w:kern w:val="0"/>
                <w:sz w:val="24"/>
                <w:szCs w:val="24"/>
              </w:rPr>
              <w:t>200</w:t>
            </w:r>
          </w:p>
        </w:tc>
      </w:tr>
      <w:bookmarkEnd w:id="1"/>
    </w:tbl>
    <w:p w14:paraId="6EED14C9">
      <w:pPr>
        <w:pStyle w:val="21"/>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备注：具体项目收取服务费须按征集人要求商定，但最高不得超过以上计费标准。</w:t>
      </w:r>
    </w:p>
    <w:p w14:paraId="6CFE3B16">
      <w:pPr>
        <w:pStyle w:val="21"/>
        <w:ind w:firstLine="476" w:firstLineChars="200"/>
        <w:rPr>
          <w:rFonts w:hint="eastAsia" w:asciiTheme="minorEastAsia" w:hAnsiTheme="minorEastAsia" w:eastAsiaTheme="minorEastAsia" w:cstheme="minorEastAsia"/>
          <w:snapToGrid w:val="0"/>
          <w:color w:val="000000"/>
          <w:spacing w:val="-1"/>
          <w:kern w:val="0"/>
          <w:sz w:val="24"/>
          <w:szCs w:val="24"/>
          <w:lang w:val="en-US" w:eastAsia="zh-CN" w:bidi="ar-SA"/>
        </w:rPr>
      </w:pPr>
    </w:p>
    <w:p w14:paraId="73E6CC0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14:paraId="0C6F3D11">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.适用框架协议的服务对象范围：</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南阳</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市财政局。</w:t>
      </w:r>
    </w:p>
    <w:p w14:paraId="155DD091">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.服务标准：符合国家、河南省、</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南阳</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市有关文件规定及服务对象要求。</w:t>
      </w:r>
    </w:p>
    <w:p w14:paraId="14277AA3">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服务时间：</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从框架协议生效之日起</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2年</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w:t>
      </w:r>
    </w:p>
    <w:p w14:paraId="6B38D05E">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en-US"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4</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合同履行</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期限：</w:t>
      </w: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同框架协议期限</w:t>
      </w:r>
      <w:r>
        <w:rPr>
          <w:rFonts w:hint="eastAsia" w:asciiTheme="minorEastAsia" w:hAnsiTheme="minorEastAsia" w:eastAsiaTheme="minorEastAsia" w:cstheme="minorEastAsia"/>
          <w:snapToGrid w:val="0"/>
          <w:color w:val="auto"/>
          <w:spacing w:val="2"/>
          <w:kern w:val="0"/>
          <w:position w:val="17"/>
          <w:sz w:val="24"/>
          <w:szCs w:val="24"/>
          <w:lang w:val="en-US" w:eastAsia="en-US" w:bidi="ar-SA"/>
        </w:rPr>
        <w:t>。</w:t>
      </w:r>
    </w:p>
    <w:p w14:paraId="318C6A9D">
      <w:pPr>
        <w:spacing w:line="360" w:lineRule="auto"/>
        <w:ind w:firstLine="431" w:firstLineChars="177"/>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5.服务团队：每个单项合同服务时，派出团队除负责人（主评人）外，必须有至少一名具有中高级专业技术职称或注册会计师、评估师等执业资格证书的人员。</w:t>
      </w:r>
    </w:p>
    <w:p w14:paraId="65707274">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6.验收方式和程序：</w:t>
      </w:r>
    </w:p>
    <w:p w14:paraId="728D4AB5">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6.1验收方式：</w:t>
      </w:r>
    </w:p>
    <w:p w14:paraId="262880C9">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 xml:space="preserve">联合验收，验收工作由采购人相关职能科室牵头组成联合验收小组共同验收。 </w:t>
      </w:r>
    </w:p>
    <w:p w14:paraId="5025BF44">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6.2验收程序：</w:t>
      </w:r>
    </w:p>
    <w:p w14:paraId="18BA76B5">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成交人完成工作、实现总体目标，根据要求提交工作成果后一次性验收。</w:t>
      </w:r>
    </w:p>
    <w:p w14:paraId="52D89A45">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7.验收内容</w:t>
      </w:r>
    </w:p>
    <w:p w14:paraId="19478B77">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7.1技术履约内容：按照委托项目中的“技术要求”及成交人的响应文件进行验收。</w:t>
      </w:r>
    </w:p>
    <w:p w14:paraId="649881C0">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7.2商务履约内容：按照委托项目中的 “商务要求”及成交人的响应文件进行验收。</w:t>
      </w:r>
    </w:p>
    <w:p w14:paraId="27719D1D">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8.验收标准：</w:t>
      </w:r>
    </w:p>
    <w:p w14:paraId="68D8CE16">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严格按照政府采购相关法律法规以及《财政部关于进一步加强政府采购需求和履约验收管理的指导意见》（财库【2016】205号）的要求进行验收。成交人与采购人应按国家有关规定以及采购人采购文件的质量要求和技术指标、成交供应商的响应文件及承诺与本合同约定标准进行验收。</w:t>
      </w:r>
    </w:p>
    <w:p w14:paraId="0C5988CF">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单个项目完成后，采购人根据《南阳市市级部门委托第三方机构参与预算绩效管理工作办法》（宛财效【2025】2号）文件要求，对第三方机构的工作情况和业务质量进行综合考评验收。考核结果分为优（得分≥90分）、良（90分&gt;得分≥80分）、中（80分&gt;得分≥60分）、差（得分＜60分）四个等级，考核结果与付费比例挂钩。并且考核结果为“中“、”差”等级的第三方机构不再参与下一轮抽签，并取消框架协议后续服务期服务资格，同时将其执业质量情况通报其所在的行业协会及监管部门。考核内容见下表。</w:t>
      </w:r>
    </w:p>
    <w:p w14:paraId="4793E124">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baseline"/>
        <w:rPr>
          <w:rFonts w:hint="eastAsia" w:ascii="仿宋" w:hAnsi="仿宋" w:eastAsia="仿宋"/>
          <w:bCs/>
          <w:kern w:val="0"/>
          <w:sz w:val="28"/>
          <w:szCs w:val="28"/>
        </w:rPr>
      </w:pPr>
      <w:r>
        <w:rPr>
          <w:rFonts w:hint="eastAsia" w:ascii="仿宋" w:hAnsi="仿宋" w:eastAsia="仿宋"/>
          <w:bCs/>
          <w:kern w:val="0"/>
          <w:sz w:val="28"/>
          <w:szCs w:val="28"/>
        </w:rPr>
        <w:t>第三方机构参与预算绩效管理工作</w:t>
      </w:r>
    </w:p>
    <w:p w14:paraId="1CDB8A8B">
      <w:pPr>
        <w:keepNext w:val="0"/>
        <w:keepLines w:val="0"/>
        <w:pageBreakBefore w:val="0"/>
        <w:widowControl w:val="0"/>
        <w:kinsoku/>
        <w:wordWrap/>
        <w:overflowPunct/>
        <w:topLinePunct w:val="0"/>
        <w:autoSpaceDE/>
        <w:autoSpaceDN/>
        <w:bidi w:val="0"/>
        <w:adjustRightInd w:val="0"/>
        <w:snapToGrid/>
        <w:spacing w:line="560" w:lineRule="exact"/>
        <w:ind w:firstLine="0" w:firstLineChars="0"/>
        <w:jc w:val="center"/>
        <w:textAlignment w:val="baseline"/>
        <w:rPr>
          <w:rFonts w:hint="eastAsia" w:ascii="仿宋" w:hAnsi="仿宋" w:eastAsia="仿宋"/>
          <w:bCs/>
          <w:kern w:val="0"/>
          <w:sz w:val="28"/>
          <w:szCs w:val="28"/>
        </w:rPr>
      </w:pPr>
      <w:r>
        <w:rPr>
          <w:rFonts w:hint="eastAsia" w:ascii="仿宋" w:hAnsi="仿宋" w:eastAsia="仿宋"/>
          <w:bCs/>
          <w:kern w:val="0"/>
          <w:sz w:val="28"/>
          <w:szCs w:val="28"/>
        </w:rPr>
        <w:t>综合考评表</w:t>
      </w:r>
    </w:p>
    <w:tbl>
      <w:tblPr>
        <w:tblStyle w:val="1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583"/>
        <w:gridCol w:w="4809"/>
        <w:gridCol w:w="620"/>
        <w:gridCol w:w="651"/>
      </w:tblGrid>
      <w:tr w14:paraId="7BC1A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tcBorders>
              <w:top w:val="nil"/>
              <w:left w:val="nil"/>
              <w:right w:val="nil"/>
            </w:tcBorders>
            <w:noWrap w:val="0"/>
            <w:vAlign w:val="center"/>
          </w:tcPr>
          <w:p w14:paraId="1C32E3CA">
            <w:pPr>
              <w:spacing w:line="360" w:lineRule="auto"/>
              <w:rPr>
                <w:rFonts w:ascii="宋体" w:hAnsi="宋体" w:eastAsia="宋体" w:cs="宋体"/>
                <w:szCs w:val="21"/>
              </w:rPr>
            </w:pPr>
            <w:r>
              <w:rPr>
                <w:rFonts w:ascii="宋体" w:hAnsi="宋体" w:eastAsia="宋体" w:cs="宋体"/>
                <w:szCs w:val="21"/>
              </w:rPr>
              <w:t xml:space="preserve">填报日期：   </w:t>
            </w:r>
            <w:r>
              <w:rPr>
                <w:rFonts w:ascii="宋体" w:hAnsi="宋体" w:eastAsia="宋体" w:cs="宋体"/>
                <w:szCs w:val="21"/>
                <w:lang w:val="en"/>
              </w:rPr>
              <w:t xml:space="preserve">  </w:t>
            </w:r>
            <w:r>
              <w:rPr>
                <w:rFonts w:ascii="宋体" w:hAnsi="宋体" w:eastAsia="宋体" w:cs="宋体"/>
                <w:szCs w:val="21"/>
              </w:rPr>
              <w:t xml:space="preserve"> 年</w:t>
            </w:r>
            <w:r>
              <w:rPr>
                <w:rFonts w:ascii="宋体" w:hAnsi="宋体" w:eastAsia="宋体" w:cs="宋体"/>
                <w:szCs w:val="21"/>
                <w:lang w:val="en"/>
              </w:rPr>
              <w:t xml:space="preserve"> </w:t>
            </w:r>
            <w:r>
              <w:rPr>
                <w:rFonts w:ascii="宋体" w:hAnsi="宋体" w:eastAsia="宋体" w:cs="宋体"/>
                <w:szCs w:val="21"/>
              </w:rPr>
              <w:t xml:space="preserve">  月   日</w:t>
            </w:r>
          </w:p>
        </w:tc>
      </w:tr>
      <w:tr w14:paraId="4F421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14:paraId="7222FEB8">
            <w:pPr>
              <w:spacing w:line="360" w:lineRule="auto"/>
              <w:jc w:val="left"/>
              <w:rPr>
                <w:rFonts w:ascii="宋体" w:hAnsi="宋体" w:eastAsia="宋体" w:cs="宋体"/>
                <w:szCs w:val="21"/>
              </w:rPr>
            </w:pPr>
            <w:r>
              <w:rPr>
                <w:rFonts w:ascii="宋体" w:hAnsi="宋体" w:eastAsia="宋体" w:cs="宋体"/>
                <w:szCs w:val="21"/>
              </w:rPr>
              <w:t>委托方名称（盖章）：</w:t>
            </w:r>
          </w:p>
        </w:tc>
      </w:tr>
      <w:tr w14:paraId="51E5F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14:paraId="7656439F">
            <w:pPr>
              <w:spacing w:line="360" w:lineRule="auto"/>
              <w:jc w:val="left"/>
              <w:rPr>
                <w:rFonts w:ascii="宋体" w:hAnsi="宋体" w:eastAsia="宋体" w:cs="宋体"/>
                <w:szCs w:val="21"/>
              </w:rPr>
            </w:pPr>
            <w:r>
              <w:rPr>
                <w:rFonts w:ascii="宋体" w:hAnsi="宋体" w:eastAsia="宋体" w:cs="宋体"/>
                <w:szCs w:val="21"/>
              </w:rPr>
              <w:t>委托业务：</w:t>
            </w:r>
          </w:p>
        </w:tc>
      </w:tr>
      <w:tr w14:paraId="74088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14:paraId="3BCBFC6B">
            <w:pPr>
              <w:spacing w:line="360" w:lineRule="auto"/>
              <w:jc w:val="left"/>
              <w:rPr>
                <w:rFonts w:ascii="宋体" w:hAnsi="宋体" w:eastAsia="宋体" w:cs="宋体"/>
                <w:szCs w:val="21"/>
              </w:rPr>
            </w:pPr>
            <w:r>
              <w:rPr>
                <w:rFonts w:ascii="宋体" w:hAnsi="宋体" w:eastAsia="宋体" w:cs="宋体"/>
                <w:szCs w:val="21"/>
              </w:rPr>
              <w:t>受托机构：</w:t>
            </w:r>
          </w:p>
        </w:tc>
      </w:tr>
      <w:tr w14:paraId="0ECC5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14:paraId="6B0D4740">
            <w:pPr>
              <w:spacing w:line="360" w:lineRule="auto"/>
              <w:jc w:val="left"/>
              <w:rPr>
                <w:rFonts w:ascii="宋体" w:hAnsi="宋体" w:eastAsia="宋体" w:cs="宋体"/>
                <w:szCs w:val="21"/>
              </w:rPr>
            </w:pPr>
            <w:r>
              <w:rPr>
                <w:rFonts w:ascii="宋体" w:hAnsi="宋体" w:eastAsia="宋体" w:cs="宋体"/>
                <w:szCs w:val="21"/>
              </w:rPr>
              <w:t>工作起讫时间：    年  月  日—     年  月  日</w:t>
            </w:r>
          </w:p>
        </w:tc>
      </w:tr>
      <w:tr w14:paraId="09C28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14:paraId="14B79836">
            <w:pPr>
              <w:spacing w:line="360" w:lineRule="auto"/>
              <w:jc w:val="left"/>
              <w:rPr>
                <w:rFonts w:ascii="宋体" w:hAnsi="宋体" w:eastAsia="宋体" w:cs="宋体"/>
                <w:szCs w:val="21"/>
              </w:rPr>
            </w:pPr>
            <w:r>
              <w:rPr>
                <w:rFonts w:ascii="宋体" w:hAnsi="宋体" w:eastAsia="宋体" w:cs="宋体"/>
                <w:szCs w:val="21"/>
              </w:rPr>
              <w:t>服务费用：      元</w:t>
            </w:r>
          </w:p>
        </w:tc>
      </w:tr>
      <w:tr w14:paraId="77F84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5"/>
            <w:noWrap w:val="0"/>
            <w:vAlign w:val="center"/>
          </w:tcPr>
          <w:p w14:paraId="259E5BBF">
            <w:pPr>
              <w:spacing w:line="360" w:lineRule="auto"/>
              <w:jc w:val="left"/>
              <w:rPr>
                <w:rFonts w:ascii="宋体" w:hAnsi="宋体" w:eastAsia="宋体" w:cs="宋体"/>
                <w:szCs w:val="21"/>
              </w:rPr>
            </w:pPr>
            <w:r>
              <w:rPr>
                <w:rFonts w:ascii="宋体" w:hAnsi="宋体" w:eastAsia="宋体" w:cs="宋体"/>
                <w:szCs w:val="21"/>
              </w:rPr>
              <w:t>综合考评情况</w:t>
            </w:r>
          </w:p>
        </w:tc>
      </w:tr>
      <w:tr w14:paraId="7B313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1AD5B40B">
            <w:pPr>
              <w:spacing w:line="360" w:lineRule="auto"/>
              <w:jc w:val="center"/>
              <w:rPr>
                <w:rFonts w:ascii="宋体" w:hAnsi="宋体" w:eastAsia="宋体" w:cs="宋体"/>
                <w:szCs w:val="21"/>
              </w:rPr>
            </w:pPr>
            <w:r>
              <w:rPr>
                <w:rFonts w:ascii="宋体" w:hAnsi="宋体" w:eastAsia="宋体" w:cs="宋体"/>
                <w:szCs w:val="21"/>
              </w:rPr>
              <w:t>考评要点</w:t>
            </w:r>
          </w:p>
        </w:tc>
        <w:tc>
          <w:tcPr>
            <w:tcW w:w="342" w:type="pct"/>
            <w:noWrap w:val="0"/>
            <w:vAlign w:val="center"/>
          </w:tcPr>
          <w:p w14:paraId="3A69B7E3">
            <w:pPr>
              <w:spacing w:line="360" w:lineRule="auto"/>
              <w:jc w:val="center"/>
              <w:rPr>
                <w:rFonts w:ascii="宋体" w:hAnsi="宋体" w:eastAsia="宋体" w:cs="宋体"/>
                <w:szCs w:val="21"/>
              </w:rPr>
            </w:pPr>
            <w:r>
              <w:rPr>
                <w:rFonts w:ascii="宋体" w:hAnsi="宋体" w:eastAsia="宋体" w:cs="宋体"/>
                <w:szCs w:val="21"/>
              </w:rPr>
              <w:t>分值</w:t>
            </w:r>
          </w:p>
        </w:tc>
        <w:tc>
          <w:tcPr>
            <w:tcW w:w="2821" w:type="pct"/>
            <w:noWrap w:val="0"/>
            <w:vAlign w:val="center"/>
          </w:tcPr>
          <w:p w14:paraId="2CFA13B5">
            <w:pPr>
              <w:spacing w:line="360" w:lineRule="auto"/>
              <w:jc w:val="center"/>
              <w:rPr>
                <w:rFonts w:ascii="宋体" w:hAnsi="宋体" w:eastAsia="宋体" w:cs="宋体"/>
                <w:szCs w:val="21"/>
              </w:rPr>
            </w:pPr>
            <w:r>
              <w:rPr>
                <w:rFonts w:ascii="宋体" w:hAnsi="宋体" w:eastAsia="宋体" w:cs="宋体"/>
                <w:szCs w:val="21"/>
              </w:rPr>
              <w:t>主要考评内容和评分说明</w:t>
            </w:r>
          </w:p>
        </w:tc>
        <w:tc>
          <w:tcPr>
            <w:tcW w:w="364" w:type="pct"/>
            <w:noWrap w:val="0"/>
            <w:vAlign w:val="center"/>
          </w:tcPr>
          <w:p w14:paraId="0EB63CED">
            <w:pPr>
              <w:spacing w:line="360" w:lineRule="auto"/>
              <w:jc w:val="left"/>
              <w:rPr>
                <w:rFonts w:ascii="宋体" w:hAnsi="宋体" w:eastAsia="宋体" w:cs="宋体"/>
                <w:szCs w:val="21"/>
              </w:rPr>
            </w:pPr>
            <w:r>
              <w:rPr>
                <w:rFonts w:ascii="宋体" w:hAnsi="宋体" w:eastAsia="宋体" w:cs="宋体"/>
                <w:szCs w:val="21"/>
              </w:rPr>
              <w:t>得分</w:t>
            </w:r>
          </w:p>
        </w:tc>
        <w:tc>
          <w:tcPr>
            <w:tcW w:w="380" w:type="pct"/>
            <w:noWrap w:val="0"/>
            <w:vAlign w:val="center"/>
          </w:tcPr>
          <w:p w14:paraId="075E6C1C">
            <w:pPr>
              <w:spacing w:line="360" w:lineRule="auto"/>
              <w:jc w:val="left"/>
              <w:rPr>
                <w:rFonts w:ascii="宋体" w:hAnsi="宋体" w:eastAsia="宋体" w:cs="宋体"/>
                <w:szCs w:val="21"/>
              </w:rPr>
            </w:pPr>
            <w:r>
              <w:rPr>
                <w:rFonts w:ascii="宋体" w:hAnsi="宋体" w:eastAsia="宋体" w:cs="宋体"/>
                <w:szCs w:val="21"/>
              </w:rPr>
              <w:t>扣分</w:t>
            </w:r>
          </w:p>
          <w:p w14:paraId="1E49C256">
            <w:pPr>
              <w:spacing w:line="360" w:lineRule="auto"/>
              <w:jc w:val="left"/>
              <w:rPr>
                <w:rFonts w:ascii="宋体" w:hAnsi="宋体" w:eastAsia="宋体" w:cs="宋体"/>
                <w:szCs w:val="21"/>
              </w:rPr>
            </w:pPr>
            <w:r>
              <w:rPr>
                <w:rFonts w:ascii="宋体" w:hAnsi="宋体" w:eastAsia="宋体" w:cs="宋体"/>
                <w:szCs w:val="21"/>
              </w:rPr>
              <w:t>原因</w:t>
            </w:r>
          </w:p>
        </w:tc>
      </w:tr>
      <w:tr w14:paraId="6F270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5BE3C4B6">
            <w:pPr>
              <w:spacing w:line="360" w:lineRule="auto"/>
              <w:jc w:val="left"/>
              <w:rPr>
                <w:rFonts w:ascii="宋体" w:hAnsi="宋体" w:eastAsia="宋体" w:cs="宋体"/>
                <w:szCs w:val="21"/>
              </w:rPr>
            </w:pPr>
            <w:r>
              <w:rPr>
                <w:rFonts w:ascii="宋体" w:hAnsi="宋体" w:eastAsia="宋体" w:cs="宋体"/>
                <w:szCs w:val="21"/>
              </w:rPr>
              <w:t>一、组织管理</w:t>
            </w:r>
          </w:p>
        </w:tc>
        <w:tc>
          <w:tcPr>
            <w:tcW w:w="342" w:type="pct"/>
            <w:noWrap w:val="0"/>
            <w:vAlign w:val="center"/>
          </w:tcPr>
          <w:p w14:paraId="5F2C2F62">
            <w:pPr>
              <w:spacing w:line="360" w:lineRule="auto"/>
              <w:jc w:val="left"/>
              <w:rPr>
                <w:rFonts w:ascii="宋体" w:hAnsi="宋体" w:eastAsia="宋体" w:cs="宋体"/>
                <w:szCs w:val="21"/>
              </w:rPr>
            </w:pPr>
            <w:r>
              <w:rPr>
                <w:rFonts w:ascii="宋体" w:hAnsi="宋体" w:eastAsia="宋体" w:cs="宋体"/>
                <w:szCs w:val="21"/>
              </w:rPr>
              <w:t>30</w:t>
            </w:r>
          </w:p>
        </w:tc>
        <w:tc>
          <w:tcPr>
            <w:tcW w:w="2821" w:type="pct"/>
            <w:noWrap w:val="0"/>
            <w:vAlign w:val="center"/>
          </w:tcPr>
          <w:p w14:paraId="75A289FC">
            <w:pPr>
              <w:spacing w:line="360" w:lineRule="auto"/>
              <w:jc w:val="left"/>
              <w:rPr>
                <w:rFonts w:ascii="宋体" w:hAnsi="宋体" w:eastAsia="宋体" w:cs="宋体"/>
                <w:szCs w:val="21"/>
              </w:rPr>
            </w:pPr>
          </w:p>
        </w:tc>
        <w:tc>
          <w:tcPr>
            <w:tcW w:w="364" w:type="pct"/>
            <w:noWrap w:val="0"/>
            <w:vAlign w:val="top"/>
          </w:tcPr>
          <w:p w14:paraId="6BAF3379">
            <w:pPr>
              <w:spacing w:line="360" w:lineRule="auto"/>
              <w:jc w:val="left"/>
              <w:rPr>
                <w:rFonts w:ascii="宋体" w:hAnsi="宋体" w:eastAsia="宋体" w:cs="宋体"/>
                <w:szCs w:val="21"/>
              </w:rPr>
            </w:pPr>
          </w:p>
        </w:tc>
        <w:tc>
          <w:tcPr>
            <w:tcW w:w="380" w:type="pct"/>
            <w:noWrap w:val="0"/>
            <w:vAlign w:val="top"/>
          </w:tcPr>
          <w:p w14:paraId="359A994B">
            <w:pPr>
              <w:spacing w:line="360" w:lineRule="auto"/>
              <w:jc w:val="left"/>
              <w:rPr>
                <w:rFonts w:ascii="宋体" w:hAnsi="宋体" w:eastAsia="宋体" w:cs="宋体"/>
                <w:szCs w:val="21"/>
              </w:rPr>
            </w:pPr>
          </w:p>
        </w:tc>
      </w:tr>
      <w:tr w14:paraId="39B07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720F6D79">
            <w:pPr>
              <w:spacing w:line="360" w:lineRule="auto"/>
              <w:jc w:val="left"/>
              <w:rPr>
                <w:rFonts w:ascii="宋体" w:hAnsi="宋体" w:eastAsia="宋体" w:cs="宋体"/>
                <w:szCs w:val="21"/>
              </w:rPr>
            </w:pPr>
            <w:r>
              <w:rPr>
                <w:rFonts w:ascii="宋体" w:hAnsi="宋体" w:eastAsia="宋体" w:cs="宋体"/>
                <w:szCs w:val="21"/>
              </w:rPr>
              <w:t>（一）人员配备</w:t>
            </w:r>
          </w:p>
        </w:tc>
        <w:tc>
          <w:tcPr>
            <w:tcW w:w="342" w:type="pct"/>
            <w:noWrap w:val="0"/>
            <w:vAlign w:val="center"/>
          </w:tcPr>
          <w:p w14:paraId="22D424E0">
            <w:pPr>
              <w:spacing w:line="360" w:lineRule="auto"/>
              <w:jc w:val="left"/>
              <w:rPr>
                <w:rFonts w:ascii="宋体" w:hAnsi="宋体" w:eastAsia="宋体" w:cs="宋体"/>
                <w:szCs w:val="21"/>
              </w:rPr>
            </w:pPr>
            <w:r>
              <w:rPr>
                <w:rFonts w:ascii="宋体" w:hAnsi="宋体" w:eastAsia="宋体" w:cs="宋体"/>
                <w:szCs w:val="21"/>
              </w:rPr>
              <w:t>12</w:t>
            </w:r>
          </w:p>
        </w:tc>
        <w:tc>
          <w:tcPr>
            <w:tcW w:w="2821" w:type="pct"/>
            <w:noWrap w:val="0"/>
            <w:vAlign w:val="center"/>
          </w:tcPr>
          <w:p w14:paraId="1C4E9D6E">
            <w:pPr>
              <w:spacing w:line="360" w:lineRule="auto"/>
              <w:jc w:val="left"/>
              <w:rPr>
                <w:rFonts w:ascii="宋体" w:hAnsi="宋体" w:eastAsia="宋体" w:cs="宋体"/>
                <w:szCs w:val="21"/>
              </w:rPr>
            </w:pPr>
          </w:p>
        </w:tc>
        <w:tc>
          <w:tcPr>
            <w:tcW w:w="364" w:type="pct"/>
            <w:noWrap w:val="0"/>
            <w:vAlign w:val="top"/>
          </w:tcPr>
          <w:p w14:paraId="0A084EBE">
            <w:pPr>
              <w:spacing w:line="360" w:lineRule="auto"/>
              <w:jc w:val="left"/>
              <w:rPr>
                <w:rFonts w:ascii="宋体" w:hAnsi="宋体" w:eastAsia="宋体" w:cs="宋体"/>
                <w:szCs w:val="21"/>
              </w:rPr>
            </w:pPr>
          </w:p>
        </w:tc>
        <w:tc>
          <w:tcPr>
            <w:tcW w:w="380" w:type="pct"/>
            <w:noWrap w:val="0"/>
            <w:vAlign w:val="top"/>
          </w:tcPr>
          <w:p w14:paraId="72D16F5A">
            <w:pPr>
              <w:spacing w:line="360" w:lineRule="auto"/>
              <w:jc w:val="left"/>
              <w:rPr>
                <w:rFonts w:ascii="宋体" w:hAnsi="宋体" w:eastAsia="宋体" w:cs="宋体"/>
                <w:szCs w:val="21"/>
              </w:rPr>
            </w:pPr>
          </w:p>
        </w:tc>
      </w:tr>
      <w:tr w14:paraId="7ED3B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2DD4A66B">
            <w:pPr>
              <w:spacing w:line="360" w:lineRule="auto"/>
              <w:jc w:val="left"/>
              <w:rPr>
                <w:rFonts w:ascii="宋体" w:hAnsi="宋体" w:eastAsia="宋体" w:cs="宋体"/>
                <w:szCs w:val="21"/>
              </w:rPr>
            </w:pPr>
            <w:r>
              <w:rPr>
                <w:rFonts w:ascii="宋体" w:hAnsi="宋体" w:eastAsia="宋体" w:cs="宋体"/>
                <w:szCs w:val="21"/>
              </w:rPr>
              <w:t>1.人员结构合理性</w:t>
            </w:r>
          </w:p>
        </w:tc>
        <w:tc>
          <w:tcPr>
            <w:tcW w:w="342" w:type="pct"/>
            <w:noWrap w:val="0"/>
            <w:vAlign w:val="center"/>
          </w:tcPr>
          <w:p w14:paraId="4C8D9196">
            <w:pPr>
              <w:spacing w:line="360" w:lineRule="auto"/>
              <w:jc w:val="left"/>
              <w:rPr>
                <w:rFonts w:ascii="宋体" w:hAnsi="宋体" w:eastAsia="宋体" w:cs="宋体"/>
                <w:szCs w:val="21"/>
              </w:rPr>
            </w:pPr>
            <w:r>
              <w:rPr>
                <w:rFonts w:ascii="宋体" w:hAnsi="宋体" w:eastAsia="宋体" w:cs="宋体"/>
                <w:szCs w:val="21"/>
              </w:rPr>
              <w:t>6</w:t>
            </w:r>
          </w:p>
        </w:tc>
        <w:tc>
          <w:tcPr>
            <w:tcW w:w="2821" w:type="pct"/>
            <w:noWrap w:val="0"/>
            <w:vAlign w:val="center"/>
          </w:tcPr>
          <w:p w14:paraId="5C56B338">
            <w:pPr>
              <w:spacing w:line="360" w:lineRule="auto"/>
              <w:jc w:val="left"/>
              <w:rPr>
                <w:rFonts w:ascii="宋体" w:hAnsi="宋体" w:eastAsia="宋体" w:cs="宋体"/>
                <w:szCs w:val="21"/>
              </w:rPr>
            </w:pPr>
            <w:r>
              <w:rPr>
                <w:rFonts w:ascii="宋体" w:hAnsi="宋体" w:eastAsia="宋体" w:cs="宋体"/>
                <w:szCs w:val="21"/>
              </w:rPr>
              <w:t>项目组人员数量、专业结构及业务能力满足工作需要，聘请一定数量的相关领域专家，每有一项不满足扣1.5分，最多扣</w:t>
            </w:r>
            <w:r>
              <w:rPr>
                <w:rFonts w:hint="eastAsia" w:ascii="宋体" w:hAnsi="宋体" w:eastAsia="宋体" w:cs="宋体"/>
                <w:szCs w:val="21"/>
              </w:rPr>
              <w:t>6</w:t>
            </w:r>
            <w:r>
              <w:rPr>
                <w:rFonts w:ascii="宋体" w:hAnsi="宋体" w:eastAsia="宋体" w:cs="宋体"/>
                <w:szCs w:val="21"/>
              </w:rPr>
              <w:t>分。</w:t>
            </w:r>
          </w:p>
        </w:tc>
        <w:tc>
          <w:tcPr>
            <w:tcW w:w="364" w:type="pct"/>
            <w:noWrap w:val="0"/>
            <w:vAlign w:val="top"/>
          </w:tcPr>
          <w:p w14:paraId="22364C94">
            <w:pPr>
              <w:spacing w:line="360" w:lineRule="auto"/>
              <w:jc w:val="left"/>
              <w:rPr>
                <w:rFonts w:ascii="宋体" w:hAnsi="宋体" w:eastAsia="宋体" w:cs="宋体"/>
                <w:szCs w:val="21"/>
              </w:rPr>
            </w:pPr>
          </w:p>
        </w:tc>
        <w:tc>
          <w:tcPr>
            <w:tcW w:w="380" w:type="pct"/>
            <w:noWrap w:val="0"/>
            <w:vAlign w:val="top"/>
          </w:tcPr>
          <w:p w14:paraId="6DBD457E">
            <w:pPr>
              <w:spacing w:line="360" w:lineRule="auto"/>
              <w:jc w:val="left"/>
              <w:rPr>
                <w:rFonts w:ascii="宋体" w:hAnsi="宋体" w:eastAsia="宋体" w:cs="宋体"/>
                <w:szCs w:val="21"/>
              </w:rPr>
            </w:pPr>
          </w:p>
        </w:tc>
      </w:tr>
      <w:tr w14:paraId="2343B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34AB3322">
            <w:pPr>
              <w:spacing w:line="360" w:lineRule="auto"/>
              <w:jc w:val="left"/>
              <w:rPr>
                <w:rFonts w:ascii="宋体" w:hAnsi="宋体" w:eastAsia="宋体" w:cs="宋体"/>
                <w:szCs w:val="21"/>
              </w:rPr>
            </w:pPr>
            <w:r>
              <w:rPr>
                <w:rFonts w:ascii="宋体" w:hAnsi="宋体" w:eastAsia="宋体" w:cs="宋体"/>
                <w:szCs w:val="21"/>
              </w:rPr>
              <w:t>2.人员组织管理</w:t>
            </w:r>
          </w:p>
        </w:tc>
        <w:tc>
          <w:tcPr>
            <w:tcW w:w="342" w:type="pct"/>
            <w:noWrap w:val="0"/>
            <w:vAlign w:val="center"/>
          </w:tcPr>
          <w:p w14:paraId="59FB7F7A">
            <w:pPr>
              <w:spacing w:line="360" w:lineRule="auto"/>
              <w:jc w:val="left"/>
              <w:rPr>
                <w:rFonts w:ascii="宋体" w:hAnsi="宋体" w:eastAsia="宋体" w:cs="宋体"/>
                <w:szCs w:val="21"/>
              </w:rPr>
            </w:pPr>
            <w:r>
              <w:rPr>
                <w:rFonts w:ascii="宋体" w:hAnsi="宋体" w:eastAsia="宋体" w:cs="宋体"/>
                <w:szCs w:val="21"/>
              </w:rPr>
              <w:t>6</w:t>
            </w:r>
          </w:p>
        </w:tc>
        <w:tc>
          <w:tcPr>
            <w:tcW w:w="2821" w:type="pct"/>
            <w:noWrap w:val="0"/>
            <w:vAlign w:val="top"/>
          </w:tcPr>
          <w:p w14:paraId="2B6D1407">
            <w:pPr>
              <w:spacing w:line="360" w:lineRule="auto"/>
              <w:jc w:val="left"/>
              <w:rPr>
                <w:rFonts w:ascii="宋体" w:hAnsi="宋体" w:eastAsia="宋体" w:cs="宋体"/>
                <w:szCs w:val="21"/>
              </w:rPr>
            </w:pPr>
            <w:r>
              <w:rPr>
                <w:rFonts w:ascii="宋体" w:hAnsi="宋体" w:eastAsia="宋体" w:cs="宋体"/>
                <w:szCs w:val="21"/>
              </w:rPr>
              <w:t>（1）投标或响应文件拟投入人员实际到位的，得</w:t>
            </w:r>
            <w:r>
              <w:rPr>
                <w:rFonts w:hint="eastAsia" w:ascii="宋体" w:hAnsi="宋体" w:eastAsia="宋体" w:cs="宋体"/>
                <w:szCs w:val="21"/>
              </w:rPr>
              <w:t>3</w:t>
            </w:r>
            <w:r>
              <w:rPr>
                <w:rFonts w:ascii="宋体" w:hAnsi="宋体" w:eastAsia="宋体" w:cs="宋体"/>
                <w:szCs w:val="21"/>
              </w:rPr>
              <w:t>分，未到位1人次扣1分，最多扣3分；</w:t>
            </w:r>
          </w:p>
          <w:p w14:paraId="7AD99219">
            <w:pPr>
              <w:spacing w:line="360" w:lineRule="auto"/>
              <w:jc w:val="left"/>
              <w:rPr>
                <w:rFonts w:ascii="宋体" w:hAnsi="宋体" w:eastAsia="宋体" w:cs="宋体"/>
                <w:szCs w:val="21"/>
              </w:rPr>
            </w:pPr>
            <w:r>
              <w:rPr>
                <w:rFonts w:ascii="宋体" w:hAnsi="宋体" w:eastAsia="宋体" w:cs="宋体"/>
                <w:szCs w:val="21"/>
              </w:rPr>
              <w:t>（2）项目组成员稳定，得3分，未经委托方同意自行调换项目组成员，每调换1人次扣1分，最多扣3分。</w:t>
            </w:r>
          </w:p>
        </w:tc>
        <w:tc>
          <w:tcPr>
            <w:tcW w:w="364" w:type="pct"/>
            <w:noWrap w:val="0"/>
            <w:vAlign w:val="top"/>
          </w:tcPr>
          <w:p w14:paraId="3E9E8390">
            <w:pPr>
              <w:spacing w:line="360" w:lineRule="auto"/>
              <w:jc w:val="left"/>
              <w:rPr>
                <w:rFonts w:ascii="宋体" w:hAnsi="宋体" w:eastAsia="宋体" w:cs="宋体"/>
                <w:szCs w:val="21"/>
              </w:rPr>
            </w:pPr>
          </w:p>
        </w:tc>
        <w:tc>
          <w:tcPr>
            <w:tcW w:w="380" w:type="pct"/>
            <w:noWrap w:val="0"/>
            <w:vAlign w:val="top"/>
          </w:tcPr>
          <w:p w14:paraId="2BB2D9FC">
            <w:pPr>
              <w:spacing w:line="360" w:lineRule="auto"/>
              <w:jc w:val="left"/>
              <w:rPr>
                <w:rFonts w:ascii="宋体" w:hAnsi="宋体" w:eastAsia="宋体" w:cs="宋体"/>
                <w:szCs w:val="21"/>
              </w:rPr>
            </w:pPr>
          </w:p>
        </w:tc>
      </w:tr>
      <w:tr w14:paraId="5FAC5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68CEEC83">
            <w:pPr>
              <w:spacing w:line="360" w:lineRule="auto"/>
              <w:jc w:val="left"/>
              <w:rPr>
                <w:rFonts w:ascii="宋体" w:hAnsi="宋体" w:eastAsia="宋体" w:cs="宋体"/>
                <w:szCs w:val="21"/>
              </w:rPr>
            </w:pPr>
            <w:r>
              <w:rPr>
                <w:rFonts w:ascii="宋体" w:hAnsi="宋体" w:eastAsia="宋体" w:cs="宋体"/>
                <w:szCs w:val="21"/>
              </w:rPr>
              <w:t>（二）组织实施</w:t>
            </w:r>
          </w:p>
        </w:tc>
        <w:tc>
          <w:tcPr>
            <w:tcW w:w="342" w:type="pct"/>
            <w:noWrap w:val="0"/>
            <w:vAlign w:val="center"/>
          </w:tcPr>
          <w:p w14:paraId="2F42CDEC">
            <w:pPr>
              <w:spacing w:line="360" w:lineRule="auto"/>
              <w:jc w:val="left"/>
              <w:rPr>
                <w:rFonts w:ascii="宋体" w:hAnsi="宋体" w:eastAsia="宋体" w:cs="宋体"/>
                <w:szCs w:val="21"/>
              </w:rPr>
            </w:pPr>
            <w:r>
              <w:rPr>
                <w:rFonts w:ascii="宋体" w:hAnsi="宋体" w:eastAsia="宋体" w:cs="宋体"/>
                <w:szCs w:val="21"/>
              </w:rPr>
              <w:t>12</w:t>
            </w:r>
          </w:p>
        </w:tc>
        <w:tc>
          <w:tcPr>
            <w:tcW w:w="2821" w:type="pct"/>
            <w:noWrap w:val="0"/>
            <w:vAlign w:val="center"/>
          </w:tcPr>
          <w:p w14:paraId="15424402">
            <w:pPr>
              <w:spacing w:line="360" w:lineRule="auto"/>
              <w:jc w:val="left"/>
              <w:rPr>
                <w:rFonts w:ascii="宋体" w:hAnsi="宋体" w:eastAsia="宋体" w:cs="宋体"/>
                <w:szCs w:val="21"/>
              </w:rPr>
            </w:pPr>
          </w:p>
        </w:tc>
        <w:tc>
          <w:tcPr>
            <w:tcW w:w="364" w:type="pct"/>
            <w:noWrap w:val="0"/>
            <w:vAlign w:val="center"/>
          </w:tcPr>
          <w:p w14:paraId="56279B41">
            <w:pPr>
              <w:spacing w:line="360" w:lineRule="auto"/>
              <w:jc w:val="left"/>
              <w:rPr>
                <w:rFonts w:ascii="宋体" w:hAnsi="宋体" w:eastAsia="宋体" w:cs="宋体"/>
                <w:szCs w:val="21"/>
              </w:rPr>
            </w:pPr>
          </w:p>
        </w:tc>
        <w:tc>
          <w:tcPr>
            <w:tcW w:w="380" w:type="pct"/>
            <w:noWrap w:val="0"/>
            <w:vAlign w:val="center"/>
          </w:tcPr>
          <w:p w14:paraId="3F28170F">
            <w:pPr>
              <w:spacing w:line="360" w:lineRule="auto"/>
              <w:jc w:val="left"/>
              <w:rPr>
                <w:rFonts w:ascii="宋体" w:hAnsi="宋体" w:eastAsia="宋体" w:cs="宋体"/>
                <w:szCs w:val="21"/>
              </w:rPr>
            </w:pPr>
          </w:p>
        </w:tc>
      </w:tr>
      <w:tr w14:paraId="1FB38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4F9AA354">
            <w:pPr>
              <w:spacing w:line="360" w:lineRule="auto"/>
              <w:jc w:val="left"/>
              <w:rPr>
                <w:rFonts w:ascii="宋体" w:hAnsi="宋体" w:eastAsia="宋体" w:cs="宋体"/>
                <w:szCs w:val="21"/>
              </w:rPr>
            </w:pPr>
            <w:r>
              <w:rPr>
                <w:rFonts w:ascii="宋体" w:hAnsi="宋体" w:eastAsia="宋体" w:cs="宋体"/>
                <w:szCs w:val="21"/>
              </w:rPr>
              <w:t>1.实施程序规范情况</w:t>
            </w:r>
          </w:p>
        </w:tc>
        <w:tc>
          <w:tcPr>
            <w:tcW w:w="342" w:type="pct"/>
            <w:noWrap w:val="0"/>
            <w:vAlign w:val="center"/>
          </w:tcPr>
          <w:p w14:paraId="65B9D741">
            <w:pPr>
              <w:spacing w:line="360" w:lineRule="auto"/>
              <w:jc w:val="left"/>
              <w:rPr>
                <w:rFonts w:ascii="宋体" w:hAnsi="宋体" w:eastAsia="宋体" w:cs="宋体"/>
                <w:szCs w:val="21"/>
              </w:rPr>
            </w:pPr>
            <w:r>
              <w:rPr>
                <w:rFonts w:ascii="宋体" w:hAnsi="宋体" w:eastAsia="宋体" w:cs="宋体"/>
                <w:szCs w:val="21"/>
              </w:rPr>
              <w:t>4</w:t>
            </w:r>
          </w:p>
        </w:tc>
        <w:tc>
          <w:tcPr>
            <w:tcW w:w="2821" w:type="pct"/>
            <w:noWrap w:val="0"/>
            <w:vAlign w:val="top"/>
          </w:tcPr>
          <w:p w14:paraId="050C10DD">
            <w:pPr>
              <w:spacing w:line="360" w:lineRule="auto"/>
              <w:jc w:val="left"/>
              <w:rPr>
                <w:rFonts w:ascii="宋体" w:hAnsi="宋体" w:eastAsia="宋体" w:cs="宋体"/>
                <w:szCs w:val="21"/>
              </w:rPr>
            </w:pPr>
            <w:r>
              <w:rPr>
                <w:rFonts w:ascii="宋体" w:hAnsi="宋体" w:eastAsia="宋体" w:cs="宋体"/>
                <w:szCs w:val="21"/>
              </w:rPr>
              <w:t>（1）工作态度端正认真、遵守工作程序、规范操作，得1分；</w:t>
            </w:r>
          </w:p>
          <w:p w14:paraId="3E5FA8B7">
            <w:pPr>
              <w:spacing w:line="360" w:lineRule="auto"/>
              <w:jc w:val="left"/>
              <w:rPr>
                <w:rFonts w:ascii="宋体" w:hAnsi="宋体" w:eastAsia="宋体" w:cs="宋体"/>
                <w:szCs w:val="21"/>
              </w:rPr>
            </w:pPr>
            <w:r>
              <w:rPr>
                <w:rFonts w:ascii="宋体" w:hAnsi="宋体" w:eastAsia="宋体" w:cs="宋体"/>
                <w:szCs w:val="21"/>
              </w:rPr>
              <w:t>（2）沟通协调及时顺畅，得1分；</w:t>
            </w:r>
          </w:p>
          <w:p w14:paraId="4B942DB2">
            <w:pPr>
              <w:spacing w:line="360" w:lineRule="auto"/>
              <w:jc w:val="left"/>
              <w:rPr>
                <w:rFonts w:ascii="宋体" w:hAnsi="宋体" w:eastAsia="宋体" w:cs="宋体"/>
                <w:szCs w:val="21"/>
              </w:rPr>
            </w:pPr>
            <w:r>
              <w:rPr>
                <w:rFonts w:ascii="宋体" w:hAnsi="宋体" w:eastAsia="宋体" w:cs="宋体"/>
                <w:szCs w:val="21"/>
              </w:rPr>
              <w:t>（3）及时反馈工作进度、重大事项和重大问题的，得2分；</w:t>
            </w:r>
          </w:p>
          <w:p w14:paraId="4DD589F3">
            <w:pPr>
              <w:spacing w:line="360" w:lineRule="auto"/>
              <w:jc w:val="left"/>
              <w:rPr>
                <w:rFonts w:ascii="宋体" w:hAnsi="宋体" w:eastAsia="宋体" w:cs="宋体"/>
                <w:szCs w:val="21"/>
              </w:rPr>
            </w:pPr>
            <w:r>
              <w:rPr>
                <w:rFonts w:ascii="宋体" w:hAnsi="宋体" w:eastAsia="宋体" w:cs="宋体"/>
                <w:szCs w:val="21"/>
              </w:rPr>
              <w:t>存在有悖行业规范、职业道德及执业准则情况的，本项不得分。</w:t>
            </w:r>
          </w:p>
        </w:tc>
        <w:tc>
          <w:tcPr>
            <w:tcW w:w="364" w:type="pct"/>
            <w:noWrap w:val="0"/>
            <w:vAlign w:val="top"/>
          </w:tcPr>
          <w:p w14:paraId="2B283B2F">
            <w:pPr>
              <w:spacing w:line="360" w:lineRule="auto"/>
              <w:jc w:val="left"/>
              <w:rPr>
                <w:rFonts w:ascii="宋体" w:hAnsi="宋体" w:eastAsia="宋体" w:cs="宋体"/>
                <w:szCs w:val="21"/>
              </w:rPr>
            </w:pPr>
          </w:p>
        </w:tc>
        <w:tc>
          <w:tcPr>
            <w:tcW w:w="380" w:type="pct"/>
            <w:noWrap w:val="0"/>
            <w:vAlign w:val="top"/>
          </w:tcPr>
          <w:p w14:paraId="3446E72B">
            <w:pPr>
              <w:spacing w:line="360" w:lineRule="auto"/>
              <w:jc w:val="left"/>
              <w:rPr>
                <w:rFonts w:ascii="宋体" w:hAnsi="宋体" w:eastAsia="宋体" w:cs="宋体"/>
                <w:szCs w:val="21"/>
              </w:rPr>
            </w:pPr>
          </w:p>
        </w:tc>
      </w:tr>
      <w:tr w14:paraId="3DC641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2DE7CBBD">
            <w:pPr>
              <w:spacing w:line="360" w:lineRule="auto"/>
              <w:jc w:val="left"/>
              <w:rPr>
                <w:rFonts w:ascii="宋体" w:hAnsi="宋体" w:eastAsia="宋体" w:cs="宋体"/>
                <w:szCs w:val="21"/>
              </w:rPr>
            </w:pPr>
            <w:r>
              <w:rPr>
                <w:rFonts w:ascii="宋体" w:hAnsi="宋体" w:eastAsia="宋体" w:cs="宋体"/>
                <w:szCs w:val="21"/>
              </w:rPr>
              <w:t>2.工作按期完成情况</w:t>
            </w:r>
          </w:p>
        </w:tc>
        <w:tc>
          <w:tcPr>
            <w:tcW w:w="342" w:type="pct"/>
            <w:noWrap w:val="0"/>
            <w:vAlign w:val="center"/>
          </w:tcPr>
          <w:p w14:paraId="40161CAF">
            <w:pPr>
              <w:spacing w:line="360" w:lineRule="auto"/>
              <w:jc w:val="left"/>
              <w:rPr>
                <w:rFonts w:ascii="宋体" w:hAnsi="宋体" w:eastAsia="宋体" w:cs="宋体"/>
                <w:szCs w:val="21"/>
              </w:rPr>
            </w:pPr>
            <w:r>
              <w:rPr>
                <w:rFonts w:ascii="宋体" w:hAnsi="宋体" w:eastAsia="宋体" w:cs="宋体"/>
                <w:szCs w:val="21"/>
              </w:rPr>
              <w:t>4</w:t>
            </w:r>
          </w:p>
        </w:tc>
        <w:tc>
          <w:tcPr>
            <w:tcW w:w="2821" w:type="pct"/>
            <w:noWrap w:val="0"/>
            <w:vAlign w:val="center"/>
          </w:tcPr>
          <w:p w14:paraId="7E3AF00A">
            <w:pPr>
              <w:spacing w:line="360" w:lineRule="auto"/>
              <w:jc w:val="left"/>
              <w:rPr>
                <w:rFonts w:ascii="宋体" w:hAnsi="宋体" w:eastAsia="宋体" w:cs="宋体"/>
                <w:szCs w:val="21"/>
              </w:rPr>
            </w:pPr>
            <w:r>
              <w:rPr>
                <w:rFonts w:ascii="宋体" w:hAnsi="宋体" w:eastAsia="宋体" w:cs="宋体"/>
                <w:szCs w:val="21"/>
              </w:rPr>
              <w:t>按照委托协议要求按时完成工作得4分，延期一周以内扣2分，延期超过一周的，本项不得分。</w:t>
            </w:r>
          </w:p>
        </w:tc>
        <w:tc>
          <w:tcPr>
            <w:tcW w:w="364" w:type="pct"/>
            <w:noWrap w:val="0"/>
            <w:vAlign w:val="top"/>
          </w:tcPr>
          <w:p w14:paraId="6F9F5656">
            <w:pPr>
              <w:spacing w:line="360" w:lineRule="auto"/>
              <w:jc w:val="left"/>
              <w:rPr>
                <w:rFonts w:ascii="宋体" w:hAnsi="宋体" w:eastAsia="宋体" w:cs="宋体"/>
                <w:szCs w:val="21"/>
              </w:rPr>
            </w:pPr>
          </w:p>
        </w:tc>
        <w:tc>
          <w:tcPr>
            <w:tcW w:w="380" w:type="pct"/>
            <w:noWrap w:val="0"/>
            <w:vAlign w:val="top"/>
          </w:tcPr>
          <w:p w14:paraId="153FE50C">
            <w:pPr>
              <w:spacing w:line="360" w:lineRule="auto"/>
              <w:jc w:val="left"/>
              <w:rPr>
                <w:rFonts w:ascii="宋体" w:hAnsi="宋体" w:eastAsia="宋体" w:cs="宋体"/>
                <w:szCs w:val="21"/>
              </w:rPr>
            </w:pPr>
          </w:p>
        </w:tc>
      </w:tr>
      <w:tr w14:paraId="7A891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6A460A88">
            <w:pPr>
              <w:spacing w:line="360" w:lineRule="auto"/>
              <w:jc w:val="left"/>
              <w:rPr>
                <w:rFonts w:ascii="宋体" w:hAnsi="宋体" w:eastAsia="宋体" w:cs="宋体"/>
                <w:szCs w:val="21"/>
              </w:rPr>
            </w:pPr>
            <w:r>
              <w:rPr>
                <w:rFonts w:ascii="宋体" w:hAnsi="宋体" w:eastAsia="宋体" w:cs="宋体"/>
                <w:szCs w:val="21"/>
              </w:rPr>
              <w:t>3.内部质量管理情况</w:t>
            </w:r>
          </w:p>
        </w:tc>
        <w:tc>
          <w:tcPr>
            <w:tcW w:w="342" w:type="pct"/>
            <w:noWrap w:val="0"/>
            <w:vAlign w:val="center"/>
          </w:tcPr>
          <w:p w14:paraId="30F90C12">
            <w:pPr>
              <w:spacing w:line="360" w:lineRule="auto"/>
              <w:jc w:val="left"/>
              <w:rPr>
                <w:rFonts w:ascii="宋体" w:hAnsi="宋体" w:eastAsia="宋体" w:cs="宋体"/>
                <w:szCs w:val="21"/>
              </w:rPr>
            </w:pPr>
            <w:r>
              <w:rPr>
                <w:rFonts w:ascii="宋体" w:hAnsi="宋体" w:eastAsia="宋体" w:cs="宋体"/>
                <w:szCs w:val="21"/>
              </w:rPr>
              <w:t>4</w:t>
            </w:r>
          </w:p>
        </w:tc>
        <w:tc>
          <w:tcPr>
            <w:tcW w:w="2821" w:type="pct"/>
            <w:noWrap w:val="0"/>
            <w:vAlign w:val="top"/>
          </w:tcPr>
          <w:p w14:paraId="5189AA1A">
            <w:pPr>
              <w:spacing w:line="360" w:lineRule="auto"/>
              <w:jc w:val="left"/>
              <w:rPr>
                <w:rFonts w:ascii="宋体" w:hAnsi="宋体" w:eastAsia="宋体" w:cs="宋体"/>
                <w:szCs w:val="21"/>
              </w:rPr>
            </w:pPr>
            <w:r>
              <w:rPr>
                <w:rFonts w:ascii="宋体" w:hAnsi="宋体" w:eastAsia="宋体" w:cs="宋体"/>
                <w:szCs w:val="21"/>
              </w:rPr>
              <w:t>（1）质量控制落实到位、工作质量总体良好，得2分；</w:t>
            </w:r>
          </w:p>
          <w:p w14:paraId="72D77F43">
            <w:pPr>
              <w:spacing w:line="360" w:lineRule="auto"/>
              <w:jc w:val="left"/>
              <w:rPr>
                <w:rFonts w:ascii="宋体" w:hAnsi="宋体" w:eastAsia="宋体" w:cs="宋体"/>
                <w:szCs w:val="21"/>
              </w:rPr>
            </w:pPr>
            <w:r>
              <w:rPr>
                <w:rFonts w:ascii="宋体" w:hAnsi="宋体" w:eastAsia="宋体" w:cs="宋体"/>
                <w:szCs w:val="21"/>
              </w:rPr>
              <w:t>（2）召开方案论证会和结果论证会，得1分，论证会有相关领域专家参与的，得2分。</w:t>
            </w:r>
          </w:p>
        </w:tc>
        <w:tc>
          <w:tcPr>
            <w:tcW w:w="364" w:type="pct"/>
            <w:noWrap w:val="0"/>
            <w:vAlign w:val="top"/>
          </w:tcPr>
          <w:p w14:paraId="19129CC9">
            <w:pPr>
              <w:spacing w:line="360" w:lineRule="auto"/>
              <w:jc w:val="left"/>
              <w:rPr>
                <w:rFonts w:ascii="宋体" w:hAnsi="宋体" w:eastAsia="宋体" w:cs="宋体"/>
                <w:szCs w:val="21"/>
              </w:rPr>
            </w:pPr>
          </w:p>
        </w:tc>
        <w:tc>
          <w:tcPr>
            <w:tcW w:w="380" w:type="pct"/>
            <w:noWrap w:val="0"/>
            <w:vAlign w:val="top"/>
          </w:tcPr>
          <w:p w14:paraId="4FA89B3F">
            <w:pPr>
              <w:spacing w:line="360" w:lineRule="auto"/>
              <w:jc w:val="left"/>
              <w:rPr>
                <w:rFonts w:ascii="宋体" w:hAnsi="宋体" w:eastAsia="宋体" w:cs="宋体"/>
                <w:szCs w:val="21"/>
              </w:rPr>
            </w:pPr>
          </w:p>
        </w:tc>
      </w:tr>
      <w:tr w14:paraId="4C072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37F74CE1">
            <w:pPr>
              <w:spacing w:line="360" w:lineRule="auto"/>
              <w:jc w:val="left"/>
              <w:rPr>
                <w:rFonts w:ascii="宋体" w:hAnsi="宋体" w:eastAsia="宋体" w:cs="宋体"/>
                <w:szCs w:val="21"/>
              </w:rPr>
            </w:pPr>
            <w:r>
              <w:rPr>
                <w:rFonts w:ascii="宋体" w:hAnsi="宋体" w:eastAsia="宋体" w:cs="宋体"/>
                <w:szCs w:val="21"/>
              </w:rPr>
              <w:t>（三）工作纪律</w:t>
            </w:r>
          </w:p>
        </w:tc>
        <w:tc>
          <w:tcPr>
            <w:tcW w:w="342" w:type="pct"/>
            <w:noWrap w:val="0"/>
            <w:vAlign w:val="center"/>
          </w:tcPr>
          <w:p w14:paraId="64AC497A">
            <w:pPr>
              <w:spacing w:line="360" w:lineRule="auto"/>
              <w:jc w:val="left"/>
              <w:rPr>
                <w:rFonts w:ascii="宋体" w:hAnsi="宋体" w:eastAsia="宋体" w:cs="宋体"/>
                <w:szCs w:val="21"/>
              </w:rPr>
            </w:pPr>
            <w:r>
              <w:rPr>
                <w:rFonts w:ascii="宋体" w:hAnsi="宋体" w:eastAsia="宋体" w:cs="宋体"/>
                <w:szCs w:val="21"/>
              </w:rPr>
              <w:t>6</w:t>
            </w:r>
          </w:p>
        </w:tc>
        <w:tc>
          <w:tcPr>
            <w:tcW w:w="2821" w:type="pct"/>
            <w:noWrap w:val="0"/>
            <w:vAlign w:val="center"/>
          </w:tcPr>
          <w:p w14:paraId="66762139">
            <w:pPr>
              <w:spacing w:line="360" w:lineRule="auto"/>
              <w:jc w:val="left"/>
              <w:rPr>
                <w:rFonts w:ascii="宋体" w:hAnsi="宋体" w:eastAsia="宋体" w:cs="宋体"/>
                <w:szCs w:val="21"/>
              </w:rPr>
            </w:pPr>
            <w:r>
              <w:rPr>
                <w:rFonts w:ascii="宋体" w:hAnsi="宋体" w:eastAsia="宋体" w:cs="宋体"/>
                <w:szCs w:val="21"/>
              </w:rPr>
              <w:t>根据工作纪律情况核定分数。其中：违反回避制度的，本项不得分；没有遵守保密要求的，本项不得分。</w:t>
            </w:r>
          </w:p>
        </w:tc>
        <w:tc>
          <w:tcPr>
            <w:tcW w:w="364" w:type="pct"/>
            <w:noWrap w:val="0"/>
            <w:vAlign w:val="top"/>
          </w:tcPr>
          <w:p w14:paraId="2682A95D">
            <w:pPr>
              <w:spacing w:line="360" w:lineRule="auto"/>
              <w:jc w:val="left"/>
              <w:rPr>
                <w:rFonts w:ascii="宋体" w:hAnsi="宋体" w:eastAsia="宋体" w:cs="宋体"/>
                <w:szCs w:val="21"/>
              </w:rPr>
            </w:pPr>
          </w:p>
        </w:tc>
        <w:tc>
          <w:tcPr>
            <w:tcW w:w="380" w:type="pct"/>
            <w:noWrap w:val="0"/>
            <w:vAlign w:val="top"/>
          </w:tcPr>
          <w:p w14:paraId="1FF5D4B9">
            <w:pPr>
              <w:spacing w:line="360" w:lineRule="auto"/>
              <w:jc w:val="left"/>
              <w:rPr>
                <w:rFonts w:ascii="宋体" w:hAnsi="宋体" w:eastAsia="宋体" w:cs="宋体"/>
                <w:szCs w:val="21"/>
              </w:rPr>
            </w:pPr>
          </w:p>
        </w:tc>
      </w:tr>
      <w:tr w14:paraId="277B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311848A4">
            <w:pPr>
              <w:spacing w:line="360" w:lineRule="auto"/>
              <w:jc w:val="left"/>
              <w:rPr>
                <w:rFonts w:ascii="宋体" w:hAnsi="宋体" w:eastAsia="宋体" w:cs="宋体"/>
                <w:szCs w:val="21"/>
              </w:rPr>
            </w:pPr>
            <w:r>
              <w:rPr>
                <w:rFonts w:ascii="宋体" w:hAnsi="宋体" w:eastAsia="宋体" w:cs="宋体"/>
                <w:szCs w:val="21"/>
              </w:rPr>
              <w:t>二、业务质量</w:t>
            </w:r>
          </w:p>
        </w:tc>
        <w:tc>
          <w:tcPr>
            <w:tcW w:w="342" w:type="pct"/>
            <w:noWrap w:val="0"/>
            <w:vAlign w:val="center"/>
          </w:tcPr>
          <w:p w14:paraId="0EBBC651">
            <w:pPr>
              <w:spacing w:line="360" w:lineRule="auto"/>
              <w:jc w:val="left"/>
              <w:rPr>
                <w:rFonts w:ascii="宋体" w:hAnsi="宋体" w:eastAsia="宋体" w:cs="宋体"/>
                <w:szCs w:val="21"/>
              </w:rPr>
            </w:pPr>
            <w:r>
              <w:rPr>
                <w:rFonts w:ascii="宋体" w:hAnsi="宋体" w:eastAsia="宋体" w:cs="宋体"/>
                <w:szCs w:val="21"/>
              </w:rPr>
              <w:t>70</w:t>
            </w:r>
          </w:p>
        </w:tc>
        <w:tc>
          <w:tcPr>
            <w:tcW w:w="2821" w:type="pct"/>
            <w:noWrap w:val="0"/>
            <w:vAlign w:val="center"/>
          </w:tcPr>
          <w:p w14:paraId="04B26B81">
            <w:pPr>
              <w:spacing w:line="360" w:lineRule="auto"/>
              <w:jc w:val="left"/>
              <w:rPr>
                <w:rFonts w:ascii="宋体" w:hAnsi="宋体" w:eastAsia="宋体" w:cs="宋体"/>
                <w:szCs w:val="21"/>
              </w:rPr>
            </w:pPr>
          </w:p>
        </w:tc>
        <w:tc>
          <w:tcPr>
            <w:tcW w:w="364" w:type="pct"/>
            <w:noWrap w:val="0"/>
            <w:vAlign w:val="top"/>
          </w:tcPr>
          <w:p w14:paraId="5C2DF23E">
            <w:pPr>
              <w:spacing w:line="360" w:lineRule="auto"/>
              <w:jc w:val="left"/>
              <w:rPr>
                <w:rFonts w:ascii="宋体" w:hAnsi="宋体" w:eastAsia="宋体" w:cs="宋体"/>
                <w:szCs w:val="21"/>
              </w:rPr>
            </w:pPr>
          </w:p>
        </w:tc>
        <w:tc>
          <w:tcPr>
            <w:tcW w:w="380" w:type="pct"/>
            <w:noWrap w:val="0"/>
            <w:vAlign w:val="top"/>
          </w:tcPr>
          <w:p w14:paraId="12A88D9A">
            <w:pPr>
              <w:spacing w:line="360" w:lineRule="auto"/>
              <w:jc w:val="left"/>
              <w:rPr>
                <w:rFonts w:ascii="宋体" w:hAnsi="宋体" w:eastAsia="宋体" w:cs="宋体"/>
                <w:szCs w:val="21"/>
              </w:rPr>
            </w:pPr>
          </w:p>
        </w:tc>
      </w:tr>
      <w:tr w14:paraId="4EB6B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131D9B8A">
            <w:pPr>
              <w:spacing w:line="360" w:lineRule="auto"/>
              <w:jc w:val="left"/>
              <w:rPr>
                <w:rFonts w:ascii="宋体" w:hAnsi="宋体" w:eastAsia="宋体" w:cs="宋体"/>
                <w:szCs w:val="21"/>
              </w:rPr>
            </w:pPr>
            <w:r>
              <w:rPr>
                <w:rFonts w:ascii="宋体" w:hAnsi="宋体" w:eastAsia="宋体" w:cs="宋体"/>
                <w:szCs w:val="21"/>
              </w:rPr>
              <w:t>（一）工作方案</w:t>
            </w:r>
          </w:p>
        </w:tc>
        <w:tc>
          <w:tcPr>
            <w:tcW w:w="342" w:type="pct"/>
            <w:noWrap w:val="0"/>
            <w:vAlign w:val="center"/>
          </w:tcPr>
          <w:p w14:paraId="4D71D749">
            <w:pPr>
              <w:spacing w:line="360" w:lineRule="auto"/>
              <w:jc w:val="left"/>
              <w:rPr>
                <w:rFonts w:ascii="宋体" w:hAnsi="宋体" w:eastAsia="宋体" w:cs="宋体"/>
                <w:szCs w:val="21"/>
              </w:rPr>
            </w:pPr>
            <w:r>
              <w:rPr>
                <w:rFonts w:ascii="宋体" w:hAnsi="宋体" w:eastAsia="宋体" w:cs="宋体"/>
                <w:szCs w:val="21"/>
              </w:rPr>
              <w:t>30</w:t>
            </w:r>
          </w:p>
        </w:tc>
        <w:tc>
          <w:tcPr>
            <w:tcW w:w="2821" w:type="pct"/>
            <w:noWrap w:val="0"/>
            <w:vAlign w:val="top"/>
          </w:tcPr>
          <w:p w14:paraId="616298A5">
            <w:pPr>
              <w:spacing w:line="360" w:lineRule="auto"/>
              <w:jc w:val="left"/>
              <w:rPr>
                <w:rFonts w:ascii="宋体" w:hAnsi="宋体" w:eastAsia="宋体" w:cs="宋体"/>
                <w:szCs w:val="21"/>
              </w:rPr>
            </w:pPr>
            <w:r>
              <w:rPr>
                <w:rFonts w:ascii="宋体" w:hAnsi="宋体" w:eastAsia="宋体" w:cs="宋体"/>
                <w:szCs w:val="21"/>
              </w:rPr>
              <w:t>（1）工作方案内容完整，得5分，每缺少一项扣1分，最多扣５分；</w:t>
            </w:r>
          </w:p>
          <w:p w14:paraId="215FB61B">
            <w:pPr>
              <w:spacing w:line="360" w:lineRule="auto"/>
              <w:jc w:val="left"/>
              <w:rPr>
                <w:rFonts w:ascii="宋体" w:hAnsi="宋体" w:eastAsia="宋体" w:cs="宋体"/>
                <w:szCs w:val="21"/>
              </w:rPr>
            </w:pPr>
            <w:r>
              <w:rPr>
                <w:rFonts w:ascii="宋体" w:hAnsi="宋体" w:eastAsia="宋体" w:cs="宋体"/>
                <w:szCs w:val="21"/>
              </w:rPr>
              <w:t>（2）现场调研方案合理可行的，得5分，不具体、不全面，难以获取调研数据的，酌情扣分，最多扣５分；</w:t>
            </w:r>
          </w:p>
          <w:p w14:paraId="3BA1354C">
            <w:pPr>
              <w:spacing w:line="360" w:lineRule="auto"/>
              <w:jc w:val="left"/>
              <w:rPr>
                <w:rFonts w:ascii="宋体" w:hAnsi="宋体" w:eastAsia="宋体" w:cs="宋体"/>
                <w:szCs w:val="21"/>
              </w:rPr>
            </w:pPr>
            <w:r>
              <w:rPr>
                <w:rFonts w:ascii="宋体" w:hAnsi="宋体" w:eastAsia="宋体" w:cs="宋体"/>
                <w:szCs w:val="21"/>
              </w:rPr>
              <w:t>（3）工作方式方法与对象实际情况相匹配，得3分，否则不得分；</w:t>
            </w:r>
          </w:p>
          <w:p w14:paraId="0B547BA5">
            <w:pPr>
              <w:spacing w:line="360" w:lineRule="auto"/>
              <w:jc w:val="left"/>
              <w:rPr>
                <w:rFonts w:ascii="宋体" w:hAnsi="宋体" w:eastAsia="宋体" w:cs="宋体"/>
                <w:szCs w:val="21"/>
              </w:rPr>
            </w:pPr>
            <w:r>
              <w:rPr>
                <w:rFonts w:ascii="宋体" w:hAnsi="宋体" w:eastAsia="宋体" w:cs="宋体"/>
                <w:szCs w:val="21"/>
              </w:rPr>
              <w:t>（4）工作职责分工明确，得2分，否则不得分。</w:t>
            </w:r>
          </w:p>
          <w:p w14:paraId="0058F6C3">
            <w:pPr>
              <w:spacing w:line="360" w:lineRule="auto"/>
              <w:jc w:val="left"/>
              <w:rPr>
                <w:rFonts w:ascii="宋体" w:hAnsi="宋体" w:eastAsia="宋体" w:cs="宋体"/>
                <w:szCs w:val="21"/>
              </w:rPr>
            </w:pPr>
            <w:r>
              <w:rPr>
                <w:rFonts w:ascii="宋体" w:hAnsi="宋体" w:eastAsia="宋体" w:cs="宋体"/>
                <w:szCs w:val="21"/>
              </w:rPr>
              <w:t>（5）评价基础资料、基础数据表与评价目的、评价指标体系等联系密切相关的，得5分，否则酌情扣分，最多扣５分；</w:t>
            </w:r>
          </w:p>
          <w:p w14:paraId="0EF0D7D5">
            <w:pPr>
              <w:spacing w:line="360" w:lineRule="auto"/>
              <w:jc w:val="left"/>
              <w:rPr>
                <w:rFonts w:ascii="宋体" w:hAnsi="宋体" w:eastAsia="宋体" w:cs="宋体"/>
                <w:szCs w:val="21"/>
              </w:rPr>
            </w:pPr>
            <w:r>
              <w:rPr>
                <w:rFonts w:ascii="宋体" w:hAnsi="宋体" w:eastAsia="宋体" w:cs="宋体"/>
                <w:szCs w:val="21"/>
              </w:rPr>
              <w:t>（6）指标体系设置情况10分，其中：</w:t>
            </w:r>
          </w:p>
          <w:p w14:paraId="205D14B4">
            <w:pPr>
              <w:spacing w:line="360" w:lineRule="auto"/>
              <w:jc w:val="left"/>
              <w:rPr>
                <w:rFonts w:ascii="宋体" w:hAnsi="宋体" w:eastAsia="宋体" w:cs="宋体"/>
                <w:szCs w:val="21"/>
              </w:rPr>
            </w:pPr>
            <w:r>
              <w:rPr>
                <w:rFonts w:ascii="宋体" w:hAnsi="宋体" w:eastAsia="宋体" w:cs="宋体"/>
                <w:szCs w:val="21"/>
              </w:rPr>
              <w:t>①绩效指标及权重设置科学合理，得2分，否则不得分；</w:t>
            </w:r>
          </w:p>
          <w:p w14:paraId="093D2F41">
            <w:pPr>
              <w:spacing w:line="360" w:lineRule="auto"/>
              <w:jc w:val="left"/>
              <w:rPr>
                <w:rFonts w:ascii="宋体" w:hAnsi="宋体" w:eastAsia="宋体" w:cs="宋体"/>
                <w:szCs w:val="21"/>
              </w:rPr>
            </w:pPr>
            <w:r>
              <w:rPr>
                <w:rFonts w:ascii="宋体" w:hAnsi="宋体" w:eastAsia="宋体" w:cs="宋体"/>
                <w:szCs w:val="21"/>
              </w:rPr>
              <w:t>②指标设计与项目相匹配，得2分，否则不得分；</w:t>
            </w:r>
          </w:p>
          <w:p w14:paraId="407D5C7D">
            <w:pPr>
              <w:spacing w:line="360" w:lineRule="auto"/>
              <w:jc w:val="left"/>
              <w:rPr>
                <w:rFonts w:ascii="宋体" w:hAnsi="宋体" w:eastAsia="宋体" w:cs="宋体"/>
                <w:szCs w:val="21"/>
              </w:rPr>
            </w:pPr>
            <w:r>
              <w:rPr>
                <w:rFonts w:ascii="宋体" w:hAnsi="宋体" w:eastAsia="宋体" w:cs="宋体"/>
                <w:szCs w:val="21"/>
              </w:rPr>
              <w:t>③遵循问题导向并细化核心指标，得2分，否则不得分；</w:t>
            </w:r>
          </w:p>
          <w:p w14:paraId="445FA469">
            <w:pPr>
              <w:spacing w:line="360" w:lineRule="auto"/>
              <w:jc w:val="left"/>
              <w:rPr>
                <w:rFonts w:ascii="宋体" w:hAnsi="宋体" w:eastAsia="宋体" w:cs="宋体"/>
                <w:szCs w:val="21"/>
              </w:rPr>
            </w:pPr>
            <w:r>
              <w:rPr>
                <w:rFonts w:ascii="宋体" w:hAnsi="宋体" w:eastAsia="宋体" w:cs="宋体"/>
                <w:szCs w:val="21"/>
              </w:rPr>
              <w:t>④指标解释清晰明确，得2分，否则不得分；</w:t>
            </w:r>
          </w:p>
          <w:p w14:paraId="0DB244B2">
            <w:pPr>
              <w:spacing w:line="360" w:lineRule="auto"/>
              <w:jc w:val="left"/>
              <w:rPr>
                <w:rFonts w:ascii="宋体" w:hAnsi="宋体" w:eastAsia="宋体" w:cs="宋体"/>
                <w:szCs w:val="21"/>
              </w:rPr>
            </w:pPr>
            <w:r>
              <w:rPr>
                <w:rFonts w:ascii="宋体" w:hAnsi="宋体" w:eastAsia="宋体" w:cs="宋体"/>
                <w:szCs w:val="21"/>
              </w:rPr>
              <w:t>⑤指标评分标准科学合理、依据充分，得2分，否则不得分。</w:t>
            </w:r>
          </w:p>
        </w:tc>
        <w:tc>
          <w:tcPr>
            <w:tcW w:w="364" w:type="pct"/>
            <w:noWrap w:val="0"/>
            <w:vAlign w:val="top"/>
          </w:tcPr>
          <w:p w14:paraId="0520B0C5">
            <w:pPr>
              <w:spacing w:line="360" w:lineRule="auto"/>
              <w:jc w:val="left"/>
              <w:rPr>
                <w:rFonts w:ascii="宋体" w:hAnsi="宋体" w:eastAsia="宋体" w:cs="宋体"/>
                <w:szCs w:val="21"/>
              </w:rPr>
            </w:pPr>
          </w:p>
        </w:tc>
        <w:tc>
          <w:tcPr>
            <w:tcW w:w="380" w:type="pct"/>
            <w:noWrap w:val="0"/>
            <w:vAlign w:val="top"/>
          </w:tcPr>
          <w:p w14:paraId="4524D9AD">
            <w:pPr>
              <w:spacing w:line="360" w:lineRule="auto"/>
              <w:jc w:val="left"/>
              <w:rPr>
                <w:rFonts w:ascii="宋体" w:hAnsi="宋体" w:eastAsia="宋体" w:cs="宋体"/>
                <w:szCs w:val="21"/>
              </w:rPr>
            </w:pPr>
          </w:p>
        </w:tc>
      </w:tr>
      <w:tr w14:paraId="70F89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004F772D">
            <w:pPr>
              <w:spacing w:line="360" w:lineRule="auto"/>
              <w:jc w:val="left"/>
              <w:rPr>
                <w:rFonts w:ascii="宋体" w:hAnsi="宋体" w:eastAsia="宋体" w:cs="宋体"/>
                <w:szCs w:val="21"/>
              </w:rPr>
            </w:pPr>
            <w:r>
              <w:rPr>
                <w:rFonts w:ascii="宋体" w:hAnsi="宋体" w:eastAsia="宋体" w:cs="宋体"/>
                <w:szCs w:val="21"/>
              </w:rPr>
              <w:t>（二）报告成果</w:t>
            </w:r>
          </w:p>
        </w:tc>
        <w:tc>
          <w:tcPr>
            <w:tcW w:w="342" w:type="pct"/>
            <w:noWrap w:val="0"/>
            <w:vAlign w:val="center"/>
          </w:tcPr>
          <w:p w14:paraId="00D0B4A8">
            <w:pPr>
              <w:spacing w:line="360" w:lineRule="auto"/>
              <w:jc w:val="left"/>
              <w:rPr>
                <w:rFonts w:ascii="宋体" w:hAnsi="宋体" w:eastAsia="宋体" w:cs="宋体"/>
                <w:szCs w:val="21"/>
              </w:rPr>
            </w:pPr>
            <w:r>
              <w:rPr>
                <w:rFonts w:ascii="宋体" w:hAnsi="宋体" w:eastAsia="宋体" w:cs="宋体"/>
                <w:szCs w:val="21"/>
              </w:rPr>
              <w:t>40</w:t>
            </w:r>
          </w:p>
        </w:tc>
        <w:tc>
          <w:tcPr>
            <w:tcW w:w="2821" w:type="pct"/>
            <w:noWrap w:val="0"/>
            <w:vAlign w:val="top"/>
          </w:tcPr>
          <w:p w14:paraId="6F46B39F">
            <w:pPr>
              <w:spacing w:line="360" w:lineRule="auto"/>
              <w:jc w:val="left"/>
              <w:rPr>
                <w:rFonts w:ascii="宋体" w:hAnsi="宋体" w:eastAsia="宋体" w:cs="宋体"/>
                <w:szCs w:val="21"/>
              </w:rPr>
            </w:pPr>
            <w:r>
              <w:rPr>
                <w:rFonts w:ascii="宋体" w:hAnsi="宋体" w:eastAsia="宋体" w:cs="宋体"/>
                <w:szCs w:val="21"/>
              </w:rPr>
              <w:t>（1）工作成果质量20分，其中：</w:t>
            </w:r>
          </w:p>
          <w:p w14:paraId="06262FF8">
            <w:pPr>
              <w:spacing w:line="360" w:lineRule="auto"/>
              <w:jc w:val="left"/>
              <w:rPr>
                <w:rFonts w:ascii="宋体" w:hAnsi="宋体" w:eastAsia="宋体" w:cs="宋体"/>
                <w:szCs w:val="21"/>
              </w:rPr>
            </w:pPr>
            <w:r>
              <w:rPr>
                <w:rFonts w:ascii="宋体" w:hAnsi="宋体" w:eastAsia="宋体" w:cs="宋体"/>
                <w:szCs w:val="21"/>
              </w:rPr>
              <w:t>①报告结构完整、要素齐备、内容详实、附件完整，得8分，每缺失一处扣2分，最多扣</w:t>
            </w:r>
            <w:r>
              <w:rPr>
                <w:rFonts w:hint="eastAsia" w:ascii="宋体" w:hAnsi="宋体" w:eastAsia="宋体" w:cs="宋体"/>
                <w:szCs w:val="21"/>
              </w:rPr>
              <w:t>8</w:t>
            </w:r>
            <w:r>
              <w:rPr>
                <w:rFonts w:ascii="宋体" w:hAnsi="宋体" w:eastAsia="宋体" w:cs="宋体"/>
                <w:szCs w:val="21"/>
              </w:rPr>
              <w:t>分；</w:t>
            </w:r>
          </w:p>
          <w:p w14:paraId="44CA0898">
            <w:pPr>
              <w:spacing w:line="360" w:lineRule="auto"/>
              <w:jc w:val="left"/>
              <w:rPr>
                <w:rFonts w:ascii="宋体" w:hAnsi="宋体" w:eastAsia="宋体" w:cs="宋体"/>
                <w:szCs w:val="21"/>
              </w:rPr>
            </w:pPr>
            <w:r>
              <w:rPr>
                <w:rFonts w:ascii="宋体" w:hAnsi="宋体" w:eastAsia="宋体" w:cs="宋体"/>
                <w:szCs w:val="21"/>
              </w:rPr>
              <w:t>②数据真实、准确，逻辑清晰，得6分，每发现一处错误扣2分，最多扣</w:t>
            </w:r>
            <w:r>
              <w:rPr>
                <w:rFonts w:hint="eastAsia" w:ascii="宋体" w:hAnsi="宋体" w:eastAsia="宋体" w:cs="宋体"/>
                <w:szCs w:val="21"/>
              </w:rPr>
              <w:t>6</w:t>
            </w:r>
            <w:r>
              <w:rPr>
                <w:rFonts w:ascii="宋体" w:hAnsi="宋体" w:eastAsia="宋体" w:cs="宋体"/>
                <w:szCs w:val="21"/>
              </w:rPr>
              <w:t>分；</w:t>
            </w:r>
          </w:p>
          <w:p w14:paraId="41A7CE75">
            <w:pPr>
              <w:spacing w:line="360" w:lineRule="auto"/>
              <w:jc w:val="left"/>
              <w:rPr>
                <w:rFonts w:ascii="宋体" w:hAnsi="宋体" w:eastAsia="宋体" w:cs="宋体"/>
                <w:szCs w:val="21"/>
              </w:rPr>
            </w:pPr>
            <w:r>
              <w:rPr>
                <w:rFonts w:ascii="宋体" w:hAnsi="宋体" w:eastAsia="宋体" w:cs="宋体"/>
                <w:szCs w:val="21"/>
              </w:rPr>
              <w:t>③分析透彻清晰，得6分，每有一处分析不透不实扣2分，最多扣</w:t>
            </w:r>
            <w:r>
              <w:rPr>
                <w:rFonts w:hint="eastAsia" w:ascii="宋体" w:hAnsi="宋体" w:eastAsia="宋体" w:cs="宋体"/>
                <w:szCs w:val="21"/>
              </w:rPr>
              <w:t>6</w:t>
            </w:r>
            <w:r>
              <w:rPr>
                <w:rFonts w:ascii="宋体" w:hAnsi="宋体" w:eastAsia="宋体" w:cs="宋体"/>
                <w:szCs w:val="21"/>
              </w:rPr>
              <w:t>分。</w:t>
            </w:r>
          </w:p>
          <w:p w14:paraId="1CFADABA">
            <w:pPr>
              <w:spacing w:line="360" w:lineRule="auto"/>
              <w:jc w:val="left"/>
              <w:rPr>
                <w:rFonts w:ascii="宋体" w:hAnsi="宋体" w:eastAsia="宋体" w:cs="宋体"/>
                <w:szCs w:val="21"/>
              </w:rPr>
            </w:pPr>
            <w:r>
              <w:rPr>
                <w:rFonts w:ascii="宋体" w:hAnsi="宋体" w:eastAsia="宋体" w:cs="宋体"/>
                <w:szCs w:val="21"/>
              </w:rPr>
              <w:t>④若委托方对工作结论不认可，该项整体不得分。</w:t>
            </w:r>
          </w:p>
          <w:p w14:paraId="1DE0B955">
            <w:pPr>
              <w:spacing w:line="360" w:lineRule="auto"/>
              <w:jc w:val="left"/>
              <w:rPr>
                <w:rFonts w:ascii="宋体" w:hAnsi="宋体" w:eastAsia="宋体" w:cs="宋体"/>
                <w:szCs w:val="21"/>
              </w:rPr>
            </w:pPr>
            <w:r>
              <w:rPr>
                <w:rFonts w:ascii="宋体" w:hAnsi="宋体" w:eastAsia="宋体" w:cs="宋体"/>
                <w:szCs w:val="21"/>
              </w:rPr>
              <w:t>（2）发现的问题及成因10分，其中：</w:t>
            </w:r>
          </w:p>
          <w:p w14:paraId="6FC9602A">
            <w:pPr>
              <w:spacing w:line="360" w:lineRule="auto"/>
              <w:jc w:val="left"/>
              <w:rPr>
                <w:rFonts w:ascii="宋体" w:hAnsi="宋体" w:eastAsia="宋体" w:cs="宋体"/>
                <w:szCs w:val="21"/>
              </w:rPr>
            </w:pPr>
            <w:r>
              <w:rPr>
                <w:rFonts w:ascii="宋体" w:hAnsi="宋体" w:eastAsia="宋体" w:cs="宋体"/>
                <w:szCs w:val="21"/>
              </w:rPr>
              <w:t>①问题表述清晰准确、归纳总结合理、依据充分，得5分，每发现一处问题扣1分，最多扣</w:t>
            </w:r>
            <w:r>
              <w:rPr>
                <w:rFonts w:hint="eastAsia" w:ascii="宋体" w:hAnsi="宋体" w:eastAsia="宋体" w:cs="宋体"/>
                <w:szCs w:val="21"/>
              </w:rPr>
              <w:t>5</w:t>
            </w:r>
            <w:r>
              <w:rPr>
                <w:rFonts w:ascii="宋体" w:hAnsi="宋体" w:eastAsia="宋体" w:cs="宋体"/>
                <w:szCs w:val="21"/>
              </w:rPr>
              <w:t>分；</w:t>
            </w:r>
          </w:p>
          <w:p w14:paraId="15AFA215">
            <w:pPr>
              <w:spacing w:line="360" w:lineRule="auto"/>
              <w:jc w:val="left"/>
              <w:rPr>
                <w:rFonts w:ascii="宋体" w:hAnsi="宋体" w:eastAsia="宋体" w:cs="宋体"/>
                <w:szCs w:val="21"/>
              </w:rPr>
            </w:pPr>
            <w:r>
              <w:rPr>
                <w:rFonts w:ascii="宋体" w:hAnsi="宋体" w:eastAsia="宋体" w:cs="宋体"/>
                <w:szCs w:val="21"/>
              </w:rPr>
              <w:t>②原因分析到位，找准问题的体制性、政策性、管理性成因且责任清晰，得5分，每发现一处问题扣1分，最多扣５分。</w:t>
            </w:r>
          </w:p>
          <w:p w14:paraId="77DD5345">
            <w:pPr>
              <w:spacing w:line="360" w:lineRule="auto"/>
              <w:jc w:val="left"/>
              <w:rPr>
                <w:rFonts w:ascii="宋体" w:hAnsi="宋体" w:eastAsia="宋体" w:cs="宋体"/>
                <w:szCs w:val="21"/>
              </w:rPr>
            </w:pPr>
            <w:r>
              <w:rPr>
                <w:rFonts w:ascii="宋体" w:hAnsi="宋体" w:eastAsia="宋体" w:cs="宋体"/>
                <w:szCs w:val="21"/>
              </w:rPr>
              <w:t>（3）相关意见建议针对性强、可行性强、操作性强，得10分，每发现一处不合理或可行性低扣2分，最多扣10分。</w:t>
            </w:r>
          </w:p>
        </w:tc>
        <w:tc>
          <w:tcPr>
            <w:tcW w:w="364" w:type="pct"/>
            <w:noWrap w:val="0"/>
            <w:vAlign w:val="top"/>
          </w:tcPr>
          <w:p w14:paraId="417D76F8">
            <w:pPr>
              <w:spacing w:line="360" w:lineRule="auto"/>
              <w:jc w:val="left"/>
              <w:rPr>
                <w:rFonts w:ascii="宋体" w:hAnsi="宋体" w:eastAsia="宋体" w:cs="宋体"/>
                <w:szCs w:val="21"/>
              </w:rPr>
            </w:pPr>
          </w:p>
        </w:tc>
        <w:tc>
          <w:tcPr>
            <w:tcW w:w="380" w:type="pct"/>
            <w:noWrap w:val="0"/>
            <w:vAlign w:val="top"/>
          </w:tcPr>
          <w:p w14:paraId="09E8980F">
            <w:pPr>
              <w:spacing w:line="360" w:lineRule="auto"/>
              <w:jc w:val="left"/>
              <w:rPr>
                <w:rFonts w:ascii="宋体" w:hAnsi="宋体" w:eastAsia="宋体" w:cs="宋体"/>
                <w:szCs w:val="21"/>
              </w:rPr>
            </w:pPr>
          </w:p>
        </w:tc>
      </w:tr>
      <w:tr w14:paraId="3C9C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137D72B8">
            <w:pPr>
              <w:spacing w:line="360" w:lineRule="auto"/>
              <w:jc w:val="left"/>
              <w:rPr>
                <w:rFonts w:ascii="宋体" w:hAnsi="宋体" w:eastAsia="宋体" w:cs="宋体"/>
                <w:szCs w:val="21"/>
              </w:rPr>
            </w:pPr>
            <w:r>
              <w:rPr>
                <w:rFonts w:ascii="宋体" w:hAnsi="宋体" w:eastAsia="宋体" w:cs="宋体"/>
                <w:szCs w:val="21"/>
              </w:rPr>
              <w:t>否决指标（一经查实一票否决，直接零分）</w:t>
            </w:r>
          </w:p>
        </w:tc>
        <w:tc>
          <w:tcPr>
            <w:tcW w:w="342" w:type="pct"/>
            <w:noWrap w:val="0"/>
            <w:vAlign w:val="center"/>
          </w:tcPr>
          <w:p w14:paraId="2C59B3DC">
            <w:pPr>
              <w:spacing w:line="360" w:lineRule="auto"/>
              <w:jc w:val="left"/>
              <w:rPr>
                <w:rFonts w:ascii="宋体" w:hAnsi="宋体" w:eastAsia="宋体" w:cs="宋体"/>
                <w:szCs w:val="21"/>
              </w:rPr>
            </w:pPr>
          </w:p>
        </w:tc>
        <w:tc>
          <w:tcPr>
            <w:tcW w:w="2821" w:type="pct"/>
            <w:noWrap w:val="0"/>
            <w:vAlign w:val="top"/>
          </w:tcPr>
          <w:p w14:paraId="3B4A217A">
            <w:pPr>
              <w:spacing w:line="360" w:lineRule="auto"/>
              <w:jc w:val="left"/>
              <w:rPr>
                <w:rFonts w:ascii="宋体" w:hAnsi="宋体" w:eastAsia="宋体" w:cs="宋体"/>
                <w:szCs w:val="21"/>
              </w:rPr>
            </w:pPr>
            <w:r>
              <w:rPr>
                <w:rFonts w:ascii="宋体" w:hAnsi="宋体" w:eastAsia="宋体" w:cs="宋体"/>
                <w:szCs w:val="21"/>
              </w:rPr>
              <w:t>有不良执业记录，被有关管理部门查处吊销执照的；转包、分包委托项目（事项）的；</w:t>
            </w:r>
          </w:p>
          <w:p w14:paraId="4B9B0965">
            <w:pPr>
              <w:spacing w:line="360" w:lineRule="auto"/>
              <w:jc w:val="left"/>
              <w:rPr>
                <w:rFonts w:ascii="宋体" w:hAnsi="宋体" w:eastAsia="宋体" w:cs="宋体"/>
                <w:szCs w:val="21"/>
              </w:rPr>
            </w:pPr>
            <w:r>
              <w:rPr>
                <w:rFonts w:ascii="宋体" w:hAnsi="宋体" w:eastAsia="宋体" w:cs="宋体"/>
                <w:szCs w:val="21"/>
              </w:rPr>
              <w:t>违反相关廉政纪律要求的；</w:t>
            </w:r>
          </w:p>
          <w:p w14:paraId="0D7E0114">
            <w:pPr>
              <w:spacing w:line="360" w:lineRule="auto"/>
              <w:jc w:val="left"/>
              <w:rPr>
                <w:rFonts w:ascii="宋体" w:hAnsi="宋体" w:eastAsia="宋体" w:cs="宋体"/>
                <w:szCs w:val="21"/>
              </w:rPr>
            </w:pPr>
            <w:r>
              <w:rPr>
                <w:rFonts w:ascii="宋体" w:hAnsi="宋体" w:eastAsia="宋体" w:cs="宋体"/>
                <w:szCs w:val="21"/>
              </w:rPr>
              <w:t>被审计查出问题造成不良影响的；</w:t>
            </w:r>
          </w:p>
          <w:p w14:paraId="4258E948">
            <w:pPr>
              <w:spacing w:line="360" w:lineRule="auto"/>
              <w:jc w:val="left"/>
              <w:rPr>
                <w:rFonts w:ascii="宋体" w:hAnsi="宋体" w:eastAsia="宋体" w:cs="宋体"/>
                <w:szCs w:val="21"/>
              </w:rPr>
            </w:pPr>
            <w:r>
              <w:rPr>
                <w:rFonts w:ascii="宋体" w:hAnsi="宋体" w:eastAsia="宋体" w:cs="宋体"/>
                <w:szCs w:val="21"/>
              </w:rPr>
              <w:t>出具虚假报告的；</w:t>
            </w:r>
          </w:p>
          <w:p w14:paraId="23790BA4">
            <w:pPr>
              <w:spacing w:line="360" w:lineRule="auto"/>
              <w:jc w:val="left"/>
              <w:rPr>
                <w:rFonts w:ascii="宋体" w:hAnsi="宋体" w:eastAsia="宋体" w:cs="宋体"/>
                <w:szCs w:val="21"/>
              </w:rPr>
            </w:pPr>
            <w:r>
              <w:rPr>
                <w:rFonts w:ascii="宋体" w:hAnsi="宋体" w:eastAsia="宋体" w:cs="宋体"/>
                <w:szCs w:val="21"/>
              </w:rPr>
              <w:t>违反保密纪律引起不良后果的。</w:t>
            </w:r>
          </w:p>
        </w:tc>
        <w:tc>
          <w:tcPr>
            <w:tcW w:w="364" w:type="pct"/>
            <w:noWrap w:val="0"/>
            <w:vAlign w:val="top"/>
          </w:tcPr>
          <w:p w14:paraId="445EE92E">
            <w:pPr>
              <w:spacing w:line="360" w:lineRule="auto"/>
              <w:jc w:val="left"/>
              <w:rPr>
                <w:rFonts w:ascii="宋体" w:hAnsi="宋体" w:eastAsia="宋体" w:cs="宋体"/>
                <w:szCs w:val="21"/>
              </w:rPr>
            </w:pPr>
          </w:p>
        </w:tc>
        <w:tc>
          <w:tcPr>
            <w:tcW w:w="380" w:type="pct"/>
            <w:noWrap w:val="0"/>
            <w:vAlign w:val="top"/>
          </w:tcPr>
          <w:p w14:paraId="6BBF69D7">
            <w:pPr>
              <w:spacing w:line="360" w:lineRule="auto"/>
              <w:jc w:val="left"/>
              <w:rPr>
                <w:rFonts w:ascii="宋体" w:hAnsi="宋体" w:eastAsia="宋体" w:cs="宋体"/>
                <w:szCs w:val="21"/>
              </w:rPr>
            </w:pPr>
          </w:p>
        </w:tc>
      </w:tr>
      <w:tr w14:paraId="6ED35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1" w:type="pct"/>
            <w:noWrap w:val="0"/>
            <w:vAlign w:val="center"/>
          </w:tcPr>
          <w:p w14:paraId="4C8FB82D">
            <w:pPr>
              <w:spacing w:line="360" w:lineRule="auto"/>
              <w:jc w:val="left"/>
              <w:rPr>
                <w:rFonts w:ascii="宋体" w:hAnsi="宋体" w:eastAsia="宋体" w:cs="宋体"/>
                <w:szCs w:val="21"/>
              </w:rPr>
            </w:pPr>
            <w:r>
              <w:rPr>
                <w:rFonts w:ascii="宋体" w:hAnsi="宋体" w:eastAsia="宋体" w:cs="宋体"/>
                <w:szCs w:val="21"/>
              </w:rPr>
              <w:t>总分</w:t>
            </w:r>
          </w:p>
        </w:tc>
        <w:tc>
          <w:tcPr>
            <w:tcW w:w="342" w:type="pct"/>
            <w:noWrap w:val="0"/>
            <w:vAlign w:val="center"/>
          </w:tcPr>
          <w:p w14:paraId="0DDD80FD">
            <w:pPr>
              <w:spacing w:line="360" w:lineRule="auto"/>
              <w:jc w:val="left"/>
              <w:rPr>
                <w:rFonts w:ascii="宋体" w:hAnsi="宋体" w:eastAsia="宋体" w:cs="宋体"/>
                <w:szCs w:val="21"/>
              </w:rPr>
            </w:pPr>
            <w:r>
              <w:rPr>
                <w:rFonts w:ascii="宋体" w:hAnsi="宋体" w:eastAsia="宋体" w:cs="宋体"/>
                <w:szCs w:val="21"/>
              </w:rPr>
              <w:t>100</w:t>
            </w:r>
          </w:p>
        </w:tc>
        <w:tc>
          <w:tcPr>
            <w:tcW w:w="2821" w:type="pct"/>
            <w:noWrap w:val="0"/>
            <w:vAlign w:val="top"/>
          </w:tcPr>
          <w:p w14:paraId="5151B873">
            <w:pPr>
              <w:spacing w:line="360" w:lineRule="auto"/>
              <w:jc w:val="left"/>
              <w:rPr>
                <w:rFonts w:ascii="宋体" w:hAnsi="宋体" w:eastAsia="宋体" w:cs="宋体"/>
                <w:szCs w:val="21"/>
              </w:rPr>
            </w:pPr>
          </w:p>
        </w:tc>
        <w:tc>
          <w:tcPr>
            <w:tcW w:w="364" w:type="pct"/>
            <w:noWrap w:val="0"/>
            <w:vAlign w:val="top"/>
          </w:tcPr>
          <w:p w14:paraId="10E075DD">
            <w:pPr>
              <w:spacing w:line="360" w:lineRule="auto"/>
              <w:jc w:val="left"/>
              <w:rPr>
                <w:rFonts w:ascii="宋体" w:hAnsi="宋体" w:eastAsia="宋体" w:cs="宋体"/>
                <w:szCs w:val="21"/>
              </w:rPr>
            </w:pPr>
          </w:p>
        </w:tc>
        <w:tc>
          <w:tcPr>
            <w:tcW w:w="380" w:type="pct"/>
            <w:noWrap w:val="0"/>
            <w:vAlign w:val="top"/>
          </w:tcPr>
          <w:p w14:paraId="2BD34B90">
            <w:pPr>
              <w:spacing w:line="360" w:lineRule="auto"/>
              <w:jc w:val="left"/>
              <w:rPr>
                <w:rFonts w:ascii="宋体" w:hAnsi="宋体" w:eastAsia="宋体" w:cs="宋体"/>
                <w:szCs w:val="21"/>
              </w:rPr>
            </w:pPr>
          </w:p>
        </w:tc>
      </w:tr>
    </w:tbl>
    <w:p w14:paraId="32A6AC91">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p>
    <w:p w14:paraId="7DFDA3C4">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9.采购资金的支付方式：</w:t>
      </w:r>
    </w:p>
    <w:p w14:paraId="494276BC">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单个项目完成后，根据征集人对第三方机构的工作情况和业务质量综合考评结果，支付不同比例的合同价款（业务委托协议约定服务费用）。</w:t>
      </w:r>
    </w:p>
    <w:p w14:paraId="0E885CF8">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考评结果为优（得分≥90分）的，支付协议约定服务费用的100%；考评结果为良（90分&gt;得分≥80分）的，支付协议约定服务费用的85%；考评结果为中（80分&gt;得分≥60分）的，支付协议约定服务费用的70%；考评结果为差（得分＜60分）的，支付协议约定服务费用的50%。</w:t>
      </w:r>
    </w:p>
    <w:p w14:paraId="0571D666">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 xml:space="preserve">10.知识产权： </w:t>
      </w:r>
    </w:p>
    <w:p w14:paraId="3EFE2A71">
      <w:pPr>
        <w:spacing w:line="360" w:lineRule="auto"/>
        <w:ind w:firstLine="431" w:firstLineChars="177"/>
        <w:rPr>
          <w:rFonts w:hint="default" w:asciiTheme="minorEastAsia" w:hAnsiTheme="minorEastAsia" w:eastAsiaTheme="minorEastAsia" w:cstheme="minorEastAsia"/>
          <w:snapToGrid w:val="0"/>
          <w:color w:val="auto"/>
          <w:spacing w:val="2"/>
          <w:kern w:val="0"/>
          <w:position w:val="17"/>
          <w:sz w:val="24"/>
          <w:szCs w:val="24"/>
          <w:lang w:val="en-US" w:eastAsia="zh-CN" w:bidi="ar-SA"/>
        </w:rPr>
      </w:pPr>
      <w:r>
        <w:rPr>
          <w:rFonts w:hint="default" w:asciiTheme="minorEastAsia" w:hAnsiTheme="minorEastAsia" w:eastAsiaTheme="minorEastAsia" w:cstheme="minorEastAsia"/>
          <w:snapToGrid w:val="0"/>
          <w:color w:val="auto"/>
          <w:spacing w:val="2"/>
          <w:kern w:val="0"/>
          <w:position w:val="17"/>
          <w:sz w:val="24"/>
          <w:szCs w:val="24"/>
          <w:lang w:val="en-US" w:eastAsia="zh-CN" w:bidi="ar-SA"/>
        </w:rPr>
        <w:t>供应商须保证采购人在中华人民共和国境内使用其提供的服务或其任何一部分时，享有不受限制的无偿使用权，不会产生因第三方提出侵犯其专利权、商标权或其它知识产权而引起的法律或经济纠纷。如供应商不拥有相应的知识产权，则在投标总价中必须包括合法获取该知识产权的一切相关费用，如因此导致采购人损失的，供应商须承担全部赔偿责任。供应商如欲在项目实施过程中采用自有知识成果，须在响应文件中声明，并提供相关知识产权证明文件。</w:t>
      </w:r>
    </w:p>
    <w:p w14:paraId="653518BF">
      <w:pPr>
        <w:spacing w:after="120" w:line="360" w:lineRule="auto"/>
        <w:ind w:firstLine="488" w:firstLineChars="200"/>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11.供应商需提供技术方案，</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包括对预算绩效管理服务的认识和理解、服务实施方案、服务质量保障措施、履约服务便利度保障措施、内部管理制度、进度保障措施、业务操作流程、风险管控措施、档案管理措施等。</w:t>
      </w:r>
    </w:p>
    <w:p w14:paraId="1E29BFE4">
      <w:pPr>
        <w:spacing w:after="120" w:line="360" w:lineRule="auto"/>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p>
    <w:p w14:paraId="55349BB6">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74041FBE">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3DB38D54">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0EE8D82D">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EE29DB8">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6BD6BE34">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18F78A23">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pPr>
    </w:p>
    <w:p w14:paraId="4A487FA8">
      <w:pPr>
        <w:pStyle w:val="5"/>
        <w:keepNext w:val="0"/>
        <w:keepLines w:val="0"/>
        <w:pageBreakBefore w:val="0"/>
        <w:numPr>
          <w:ilvl w:val="0"/>
          <w:numId w:val="0"/>
        </w:numPr>
        <w:kinsoku/>
        <w:wordWrap w:val="0"/>
        <w:overflowPunct/>
        <w:topLinePunct w:val="0"/>
        <w:bidi w:val="0"/>
        <w:spacing w:before="352" w:line="690" w:lineRule="exact"/>
        <w:jc w:val="cente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position w:val="24"/>
          <w:sz w:val="36"/>
          <w:szCs w:val="36"/>
          <w:lang w:val="en-US" w:eastAsia="zh-CN"/>
          <w14:textOutline w14:w="2306" w14:cap="flat" w14:cmpd="sng">
            <w14:solidFill>
              <w14:srgbClr w14:val="000000"/>
            </w14:solidFill>
            <w14:prstDash w14:val="solid"/>
            <w14:miter w14:val="0"/>
          </w14:textOutline>
        </w:rPr>
        <w:t>第三章 供应商</w:t>
      </w:r>
      <w:r>
        <w:rPr>
          <w:rFonts w:hint="eastAsia" w:asciiTheme="minorEastAsia" w:hAnsiTheme="minorEastAsia" w:eastAsiaTheme="minorEastAsia" w:cstheme="minorEastAsia"/>
          <w:spacing w:val="-1"/>
          <w:position w:val="24"/>
          <w:sz w:val="36"/>
          <w:szCs w:val="36"/>
          <w14:textOutline w14:w="2306" w14:cap="flat" w14:cmpd="sng">
            <w14:solidFill>
              <w14:srgbClr w14:val="000000"/>
            </w14:solidFill>
            <w14:prstDash w14:val="solid"/>
            <w14:miter w14:val="0"/>
          </w14:textOutline>
        </w:rPr>
        <w:t>须知</w:t>
      </w:r>
    </w:p>
    <w:p w14:paraId="062DFD41">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
          <w:sz w:val="28"/>
          <w:szCs w:val="28"/>
          <w:lang w:val="en-US" w:eastAsia="zh-CN"/>
          <w14:textOutline w14:w="1800" w14:cap="flat" w14:cmpd="sng">
            <w14:solidFill>
              <w14:srgbClr w14:val="000000"/>
            </w14:solidFill>
            <w14:prstDash w14:val="solid"/>
            <w14:miter w14:val="0"/>
          </w14:textOutline>
        </w:rPr>
        <w:t>供应商</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须知表</w:t>
      </w:r>
    </w:p>
    <w:tbl>
      <w:tblPr>
        <w:tblStyle w:val="16"/>
        <w:tblW w:w="888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14:paraId="230501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14:paraId="2AC2ADD9">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14:paraId="6CCE16A9">
            <w:pPr>
              <w:keepNext w:val="0"/>
              <w:keepLines w:val="0"/>
              <w:pageBreakBefore w:val="0"/>
              <w:kinsoku/>
              <w:wordWrap w:val="0"/>
              <w:overflowPunct/>
              <w:topLinePunct w:val="0"/>
              <w:bidi w:val="0"/>
              <w:spacing w:line="240" w:lineRule="atLeast"/>
              <w:ind w:left="1080" w:leftChars="257" w:hanging="540"/>
              <w:jc w:val="both"/>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内容</w:t>
            </w:r>
          </w:p>
        </w:tc>
      </w:tr>
      <w:tr w14:paraId="6473FE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C27A806">
            <w:pPr>
              <w:keepNext w:val="0"/>
              <w:keepLines w:val="0"/>
              <w:pageBreakBefore w:val="0"/>
              <w:kinsoku/>
              <w:wordWrap w:val="0"/>
              <w:overflowPunct/>
              <w:topLinePunct w:val="0"/>
              <w:bidi w:val="0"/>
              <w:spacing w:before="78" w:line="221" w:lineRule="auto"/>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65350D9">
            <w:pPr>
              <w:pStyle w:val="23"/>
              <w:keepNext w:val="0"/>
              <w:keepLines w:val="0"/>
              <w:pageBreakBefore w:val="0"/>
              <w:kinsoku/>
              <w:wordWrap w:val="0"/>
              <w:overflowPunct/>
              <w:topLinePunct w:val="0"/>
              <w:bidi w:val="0"/>
              <w:spacing w:line="220" w:lineRule="auto"/>
              <w:ind w:left="126"/>
              <w:jc w:val="both"/>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tc>
      </w:tr>
      <w:tr w14:paraId="43D527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898B12A">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7843686A">
            <w:pPr>
              <w:keepNext w:val="0"/>
              <w:keepLines w:val="0"/>
              <w:pageBreakBefore w:val="0"/>
              <w:kinsoku/>
              <w:wordWrap w:val="0"/>
              <w:overflowPunct/>
              <w:topLinePunct w:val="0"/>
              <w:bidi w:val="0"/>
              <w:spacing w:before="37" w:line="238" w:lineRule="auto"/>
              <w:ind w:left="118"/>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14:paraId="3579D64C">
            <w:pPr>
              <w:pStyle w:val="23"/>
              <w:keepNext w:val="0"/>
              <w:keepLines w:val="0"/>
              <w:pageBreakBefore w:val="0"/>
              <w:kinsoku/>
              <w:wordWrap w:val="0"/>
              <w:overflowPunct/>
              <w:topLinePunct w:val="0"/>
              <w:bidi w:val="0"/>
              <w:spacing w:line="223"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14:paraId="2B28A9B5">
            <w:pPr>
              <w:pStyle w:val="23"/>
              <w:keepNext w:val="0"/>
              <w:keepLines w:val="0"/>
              <w:pageBreakBefore w:val="0"/>
              <w:kinsoku/>
              <w:wordWrap w:val="0"/>
              <w:overflowPunct/>
              <w:topLinePunct w:val="0"/>
              <w:bidi w:val="0"/>
              <w:spacing w:before="21" w:line="207" w:lineRule="auto"/>
              <w:ind w:left="126" w:leftChars="0"/>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14:paraId="0F0B46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6E1EE02E">
            <w:pPr>
              <w:pStyle w:val="2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rPr>
            </w:pPr>
          </w:p>
          <w:p w14:paraId="26FD677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0428BB8">
            <w:pPr>
              <w:pStyle w:val="23"/>
              <w:keepNext w:val="0"/>
              <w:keepLines w:val="0"/>
              <w:pageBreakBefore w:val="0"/>
              <w:widowControl/>
              <w:kinsoku/>
              <w:wordWrap w:val="0"/>
              <w:overflowPunct/>
              <w:topLinePunct w:val="0"/>
              <w:autoSpaceDE w:val="0"/>
              <w:autoSpaceDN w:val="0"/>
              <w:bidi w:val="0"/>
              <w:adjustRightInd w:val="0"/>
              <w:snapToGrid w:val="0"/>
              <w:spacing w:line="240" w:lineRule="auto"/>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14:paraId="755698F2">
            <w:pPr>
              <w:pStyle w:val="2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26320231">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E783A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5FDC8214">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rPr>
              <w:t>开标前答疑会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289BF58A">
            <w:pPr>
              <w:pStyle w:val="2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14:paraId="1A21DC8E">
            <w:pPr>
              <w:pStyle w:val="23"/>
              <w:keepNext w:val="0"/>
              <w:keepLines w:val="0"/>
              <w:pageBreakBefore w:val="0"/>
              <w:widowControl/>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日</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12"/>
                <w:sz w:val="24"/>
                <w:szCs w:val="24"/>
              </w:rPr>
              <w:t>分</w:t>
            </w:r>
          </w:p>
          <w:p w14:paraId="49AD7C00">
            <w:pPr>
              <w:keepNext w:val="0"/>
              <w:keepLines w:val="0"/>
              <w:pageBreakBefore w:val="0"/>
              <w:widowControl/>
              <w:kinsoku/>
              <w:wordWrap w:val="0"/>
              <w:overflowPunct/>
              <w:topLinePunct w:val="0"/>
              <w:autoSpaceDE w:val="0"/>
              <w:autoSpaceDN w:val="0"/>
              <w:bidi w:val="0"/>
              <w:adjustRightInd w:val="0"/>
              <w:snapToGrid w:val="0"/>
              <w:spacing w:line="240" w:lineRule="auto"/>
              <w:ind w:left="0" w:leftChars="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2"/>
                <w:sz w:val="24"/>
                <w:szCs w:val="24"/>
                <w:u w:val="single"/>
                <w:lang w:val="en-US" w:eastAsia="zh-CN"/>
              </w:rPr>
              <w:t xml:space="preserve">                  </w:t>
            </w:r>
            <w:r>
              <w:rPr>
                <w:rFonts w:hint="eastAsia" w:asciiTheme="minorEastAsia" w:hAnsiTheme="minorEastAsia" w:eastAsiaTheme="minorEastAsia" w:cstheme="minorEastAsia"/>
                <w:spacing w:val="-25"/>
                <w:sz w:val="24"/>
                <w:szCs w:val="24"/>
              </w:rPr>
              <w:t>。</w:t>
            </w:r>
          </w:p>
        </w:tc>
      </w:tr>
      <w:tr w14:paraId="04AC7E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285558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DBC1BEA">
            <w:pPr>
              <w:pStyle w:val="23"/>
              <w:keepNext w:val="0"/>
              <w:keepLines w:val="0"/>
              <w:pageBreakBefore w:val="0"/>
              <w:widowControl/>
              <w:numPr>
                <w:ilvl w:val="0"/>
                <w:numId w:val="2"/>
              </w:numPr>
              <w:kinsoku/>
              <w:wordWrap w:val="0"/>
              <w:overflowPunct/>
              <w:topLinePunct w:val="0"/>
              <w:autoSpaceDE w:val="0"/>
              <w:autoSpaceDN w:val="0"/>
              <w:bidi w:val="0"/>
              <w:adjustRightInd w:val="0"/>
              <w:snapToGrid w:val="0"/>
              <w:spacing w:line="240" w:lineRule="auto"/>
              <w:ind w:left="0"/>
              <w:jc w:val="both"/>
              <w:textAlignment w:val="baseline"/>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本项目采购标的按照中小企业划分标准属于：</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租赁和商务服务业</w:t>
            </w:r>
            <w:r>
              <w:rPr>
                <w:rFonts w:hint="eastAsia" w:asciiTheme="minorEastAsia" w:hAnsiTheme="minorEastAsia" w:eastAsiaTheme="minorEastAsia" w:cstheme="minorEastAsia"/>
                <w:snapToGrid w:val="0"/>
                <w:color w:val="000000"/>
                <w:spacing w:val="29"/>
                <w:kern w:val="0"/>
                <w:sz w:val="24"/>
                <w:szCs w:val="24"/>
                <w:u w:val="single"/>
                <w:lang w:val="en-US" w:eastAsia="zh-CN" w:bidi="ar-SA"/>
              </w:rPr>
              <w:t xml:space="preserve">   </w:t>
            </w:r>
          </w:p>
          <w:p w14:paraId="5FD978F6">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29"/>
                <w:kern w:val="0"/>
                <w:sz w:val="24"/>
                <w:szCs w:val="24"/>
                <w:highlight w:val="none"/>
                <w:lang w:val="en-US" w:eastAsia="zh-CN" w:bidi="ar-SA"/>
              </w:rPr>
              <w:t>本项目小微企业价格折扣比例</w:t>
            </w:r>
            <w:r>
              <w:rPr>
                <w:rFonts w:hint="eastAsia" w:asciiTheme="minorEastAsia" w:hAnsiTheme="minorEastAsia" w:eastAsiaTheme="minorEastAsia" w:cstheme="minorEastAsia"/>
                <w:snapToGrid w:val="0"/>
                <w:color w:val="auto"/>
                <w:spacing w:val="29"/>
                <w:kern w:val="0"/>
                <w:sz w:val="24"/>
                <w:szCs w:val="24"/>
                <w:highlight w:val="none"/>
                <w:u w:val="single"/>
                <w:lang w:val="en-US" w:eastAsia="zh-CN" w:bidi="ar-SA"/>
              </w:rPr>
              <w:t>10</w:t>
            </w:r>
            <w:r>
              <w:rPr>
                <w:rFonts w:hint="eastAsia" w:asciiTheme="minorEastAsia" w:hAnsiTheme="minorEastAsia" w:eastAsiaTheme="minorEastAsia" w:cstheme="minorEastAsia"/>
                <w:snapToGrid w:val="0"/>
                <w:color w:val="auto"/>
                <w:spacing w:val="29"/>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29"/>
                <w:kern w:val="0"/>
                <w:sz w:val="24"/>
                <w:szCs w:val="24"/>
                <w:lang w:val="en-US" w:eastAsia="zh-CN" w:bidi="ar-SA"/>
              </w:rPr>
              <w:t>。</w:t>
            </w:r>
          </w:p>
          <w:p w14:paraId="7952E3B1">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2、入围供应商享受《政府采购促进中小企业发展管理办法》规定的中小企业扶持政策的，征集人、采购代理机构将随中标结果公开入围供应商的《中小企业声明函》。</w:t>
            </w:r>
          </w:p>
        </w:tc>
      </w:tr>
      <w:tr w14:paraId="2FBCBF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14:paraId="369F46EC">
            <w:pPr>
              <w:pStyle w:val="23"/>
              <w:keepNext w:val="0"/>
              <w:keepLines w:val="0"/>
              <w:pageBreakBefore w:val="0"/>
              <w:kinsoku/>
              <w:wordWrap w:val="0"/>
              <w:overflowPunct/>
              <w:topLinePunct w:val="0"/>
              <w:bidi w:val="0"/>
              <w:spacing w:line="269" w:lineRule="auto"/>
              <w:jc w:val="both"/>
              <w:rPr>
                <w:rFonts w:hint="eastAsia" w:asciiTheme="minorEastAsia" w:hAnsiTheme="minorEastAsia" w:eastAsiaTheme="minorEastAsia" w:cstheme="minorEastAsia"/>
              </w:rPr>
            </w:pPr>
          </w:p>
          <w:p w14:paraId="39C7DA1D">
            <w:pPr>
              <w:keepNext w:val="0"/>
              <w:keepLines w:val="0"/>
              <w:pageBreakBefore w:val="0"/>
              <w:kinsoku/>
              <w:wordWrap w:val="0"/>
              <w:overflowPunct/>
              <w:topLinePunct w:val="0"/>
              <w:bidi w:val="0"/>
              <w:spacing w:before="78" w:line="219" w:lineRule="auto"/>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响应</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14:paraId="3A7BCAC3">
            <w:pPr>
              <w:keepNext w:val="0"/>
              <w:keepLines w:val="0"/>
              <w:pageBreakBefore w:val="0"/>
              <w:kinsoku/>
              <w:wordWrap w:val="0"/>
              <w:overflowPunct/>
              <w:topLinePunct w:val="0"/>
              <w:bidi w:val="0"/>
              <w:spacing w:before="40"/>
              <w:ind w:left="117"/>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报价的特殊规定：</w:t>
            </w:r>
          </w:p>
          <w:p w14:paraId="17081074">
            <w:pPr>
              <w:pStyle w:val="23"/>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14:paraId="56C45F08">
            <w:pPr>
              <w:pStyle w:val="23"/>
              <w:keepNext w:val="0"/>
              <w:keepLines w:val="0"/>
              <w:pageBreakBefore w:val="0"/>
              <w:kinsoku/>
              <w:wordWrap w:val="0"/>
              <w:overflowPunct/>
              <w:topLinePunct w:val="0"/>
              <w:bidi w:val="0"/>
              <w:spacing w:before="23" w:line="189" w:lineRule="auto"/>
              <w:ind w:left="12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p>
          <w:p w14:paraId="5A09EC69">
            <w:pPr>
              <w:pStyle w:val="23"/>
              <w:keepNext w:val="0"/>
              <w:keepLines w:val="0"/>
              <w:pageBreakBefore w:val="0"/>
              <w:kinsoku/>
              <w:wordWrap w:val="0"/>
              <w:overflowPunct/>
              <w:topLinePunct w:val="0"/>
              <w:bidi w:val="0"/>
              <w:spacing w:line="19" w:lineRule="exact"/>
              <w:ind w:left="2008" w:leftChars="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14:paraId="566E26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70FE6FB">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0B8C59E">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u w:val="single"/>
                <w:lang w:val="en-US" w:eastAsia="zh-CN"/>
              </w:rPr>
              <w:t xml:space="preserve"> 260 </w:t>
            </w:r>
            <w:r>
              <w:rPr>
                <w:rFonts w:hint="eastAsia" w:asciiTheme="minorEastAsia" w:hAnsiTheme="minorEastAsia" w:eastAsiaTheme="minorEastAsia" w:cstheme="minorEastAsia"/>
                <w:snapToGrid w:val="0"/>
                <w:color w:val="000000"/>
                <w:spacing w:val="29"/>
                <w:kern w:val="0"/>
                <w:sz w:val="24"/>
                <w:szCs w:val="24"/>
                <w:lang w:val="en-US" w:eastAsia="zh-CN" w:bidi="ar-SA"/>
              </w:rPr>
              <w:t>万元（仅供参考）</w:t>
            </w:r>
          </w:p>
        </w:tc>
      </w:tr>
      <w:tr w14:paraId="2632A24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BD05F46">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BE1C5B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14:paraId="64900D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01C216C2">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2C9CCA3">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电子响应文件：1份</w:t>
            </w:r>
          </w:p>
        </w:tc>
      </w:tr>
      <w:tr w14:paraId="7AB68A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3311547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4F82462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30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（北京时间）</w:t>
            </w:r>
          </w:p>
        </w:tc>
      </w:tr>
      <w:tr w14:paraId="22284B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111837B5">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开标时间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3605EFFF">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yellow"/>
                <w:u w:val="single"/>
                <w:lang w:eastAsia="zh-CN"/>
              </w:rPr>
            </w:pPr>
            <w:r>
              <w:rPr>
                <w:rFonts w:hint="eastAsia" w:asciiTheme="minorEastAsia" w:hAnsiTheme="minorEastAsia" w:eastAsiaTheme="minorEastAsia" w:cstheme="minorEastAsia"/>
                <w:spacing w:val="-12"/>
                <w:sz w:val="24"/>
                <w:szCs w:val="24"/>
                <w:highlight w:val="none"/>
                <w:u w:val="single"/>
                <w:lang w:val="en-US" w:eastAsia="zh-CN"/>
              </w:rPr>
              <w:t xml:space="preserve"> 2025 </w:t>
            </w:r>
            <w:r>
              <w:rPr>
                <w:rFonts w:hint="eastAsia" w:asciiTheme="minorEastAsia" w:hAnsiTheme="minorEastAsia" w:eastAsiaTheme="minorEastAsia" w:cstheme="minorEastAsia"/>
                <w:spacing w:val="-12"/>
                <w:sz w:val="24"/>
                <w:szCs w:val="24"/>
                <w:highlight w:val="none"/>
              </w:rPr>
              <w:t>年</w:t>
            </w:r>
            <w:r>
              <w:rPr>
                <w:rFonts w:hint="eastAsia" w:asciiTheme="minorEastAsia" w:hAnsiTheme="minorEastAsia" w:eastAsiaTheme="minorEastAsia" w:cstheme="minorEastAsia"/>
                <w:spacing w:val="-12"/>
                <w:sz w:val="24"/>
                <w:szCs w:val="24"/>
                <w:highlight w:val="none"/>
                <w:u w:val="single"/>
                <w:lang w:val="en-US" w:eastAsia="zh-CN"/>
              </w:rPr>
              <w:t xml:space="preserve"> 7 </w:t>
            </w:r>
            <w:r>
              <w:rPr>
                <w:rFonts w:hint="eastAsia" w:asciiTheme="minorEastAsia" w:hAnsiTheme="minorEastAsia" w:eastAsiaTheme="minorEastAsia" w:cstheme="minorEastAsia"/>
                <w:spacing w:val="-12"/>
                <w:sz w:val="24"/>
                <w:szCs w:val="24"/>
                <w:highlight w:val="none"/>
              </w:rPr>
              <w:t>月</w:t>
            </w:r>
            <w:r>
              <w:rPr>
                <w:rFonts w:hint="eastAsia" w:asciiTheme="minorEastAsia" w:hAnsiTheme="minorEastAsia" w:eastAsiaTheme="minorEastAsia" w:cstheme="minorEastAsia"/>
                <w:spacing w:val="-12"/>
                <w:sz w:val="24"/>
                <w:szCs w:val="24"/>
                <w:highlight w:val="none"/>
                <w:u w:val="single"/>
                <w:lang w:val="en-US" w:eastAsia="zh-CN"/>
              </w:rPr>
              <w:t xml:space="preserve"> 30</w:t>
            </w:r>
            <w:bookmarkStart w:id="9" w:name="_GoBack"/>
            <w:bookmarkEnd w:id="9"/>
            <w:r>
              <w:rPr>
                <w:rFonts w:hint="eastAsia" w:asciiTheme="minorEastAsia" w:hAnsiTheme="minorEastAsia" w:eastAsiaTheme="minorEastAsia" w:cstheme="minorEastAsia"/>
                <w:spacing w:val="-12"/>
                <w:sz w:val="24"/>
                <w:szCs w:val="24"/>
                <w:highlight w:val="none"/>
                <w:u w:val="single"/>
                <w:lang w:val="en-US" w:eastAsia="zh-CN"/>
              </w:rPr>
              <w:t xml:space="preserve"> </w:t>
            </w:r>
            <w:r>
              <w:rPr>
                <w:rFonts w:hint="eastAsia" w:asciiTheme="minorEastAsia" w:hAnsiTheme="minorEastAsia" w:eastAsiaTheme="minorEastAsia" w:cstheme="minorEastAsia"/>
                <w:spacing w:val="-12"/>
                <w:sz w:val="24"/>
                <w:szCs w:val="24"/>
                <w:highlight w:val="none"/>
              </w:rPr>
              <w:t>日</w:t>
            </w:r>
            <w:r>
              <w:rPr>
                <w:rFonts w:hint="eastAsia" w:asciiTheme="minorEastAsia" w:hAnsiTheme="minorEastAsia" w:eastAsiaTheme="minorEastAsia" w:cstheme="minorEastAsia"/>
                <w:spacing w:val="-12"/>
                <w:sz w:val="24"/>
                <w:szCs w:val="24"/>
                <w:highlight w:val="none"/>
                <w:u w:val="single"/>
                <w:lang w:val="en-US" w:eastAsia="zh-CN"/>
              </w:rPr>
              <w:t xml:space="preserve"> 9 </w:t>
            </w:r>
            <w:r>
              <w:rPr>
                <w:rFonts w:hint="eastAsia" w:asciiTheme="minorEastAsia" w:hAnsiTheme="minorEastAsia" w:eastAsiaTheme="minorEastAsia" w:cstheme="minorEastAsia"/>
                <w:spacing w:val="-12"/>
                <w:sz w:val="24"/>
                <w:szCs w:val="24"/>
                <w:highlight w:val="none"/>
              </w:rPr>
              <w:t>点</w:t>
            </w:r>
            <w:r>
              <w:rPr>
                <w:rFonts w:hint="eastAsia" w:asciiTheme="minorEastAsia" w:hAnsiTheme="minorEastAsia" w:eastAsiaTheme="minorEastAsia" w:cstheme="minorEastAsia"/>
                <w:spacing w:val="-12"/>
                <w:sz w:val="24"/>
                <w:szCs w:val="24"/>
                <w:highlight w:val="none"/>
                <w:u w:val="single"/>
                <w:lang w:val="en-US" w:eastAsia="zh-CN"/>
              </w:rPr>
              <w:t xml:space="preserve"> 00 </w:t>
            </w:r>
            <w:r>
              <w:rPr>
                <w:rFonts w:hint="eastAsia" w:asciiTheme="minorEastAsia" w:hAnsiTheme="minorEastAsia" w:eastAsiaTheme="minorEastAsia" w:cstheme="minorEastAsia"/>
                <w:spacing w:val="-12"/>
                <w:sz w:val="24"/>
                <w:szCs w:val="24"/>
                <w:highlight w:val="none"/>
              </w:rPr>
              <w:t>分</w:t>
            </w:r>
            <w:r>
              <w:rPr>
                <w:rFonts w:hint="eastAsia" w:asciiTheme="minorEastAsia" w:hAnsiTheme="minorEastAsia" w:eastAsiaTheme="minorEastAsia" w:cstheme="minorEastAsia"/>
                <w:color w:val="auto"/>
                <w:spacing w:val="-15"/>
                <w:sz w:val="24"/>
                <w:szCs w:val="24"/>
                <w:highlight w:val="none"/>
              </w:rPr>
              <w:t>（北京时间）</w:t>
            </w:r>
          </w:p>
        </w:tc>
      </w:tr>
      <w:tr w14:paraId="1A0F92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2E5029A">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8560825">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i w:val="0"/>
                <w:iCs/>
                <w:sz w:val="24"/>
                <w:szCs w:val="24"/>
                <w:lang w:val="en-US" w:eastAsia="zh-CN"/>
              </w:rPr>
            </w:pPr>
            <w:r>
              <w:rPr>
                <w:rFonts w:hint="eastAsia" w:asciiTheme="minorEastAsia" w:hAnsiTheme="minorEastAsia" w:eastAsiaTheme="minorEastAsia" w:cstheme="minorEastAsia"/>
                <w:b w:val="0"/>
                <w:bCs w:val="0"/>
                <w:i w:val="0"/>
                <w:iCs/>
                <w:color w:val="auto"/>
                <w:sz w:val="24"/>
                <w:szCs w:val="24"/>
                <w:highlight w:val="none"/>
                <w:lang w:val="en-US" w:eastAsia="zh-CN"/>
              </w:rPr>
              <w:t>质量优先法</w:t>
            </w:r>
          </w:p>
        </w:tc>
      </w:tr>
      <w:tr w14:paraId="7549EC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shd w:val="clear" w:color="auto" w:fill="auto"/>
            <w:noWrap w:val="0"/>
            <w:vAlign w:val="center"/>
          </w:tcPr>
          <w:p w14:paraId="5D133F98">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z w:val="24"/>
                <w:szCs w:val="24"/>
                <w:lang w:val="en-US" w:eastAsia="zh-CN"/>
              </w:rPr>
              <w:t>是否采用“暗标”评审</w:t>
            </w:r>
          </w:p>
        </w:tc>
        <w:tc>
          <w:tcPr>
            <w:tcW w:w="7305" w:type="dxa"/>
            <w:tcBorders>
              <w:top w:val="single" w:color="auto" w:sz="6" w:space="0"/>
              <w:left w:val="single" w:color="auto" w:sz="6" w:space="0"/>
              <w:bottom w:val="single" w:color="auto" w:sz="6" w:space="0"/>
              <w:right w:val="single" w:color="auto" w:sz="12" w:space="0"/>
            </w:tcBorders>
            <w:shd w:val="clear" w:color="auto" w:fill="auto"/>
            <w:noWrap w:val="0"/>
            <w:vAlign w:val="center"/>
          </w:tcPr>
          <w:p w14:paraId="54514FB1">
            <w:pPr>
              <w:pStyle w:val="23"/>
              <w:keepNext w:val="0"/>
              <w:keepLines w:val="0"/>
              <w:pageBreakBefore w:val="0"/>
              <w:kinsoku/>
              <w:wordWrap w:val="0"/>
              <w:overflowPunct/>
              <w:topLinePunct w:val="0"/>
              <w:bidi w:val="0"/>
              <w:spacing w:line="223" w:lineRule="auto"/>
              <w:ind w:left="126" w:leftChars="0"/>
              <w:jc w:val="both"/>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29"/>
                <w:sz w:val="24"/>
                <w:szCs w:val="24"/>
                <w:lang w:val="en-US" w:eastAsia="zh-CN"/>
              </w:rPr>
              <w:t xml:space="preserve">否 </w:t>
            </w: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是，具体要求详见投标人须知</w:t>
            </w:r>
          </w:p>
        </w:tc>
      </w:tr>
      <w:tr w14:paraId="60771C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DCE7794">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入围供应商数量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08FF42DD">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本项目入围供应商数量为15家。评审小组</w:t>
            </w:r>
            <w:r>
              <w:rPr>
                <w:rFonts w:hint="eastAsia" w:asciiTheme="minorEastAsia" w:hAnsiTheme="minorEastAsia" w:eastAsiaTheme="minorEastAsia" w:cstheme="minorEastAsia"/>
                <w:snapToGrid w:val="0"/>
                <w:color w:val="auto"/>
                <w:spacing w:val="14"/>
                <w:kern w:val="0"/>
                <w:sz w:val="24"/>
                <w:szCs w:val="24"/>
                <w:highlight w:val="none"/>
                <w:lang w:val="en-US" w:eastAsia="en-US" w:bidi="ar-SA"/>
              </w:rPr>
              <w:t>将根据各</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供应商</w:t>
            </w:r>
            <w:r>
              <w:rPr>
                <w:rFonts w:hint="eastAsia" w:asciiTheme="minorEastAsia" w:hAnsiTheme="minorEastAsia" w:eastAsiaTheme="minorEastAsia" w:cstheme="minorEastAsia"/>
                <w:snapToGrid w:val="0"/>
                <w:color w:val="auto"/>
                <w:spacing w:val="14"/>
                <w:kern w:val="0"/>
                <w:sz w:val="24"/>
                <w:szCs w:val="24"/>
                <w:highlight w:val="none"/>
                <w:lang w:val="en-US" w:eastAsia="en-US" w:bidi="ar-SA"/>
              </w:rPr>
              <w:t>的</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综合评分结果进行评审</w:t>
            </w:r>
            <w:r>
              <w:rPr>
                <w:rFonts w:hint="eastAsia" w:asciiTheme="minorEastAsia" w:hAnsiTheme="minorEastAsia" w:eastAsiaTheme="minorEastAsia" w:cstheme="minorEastAsia"/>
                <w:snapToGrid w:val="0"/>
                <w:color w:val="auto"/>
                <w:spacing w:val="14"/>
                <w:kern w:val="0"/>
                <w:sz w:val="24"/>
                <w:szCs w:val="24"/>
                <w:highlight w:val="none"/>
                <w:lang w:val="en-US" w:eastAsia="en-US" w:bidi="ar-SA"/>
              </w:rPr>
              <w:t>排序，依次推荐本项目的</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入围</w:t>
            </w:r>
            <w:r>
              <w:rPr>
                <w:rFonts w:hint="eastAsia" w:asciiTheme="minorEastAsia" w:hAnsiTheme="minorEastAsia" w:eastAsiaTheme="minorEastAsia" w:cstheme="minorEastAsia"/>
                <w:snapToGrid w:val="0"/>
                <w:color w:val="auto"/>
                <w:spacing w:val="14"/>
                <w:kern w:val="0"/>
                <w:sz w:val="24"/>
                <w:szCs w:val="24"/>
                <w:highlight w:val="none"/>
                <w:lang w:val="en-US" w:eastAsia="en-US" w:bidi="ar-SA"/>
              </w:rPr>
              <w:t>候选人，起草并签署</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评审</w:t>
            </w:r>
            <w:r>
              <w:rPr>
                <w:rFonts w:hint="eastAsia" w:asciiTheme="minorEastAsia" w:hAnsiTheme="minorEastAsia" w:eastAsiaTheme="minorEastAsia" w:cstheme="minorEastAsia"/>
                <w:snapToGrid w:val="0"/>
                <w:color w:val="auto"/>
                <w:spacing w:val="14"/>
                <w:kern w:val="0"/>
                <w:sz w:val="24"/>
                <w:szCs w:val="24"/>
                <w:highlight w:val="none"/>
                <w:lang w:val="en-US" w:eastAsia="en-US" w:bidi="ar-SA"/>
              </w:rPr>
              <w:t>报告。</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评审</w:t>
            </w:r>
            <w:r>
              <w:rPr>
                <w:rFonts w:hint="eastAsia" w:asciiTheme="minorEastAsia" w:hAnsiTheme="minorEastAsia" w:eastAsiaTheme="minorEastAsia" w:cstheme="minorEastAsia"/>
                <w:snapToGrid w:val="0"/>
                <w:color w:val="auto"/>
                <w:spacing w:val="14"/>
                <w:kern w:val="0"/>
                <w:sz w:val="24"/>
                <w:szCs w:val="24"/>
                <w:highlight w:val="none"/>
                <w:lang w:val="en-US" w:eastAsia="en-US" w:bidi="ar-SA"/>
              </w:rPr>
              <w:t>报告</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入围</w:t>
            </w:r>
            <w:r>
              <w:rPr>
                <w:rFonts w:hint="eastAsia" w:asciiTheme="minorEastAsia" w:hAnsiTheme="minorEastAsia" w:eastAsiaTheme="minorEastAsia" w:cstheme="minorEastAsia"/>
                <w:snapToGrid w:val="0"/>
                <w:color w:val="auto"/>
                <w:spacing w:val="14"/>
                <w:kern w:val="0"/>
                <w:sz w:val="24"/>
                <w:szCs w:val="24"/>
                <w:highlight w:val="none"/>
                <w:lang w:val="en-US" w:eastAsia="en-US" w:bidi="ar-SA"/>
              </w:rPr>
              <w:t>候选人排名顺序交南阳市</w:t>
            </w:r>
            <w:r>
              <w:rPr>
                <w:rFonts w:hint="eastAsia" w:asciiTheme="minorEastAsia" w:hAnsiTheme="minorEastAsia" w:eastAsiaTheme="minorEastAsia" w:cstheme="minorEastAsia"/>
                <w:snapToGrid w:val="0"/>
                <w:color w:val="auto"/>
                <w:spacing w:val="14"/>
                <w:kern w:val="0"/>
                <w:sz w:val="24"/>
                <w:szCs w:val="24"/>
                <w:highlight w:val="none"/>
                <w:lang w:val="en-US" w:eastAsia="zh-CN" w:bidi="ar-SA"/>
              </w:rPr>
              <w:t>财政局</w:t>
            </w:r>
            <w:r>
              <w:rPr>
                <w:rFonts w:hint="eastAsia" w:asciiTheme="minorEastAsia" w:hAnsiTheme="minorEastAsia" w:eastAsiaTheme="minorEastAsia" w:cstheme="minorEastAsia"/>
                <w:snapToGrid w:val="0"/>
                <w:color w:val="auto"/>
                <w:spacing w:val="14"/>
                <w:kern w:val="0"/>
                <w:sz w:val="24"/>
                <w:szCs w:val="24"/>
                <w:highlight w:val="none"/>
                <w:lang w:val="en-US" w:eastAsia="en-US" w:bidi="ar-SA"/>
              </w:rPr>
              <w:t>审定后公布入围服务单位名单。</w:t>
            </w:r>
          </w:p>
        </w:tc>
      </w:tr>
      <w:tr w14:paraId="6A4AE8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66755FA6">
            <w:pPr>
              <w:keepNext w:val="0"/>
              <w:keepLines w:val="0"/>
              <w:pageBreakBefore w:val="0"/>
              <w:kinsoku/>
              <w:wordWrap w:val="0"/>
              <w:overflowPunct/>
              <w:topLinePunct w:val="0"/>
              <w:bidi w:val="0"/>
              <w:spacing w:line="240" w:lineRule="atLeast"/>
              <w:jc w:val="both"/>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淘汰率及入围供应商数量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5623ED45">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淘汰比例不得低于20%，且至少淘汰一家供应商。根据《政府采购框架协议采购方式管理暂行办法》的规定，提交响应文件和符合资格条件、实质性要求的供应商应当均不少于2家。</w:t>
            </w:r>
          </w:p>
          <w:p w14:paraId="0D3B0D3B">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268" w:firstLineChars="100"/>
              <w:jc w:val="both"/>
              <w:textAlignment w:val="baseline"/>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①如提交响应文件和符合资格条件、实质性要求的供应商应≥</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19</w:t>
            </w: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家时，取</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15</w:t>
            </w: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名；</w:t>
            </w:r>
          </w:p>
          <w:p w14:paraId="29F88E7B">
            <w:pPr>
              <w:pStyle w:val="23"/>
              <w:keepNext w:val="0"/>
              <w:keepLines w:val="0"/>
              <w:pageBreakBefore w:val="0"/>
              <w:kinsoku/>
              <w:wordWrap w:val="0"/>
              <w:overflowPunct/>
              <w:topLinePunct w:val="0"/>
              <w:bidi w:val="0"/>
              <w:spacing w:before="1" w:line="220" w:lineRule="auto"/>
              <w:ind w:left="126" w:firstLine="268" w:firstLineChars="100"/>
              <w:jc w:val="both"/>
              <w:rPr>
                <w:rFonts w:hint="default"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②提交响应文件和符合资格条件、实质性要求的供应商＜</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19</w:t>
            </w: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家时，实际选定数量以淘汰20%（四舍五入取整）后剩余的数量为准，且至少淘汰 1 家供应商。</w:t>
            </w:r>
          </w:p>
        </w:tc>
      </w:tr>
      <w:tr w14:paraId="06A2A4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7634D58D">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第二阶段</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zh-CN" w:bidi="ar-SA"/>
              </w:rPr>
              <w:t>预算绩效管理</w:t>
            </w:r>
            <w:r>
              <w:rPr>
                <w:rFonts w:hint="eastAsia" w:asciiTheme="minorEastAsia" w:hAnsiTheme="minorEastAsia" w:eastAsiaTheme="minorEastAsia" w:cstheme="minorEastAsia"/>
                <w:snapToGrid w:val="0"/>
                <w:color w:val="auto"/>
                <w:spacing w:val="2"/>
                <w:kern w:val="0"/>
                <w:position w:val="17"/>
                <w:sz w:val="24"/>
                <w:szCs w:val="24"/>
                <w:highlight w:val="none"/>
                <w:lang w:val="en-US" w:eastAsia="en-US" w:bidi="ar-SA"/>
              </w:rPr>
              <w:t>业务的委托方式</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22540948">
            <w:pPr>
              <w:keepNext w:val="0"/>
              <w:keepLines w:val="0"/>
              <w:pageBreakBefore w:val="0"/>
              <w:widowControl/>
              <w:kinsoku/>
              <w:wordWrap w:val="0"/>
              <w:overflowPunct/>
              <w:topLinePunct w:val="0"/>
              <w:autoSpaceDE/>
              <w:autoSpaceDN/>
              <w:bidi w:val="0"/>
              <w:adjustRightInd/>
              <w:snapToGrid/>
              <w:jc w:val="both"/>
              <w:textAlignment w:val="auto"/>
              <w:rPr>
                <w:rFonts w:hint="default" w:asciiTheme="minorEastAsia" w:hAnsiTheme="minorEastAsia" w:eastAsiaTheme="minorEastAsia" w:cstheme="minorEastAsia"/>
                <w:snapToGrid w:val="0"/>
                <w:color w:val="000000"/>
                <w:spacing w:val="14"/>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1</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w:t>
            </w: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购买服务的项目采用抽签</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加</w:t>
            </w: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轮</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候</w:t>
            </w: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方式确定中介机构及服务项目，所有中介机构轮流一遍为一轮。</w:t>
            </w: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考核结果为“中“、”差”等级的第三方机构不再参与下一轮抽签，并取消框架协议后续服务期服务资格，同时将其执业质量情况通报其所在的行业协会及监管部门。</w:t>
            </w:r>
          </w:p>
          <w:p w14:paraId="5F51B1A2">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pacing w:val="-13"/>
                <w:sz w:val="24"/>
                <w:szCs w:val="24"/>
                <w:highlight w:val="none"/>
                <w:lang w:val="en-US" w:eastAsia="zh-CN"/>
              </w:rPr>
            </w:pPr>
            <w:r>
              <w:rPr>
                <w:rFonts w:hint="eastAsia" w:asciiTheme="minorEastAsia" w:hAnsiTheme="minorEastAsia" w:eastAsiaTheme="minorEastAsia" w:cstheme="minorEastAsia"/>
                <w:snapToGrid w:val="0"/>
                <w:color w:val="000000"/>
                <w:spacing w:val="14"/>
                <w:kern w:val="0"/>
                <w:sz w:val="24"/>
                <w:szCs w:val="24"/>
                <w:highlight w:val="none"/>
                <w:lang w:val="en-US" w:eastAsia="zh-CN" w:bidi="ar-SA"/>
              </w:rPr>
              <w:t>(2)原则上</w:t>
            </w:r>
            <w:r>
              <w:rPr>
                <w:rFonts w:hint="eastAsia" w:asciiTheme="minorEastAsia" w:hAnsiTheme="minorEastAsia" w:eastAsiaTheme="minorEastAsia" w:cstheme="minorEastAsia"/>
                <w:snapToGrid w:val="0"/>
                <w:color w:val="000000"/>
                <w:spacing w:val="14"/>
                <w:kern w:val="0"/>
                <w:sz w:val="24"/>
                <w:szCs w:val="24"/>
                <w:highlight w:val="none"/>
                <w:lang w:val="en-US" w:eastAsia="en-US" w:bidi="ar-SA"/>
              </w:rPr>
              <w:t>中介机构不得拒绝或推脱委托单位委托的项目。</w:t>
            </w:r>
          </w:p>
        </w:tc>
      </w:tr>
      <w:tr w14:paraId="34DC87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14:paraId="4FFEB270">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入围供应商清退和补充规则</w:t>
            </w:r>
          </w:p>
        </w:tc>
        <w:tc>
          <w:tcPr>
            <w:tcW w:w="7305" w:type="dxa"/>
            <w:tcBorders>
              <w:top w:val="single" w:color="auto" w:sz="6" w:space="0"/>
              <w:left w:val="single" w:color="auto" w:sz="6" w:space="0"/>
              <w:bottom w:val="single" w:color="auto" w:sz="6" w:space="0"/>
              <w:right w:val="single" w:color="auto" w:sz="12" w:space="0"/>
            </w:tcBorders>
            <w:noWrap w:val="0"/>
            <w:vAlign w:val="center"/>
          </w:tcPr>
          <w:p w14:paraId="7B230ABD">
            <w:pPr>
              <w:keepNext w:val="0"/>
              <w:keepLines w:val="0"/>
              <w:pageBreakBefore w:val="0"/>
              <w:widowControl/>
              <w:numPr>
                <w:ilvl w:val="0"/>
                <w:numId w:val="3"/>
              </w:numPr>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入围供应商无正当理由，不得主动放弃入围资格或者退出框架协议。入围供应商有下列情形之一，尚未签订框架协议的，取消其入围资格；已经签订框架协议的，解除与其签订的框架协议：</w:t>
            </w:r>
          </w:p>
          <w:p w14:paraId="73532882">
            <w:pPr>
              <w:keepNext w:val="0"/>
              <w:keepLines w:val="0"/>
              <w:pageBreakBefore w:val="0"/>
              <w:widowControl/>
              <w:numPr>
                <w:ilvl w:val="0"/>
                <w:numId w:val="0"/>
              </w:numPr>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default" w:asciiTheme="minorEastAsia" w:hAnsiTheme="minorEastAsia" w:eastAsiaTheme="minorEastAsia" w:cstheme="minorEastAsia"/>
                <w:snapToGrid w:val="0"/>
                <w:color w:val="000000"/>
                <w:spacing w:val="14"/>
                <w:kern w:val="0"/>
                <w:sz w:val="24"/>
                <w:szCs w:val="24"/>
                <w:lang w:val="en-US" w:eastAsia="zh-CN" w:bidi="ar-SA"/>
              </w:rPr>
              <w:t>①</w:t>
            </w:r>
            <w:r>
              <w:rPr>
                <w:rFonts w:hint="eastAsia" w:asciiTheme="minorEastAsia" w:hAnsiTheme="minorEastAsia" w:eastAsiaTheme="minorEastAsia" w:cstheme="minorEastAsia"/>
                <w:snapToGrid w:val="0"/>
                <w:color w:val="000000"/>
                <w:spacing w:val="14"/>
                <w:kern w:val="0"/>
                <w:sz w:val="24"/>
                <w:szCs w:val="24"/>
                <w:lang w:val="en-US" w:eastAsia="zh-CN" w:bidi="ar-SA"/>
              </w:rPr>
              <w:t>恶意串通谋取入围或者合同成交的；</w:t>
            </w:r>
          </w:p>
          <w:p w14:paraId="0A15E41E">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default" w:asciiTheme="minorEastAsia" w:hAnsiTheme="minorEastAsia" w:eastAsiaTheme="minorEastAsia" w:cstheme="minorEastAsia"/>
                <w:snapToGrid w:val="0"/>
                <w:color w:val="000000"/>
                <w:spacing w:val="14"/>
                <w:kern w:val="0"/>
                <w:sz w:val="24"/>
                <w:szCs w:val="24"/>
                <w:lang w:val="en-US" w:eastAsia="zh-CN" w:bidi="ar-SA"/>
              </w:rPr>
              <w:t>②</w:t>
            </w:r>
            <w:r>
              <w:rPr>
                <w:rFonts w:hint="eastAsia" w:asciiTheme="minorEastAsia" w:hAnsiTheme="minorEastAsia" w:eastAsiaTheme="minorEastAsia" w:cstheme="minorEastAsia"/>
                <w:snapToGrid w:val="0"/>
                <w:color w:val="000000"/>
                <w:spacing w:val="14"/>
                <w:kern w:val="0"/>
                <w:sz w:val="24"/>
                <w:szCs w:val="24"/>
                <w:lang w:val="en-US" w:eastAsia="zh-CN" w:bidi="ar-SA"/>
              </w:rPr>
              <w:t>提供虚假材料谋取入围或者合同成交的；</w:t>
            </w:r>
          </w:p>
          <w:p w14:paraId="7F489608">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default" w:asciiTheme="minorEastAsia" w:hAnsiTheme="minorEastAsia" w:eastAsiaTheme="minorEastAsia" w:cstheme="minorEastAsia"/>
                <w:snapToGrid w:val="0"/>
                <w:color w:val="000000"/>
                <w:spacing w:val="14"/>
                <w:kern w:val="0"/>
                <w:sz w:val="24"/>
                <w:szCs w:val="24"/>
                <w:lang w:val="en-US" w:eastAsia="zh-CN" w:bidi="ar-SA"/>
              </w:rPr>
              <w:t>③</w:t>
            </w:r>
            <w:r>
              <w:rPr>
                <w:rFonts w:hint="eastAsia" w:asciiTheme="minorEastAsia" w:hAnsiTheme="minorEastAsia" w:eastAsiaTheme="minorEastAsia" w:cstheme="minorEastAsia"/>
                <w:snapToGrid w:val="0"/>
                <w:color w:val="000000"/>
                <w:spacing w:val="14"/>
                <w:kern w:val="0"/>
                <w:sz w:val="24"/>
                <w:szCs w:val="24"/>
                <w:lang w:val="en-US" w:eastAsia="zh-CN" w:bidi="ar-SA"/>
              </w:rPr>
              <w:t>无正当理由拒不接受合同授予的；</w:t>
            </w:r>
          </w:p>
          <w:p w14:paraId="4EE03189">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④不履行合同义务或者履行合同义务不符合约定，经征集人请求履行后仍不履行或者仍未按约定履行的；</w:t>
            </w:r>
          </w:p>
          <w:p w14:paraId="2BC22D2A">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⑤框架协议有效期内，因违法行为被禁止或限制参加政府采购活动的；</w:t>
            </w:r>
          </w:p>
          <w:p w14:paraId="4ACDA303">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⑥入围供应商实质性违反本合同约定的；</w:t>
            </w:r>
          </w:p>
          <w:p w14:paraId="32BF686E">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⑦入围供应商有违反合同约定或其职责、义务的行为，在征集人指定期限内未予以纠正或补救的；</w:t>
            </w:r>
          </w:p>
          <w:p w14:paraId="1D1E399F">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⑧入围供应商泄漏委托方的秘密或与第三方串通损害征集人利益的；由此造成的经济损失，入围供应商应予赔偿；存在违法违规行为的,由相关部门进行处理；</w:t>
            </w:r>
          </w:p>
          <w:p w14:paraId="7A35BB06">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⑨征集人针对项目完成时限、质量有权提出要求,由于入围供应商原因,项目完成时限超出委托时限或质量不合格的；</w:t>
            </w:r>
          </w:p>
          <w:p w14:paraId="639CA753">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⑩入围供应商将征集人提供的相关资料丢失的；由此造成的经济损失，入围供应商应予赔偿；存在违法违规行为的，由相关部门进行处理；</w:t>
            </w:r>
          </w:p>
          <w:p w14:paraId="727E9684">
            <w:pPr>
              <w:keepNext w:val="0"/>
              <w:keepLines w:val="0"/>
              <w:pageBreakBefore w:val="0"/>
              <w:widowControl/>
              <w:kinsoku/>
              <w:wordWrap w:val="0"/>
              <w:overflowPunct/>
              <w:topLinePunct w:val="0"/>
              <w:autoSpaceDE/>
              <w:autoSpaceDN/>
              <w:bidi w:val="0"/>
              <w:adjustRightInd/>
              <w:snapToGrid/>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⑪入围供应商提供服务时，需按委托人要求时限完成,无正当理由，未按时完成的将解除合同。</w:t>
            </w:r>
          </w:p>
          <w:p w14:paraId="6CDC2F43">
            <w:pPr>
              <w:keepNext w:val="0"/>
              <w:keepLines w:val="0"/>
              <w:pageBreakBefore w:val="0"/>
              <w:widowControl/>
              <w:numPr>
                <w:ilvl w:val="0"/>
                <w:numId w:val="3"/>
              </w:numPr>
              <w:kinsoku/>
              <w:wordWrap w:val="0"/>
              <w:overflowPunct/>
              <w:topLinePunct w:val="0"/>
              <w:autoSpaceDE/>
              <w:autoSpaceDN/>
              <w:bidi w:val="0"/>
              <w:adjustRightInd/>
              <w:snapToGrid/>
              <w:ind w:left="0" w:leftChars="0" w:firstLine="0" w:firstLineChars="0"/>
              <w:jc w:val="both"/>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补充规则</w:t>
            </w:r>
          </w:p>
          <w:p w14:paraId="70869BB8">
            <w:pPr>
              <w:keepNext w:val="0"/>
              <w:keepLines w:val="0"/>
              <w:pageBreakBefore w:val="0"/>
              <w:widowControl/>
              <w:numPr>
                <w:ilvl w:val="0"/>
                <w:numId w:val="0"/>
              </w:numPr>
              <w:kinsoku/>
              <w:wordWrap w:val="0"/>
              <w:overflowPunct/>
              <w:topLinePunct w:val="0"/>
              <w:autoSpaceDE/>
              <w:autoSpaceDN/>
              <w:bidi w:val="0"/>
              <w:adjustRightInd/>
              <w:snapToGrid/>
              <w:ind w:leftChars="0" w:firstLine="536" w:firstLine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入围供应商</w:t>
            </w:r>
            <w:r>
              <w:rPr>
                <w:rFonts w:hint="default" w:asciiTheme="minorEastAsia" w:hAnsiTheme="minorEastAsia" w:eastAsiaTheme="minorEastAsia" w:cstheme="minorEastAsia"/>
                <w:snapToGrid w:val="0"/>
                <w:color w:val="000000"/>
                <w:spacing w:val="14"/>
                <w:kern w:val="0"/>
                <w:sz w:val="24"/>
                <w:szCs w:val="24"/>
                <w:lang w:val="en-US" w:eastAsia="zh-CN" w:bidi="ar-SA"/>
              </w:rPr>
              <w:t>被取消入围资格或者被解除框架协议的，不得参加同一封闭式框架协议补充征集活动,不得重新申请加入同一开放式框架协议。</w:t>
            </w:r>
          </w:p>
          <w:p w14:paraId="4CFD92B2">
            <w:pPr>
              <w:keepNext w:val="0"/>
              <w:keepLines w:val="0"/>
              <w:pageBreakBefore w:val="0"/>
              <w:widowControl/>
              <w:numPr>
                <w:ilvl w:val="0"/>
                <w:numId w:val="0"/>
              </w:numPr>
              <w:kinsoku/>
              <w:wordWrap w:val="0"/>
              <w:overflowPunct/>
              <w:topLinePunct w:val="0"/>
              <w:autoSpaceDE/>
              <w:autoSpaceDN/>
              <w:bidi w:val="0"/>
              <w:adjustRightInd/>
              <w:snapToGrid/>
              <w:ind w:leftChars="0" w:firstLine="536" w:firstLineChars="200"/>
              <w:jc w:val="both"/>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default" w:asciiTheme="minorEastAsia" w:hAnsiTheme="minorEastAsia" w:eastAsiaTheme="minorEastAsia" w:cstheme="minorEastAsia"/>
                <w:snapToGrid w:val="0"/>
                <w:color w:val="000000"/>
                <w:spacing w:val="14"/>
                <w:kern w:val="0"/>
                <w:sz w:val="24"/>
                <w:szCs w:val="24"/>
                <w:lang w:val="en-US" w:eastAsia="zh-CN" w:bidi="ar-SA"/>
              </w:rPr>
              <w:t>剩余入围供应商不足入围供应商总数70%且影响框架协议执行的，框架协议有效期内征集人有权视情况进行补充。</w:t>
            </w:r>
          </w:p>
          <w:p w14:paraId="5C615A7E">
            <w:pPr>
              <w:keepNext w:val="0"/>
              <w:keepLines w:val="0"/>
              <w:pageBreakBefore w:val="0"/>
              <w:widowControl/>
              <w:numPr>
                <w:ilvl w:val="0"/>
                <w:numId w:val="0"/>
              </w:numPr>
              <w:kinsoku/>
              <w:wordWrap w:val="0"/>
              <w:overflowPunct/>
              <w:topLinePunct w:val="0"/>
              <w:autoSpaceDE/>
              <w:autoSpaceDN/>
              <w:bidi w:val="0"/>
              <w:adjustRightInd/>
              <w:snapToGrid/>
              <w:ind w:leftChars="0"/>
              <w:jc w:val="both"/>
              <w:textAlignment w:val="auto"/>
              <w:rPr>
                <w:rFonts w:hint="eastAsia" w:asciiTheme="minorEastAsia" w:hAnsiTheme="minorEastAsia" w:eastAsiaTheme="minorEastAsia" w:cstheme="minorEastAsia"/>
                <w:spacing w:val="-13"/>
                <w:sz w:val="24"/>
                <w:szCs w:val="24"/>
                <w:lang w:val="en-US" w:eastAsia="zh-CN"/>
              </w:rPr>
            </w:pPr>
            <w:r>
              <w:rPr>
                <w:rFonts w:hint="default" w:asciiTheme="minorEastAsia" w:hAnsiTheme="minorEastAsia" w:eastAsiaTheme="minorEastAsia" w:cstheme="minorEastAsia"/>
                <w:snapToGrid w:val="0"/>
                <w:color w:val="000000"/>
                <w:spacing w:val="14"/>
                <w:kern w:val="0"/>
                <w:sz w:val="24"/>
                <w:szCs w:val="24"/>
                <w:lang w:val="en-US" w:eastAsia="zh-CN" w:bidi="ar-SA"/>
              </w:rPr>
              <w:t>补充征集的条件、程序、评审方法和淘汰比例与初次征集相同。补充征集遵守原框架协议的有效期。补充征集期间，原框架协议继续履行。</w:t>
            </w:r>
          </w:p>
        </w:tc>
      </w:tr>
      <w:tr w14:paraId="46BE9C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3"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14:paraId="3A44DA27">
            <w:pPr>
              <w:keepNext w:val="0"/>
              <w:keepLines w:val="0"/>
              <w:pageBreakBefore w:val="0"/>
              <w:kinsoku/>
              <w:wordWrap w:val="0"/>
              <w:overflowPunct/>
              <w:topLinePunct w:val="0"/>
              <w:bidi w:val="0"/>
              <w:spacing w:line="240" w:lineRule="atLeast"/>
              <w:jc w:val="both"/>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代理费</w:t>
            </w:r>
          </w:p>
        </w:tc>
        <w:tc>
          <w:tcPr>
            <w:tcW w:w="7305" w:type="dxa"/>
            <w:tcBorders>
              <w:top w:val="single" w:color="auto" w:sz="6" w:space="0"/>
              <w:left w:val="single" w:color="auto" w:sz="6" w:space="0"/>
              <w:bottom w:val="single" w:color="auto" w:sz="12" w:space="0"/>
              <w:right w:val="single" w:color="auto" w:sz="12" w:space="0"/>
            </w:tcBorders>
            <w:noWrap w:val="0"/>
            <w:vAlign w:val="center"/>
          </w:tcPr>
          <w:p w14:paraId="3AD10AAC">
            <w:pPr>
              <w:pStyle w:val="23"/>
              <w:keepNext w:val="0"/>
              <w:keepLines w:val="0"/>
              <w:pageBreakBefore w:val="0"/>
              <w:kinsoku/>
              <w:wordWrap w:val="0"/>
              <w:overflowPunct/>
              <w:topLinePunct w:val="0"/>
              <w:bidi w:val="0"/>
              <w:spacing w:before="1" w:line="220" w:lineRule="auto"/>
              <w:ind w:left="126"/>
              <w:jc w:val="both"/>
              <w:rPr>
                <w:rFonts w:hint="eastAsia" w:asciiTheme="minorEastAsia" w:hAnsiTheme="minorEastAsia" w:eastAsiaTheme="minorEastAsia" w:cstheme="minorEastAsia"/>
                <w:spacing w:val="-13"/>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z w:val="24"/>
                <w:szCs w:val="24"/>
                <w:lang w:val="en-US" w:eastAsia="zh-CN"/>
              </w:rPr>
              <w:t>集中采购机构不收费</w:t>
            </w:r>
          </w:p>
        </w:tc>
      </w:tr>
    </w:tbl>
    <w:p w14:paraId="0100A5AD">
      <w:pP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pPr>
    </w:p>
    <w:p w14:paraId="6A72B914">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pacing w:val="-2"/>
          <w:sz w:val="28"/>
          <w:szCs w:val="28"/>
          <w:lang w:val="en-US" w:eastAsia="zh-CN"/>
          <w14:textOutline w14:w="1800" w14:cap="flat" w14:cmpd="sng">
            <w14:solidFill>
              <w14:srgbClr w14:val="000000"/>
            </w14:solidFill>
            <w14:prstDash w14:val="solid"/>
            <w14:miter w14:val="0"/>
          </w14:textOutline>
        </w:rPr>
      </w:pPr>
    </w:p>
    <w:p w14:paraId="2011A594">
      <w:pPr>
        <w:pStyle w:val="5"/>
        <w:keepNext w:val="0"/>
        <w:keepLines w:val="0"/>
        <w:pageBreakBefore w:val="0"/>
        <w:kinsoku/>
        <w:wordWrap w:val="0"/>
        <w:overflowPunct/>
        <w:topLinePunct w:val="0"/>
        <w:bidi w:val="0"/>
        <w:spacing w:before="91" w:line="221" w:lineRule="auto"/>
        <w:jc w:val="center"/>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2"/>
          <w:sz w:val="28"/>
          <w:szCs w:val="28"/>
          <w:lang w:val="en-US" w:eastAsia="zh-CN"/>
          <w14:textOutline w14:w="1800" w14:cap="flat" w14:cmpd="sng">
            <w14:solidFill>
              <w14:srgbClr w14:val="000000"/>
            </w14:solidFill>
            <w14:prstDash w14:val="solid"/>
            <w14:miter w14:val="0"/>
          </w14:textOutline>
        </w:rPr>
        <w:t>供应商</w:t>
      </w:r>
      <w:r>
        <w:rPr>
          <w:rFonts w:hint="eastAsia" w:asciiTheme="minorEastAsia" w:hAnsiTheme="minorEastAsia" w:eastAsiaTheme="minorEastAsia" w:cstheme="minorEastAsia"/>
          <w:spacing w:val="-2"/>
          <w:sz w:val="28"/>
          <w:szCs w:val="28"/>
          <w14:textOutline w14:w="1800" w14:cap="flat" w14:cmpd="sng">
            <w14:solidFill>
              <w14:srgbClr w14:val="000000"/>
            </w14:solidFill>
            <w14:prstDash w14:val="solid"/>
            <w14:miter w14:val="0"/>
          </w14:textOutline>
        </w:rPr>
        <w:t>须知</w:t>
      </w:r>
    </w:p>
    <w:p w14:paraId="5C78943C">
      <w:pPr>
        <w:pStyle w:val="5"/>
        <w:keepNext w:val="0"/>
        <w:keepLines w:val="0"/>
        <w:pageBreakBefore w:val="0"/>
        <w:numPr>
          <w:ilvl w:val="0"/>
          <w:numId w:val="4"/>
        </w:numPr>
        <w:kinsoku/>
        <w:wordWrap w:val="0"/>
        <w:overflowPunct/>
        <w:topLinePunct w:val="0"/>
        <w:bidi w:val="0"/>
        <w:spacing w:before="268" w:line="360" w:lineRule="auto"/>
        <w:jc w:val="both"/>
        <w:rPr>
          <w:rFonts w:hint="eastAsia"/>
        </w:rPr>
      </w:pPr>
      <w:r>
        <w:rPr>
          <w:rFonts w:hint="eastAsia" w:asciiTheme="minorEastAsia" w:hAnsiTheme="minorEastAsia" w:eastAsiaTheme="minorEastAsia" w:cstheme="minorEastAsia"/>
          <w:spacing w:val="-10"/>
          <w:sz w:val="24"/>
          <w:szCs w:val="24"/>
          <w14:textOutline w14:w="1800" w14:cap="flat" w14:cmpd="sng">
            <w14:solidFill>
              <w14:srgbClr w14:val="000000"/>
            </w14:solidFill>
            <w14:prstDash w14:val="solid"/>
            <w14:miter w14:val="0"/>
          </w14:textOutline>
        </w:rPr>
        <w:t>说明</w:t>
      </w:r>
    </w:p>
    <w:p w14:paraId="3D1841D2">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.征集人</w:t>
      </w:r>
      <w:r>
        <w:rPr>
          <w:rFonts w:hint="eastAsia" w:asciiTheme="minorEastAsia" w:hAnsiTheme="minorEastAsia" w:eastAsiaTheme="minorEastAsia" w:cstheme="minorEastAsia"/>
          <w:b/>
          <w:bCs/>
          <w:spacing w:val="-1"/>
          <w:sz w:val="24"/>
          <w:szCs w:val="24"/>
        </w:rPr>
        <w:t>、采购代理机构、</w:t>
      </w:r>
      <w:r>
        <w:rPr>
          <w:rFonts w:hint="eastAsia" w:asciiTheme="minorEastAsia" w:hAnsiTheme="minorEastAsia" w:eastAsiaTheme="minorEastAsia" w:cstheme="minorEastAsia"/>
          <w:b/>
          <w:bCs/>
          <w:spacing w:val="-1"/>
          <w:sz w:val="24"/>
          <w:szCs w:val="24"/>
          <w:lang w:eastAsia="zh-CN"/>
        </w:rPr>
        <w:t>供应商</w:t>
      </w:r>
      <w:r>
        <w:rPr>
          <w:rFonts w:hint="eastAsia" w:asciiTheme="minorEastAsia" w:hAnsiTheme="minorEastAsia" w:eastAsiaTheme="minorEastAsia" w:cstheme="minorEastAsia"/>
          <w:b/>
          <w:bCs/>
          <w:spacing w:val="-1"/>
          <w:sz w:val="24"/>
          <w:szCs w:val="24"/>
        </w:rPr>
        <w:t>、联合体</w:t>
      </w:r>
    </w:p>
    <w:p w14:paraId="73B575B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w:t>
      </w:r>
      <w:r>
        <w:rPr>
          <w:rFonts w:hint="eastAsia" w:asciiTheme="minorEastAsia" w:hAnsiTheme="minorEastAsia" w:eastAsiaTheme="minorEastAsia" w:cstheme="minorEastAsia"/>
          <w:spacing w:val="2"/>
          <w:sz w:val="24"/>
          <w:szCs w:val="24"/>
          <w:lang w:val="en-US" w:eastAsia="zh-CN"/>
        </w:rPr>
        <w:t xml:space="preserve"> 征集人</w:t>
      </w:r>
      <w:r>
        <w:rPr>
          <w:rFonts w:hint="eastAsia" w:asciiTheme="minorEastAsia" w:hAnsiTheme="minorEastAsia" w:eastAsiaTheme="minorEastAsia" w:cstheme="minorEastAsia"/>
          <w:spacing w:val="2"/>
          <w:sz w:val="24"/>
          <w:szCs w:val="24"/>
        </w:rPr>
        <w:t>、采购代理机构：指依法进行政府采购的国家机关、事业单位、团体组织及其委托的采购代理机构。本项目</w:t>
      </w:r>
      <w:r>
        <w:rPr>
          <w:rFonts w:hint="eastAsia" w:asciiTheme="minorEastAsia" w:hAnsiTheme="minorEastAsia" w:eastAsiaTheme="minorEastAsia" w:cstheme="minorEastAsia"/>
          <w:spacing w:val="2"/>
          <w:sz w:val="24"/>
          <w:szCs w:val="24"/>
          <w:lang w:val="en-US" w:eastAsia="zh-CN"/>
        </w:rPr>
        <w:t>征集人</w:t>
      </w:r>
      <w:r>
        <w:rPr>
          <w:rFonts w:hint="eastAsia" w:asciiTheme="minorEastAsia" w:hAnsiTheme="minorEastAsia" w:eastAsiaTheme="minorEastAsia" w:cstheme="minorEastAsia"/>
          <w:spacing w:val="2"/>
          <w:sz w:val="24"/>
          <w:szCs w:val="24"/>
        </w:rPr>
        <w:t>、采购代理机构见第一章《</w:t>
      </w:r>
      <w:r>
        <w:rPr>
          <w:rFonts w:hint="eastAsia" w:asciiTheme="minorEastAsia" w:hAnsiTheme="minorEastAsia" w:eastAsiaTheme="minorEastAsia" w:cstheme="minorEastAsia"/>
          <w:spacing w:val="2"/>
          <w:sz w:val="24"/>
          <w:szCs w:val="24"/>
          <w:lang w:val="en-US" w:eastAsia="zh-CN"/>
        </w:rPr>
        <w:t>征集</w:t>
      </w:r>
      <w:r>
        <w:rPr>
          <w:rFonts w:hint="eastAsia" w:asciiTheme="minorEastAsia" w:hAnsiTheme="minorEastAsia" w:eastAsiaTheme="minorEastAsia" w:cstheme="minorEastAsia"/>
          <w:spacing w:val="2"/>
          <w:sz w:val="24"/>
          <w:szCs w:val="24"/>
          <w:lang w:eastAsia="zh-CN"/>
        </w:rPr>
        <w:t>公告</w:t>
      </w:r>
      <w:r>
        <w:rPr>
          <w:rFonts w:hint="eastAsia" w:asciiTheme="minorEastAsia" w:hAnsiTheme="minorEastAsia" w:eastAsiaTheme="minorEastAsia" w:cstheme="minorEastAsia"/>
          <w:spacing w:val="2"/>
          <w:sz w:val="24"/>
          <w:szCs w:val="24"/>
        </w:rPr>
        <w:t>》。</w:t>
      </w:r>
    </w:p>
    <w:p w14:paraId="127689A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供应商（也称</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rPr>
        <w:t>、申请人）：指向</w:t>
      </w:r>
      <w:r>
        <w:rPr>
          <w:rFonts w:hint="eastAsia" w:asciiTheme="minorEastAsia" w:hAnsiTheme="minorEastAsia" w:eastAsiaTheme="minorEastAsia" w:cstheme="minorEastAsia"/>
          <w:spacing w:val="2"/>
          <w:sz w:val="24"/>
          <w:szCs w:val="24"/>
          <w:lang w:eastAsia="zh-CN"/>
        </w:rPr>
        <w:t>征集人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14:paraId="5626FC9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联合体：指两个以上的自然人、法人或者其他组织组成一个联合体，以一个供应商的身份共同参加政府采购。</w:t>
      </w:r>
    </w:p>
    <w:p w14:paraId="59751C0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2</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资金来源、项目属性</w:t>
      </w:r>
    </w:p>
    <w:p w14:paraId="2061CDC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u w:val="none"/>
          <w:lang w:val="en-US" w:eastAsia="zh-CN"/>
        </w:rPr>
      </w:pPr>
      <w:r>
        <w:rPr>
          <w:rFonts w:hint="eastAsia" w:asciiTheme="minorEastAsia" w:hAnsiTheme="minorEastAsia" w:eastAsiaTheme="minorEastAsia" w:cstheme="minorEastAsia"/>
          <w:spacing w:val="7"/>
          <w:sz w:val="24"/>
          <w:szCs w:val="24"/>
        </w:rPr>
        <w:t>2.1</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资金来源为财政性资金</w:t>
      </w:r>
      <w:r>
        <w:rPr>
          <w:rFonts w:hint="eastAsia" w:asciiTheme="minorEastAsia" w:hAnsiTheme="minorEastAsia" w:eastAsiaTheme="minorEastAsia" w:cstheme="minorEastAsia"/>
          <w:spacing w:val="7"/>
          <w:sz w:val="24"/>
          <w:szCs w:val="24"/>
          <w:u w:val="single"/>
          <w:lang w:val="en-US" w:eastAsia="zh-CN"/>
        </w:rPr>
        <w:t xml:space="preserve"> 260 </w:t>
      </w:r>
      <w:r>
        <w:rPr>
          <w:rFonts w:hint="eastAsia" w:asciiTheme="minorEastAsia" w:hAnsiTheme="minorEastAsia" w:eastAsiaTheme="minorEastAsia" w:cstheme="minorEastAsia"/>
          <w:spacing w:val="7"/>
          <w:sz w:val="24"/>
          <w:szCs w:val="24"/>
          <w:u w:val="none"/>
          <w:lang w:val="en-US" w:eastAsia="zh-CN"/>
        </w:rPr>
        <w:t>万元</w:t>
      </w:r>
    </w:p>
    <w:p w14:paraId="3C1D0414">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08" w:firstLineChars="200"/>
        <w:jc w:val="both"/>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2.2</w:t>
      </w:r>
      <w:r>
        <w:rPr>
          <w:rFonts w:hint="eastAsia" w:asciiTheme="minorEastAsia" w:hAnsiTheme="minorEastAsia" w:eastAsiaTheme="minorEastAsia" w:cstheme="minorEastAsia"/>
          <w:spacing w:val="7"/>
          <w:sz w:val="24"/>
          <w:szCs w:val="24"/>
          <w:lang w:val="en-US" w:eastAsia="zh-CN"/>
        </w:rPr>
        <w:t xml:space="preserve"> </w:t>
      </w:r>
      <w:r>
        <w:rPr>
          <w:rFonts w:hint="eastAsia" w:asciiTheme="minorEastAsia" w:hAnsiTheme="minorEastAsia" w:eastAsiaTheme="minorEastAsia" w:cstheme="minorEastAsia"/>
          <w:spacing w:val="7"/>
          <w:sz w:val="24"/>
          <w:szCs w:val="24"/>
        </w:rPr>
        <w:t>项目属性见《</w:t>
      </w:r>
      <w:r>
        <w:rPr>
          <w:rFonts w:hint="eastAsia" w:asciiTheme="minorEastAsia" w:hAnsiTheme="minorEastAsia" w:eastAsiaTheme="minorEastAsia" w:cstheme="minorEastAsia"/>
          <w:spacing w:val="7"/>
          <w:sz w:val="24"/>
          <w:szCs w:val="24"/>
          <w:lang w:eastAsia="zh-CN"/>
        </w:rPr>
        <w:t>供应商须知表</w:t>
      </w:r>
      <w:r>
        <w:rPr>
          <w:rFonts w:hint="eastAsia" w:asciiTheme="minorEastAsia" w:hAnsiTheme="minorEastAsia" w:eastAsiaTheme="minorEastAsia" w:cstheme="minorEastAsia"/>
          <w:spacing w:val="7"/>
          <w:sz w:val="24"/>
          <w:szCs w:val="24"/>
        </w:rPr>
        <w:t>》。</w:t>
      </w:r>
    </w:p>
    <w:p w14:paraId="4CB6052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14:paraId="695552E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w:t>
      </w:r>
      <w:r>
        <w:rPr>
          <w:rFonts w:hint="eastAsia" w:asciiTheme="minorEastAsia" w:hAnsiTheme="minorEastAsia" w:eastAsiaTheme="minorEastAsia" w:cstheme="minorEastAsia"/>
          <w:spacing w:val="3"/>
          <w:sz w:val="24"/>
          <w:szCs w:val="24"/>
          <w:lang w:val="en-US" w:eastAsia="zh-CN"/>
        </w:rPr>
        <w:t xml:space="preserve"> </w:t>
      </w:r>
      <w:r>
        <w:rPr>
          <w:rFonts w:hint="eastAsia" w:asciiTheme="minorEastAsia" w:hAnsiTheme="minorEastAsia" w:eastAsiaTheme="minorEastAsia" w:cstheme="minorEastAsia"/>
          <w:spacing w:val="3"/>
          <w:sz w:val="24"/>
          <w:szCs w:val="24"/>
        </w:rPr>
        <w:t>若《</w:t>
      </w:r>
      <w:r>
        <w:rPr>
          <w:rFonts w:hint="eastAsia" w:asciiTheme="minorEastAsia" w:hAnsiTheme="minorEastAsia" w:eastAsiaTheme="minorEastAsia" w:cstheme="minorEastAsia"/>
          <w:spacing w:val="3"/>
          <w:sz w:val="24"/>
          <w:szCs w:val="24"/>
          <w:lang w:eastAsia="zh-CN"/>
        </w:rPr>
        <w:t>供应商须知表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织现场考察、召开开标前答疑会，则</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3"/>
          <w:sz w:val="24"/>
          <w:szCs w:val="24"/>
        </w:rPr>
        <w:t>应按要求在规定的时间和地点参加。</w:t>
      </w:r>
    </w:p>
    <w:p w14:paraId="0B09EEF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8" w:firstLineChars="200"/>
        <w:jc w:val="both"/>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由于未参加现场考察或开标前答疑会而导致对项目实际情况不了解，影响</w:t>
      </w:r>
      <w:r>
        <w:rPr>
          <w:rFonts w:hint="eastAsia" w:asciiTheme="minorEastAsia" w:hAnsiTheme="minorEastAsia" w:eastAsiaTheme="minorEastAsia" w:cstheme="minorEastAsia"/>
          <w:spacing w:val="2"/>
          <w:sz w:val="24"/>
          <w:szCs w:val="24"/>
          <w:lang w:eastAsia="zh-CN"/>
        </w:rPr>
        <w:t>响应文件</w:t>
      </w:r>
      <w:r>
        <w:rPr>
          <w:rFonts w:hint="eastAsia" w:asciiTheme="minorEastAsia" w:hAnsiTheme="minorEastAsia" w:eastAsiaTheme="minorEastAsia" w:cstheme="minorEastAsia"/>
          <w:spacing w:val="2"/>
          <w:sz w:val="24"/>
          <w:szCs w:val="24"/>
        </w:rPr>
        <w:t>编制、</w:t>
      </w: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eastAsia="zh-CN"/>
        </w:rPr>
        <w:t>供应商</w:t>
      </w:r>
      <w:r>
        <w:rPr>
          <w:rFonts w:hint="eastAsia" w:asciiTheme="minorEastAsia" w:hAnsiTheme="minorEastAsia" w:eastAsiaTheme="minorEastAsia" w:cstheme="minorEastAsia"/>
          <w:spacing w:val="2"/>
          <w:sz w:val="24"/>
          <w:szCs w:val="24"/>
        </w:rPr>
        <w:t>自行承担不利评审后果。</w:t>
      </w:r>
    </w:p>
    <w:p w14:paraId="5E4EA16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8"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14:paraId="779CB7F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采购本国货物、工程和服务</w:t>
      </w:r>
    </w:p>
    <w:p w14:paraId="77696AF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6" w:firstLineChars="200"/>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政府采购应当采购本国货物、工程和服务。但有《中华人民共和国政府采购法》第十条规定情形的除外。</w:t>
      </w:r>
    </w:p>
    <w:p w14:paraId="5C06A0E7">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本项目如接受非本国货</w:t>
      </w:r>
      <w:r>
        <w:rPr>
          <w:rFonts w:hint="eastAsia" w:asciiTheme="minorEastAsia" w:hAnsiTheme="minorEastAsia" w:eastAsiaTheme="minorEastAsia" w:cstheme="minorEastAsia"/>
          <w:spacing w:val="-5"/>
          <w:sz w:val="24"/>
          <w:szCs w:val="24"/>
        </w:rPr>
        <w:t>物、工程、服务参与投标，则具体要求见第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14:paraId="75AAC76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w:t>
      </w:r>
      <w:r>
        <w:rPr>
          <w:rFonts w:hint="eastAsia" w:asciiTheme="minorEastAsia" w:hAnsiTheme="minorEastAsia" w:eastAsiaTheme="minorEastAsia" w:cstheme="minorEastAsia"/>
          <w:spacing w:val="1"/>
          <w:sz w:val="24"/>
          <w:szCs w:val="24"/>
          <w:lang w:val="en-US" w:eastAsia="zh-CN"/>
        </w:rPr>
        <w:t xml:space="preserve"> </w:t>
      </w:r>
      <w:r>
        <w:rPr>
          <w:rFonts w:hint="eastAsia" w:asciiTheme="minorEastAsia" w:hAnsiTheme="minorEastAsia" w:eastAsiaTheme="minorEastAsia" w:cstheme="minorEastAsia"/>
          <w:spacing w:val="1"/>
          <w:sz w:val="24"/>
          <w:szCs w:val="24"/>
        </w:rPr>
        <w:t>中小企业、监狱企业及残疾人福利性单位</w:t>
      </w:r>
    </w:p>
    <w:p w14:paraId="57FB469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w:t>
      </w:r>
      <w:r>
        <w:rPr>
          <w:rFonts w:hint="eastAsia" w:asciiTheme="minorEastAsia" w:hAnsiTheme="minorEastAsia" w:eastAsiaTheme="minorEastAsia" w:cstheme="minorEastAsia"/>
          <w:spacing w:val="-2"/>
          <w:sz w:val="24"/>
          <w:szCs w:val="24"/>
          <w:lang w:val="en-US" w:eastAsia="zh-CN"/>
        </w:rPr>
        <w:t xml:space="preserve"> </w:t>
      </w:r>
      <w:r>
        <w:rPr>
          <w:rFonts w:hint="eastAsia" w:asciiTheme="minorEastAsia" w:hAnsiTheme="minorEastAsia" w:eastAsiaTheme="minorEastAsia" w:cstheme="minorEastAsia"/>
          <w:spacing w:val="-2"/>
          <w:sz w:val="24"/>
          <w:szCs w:val="24"/>
        </w:rPr>
        <w:t>中小企业定义：</w:t>
      </w:r>
    </w:p>
    <w:p w14:paraId="61F65468">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号）、《政府采购促进中小企业发展管理办法》（财库〔2020〕46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14:paraId="49992BEE">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14:paraId="729BC81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w:t>
      </w:r>
      <w:r>
        <w:rPr>
          <w:rFonts w:hint="eastAsia" w:asciiTheme="minorEastAsia" w:hAnsiTheme="minorEastAsia" w:eastAsiaTheme="minorEastAsia" w:cstheme="minorEastAsia"/>
          <w:spacing w:val="-4"/>
          <w:sz w:val="24"/>
          <w:szCs w:val="24"/>
          <w:lang w:val="en-US" w:eastAsia="zh-CN"/>
        </w:rPr>
        <w:t>1</w:t>
      </w:r>
      <w:r>
        <w:rPr>
          <w:rFonts w:hint="eastAsia" w:asciiTheme="minorEastAsia" w:hAnsiTheme="minorEastAsia" w:eastAsiaTheme="minorEastAsia" w:cstheme="minorEastAsia"/>
          <w:spacing w:val="-4"/>
          <w:sz w:val="24"/>
          <w:szCs w:val="24"/>
        </w:rPr>
        <w:t>）在服务采购项目中，服务由中小企业承接，即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14:paraId="0A1EDC9F">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w:t>
      </w:r>
      <w:r>
        <w:rPr>
          <w:rFonts w:hint="eastAsia" w:asciiTheme="minorEastAsia" w:hAnsiTheme="minorEastAsia" w:eastAsiaTheme="minorEastAsia" w:cstheme="minorEastAsia"/>
          <w:spacing w:val="-4"/>
          <w:sz w:val="24"/>
          <w:szCs w:val="24"/>
          <w:lang w:val="en-US" w:eastAsia="zh-CN"/>
        </w:rPr>
        <w:t xml:space="preserve"> </w:t>
      </w:r>
      <w:r>
        <w:rPr>
          <w:rFonts w:hint="eastAsia" w:asciiTheme="minorEastAsia" w:hAnsiTheme="minorEastAsia" w:eastAsiaTheme="minorEastAsia" w:cstheme="minorEastAsia"/>
          <w:spacing w:val="-4"/>
          <w:sz w:val="24"/>
          <w:szCs w:val="24"/>
        </w:rPr>
        <w:t>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14:paraId="2848BD5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14:paraId="264FB11C">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HYPERLINK"5.2.3.1"</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安置的残疾人占本单位在职职工人数的比例不低于25%（含25%），并且安置的残疾人人数不少于10人（含10人）；</w:t>
      </w:r>
    </w:p>
    <w:p w14:paraId="4F80E49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HYPERLINK"5.2.3.2"</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依法与安置的每位残疾人签订了一年以上（含一年）的劳动合同或服务协议；</w:t>
      </w:r>
    </w:p>
    <w:p w14:paraId="64A01B03">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HYPERLINK"5.2.3.3"</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14:paraId="0308818D">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HYPERLINK"5.2.3.4"</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通过银行等金融机构向安置的每位残疾人，按月支付了不低于单位所在区县的月最低工资标准的工资；</w:t>
      </w:r>
    </w:p>
    <w:p w14:paraId="7FA193FB">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HYPERLINK"5.2.3.5"</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14:paraId="2FD3A542">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HYPERLINK"5.2.3.6"</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488625C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征集</w:t>
      </w:r>
      <w:r>
        <w:rPr>
          <w:rFonts w:hint="eastAsia" w:asciiTheme="minorEastAsia" w:hAnsiTheme="minorEastAsia" w:eastAsiaTheme="minorEastAsia" w:cstheme="minorEastAsia"/>
          <w:spacing w:val="-8"/>
          <w:sz w:val="24"/>
          <w:szCs w:val="24"/>
          <w:lang w:eastAsia="zh-CN"/>
        </w:rPr>
        <w:t>公告</w:t>
      </w:r>
      <w:r>
        <w:rPr>
          <w:rFonts w:hint="eastAsia" w:asciiTheme="minorEastAsia" w:hAnsiTheme="minorEastAsia" w:eastAsiaTheme="minorEastAsia" w:cstheme="minorEastAsia"/>
          <w:spacing w:val="-8"/>
          <w:sz w:val="24"/>
          <w:szCs w:val="24"/>
        </w:rPr>
        <w:t>》。</w:t>
      </w:r>
    </w:p>
    <w:p w14:paraId="7F9DC2E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采购标的对应的中小企业划分标准所属行业见《</w:t>
      </w:r>
      <w:r>
        <w:rPr>
          <w:rFonts w:hint="eastAsia" w:asciiTheme="minorEastAsia" w:hAnsiTheme="minorEastAsia" w:eastAsiaTheme="minorEastAsia" w:cstheme="minorEastAsia"/>
          <w:spacing w:val="-8"/>
          <w:sz w:val="24"/>
          <w:szCs w:val="24"/>
          <w:lang w:eastAsia="zh-CN"/>
        </w:rPr>
        <w:t>供应商须知表</w:t>
      </w:r>
      <w:r>
        <w:rPr>
          <w:rFonts w:hint="eastAsia" w:asciiTheme="minorEastAsia" w:hAnsiTheme="minorEastAsia" w:eastAsiaTheme="minorEastAsia" w:cstheme="minorEastAsia"/>
          <w:spacing w:val="-8"/>
          <w:sz w:val="24"/>
          <w:szCs w:val="24"/>
        </w:rPr>
        <w:t>》。</w:t>
      </w:r>
    </w:p>
    <w:p w14:paraId="3B230C8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w:t>
      </w:r>
      <w:r>
        <w:rPr>
          <w:rFonts w:hint="eastAsia" w:asciiTheme="minorEastAsia" w:hAnsiTheme="minorEastAsia" w:eastAsiaTheme="minorEastAsia" w:cstheme="minorEastAsia"/>
          <w:spacing w:val="-8"/>
          <w:sz w:val="24"/>
          <w:szCs w:val="24"/>
          <w:lang w:val="en-US" w:eastAsia="zh-CN"/>
        </w:rPr>
        <w:t xml:space="preserve"> </w:t>
      </w:r>
      <w:r>
        <w:rPr>
          <w:rFonts w:hint="eastAsia" w:asciiTheme="minorEastAsia" w:hAnsiTheme="minorEastAsia" w:eastAsiaTheme="minorEastAsia" w:cstheme="minorEastAsia"/>
          <w:spacing w:val="-8"/>
          <w:sz w:val="24"/>
          <w:szCs w:val="24"/>
        </w:rPr>
        <w:t>小微企业价格评审优惠的政策调整：见第四章《</w:t>
      </w:r>
      <w:r>
        <w:rPr>
          <w:rFonts w:hint="eastAsia" w:asciiTheme="minorEastAsia" w:hAnsiTheme="minorEastAsia" w:eastAsiaTheme="minorEastAsia" w:cstheme="minorEastAsia"/>
          <w:spacing w:val="-8"/>
          <w:sz w:val="24"/>
          <w:szCs w:val="24"/>
          <w:lang w:val="en-US" w:eastAsia="zh-CN"/>
        </w:rPr>
        <w:t>开、</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程序、</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方法和</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标准》。</w:t>
      </w:r>
    </w:p>
    <w:p w14:paraId="056912F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8"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 xml:space="preserve">3 </w:t>
      </w:r>
      <w:r>
        <w:rPr>
          <w:rFonts w:hint="eastAsia" w:asciiTheme="minorEastAsia" w:hAnsiTheme="minorEastAsia" w:eastAsiaTheme="minorEastAsia" w:cstheme="minorEastAsia"/>
          <w:spacing w:val="2"/>
          <w:sz w:val="24"/>
          <w:szCs w:val="24"/>
        </w:rPr>
        <w:t>采购需求标准</w:t>
      </w:r>
    </w:p>
    <w:p w14:paraId="2908CE30">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 xml:space="preserve"> </w:t>
      </w:r>
      <w:r>
        <w:rPr>
          <w:rFonts w:hint="eastAsia" w:asciiTheme="minorEastAsia" w:hAnsiTheme="minorEastAsia" w:eastAsiaTheme="minorEastAsia" w:cstheme="minorEastAsia"/>
          <w:spacing w:val="-12"/>
          <w:sz w:val="24"/>
          <w:szCs w:val="24"/>
        </w:rPr>
        <w:t>绿色数据中心政府采购需求标准（试行）</w:t>
      </w:r>
    </w:p>
    <w:p w14:paraId="3225337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32" w:firstLineChars="200"/>
        <w:jc w:val="both"/>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14:paraId="4004ED76">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7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2"/>
          <w:sz w:val="24"/>
          <w:szCs w:val="24"/>
          <w:lang w:val="en-US" w:eastAsia="zh-CN"/>
        </w:rPr>
        <w:t>5.投标</w:t>
      </w:r>
      <w:r>
        <w:rPr>
          <w:rFonts w:hint="eastAsia" w:asciiTheme="minorEastAsia" w:hAnsiTheme="minorEastAsia" w:eastAsiaTheme="minorEastAsia" w:cstheme="minorEastAsia"/>
          <w:b/>
          <w:bCs/>
          <w:spacing w:val="-2"/>
          <w:sz w:val="24"/>
          <w:szCs w:val="24"/>
        </w:rPr>
        <w:t>费用</w:t>
      </w:r>
    </w:p>
    <w:p w14:paraId="09D233C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rPr>
        <w:t>应自行承担所有与准备和</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招标</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lang w:eastAsia="zh-CN"/>
        </w:rPr>
        <w:t>征集人</w:t>
      </w:r>
      <w:r>
        <w:rPr>
          <w:rFonts w:hint="eastAsia" w:asciiTheme="minorEastAsia" w:hAnsiTheme="minorEastAsia" w:eastAsiaTheme="minorEastAsia" w:cstheme="minorEastAsia"/>
          <w:spacing w:val="-1"/>
          <w:sz w:val="24"/>
          <w:szCs w:val="24"/>
        </w:rPr>
        <w:t>或采购代理机构在任何情况下均无承担</w:t>
      </w:r>
      <w:r>
        <w:rPr>
          <w:rFonts w:hint="eastAsia" w:asciiTheme="minorEastAsia" w:hAnsiTheme="minorEastAsia" w:eastAsiaTheme="minorEastAsia" w:cstheme="minorEastAsia"/>
          <w:spacing w:val="-2"/>
          <w:sz w:val="24"/>
          <w:szCs w:val="24"/>
        </w:rPr>
        <w:t>这些费用的义务和责任。</w:t>
      </w:r>
    </w:p>
    <w:p w14:paraId="02086B94">
      <w:pPr>
        <w:keepNext w:val="0"/>
        <w:keepLines w:val="0"/>
        <w:pageBreakBefore w:val="0"/>
        <w:kinsoku/>
        <w:wordWrap w:val="0"/>
        <w:overflowPunct/>
        <w:topLinePunct w:val="0"/>
        <w:bidi w:val="0"/>
        <w:spacing w:line="360" w:lineRule="auto"/>
        <w:ind w:firstLine="466" w:firstLineChars="200"/>
        <w:jc w:val="both"/>
        <w:rPr>
          <w:rFonts w:hint="eastAsia" w:asciiTheme="minorEastAsia" w:hAnsiTheme="minorEastAsia" w:eastAsiaTheme="minorEastAsia" w:cstheme="minorEastAsia"/>
          <w:b/>
          <w:bCs/>
          <w:snapToGrid w:val="0"/>
          <w:color w:val="auto"/>
          <w:spacing w:val="-4"/>
          <w:kern w:val="0"/>
          <w:sz w:val="24"/>
          <w:szCs w:val="24"/>
          <w:lang w:val="en-US" w:eastAsia="zh-CN" w:bidi="ar-SA"/>
        </w:rPr>
      </w:pPr>
      <w:r>
        <w:rPr>
          <w:rFonts w:hint="eastAsia" w:asciiTheme="minorEastAsia" w:hAnsiTheme="minorEastAsia" w:eastAsiaTheme="minorEastAsia" w:cstheme="minorEastAsia"/>
          <w:b/>
          <w:bCs/>
          <w:snapToGrid w:val="0"/>
          <w:color w:val="auto"/>
          <w:spacing w:val="-4"/>
          <w:kern w:val="0"/>
          <w:sz w:val="24"/>
          <w:szCs w:val="24"/>
          <w:lang w:val="en-US" w:eastAsia="zh-CN" w:bidi="ar-SA"/>
        </w:rPr>
        <w:t>6.采购范围及适用法律</w:t>
      </w:r>
    </w:p>
    <w:p w14:paraId="5EEC2C4A">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6.1 本项目适用的法律、法规为《中华人民共和国政府采购法》《中华人民共和国政府采购法实施条例》《政府采购框架协议采购方式管理暂行办法》《政府采购货物和服务招标投标管理办法》《中华人民共和国民法典》以及其他相关政府采购法律法规。</w:t>
      </w:r>
    </w:p>
    <w:p w14:paraId="68A78969">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6.2 “监督管理部门”是指</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南阳市财政局     </w:t>
      </w:r>
      <w:r>
        <w:rPr>
          <w:rFonts w:hint="eastAsia" w:asciiTheme="minorEastAsia" w:hAnsiTheme="minorEastAsia" w:eastAsiaTheme="minorEastAsia" w:cstheme="minorEastAsia"/>
          <w:snapToGrid w:val="0"/>
          <w:color w:val="000000"/>
          <w:spacing w:val="-2"/>
          <w:kern w:val="0"/>
          <w:sz w:val="24"/>
          <w:szCs w:val="24"/>
          <w:lang w:val="en-US" w:eastAsia="zh-CN" w:bidi="ar-SA"/>
        </w:rPr>
        <w:t>。</w:t>
      </w:r>
    </w:p>
    <w:p w14:paraId="21187EF5">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6.3“服务”指征集文件规定供应商应承担的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预算绩效管理综合 </w:t>
      </w:r>
      <w:r>
        <w:rPr>
          <w:rFonts w:hint="eastAsia" w:asciiTheme="minorEastAsia" w:hAnsiTheme="minorEastAsia" w:eastAsiaTheme="minorEastAsia" w:cstheme="minorEastAsia"/>
          <w:snapToGrid w:val="0"/>
          <w:color w:val="000000"/>
          <w:spacing w:val="-4"/>
          <w:kern w:val="0"/>
          <w:sz w:val="24"/>
          <w:szCs w:val="24"/>
          <w:lang w:val="en-US" w:eastAsia="zh-CN" w:bidi="ar-SA"/>
        </w:rPr>
        <w:t>服务。</w:t>
      </w:r>
    </w:p>
    <w:p w14:paraId="51C889FC">
      <w:pPr>
        <w:pStyle w:val="5"/>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pPr>
    </w:p>
    <w:p w14:paraId="69EF3465">
      <w:pPr>
        <w:pStyle w:val="5"/>
        <w:keepNext w:val="0"/>
        <w:keepLines w:val="0"/>
        <w:pageBreakBefore w:val="0"/>
        <w:kinsoku/>
        <w:wordWrap w:val="0"/>
        <w:overflowPunct/>
        <w:topLinePunct w:val="0"/>
        <w:bidi w:val="0"/>
        <w:spacing w:before="92" w:line="360" w:lineRule="auto"/>
        <w:jc w:val="left"/>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5"/>
          <w:sz w:val="28"/>
          <w:szCs w:val="28"/>
          <w:lang w:val="en-US" w:eastAsia="zh-CN"/>
          <w14:textOutline w14:w="1800" w14:cap="flat" w14:cmpd="sng">
            <w14:solidFill>
              <w14:srgbClr w14:val="000000"/>
            </w14:solidFill>
            <w14:prstDash w14:val="solid"/>
            <w14:miter w14:val="0"/>
          </w14:textOutline>
        </w:rPr>
        <w:t>征集</w:t>
      </w:r>
      <w:r>
        <w:rPr>
          <w:rFonts w:hint="eastAsia" w:asciiTheme="minorEastAsia" w:hAnsiTheme="minorEastAsia" w:eastAsiaTheme="minorEastAsia" w:cstheme="minorEastAsia"/>
          <w:spacing w:val="-5"/>
          <w:sz w:val="28"/>
          <w:szCs w:val="28"/>
          <w14:textOutline w14:w="1800" w14:cap="flat" w14:cmpd="sng">
            <w14:solidFill>
              <w14:srgbClr w14:val="000000"/>
            </w14:solidFill>
            <w14:prstDash w14:val="solid"/>
            <w14:miter w14:val="0"/>
          </w14:textOutline>
        </w:rPr>
        <w:t>文件</w:t>
      </w:r>
    </w:p>
    <w:p w14:paraId="2FAB54E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74" w:firstLineChars="200"/>
        <w:jc w:val="both"/>
        <w:textAlignment w:val="baseline"/>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7.征集文件构成</w:t>
      </w:r>
    </w:p>
    <w:p w14:paraId="553E916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7.1 征集文件包括以下部分：</w:t>
      </w:r>
    </w:p>
    <w:p w14:paraId="0E47C1B1">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第一章 征集公告</w:t>
      </w:r>
    </w:p>
    <w:p w14:paraId="25AF3180">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第二章 采购需求</w:t>
      </w:r>
    </w:p>
    <w:p w14:paraId="5DDBA7CB">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第三章 供应商须知</w:t>
      </w:r>
    </w:p>
    <w:p w14:paraId="68ED5D72">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第四章 开、评审程序、评审方法和评审标准</w:t>
      </w:r>
    </w:p>
    <w:p w14:paraId="4EBC70E6">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第五章 政府采购框架协议文本和采购合同文本（草案）</w:t>
      </w:r>
    </w:p>
    <w:p w14:paraId="43BE5689">
      <w:pPr>
        <w:keepNext w:val="0"/>
        <w:keepLines w:val="0"/>
        <w:pageBreakBefore w:val="0"/>
        <w:widowControl/>
        <w:kinsoku/>
        <w:wordWrap w:val="0"/>
        <w:overflowPunct/>
        <w:topLinePunct w:val="0"/>
        <w:autoSpaceDE w:val="0"/>
        <w:autoSpaceDN w:val="0"/>
        <w:bidi w:val="0"/>
        <w:adjustRightInd w:val="0"/>
        <w:snapToGrid w:val="0"/>
        <w:spacing w:line="360" w:lineRule="auto"/>
        <w:ind w:left="0" w:firstLine="472" w:firstLineChars="200"/>
        <w:jc w:val="both"/>
        <w:textAlignment w:val="baseline"/>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第六章 响应文件格式</w:t>
      </w:r>
    </w:p>
    <w:p w14:paraId="1C55B66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7.2 供应商应认真阅读</w:t>
      </w:r>
      <w:r>
        <w:rPr>
          <w:rFonts w:hint="eastAsia" w:asciiTheme="minorEastAsia" w:hAnsiTheme="minorEastAsia" w:eastAsiaTheme="minorEastAsia" w:cstheme="minorEastAsia"/>
          <w:snapToGrid w:val="0"/>
          <w:color w:val="000000"/>
          <w:spacing w:val="-2"/>
          <w:kern w:val="0"/>
          <w:sz w:val="24"/>
          <w:szCs w:val="24"/>
          <w:lang w:val="en-US" w:eastAsia="zh-CN" w:bidi="ar-SA"/>
        </w:rPr>
        <w:t>征集</w:t>
      </w:r>
      <w:r>
        <w:rPr>
          <w:rFonts w:hint="eastAsia" w:asciiTheme="minorEastAsia" w:hAnsiTheme="minorEastAsia" w:eastAsiaTheme="minorEastAsia" w:cstheme="minorEastAsia"/>
          <w:spacing w:val="-8"/>
          <w:sz w:val="24"/>
          <w:szCs w:val="24"/>
          <w:lang w:val="en-US" w:eastAsia="zh-CN"/>
        </w:rPr>
        <w:t>文件的全部内容。供应商应按照</w:t>
      </w:r>
      <w:r>
        <w:rPr>
          <w:rFonts w:hint="eastAsia" w:asciiTheme="minorEastAsia" w:hAnsiTheme="minorEastAsia" w:eastAsiaTheme="minorEastAsia" w:cstheme="minorEastAsia"/>
          <w:snapToGrid w:val="0"/>
          <w:color w:val="000000"/>
          <w:spacing w:val="-2"/>
          <w:kern w:val="0"/>
          <w:sz w:val="24"/>
          <w:szCs w:val="24"/>
          <w:lang w:val="en-US" w:eastAsia="zh-CN" w:bidi="ar-SA"/>
        </w:rPr>
        <w:t>征集</w:t>
      </w:r>
      <w:r>
        <w:rPr>
          <w:rFonts w:hint="eastAsia" w:asciiTheme="minorEastAsia" w:hAnsiTheme="minorEastAsia" w:eastAsiaTheme="minorEastAsia" w:cstheme="minorEastAsia"/>
          <w:spacing w:val="-8"/>
          <w:sz w:val="24"/>
          <w:szCs w:val="24"/>
          <w:lang w:val="en-US" w:eastAsia="zh-CN"/>
        </w:rPr>
        <w:t>文件要求提交响应文件并保证所提供的全部资料的真实性，并对征集文件做出实质性响应，否则响应无效。</w:t>
      </w:r>
    </w:p>
    <w:p w14:paraId="6F91C85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50"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8.对征集文件的澄清或修改</w:t>
      </w:r>
    </w:p>
    <w:p w14:paraId="0D750BF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8.1 征集人或采购代理机构对已发出的征集文件进行必要澄清或者修改的，将在原公告发布媒体上发布更正公告，不得改变采购标的和资格条件。</w:t>
      </w:r>
    </w:p>
    <w:p w14:paraId="3C59171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48" w:firstLineChars="200"/>
        <w:jc w:val="both"/>
        <w:textAlignment w:val="baseline"/>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8.2 澄清或者修改的内容为</w:t>
      </w:r>
      <w:r>
        <w:rPr>
          <w:rFonts w:hint="eastAsia" w:asciiTheme="minorEastAsia" w:hAnsiTheme="minorEastAsia" w:eastAsiaTheme="minorEastAsia" w:cstheme="minorEastAsia"/>
          <w:snapToGrid w:val="0"/>
          <w:color w:val="000000"/>
          <w:spacing w:val="-2"/>
          <w:kern w:val="0"/>
          <w:sz w:val="24"/>
          <w:szCs w:val="24"/>
          <w:lang w:val="en-US" w:eastAsia="zh-CN" w:bidi="ar-SA"/>
        </w:rPr>
        <w:t>征集</w:t>
      </w:r>
      <w:r>
        <w:rPr>
          <w:rFonts w:hint="eastAsia" w:asciiTheme="minorEastAsia" w:hAnsiTheme="minorEastAsia" w:eastAsiaTheme="minorEastAsia" w:cstheme="minorEastAsia"/>
          <w:spacing w:val="-8"/>
          <w:sz w:val="24"/>
          <w:szCs w:val="24"/>
          <w:lang w:val="en-US" w:eastAsia="zh-CN"/>
        </w:rPr>
        <w:t>文件的组成部分，并对所有获取征集文件的潜在供应商具有约束力。澄清或者修改的内容可能影响响应文件编制的，将在响应截止时间至少15日前，以书面形式（必须在原公告发布媒体上发布公告）通知所有获取征集文件的潜在供应商；不足15日的，将顺延提交响应文件的截止时间和开标时间。</w:t>
      </w:r>
    </w:p>
    <w:p w14:paraId="791EB9F2">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eastAsia"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8.3 政府采购项目实行网上受理，开标前所有信息保密。因此，发布的一切公告信息（包括征集公告、更正公告、澄清公告、延期公告等）均在“河南省政府采购网”“</w:t>
      </w:r>
      <w:r>
        <w:rPr>
          <w:rFonts w:hint="eastAsia" w:asciiTheme="minorEastAsia" w:hAnsiTheme="minorEastAsia" w:eastAsiaTheme="minorEastAsia" w:cstheme="minorEastAsia"/>
          <w:b/>
          <w:bCs/>
          <w:snapToGrid w:val="0"/>
          <w:color w:val="000000"/>
          <w:spacing w:val="-8"/>
          <w:kern w:val="0"/>
          <w:sz w:val="24"/>
          <w:szCs w:val="24"/>
          <w:lang w:val="en-US" w:eastAsia="zh-CN" w:bidi="ar-SA"/>
        </w:rPr>
        <w:t>全国公共资源交易平台(河南省·南阳市)</w:t>
      </w:r>
      <w:r>
        <w:rPr>
          <w:rFonts w:hint="eastAsia" w:asciiTheme="minorEastAsia" w:hAnsiTheme="minorEastAsia" w:eastAsiaTheme="minorEastAsia" w:cstheme="minorEastAsia"/>
          <w:b/>
          <w:bCs/>
          <w:spacing w:val="-8"/>
          <w:sz w:val="24"/>
          <w:szCs w:val="24"/>
          <w:lang w:val="en-US" w:eastAsia="zh-CN"/>
        </w:rPr>
        <w:t>”发布，请潜在供应商随时查询有关公告信息。若因潜在供应商没有及时查看到公告信息而造成的投标失误，责任自负。</w:t>
      </w:r>
    </w:p>
    <w:p w14:paraId="6DCAA4D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50" w:firstLineChars="200"/>
        <w:jc w:val="both"/>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8.4 供应商应关注是否有发布最新的澄清更正公告和更正的最新征集文件（电子答疑文件），如有则需下载最新的征集文件，并在此基础上制作最新的征集文件并上传。</w:t>
      </w:r>
    </w:p>
    <w:p w14:paraId="7EA4A693">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pPr>
    </w:p>
    <w:p w14:paraId="68BFFF4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8"/>
          <w:szCs w:val="28"/>
          <w:lang w:eastAsia="zh-CN"/>
        </w:rPr>
        <w:t>、</w:t>
      </w:r>
      <w:r>
        <w:rPr>
          <w:rFonts w:hint="eastAsia" w:asciiTheme="minorEastAsia" w:hAnsiTheme="minorEastAsia" w:eastAsiaTheme="minorEastAsia" w:cstheme="minorEastAsia"/>
          <w:spacing w:val="-1"/>
          <w:sz w:val="28"/>
          <w:szCs w:val="28"/>
          <w:lang w:val="en-US" w:eastAsia="zh-CN"/>
          <w14:textOutline w14:w="1800" w14:cap="flat" w14:cmpd="sng">
            <w14:solidFill>
              <w14:srgbClr w14:val="000000"/>
            </w14:solidFill>
            <w14:prstDash w14:val="solid"/>
            <w14:miter w14:val="0"/>
          </w14:textOutline>
        </w:rPr>
        <w:t>响应</w:t>
      </w:r>
      <w:r>
        <w:rPr>
          <w:rFonts w:hint="eastAsia" w:asciiTheme="minorEastAsia" w:hAnsiTheme="minorEastAsia" w:eastAsiaTheme="minorEastAsia" w:cstheme="minorEastAsia"/>
          <w:spacing w:val="-1"/>
          <w:sz w:val="28"/>
          <w:szCs w:val="28"/>
          <w14:textOutline w14:w="1800" w14:cap="flat" w14:cmpd="sng">
            <w14:solidFill>
              <w14:srgbClr w14:val="000000"/>
            </w14:solidFill>
            <w14:prstDash w14:val="solid"/>
            <w14:miter w14:val="0"/>
          </w14:textOutline>
        </w:rPr>
        <w:t>文件的编制</w:t>
      </w:r>
    </w:p>
    <w:p w14:paraId="3B83201C">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9</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范围、</w:t>
      </w:r>
      <w:r>
        <w:rPr>
          <w:rFonts w:hint="eastAsia" w:asciiTheme="minorEastAsia" w:hAnsiTheme="minorEastAsia" w:eastAsiaTheme="minorEastAsia" w:cstheme="minorEastAsia"/>
          <w:b/>
          <w:bCs/>
          <w:sz w:val="24"/>
          <w:szCs w:val="24"/>
          <w:lang w:eastAsia="zh-CN"/>
        </w:rPr>
        <w:t>响应文件</w:t>
      </w:r>
      <w:r>
        <w:rPr>
          <w:rFonts w:hint="eastAsia" w:asciiTheme="minorEastAsia" w:hAnsiTheme="minorEastAsia" w:eastAsiaTheme="minorEastAsia" w:cstheme="minorEastAsia"/>
          <w:b/>
          <w:bCs/>
          <w:sz w:val="24"/>
          <w:szCs w:val="24"/>
        </w:rPr>
        <w:t>中计量单位的使用及</w:t>
      </w:r>
      <w:r>
        <w:rPr>
          <w:rFonts w:hint="eastAsia" w:asciiTheme="minorEastAsia" w:hAnsiTheme="minorEastAsia" w:eastAsiaTheme="minorEastAsia" w:cstheme="minorEastAsia"/>
          <w:b/>
          <w:bCs/>
          <w:sz w:val="24"/>
          <w:szCs w:val="24"/>
          <w:lang w:eastAsia="zh-CN"/>
        </w:rPr>
        <w:t>响应</w:t>
      </w:r>
      <w:r>
        <w:rPr>
          <w:rFonts w:hint="eastAsia" w:asciiTheme="minorEastAsia" w:hAnsiTheme="minorEastAsia" w:eastAsiaTheme="minorEastAsia" w:cstheme="minorEastAsia"/>
          <w:b/>
          <w:bCs/>
          <w:sz w:val="24"/>
          <w:szCs w:val="24"/>
        </w:rPr>
        <w:t>语言</w:t>
      </w:r>
    </w:p>
    <w:p w14:paraId="5130726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9.1</w:t>
      </w:r>
      <w:r>
        <w:rPr>
          <w:rFonts w:hint="eastAsia" w:asciiTheme="minorEastAsia" w:hAnsiTheme="minorEastAsia" w:eastAsiaTheme="minorEastAsia" w:cstheme="minorEastAsia"/>
          <w:sz w:val="24"/>
          <w:szCs w:val="24"/>
          <w:lang w:val="en-US" w:eastAsia="zh-CN"/>
        </w:rPr>
        <w:t xml:space="preserve"> 供应商</w:t>
      </w:r>
      <w:r>
        <w:rPr>
          <w:rFonts w:hint="eastAsia" w:asciiTheme="minorEastAsia" w:hAnsiTheme="minorEastAsia" w:eastAsiaTheme="minorEastAsia" w:cstheme="minorEastAsia"/>
          <w:sz w:val="24"/>
          <w:szCs w:val="24"/>
        </w:rPr>
        <w:t>应当对所投采购包对应第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章《采购需求》所列的全部内容进行</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，不得将一个采购包中的内容拆分</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，否则其对该采购包的</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将被认定为无效</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w:t>
      </w:r>
    </w:p>
    <w:p w14:paraId="34047C84">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w:t>
      </w:r>
      <w:r>
        <w:rPr>
          <w:rFonts w:hint="eastAsia" w:asciiTheme="minorEastAsia" w:hAnsiTheme="minorEastAsia" w:eastAsiaTheme="minorEastAsia" w:cstheme="minorEastAsia"/>
          <w:snapToGrid w:val="0"/>
          <w:color w:val="000000"/>
          <w:spacing w:val="-2"/>
          <w:kern w:val="0"/>
          <w:sz w:val="24"/>
          <w:szCs w:val="24"/>
          <w:lang w:val="en-US" w:eastAsia="zh-CN" w:bidi="ar-SA"/>
        </w:rPr>
        <w:t>征集</w:t>
      </w:r>
      <w:r>
        <w:rPr>
          <w:rFonts w:hint="eastAsia" w:asciiTheme="minorEastAsia" w:hAnsiTheme="minorEastAsia" w:eastAsiaTheme="minorEastAsia" w:cstheme="minorEastAsia"/>
          <w:sz w:val="24"/>
          <w:szCs w:val="24"/>
        </w:rPr>
        <w:t>文件有特殊要求外，本项目</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所使用的计量单位，应采用中华人民共和国法定计量单位。</w:t>
      </w:r>
    </w:p>
    <w:p w14:paraId="76A166A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9.3</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除专用术语外，</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文件及来往函电均应使用中文书写。必要时专用术语应附有中文解释。</w:t>
      </w:r>
      <w:r>
        <w:rPr>
          <w:rFonts w:hint="eastAsia" w:asciiTheme="minorEastAsia" w:hAnsiTheme="minorEastAsia" w:eastAsiaTheme="minorEastAsia" w:cstheme="minorEastAsia"/>
          <w:sz w:val="24"/>
          <w:szCs w:val="24"/>
          <w:lang w:val="en-US" w:eastAsia="zh-CN"/>
        </w:rPr>
        <w:t>供应商提</w:t>
      </w:r>
      <w:r>
        <w:rPr>
          <w:rFonts w:hint="eastAsia" w:asciiTheme="minorEastAsia" w:hAnsiTheme="minorEastAsia" w:eastAsiaTheme="minorEastAsia" w:cstheme="minorEastAsia"/>
          <w:sz w:val="24"/>
          <w:szCs w:val="24"/>
        </w:rPr>
        <w:t>交的支持资料和已印制的文献可以用外文，但相应内容应附有中文翻译本，在解释</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时以中文翻译本为准。未附中文翻译本或翻译本中文内容明显与外文内容不一致的，其不利后果由</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自行承担。</w:t>
      </w:r>
    </w:p>
    <w:p w14:paraId="5360DC2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10</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文件构成</w:t>
      </w:r>
    </w:p>
    <w:p w14:paraId="268FCE25">
      <w:pPr>
        <w:keepNext w:val="0"/>
        <w:keepLines w:val="0"/>
        <w:pageBreakBefore w:val="0"/>
        <w:widowControl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10.1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应当按照</w:t>
      </w:r>
      <w:r>
        <w:rPr>
          <w:rFonts w:hint="eastAsia" w:asciiTheme="minorEastAsia" w:hAnsiTheme="minorEastAsia" w:eastAsiaTheme="minorEastAsia" w:cstheme="minorEastAsia"/>
          <w:snapToGrid w:val="0"/>
          <w:color w:val="000000"/>
          <w:spacing w:val="-2"/>
          <w:kern w:val="0"/>
          <w:sz w:val="24"/>
          <w:szCs w:val="24"/>
          <w:lang w:val="en-US" w:eastAsia="zh-CN" w:bidi="ar-SA"/>
        </w:rPr>
        <w:t>征集</w:t>
      </w:r>
      <w:r>
        <w:rPr>
          <w:rFonts w:hint="eastAsia" w:asciiTheme="minorEastAsia" w:hAnsiTheme="minorEastAsia" w:eastAsiaTheme="minorEastAsia" w:cstheme="minorEastAsia"/>
          <w:sz w:val="24"/>
          <w:szCs w:val="24"/>
        </w:rPr>
        <w:t>文件的要求编制</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文件应由《</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一览表及资格证明文件</w:t>
      </w:r>
      <w:r>
        <w:rPr>
          <w:rFonts w:hint="eastAsia" w:asciiTheme="minorEastAsia" w:hAnsiTheme="minorEastAsia" w:eastAsiaTheme="minorEastAsia" w:cstheme="minorEastAsia"/>
          <w:sz w:val="24"/>
          <w:szCs w:val="24"/>
        </w:rPr>
        <w:t>》、《商务技术文件》两部分构成。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文件的部分格式要求，见第</w:t>
      </w:r>
      <w:r>
        <w:rPr>
          <w:rFonts w:hint="eastAsia" w:asciiTheme="minorEastAsia" w:hAnsiTheme="minorEastAsia" w:eastAsiaTheme="minorEastAsia" w:cstheme="minorEastAsia"/>
          <w:sz w:val="24"/>
          <w:szCs w:val="24"/>
          <w:lang w:val="en-US" w:eastAsia="zh-CN"/>
        </w:rPr>
        <w:t>六</w:t>
      </w:r>
      <w:r>
        <w:rPr>
          <w:rFonts w:hint="eastAsia" w:asciiTheme="minorEastAsia" w:hAnsiTheme="minorEastAsia" w:eastAsiaTheme="minorEastAsia" w:cstheme="minorEastAsia"/>
          <w:sz w:val="24"/>
          <w:szCs w:val="24"/>
        </w:rPr>
        <w:t>章《</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格式》。</w:t>
      </w:r>
      <w:r>
        <w:rPr>
          <w:rFonts w:hint="eastAsia" w:asciiTheme="minorEastAsia" w:hAnsiTheme="minorEastAsia" w:eastAsiaTheme="minorEastAsia" w:cstheme="minorEastAsia"/>
          <w:sz w:val="24"/>
          <w:szCs w:val="24"/>
          <w:lang w:eastAsia="zh-CN"/>
        </w:rPr>
        <w:t>如有漏项或</w:t>
      </w:r>
      <w:r>
        <w:rPr>
          <w:rFonts w:hint="eastAsia" w:asciiTheme="minorEastAsia" w:hAnsiTheme="minorEastAsia" w:eastAsiaTheme="minorEastAsia" w:cstheme="minorEastAsia"/>
          <w:sz w:val="24"/>
          <w:szCs w:val="24"/>
          <w:lang w:val="en-US" w:eastAsia="zh-CN"/>
        </w:rPr>
        <w:t>评审小组</w:t>
      </w:r>
      <w:r>
        <w:rPr>
          <w:rFonts w:hint="eastAsia" w:asciiTheme="minorEastAsia" w:hAnsiTheme="minorEastAsia" w:eastAsiaTheme="minorEastAsia" w:cstheme="minorEastAsia"/>
          <w:sz w:val="24"/>
          <w:szCs w:val="24"/>
          <w:lang w:eastAsia="zh-CN"/>
        </w:rPr>
        <w:t>认为其响应文件有明显缺陷的，造成的后果由供应商自己承担。</w:t>
      </w:r>
    </w:p>
    <w:p w14:paraId="5AB6027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对于</w:t>
      </w:r>
      <w:r>
        <w:rPr>
          <w:rFonts w:hint="eastAsia" w:asciiTheme="minorEastAsia" w:hAnsiTheme="minorEastAsia" w:eastAsiaTheme="minorEastAsia" w:cstheme="minorEastAsia"/>
          <w:sz w:val="24"/>
          <w:szCs w:val="24"/>
          <w:lang w:val="en-US" w:eastAsia="zh-CN"/>
        </w:rPr>
        <w:t>征集</w:t>
      </w:r>
      <w:r>
        <w:rPr>
          <w:rFonts w:hint="eastAsia" w:asciiTheme="minorEastAsia" w:hAnsiTheme="minorEastAsia" w:eastAsiaTheme="minorEastAsia" w:cstheme="minorEastAsia"/>
          <w:sz w:val="24"/>
          <w:szCs w:val="24"/>
        </w:rPr>
        <w:t>文件中标记了实质性格式文件的，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不得改变格式中给定的文字所表达的含义，不得删减格式中的实质性内容，不得对应当填写的空格不填写或不实质性响应，否则</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无效。未标记实质性格式的文件和</w:t>
      </w:r>
      <w:r>
        <w:rPr>
          <w:rFonts w:hint="eastAsia" w:asciiTheme="minorEastAsia" w:hAnsiTheme="minorEastAsia" w:eastAsiaTheme="minorEastAsia" w:cstheme="minorEastAsia"/>
          <w:sz w:val="24"/>
          <w:szCs w:val="24"/>
          <w:lang w:eastAsia="zh-CN"/>
        </w:rPr>
        <w:t>征集文件</w:t>
      </w:r>
      <w:r>
        <w:rPr>
          <w:rFonts w:hint="eastAsia" w:asciiTheme="minorEastAsia" w:hAnsiTheme="minorEastAsia" w:eastAsiaTheme="minorEastAsia" w:cstheme="minorEastAsia"/>
          <w:sz w:val="24"/>
          <w:szCs w:val="24"/>
        </w:rPr>
        <w:t>未</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供格式的内容，可由</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自行编写。</w:t>
      </w:r>
    </w:p>
    <w:p w14:paraId="1FAFE08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10.3 响应</w:t>
      </w:r>
      <w:r>
        <w:rPr>
          <w:rFonts w:hint="eastAsia" w:hAnsi="宋体" w:cs="宋体"/>
          <w:sz w:val="24"/>
          <w:szCs w:val="24"/>
        </w:rPr>
        <w:t>文件应严格按照政府采购法律法规和</w:t>
      </w:r>
      <w:r>
        <w:rPr>
          <w:rFonts w:hint="eastAsia" w:hAnsi="宋体" w:eastAsia="宋体" w:cs="宋体"/>
          <w:sz w:val="24"/>
          <w:szCs w:val="24"/>
          <w:lang w:val="en-US" w:eastAsia="zh-CN"/>
        </w:rPr>
        <w:t>征集</w:t>
      </w:r>
      <w:r>
        <w:rPr>
          <w:rFonts w:hint="eastAsia" w:hAnsi="宋体" w:cs="宋体"/>
          <w:sz w:val="24"/>
          <w:szCs w:val="24"/>
        </w:rPr>
        <w:t>文件要求，分开编制商务标和技术标，对能明显区分投标供应商的内容，应放入商务标；技术标中不能出现涉及供应商名称及相关提示内容的任何信息。</w:t>
      </w:r>
    </w:p>
    <w:p w14:paraId="0C8B0C64">
      <w:pPr>
        <w:pStyle w:val="32"/>
        <w:snapToGrid w:val="0"/>
        <w:spacing w:line="360" w:lineRule="auto"/>
        <w:ind w:firstLine="480" w:firstLineChars="200"/>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10.4技术标文件制作要求：</w:t>
      </w:r>
    </w:p>
    <w:p w14:paraId="79F0DF4F">
      <w:pPr>
        <w:pStyle w:val="32"/>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.1</w:t>
      </w:r>
      <w:r>
        <w:rPr>
          <w:rFonts w:hint="eastAsia" w:hAnsi="宋体" w:eastAsia="宋体" w:cs="宋体"/>
          <w:b/>
          <w:bCs/>
          <w:sz w:val="24"/>
          <w:szCs w:val="24"/>
          <w:lang w:val="en-US" w:eastAsia="zh-CN"/>
        </w:rPr>
        <w:t xml:space="preserve"> </w:t>
      </w:r>
      <w:r>
        <w:rPr>
          <w:rFonts w:hint="eastAsia" w:hAnsi="宋体" w:cs="宋体"/>
          <w:b/>
          <w:bCs/>
          <w:sz w:val="24"/>
          <w:szCs w:val="24"/>
        </w:rPr>
        <w:t>版面要求：A4纸张大小</w:t>
      </w:r>
      <w:r>
        <w:rPr>
          <w:rFonts w:hint="default" w:hAnsi="宋体" w:cs="宋体"/>
          <w:b/>
          <w:bCs/>
          <w:sz w:val="24"/>
          <w:szCs w:val="24"/>
        </w:rPr>
        <w:t>，纵向排版</w:t>
      </w:r>
      <w:r>
        <w:rPr>
          <w:rFonts w:hint="eastAsia" w:hAnsi="宋体" w:cs="宋体"/>
          <w:b/>
          <w:bCs/>
          <w:sz w:val="24"/>
          <w:szCs w:val="24"/>
        </w:rPr>
        <w:t xml:space="preserve">。 </w:t>
      </w:r>
    </w:p>
    <w:p w14:paraId="5E0CA83A">
      <w:pPr>
        <w:pStyle w:val="32"/>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.2</w:t>
      </w:r>
      <w:r>
        <w:rPr>
          <w:rFonts w:hint="eastAsia" w:hAnsi="宋体" w:eastAsia="宋体" w:cs="宋体"/>
          <w:b/>
          <w:bCs/>
          <w:sz w:val="24"/>
          <w:szCs w:val="24"/>
          <w:lang w:val="en-US" w:eastAsia="zh-CN"/>
        </w:rPr>
        <w:t xml:space="preserve"> </w:t>
      </w:r>
      <w:r>
        <w:rPr>
          <w:rFonts w:hint="eastAsia" w:hAnsi="宋体" w:cs="宋体"/>
          <w:b/>
          <w:bCs/>
          <w:sz w:val="24"/>
          <w:szCs w:val="24"/>
        </w:rPr>
        <w:t xml:space="preserve">颜色要求：所有文字、图表均为黑色。 </w:t>
      </w:r>
    </w:p>
    <w:p w14:paraId="23735A71">
      <w:pPr>
        <w:pStyle w:val="32"/>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.3</w:t>
      </w:r>
      <w:r>
        <w:rPr>
          <w:rFonts w:hint="eastAsia" w:hAnsi="宋体" w:eastAsia="宋体" w:cs="宋体"/>
          <w:b/>
          <w:bCs/>
          <w:sz w:val="24"/>
          <w:szCs w:val="24"/>
          <w:lang w:val="en-US" w:eastAsia="zh-CN"/>
        </w:rPr>
        <w:t xml:space="preserve"> </w:t>
      </w:r>
      <w:r>
        <w:rPr>
          <w:rFonts w:hint="eastAsia" w:hAnsi="宋体" w:cs="宋体"/>
          <w:b/>
          <w:bCs/>
          <w:sz w:val="24"/>
          <w:szCs w:val="24"/>
        </w:rPr>
        <w:t xml:space="preserve">字体要求：标题及正文部分所用文字均采用“宋体”四号“常规”字；图、表内的字体及字号不作要求；全部使用中文标点；所有字体均不得出现加粗、加色、倾斜、下划线等标记。 </w:t>
      </w:r>
    </w:p>
    <w:p w14:paraId="7C61725E">
      <w:pPr>
        <w:pStyle w:val="32"/>
        <w:snapToGrid w:val="0"/>
        <w:spacing w:line="360" w:lineRule="auto"/>
        <w:ind w:firstLine="480" w:firstLineChars="200"/>
        <w:textAlignment w:val="auto"/>
        <w:rPr>
          <w:rFonts w:hint="eastAsia" w:hAnsi="宋体" w:cs="宋体"/>
          <w:b/>
          <w:bCs/>
          <w:sz w:val="24"/>
          <w:szCs w:val="24"/>
        </w:rPr>
      </w:pPr>
      <w:r>
        <w:rPr>
          <w:rFonts w:hint="eastAsia" w:hAnsi="宋体" w:cs="宋体"/>
          <w:b/>
          <w:bCs/>
          <w:sz w:val="24"/>
          <w:szCs w:val="24"/>
        </w:rPr>
        <w:t>10.</w:t>
      </w:r>
      <w:r>
        <w:rPr>
          <w:rFonts w:hint="eastAsia" w:hAnsi="宋体" w:eastAsia="宋体" w:cs="宋体"/>
          <w:b/>
          <w:bCs/>
          <w:sz w:val="24"/>
          <w:szCs w:val="24"/>
          <w:lang w:val="en-US" w:eastAsia="zh-CN"/>
        </w:rPr>
        <w:t>4</w:t>
      </w:r>
      <w:r>
        <w:rPr>
          <w:rFonts w:hint="eastAsia" w:hAnsi="宋体" w:cs="宋体"/>
          <w:b/>
          <w:bCs/>
          <w:sz w:val="24"/>
          <w:szCs w:val="24"/>
        </w:rPr>
        <w:t>.4</w:t>
      </w:r>
      <w:r>
        <w:rPr>
          <w:rFonts w:hint="eastAsia" w:hAnsi="宋体" w:eastAsia="宋体" w:cs="宋体"/>
          <w:b/>
          <w:bCs/>
          <w:sz w:val="24"/>
          <w:szCs w:val="24"/>
          <w:lang w:val="en-US" w:eastAsia="zh-CN"/>
        </w:rPr>
        <w:t xml:space="preserve"> </w:t>
      </w:r>
      <w:r>
        <w:rPr>
          <w:rFonts w:hint="eastAsia" w:hAnsi="宋体" w:cs="宋体"/>
          <w:b/>
          <w:bCs/>
          <w:sz w:val="24"/>
          <w:szCs w:val="24"/>
        </w:rPr>
        <w:t>排版要求：页边距要求上</w:t>
      </w:r>
      <w:r>
        <w:rPr>
          <w:rFonts w:hint="eastAsia" w:hAnsi="宋体" w:eastAsia="宋体" w:cs="宋体"/>
          <w:b/>
          <w:bCs/>
          <w:sz w:val="24"/>
          <w:szCs w:val="24"/>
          <w:lang w:eastAsia="zh-CN"/>
        </w:rPr>
        <w:t>、</w:t>
      </w:r>
      <w:r>
        <w:rPr>
          <w:rFonts w:hint="eastAsia" w:hAnsi="宋体" w:eastAsia="宋体" w:cs="宋体"/>
          <w:b/>
          <w:bCs/>
          <w:sz w:val="24"/>
          <w:szCs w:val="24"/>
          <w:lang w:val="en-US" w:eastAsia="zh-CN"/>
        </w:rPr>
        <w:t>下</w:t>
      </w:r>
      <w:r>
        <w:rPr>
          <w:rFonts w:hint="eastAsia" w:hAnsi="宋体" w:cs="宋体"/>
          <w:b/>
          <w:bCs/>
          <w:sz w:val="24"/>
          <w:szCs w:val="24"/>
        </w:rPr>
        <w:t>边距</w:t>
      </w:r>
      <w:r>
        <w:rPr>
          <w:rFonts w:hint="eastAsia" w:hAnsi="宋体" w:eastAsia="宋体" w:cs="宋体"/>
          <w:b/>
          <w:bCs/>
          <w:sz w:val="24"/>
          <w:szCs w:val="24"/>
          <w:lang w:val="en-US" w:eastAsia="zh-CN"/>
        </w:rPr>
        <w:t>3</w:t>
      </w:r>
      <w:r>
        <w:rPr>
          <w:rFonts w:hint="eastAsia" w:hAnsi="宋体" w:cs="宋体"/>
          <w:b/>
          <w:bCs/>
          <w:sz w:val="24"/>
          <w:szCs w:val="24"/>
        </w:rPr>
        <w:t>厘米，</w:t>
      </w:r>
      <w:r>
        <w:rPr>
          <w:rFonts w:hint="eastAsia" w:hAnsi="宋体" w:eastAsia="宋体" w:cs="宋体"/>
          <w:b/>
          <w:bCs/>
          <w:sz w:val="24"/>
          <w:szCs w:val="24"/>
          <w:lang w:val="en-US" w:eastAsia="zh-CN"/>
        </w:rPr>
        <w:t>左、右页边距2厘米</w:t>
      </w:r>
      <w:r>
        <w:rPr>
          <w:rFonts w:hint="eastAsia" w:hAnsi="宋体" w:cs="宋体"/>
          <w:b/>
          <w:bCs/>
          <w:sz w:val="24"/>
          <w:szCs w:val="24"/>
        </w:rPr>
        <w:t>；不得设置目录；正文行间距为固定值</w:t>
      </w:r>
      <w:r>
        <w:rPr>
          <w:rFonts w:hint="eastAsia" w:hAnsi="宋体" w:eastAsia="宋体" w:cs="宋体"/>
          <w:b/>
          <w:bCs/>
          <w:sz w:val="24"/>
          <w:szCs w:val="24"/>
          <w:lang w:val="en-US" w:eastAsia="zh-CN"/>
        </w:rPr>
        <w:t>25</w:t>
      </w:r>
      <w:r>
        <w:rPr>
          <w:rFonts w:hint="eastAsia" w:hAnsi="宋体" w:cs="宋体"/>
          <w:b/>
          <w:bCs/>
          <w:sz w:val="24"/>
          <w:szCs w:val="24"/>
        </w:rPr>
        <w:t>磅；文字内容（含正文标题、正文及表格标题）统一设为左对齐；首行缩进2字符，不得有空格；段落前后不设置空行；不得设置页眉、页脚和页码；图、表部分对齐形式统一设为居中对齐。</w:t>
      </w:r>
    </w:p>
    <w:p w14:paraId="351C1EBD">
      <w:pPr>
        <w:pStyle w:val="32"/>
        <w:snapToGrid w:val="0"/>
        <w:spacing w:line="360" w:lineRule="auto"/>
        <w:ind w:firstLine="490" w:firstLineChars="200"/>
        <w:textAlignment w:val="auto"/>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10.4.5 除满足上述各项要求外，技术“暗标”中不得出现任何行间插字或删除痕迹，构成响应文件的“技术暗标”的正文中不得出现供应商的名称和其它可识别供应商身份的字符、徽标、人员名称以及其他特殊标记等。</w:t>
      </w:r>
    </w:p>
    <w:p w14:paraId="68BFF8C0">
      <w:pPr>
        <w:pStyle w:val="32"/>
        <w:snapToGrid w:val="0"/>
        <w:spacing w:line="360" w:lineRule="auto"/>
        <w:ind w:firstLine="490" w:firstLineChars="200"/>
        <w:textAlignment w:val="auto"/>
        <w:rPr>
          <w:rFonts w:hint="default" w:hAnsi="宋体" w:cs="宋体"/>
          <w:b/>
          <w:bCs/>
          <w:sz w:val="24"/>
          <w:szCs w:val="24"/>
          <w:lang w:val="en-US"/>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10.4.6编写软件及版本要求:MicrosoftWord2007或以上。</w:t>
      </w:r>
    </w:p>
    <w:p w14:paraId="078BA14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5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lang w:eastAsia="zh-CN"/>
        </w:rPr>
        <w:t>应使用CA数字证书</w:t>
      </w:r>
      <w:r>
        <w:rPr>
          <w:rFonts w:hint="eastAsia" w:asciiTheme="minorEastAsia" w:hAnsiTheme="minorEastAsia" w:eastAsiaTheme="minorEastAsia" w:cstheme="minorEastAsia"/>
          <w:sz w:val="24"/>
          <w:szCs w:val="24"/>
          <w:lang w:val="en-US" w:eastAsia="zh-CN"/>
        </w:rPr>
        <w:t>生成并</w:t>
      </w:r>
      <w:r>
        <w:rPr>
          <w:rFonts w:hint="eastAsia" w:asciiTheme="minorEastAsia" w:hAnsiTheme="minorEastAsia" w:eastAsiaTheme="minorEastAsia" w:cstheme="minorEastAsia"/>
          <w:sz w:val="24"/>
          <w:szCs w:val="24"/>
          <w:lang w:eastAsia="zh-CN"/>
        </w:rPr>
        <w:t>在截止时间前上传其加密版本，</w:t>
      </w:r>
      <w:r>
        <w:rPr>
          <w:rFonts w:hint="eastAsia" w:asciiTheme="minorEastAsia" w:hAnsiTheme="minorEastAsia" w:eastAsiaTheme="minorEastAsia" w:cstheme="minorEastAsia"/>
          <w:sz w:val="24"/>
          <w:szCs w:val="24"/>
          <w:lang w:val="en-US" w:eastAsia="zh-CN"/>
        </w:rPr>
        <w:t>根据征集文件中规定的下载平台要求，</w:t>
      </w:r>
      <w:r>
        <w:rPr>
          <w:rFonts w:hint="eastAsia" w:asciiTheme="minorEastAsia" w:hAnsiTheme="minorEastAsia" w:eastAsiaTheme="minorEastAsia" w:cstheme="minorEastAsia"/>
          <w:sz w:val="24"/>
          <w:szCs w:val="24"/>
          <w:lang w:eastAsia="zh-CN"/>
        </w:rPr>
        <w:t>具体详见《响应文件制作工具操作手册》。</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响应文件</w:t>
      </w:r>
      <w:r>
        <w:rPr>
          <w:rFonts w:hint="eastAsia" w:asciiTheme="minorEastAsia" w:hAnsiTheme="minorEastAsia" w:eastAsiaTheme="minorEastAsia" w:cstheme="minorEastAsia"/>
          <w:b/>
          <w:bCs/>
          <w:sz w:val="24"/>
          <w:szCs w:val="24"/>
          <w:lang w:eastAsia="zh-CN"/>
        </w:rPr>
        <w:t>，将被平台系统拒绝。</w:t>
      </w:r>
    </w:p>
    <w:p w14:paraId="2405ECF5">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 xml:space="preserve">10.6 </w:t>
      </w:r>
      <w:r>
        <w:rPr>
          <w:rFonts w:hint="eastAsia" w:asciiTheme="minorEastAsia" w:hAnsiTheme="minorEastAsia" w:eastAsiaTheme="minorEastAsia" w:cstheme="minorEastAsia"/>
          <w:sz w:val="24"/>
          <w:szCs w:val="24"/>
        </w:rPr>
        <w:t>第四章《</w:t>
      </w:r>
      <w:r>
        <w:rPr>
          <w:rFonts w:hint="eastAsia" w:asciiTheme="minorEastAsia" w:hAnsiTheme="minorEastAsia" w:eastAsiaTheme="minorEastAsia" w:cstheme="minorEastAsia"/>
          <w:sz w:val="24"/>
          <w:szCs w:val="24"/>
          <w:lang w:val="en-US" w:eastAsia="zh-CN"/>
        </w:rPr>
        <w:t>开</w:t>
      </w: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程序、</w:t>
      </w: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方法和</w:t>
      </w:r>
      <w:r>
        <w:rPr>
          <w:rFonts w:hint="eastAsia" w:asciiTheme="minorEastAsia" w:hAnsiTheme="minorEastAsia" w:eastAsiaTheme="minorEastAsia" w:cstheme="minorEastAsia"/>
          <w:sz w:val="24"/>
          <w:szCs w:val="24"/>
          <w:lang w:eastAsia="zh-CN"/>
        </w:rPr>
        <w:t>评审</w:t>
      </w:r>
      <w:r>
        <w:rPr>
          <w:rFonts w:hint="eastAsia" w:asciiTheme="minorEastAsia" w:hAnsiTheme="minorEastAsia" w:eastAsiaTheme="minorEastAsia" w:cstheme="minorEastAsia"/>
          <w:sz w:val="24"/>
          <w:szCs w:val="24"/>
        </w:rPr>
        <w:t>标准》中涉及的证明文件。</w:t>
      </w:r>
    </w:p>
    <w:p w14:paraId="59BE5999">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7 </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供货物和服务已对第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14:paraId="3CE3B82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仿宋_GB2312" w:hAnsi="宋体" w:eastAsia="仿宋_GB2312"/>
          <w:b/>
          <w:color w:val="auto"/>
          <w:sz w:val="28"/>
          <w:szCs w:val="28"/>
          <w:lang w:eastAsia="zh-CN"/>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 xml:space="preserve">8 </w:t>
      </w:r>
      <w:r>
        <w:rPr>
          <w:rFonts w:hint="eastAsia" w:asciiTheme="minorEastAsia" w:hAnsiTheme="minorEastAsia" w:eastAsiaTheme="minorEastAsia" w:cstheme="minorEastAsia"/>
          <w:sz w:val="24"/>
          <w:szCs w:val="24"/>
          <w:lang w:eastAsia="zh-CN"/>
        </w:rPr>
        <w:t>供应商编制响应文件时，涉及营业执照、资质、业绩、财务、社保、纳税及各类证书、报告等内容，必须是原件的扫描件。</w:t>
      </w:r>
    </w:p>
    <w:p w14:paraId="56C5E6C7">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 xml:space="preserve">10.9 </w:t>
      </w:r>
      <w:r>
        <w:rPr>
          <w:rFonts w:hint="eastAsia" w:asciiTheme="minorEastAsia" w:hAnsiTheme="minorEastAsia" w:eastAsiaTheme="minorEastAsia" w:cstheme="minorEastAsia"/>
          <w:sz w:val="24"/>
          <w:szCs w:val="24"/>
          <w:lang w:eastAsia="zh-CN"/>
        </w:rPr>
        <w:t>供应商认为应附的其他材料。</w:t>
      </w:r>
    </w:p>
    <w:p w14:paraId="3E7A7DBE">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11</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rPr>
        <w:t>报价</w:t>
      </w:r>
    </w:p>
    <w:p w14:paraId="6333C81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供应商应按照征集文件提供的响应报价一览表格式填写响应总报价。</w:t>
      </w:r>
    </w:p>
    <w:p w14:paraId="11BD363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响应总报价应是包括征集文件规定完成采购范围及其伴随的服务价格总和，征集人不再另行支付费用。</w:t>
      </w:r>
    </w:p>
    <w:p w14:paraId="23F8B176">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.3 供应商只允许有一个报价，征集人和采购代理机构不接受有任何选择报价的</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w:t>
      </w:r>
    </w:p>
    <w:p w14:paraId="5F0F437F">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.4 供应商不得以任何理由在开标后对响应报价予以修改，报价在响应有效期内是固定的，不因任何原因而改变。</w:t>
      </w:r>
    </w:p>
    <w:p w14:paraId="0E87123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本项目响应报价为</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b/>
          <w:bCs/>
          <w:sz w:val="24"/>
          <w:szCs w:val="24"/>
          <w:u w:val="single"/>
        </w:rPr>
        <w:t>费率报价</w:t>
      </w:r>
      <w:r>
        <w:rPr>
          <w:rFonts w:hint="eastAsia" w:asciiTheme="minorEastAsia" w:hAnsiTheme="minorEastAsia" w:eastAsiaTheme="minorEastAsia" w:cstheme="minorEastAsia"/>
          <w:sz w:val="24"/>
          <w:szCs w:val="24"/>
        </w:rPr>
        <w:t xml:space="preserve"> 。例如：按照计费标准的 90% 收取，则：响应报价即为 90% ；如供应商响应文件或响应一览表中填写错误，其承担一切不利责任。</w:t>
      </w:r>
    </w:p>
    <w:p w14:paraId="32FA8B63">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征集人或者服务对象根据具体项目，按照供应商须知规定</w:t>
      </w:r>
      <w:r>
        <w:rPr>
          <w:rFonts w:hint="eastAsia" w:asciiTheme="minorEastAsia" w:hAnsiTheme="minorEastAsia" w:eastAsiaTheme="minorEastAsia" w:cstheme="minorEastAsia"/>
          <w:sz w:val="24"/>
          <w:szCs w:val="24"/>
          <w:lang w:val="zh-CN"/>
        </w:rPr>
        <w:t>计费标准</w:t>
      </w:r>
      <w:r>
        <w:rPr>
          <w:rFonts w:hint="eastAsia" w:asciiTheme="minorEastAsia" w:hAnsiTheme="minorEastAsia" w:eastAsiaTheme="minorEastAsia" w:cstheme="minorEastAsia"/>
          <w:sz w:val="24"/>
          <w:szCs w:val="24"/>
        </w:rPr>
        <w:t>*费率报价计取服务费。</w:t>
      </w:r>
    </w:p>
    <w:p w14:paraId="3D2F7E6D">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合同价包括完成征集人或者服务对象所委托的项目工作内容的所有费用，且实施过程中合同价不予调整，征集人或者服务对象不再支付其他任何费用。</w:t>
      </w:r>
    </w:p>
    <w:p w14:paraId="3300579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供应商在提交响应文件截止时间前修改响应函及响应一览表中的响应总报价，应同时修改响应文件中的相应报价。</w:t>
      </w:r>
    </w:p>
    <w:p w14:paraId="54AF8C1F">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w:t>
      </w:r>
      <w:r>
        <w:rPr>
          <w:rFonts w:hint="eastAsia" w:asciiTheme="minorEastAsia" w:hAnsiTheme="minorEastAsia" w:eastAsiaTheme="minorEastAsia" w:cstheme="minorEastAsia"/>
          <w:b/>
          <w:bCs/>
          <w:sz w:val="24"/>
          <w:szCs w:val="24"/>
          <w:lang w:val="en-US" w:eastAsia="zh-CN"/>
        </w:rPr>
        <w:t>2.响应文件</w:t>
      </w:r>
      <w:r>
        <w:rPr>
          <w:rFonts w:hint="eastAsia" w:asciiTheme="minorEastAsia" w:hAnsiTheme="minorEastAsia" w:eastAsiaTheme="minorEastAsia" w:cstheme="minorEastAsia"/>
          <w:b/>
          <w:bCs/>
          <w:sz w:val="24"/>
          <w:szCs w:val="24"/>
        </w:rPr>
        <w:t>有效期</w:t>
      </w:r>
    </w:p>
    <w:p w14:paraId="4CB1A790">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.1 响应文件有效期见供应商须知，从提交响应文件的截止之日起算。响应文件有效期内供应商不得撤销响应文件。</w:t>
      </w:r>
    </w:p>
    <w:p w14:paraId="31C5CB28">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.2 响应文件应自提交响应文件的截止之日起，在规定的时间内保持有效。响应文件有效期不足的将被视为未响应而予以拒绝。</w:t>
      </w:r>
    </w:p>
    <w:p w14:paraId="5AF87E8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12</w:t>
      </w:r>
      <w:r>
        <w:rPr>
          <w:rFonts w:hint="eastAsia" w:asciiTheme="minorEastAsia" w:hAnsiTheme="minorEastAsia" w:eastAsiaTheme="minorEastAsia" w:cstheme="minorEastAsia"/>
          <w:sz w:val="24"/>
          <w:szCs w:val="24"/>
          <w:lang w:eastAsia="zh-CN"/>
        </w:rPr>
        <w:t>.3 在特殊情况下，在原响应文件有效期截止之前，征集人和采购代理机构可征求供应商同意延长响应文件有效期。这种要求与答复均应以书面形式提交。供应商可以拒绝这种要求。同意延期的供应商将不会被要求也不允许修改其响应文件。</w:t>
      </w:r>
    </w:p>
    <w:p w14:paraId="2D0ACE44">
      <w:pPr>
        <w:keepNext w:val="0"/>
        <w:keepLines w:val="0"/>
        <w:pageBreakBefore w:val="0"/>
        <w:widowControl/>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lang w:eastAsia="zh-CN"/>
        </w:rPr>
        <w:t>响应文件</w:t>
      </w:r>
      <w:r>
        <w:rPr>
          <w:rFonts w:hint="eastAsia" w:asciiTheme="minorEastAsia" w:hAnsiTheme="minorEastAsia" w:eastAsiaTheme="minorEastAsia" w:cstheme="minorEastAsia"/>
          <w:b/>
          <w:bCs/>
          <w:sz w:val="24"/>
          <w:szCs w:val="24"/>
        </w:rPr>
        <w:t>的签署、盖章</w:t>
      </w:r>
    </w:p>
    <w:p w14:paraId="7012E8CC">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响应文件</w:t>
      </w:r>
      <w:r>
        <w:rPr>
          <w:rFonts w:hint="eastAsia" w:asciiTheme="minorEastAsia" w:hAnsiTheme="minorEastAsia" w:eastAsiaTheme="minorEastAsia" w:cstheme="minorEastAsia"/>
          <w:sz w:val="24"/>
          <w:szCs w:val="24"/>
          <w:lang w:eastAsia="zh-CN"/>
        </w:rPr>
        <w:t>必须在规定签章处</w:t>
      </w:r>
      <w:r>
        <w:rPr>
          <w:rFonts w:hint="eastAsia" w:asciiTheme="minorEastAsia" w:hAnsiTheme="minorEastAsia" w:eastAsiaTheme="minorEastAsia" w:cstheme="minorEastAsia"/>
          <w:sz w:val="24"/>
          <w:szCs w:val="24"/>
          <w:lang w:val="en-US" w:eastAsia="zh-CN"/>
        </w:rPr>
        <w:t>电子签章或</w:t>
      </w:r>
      <w:r>
        <w:rPr>
          <w:rFonts w:hint="eastAsia" w:asciiTheme="minorEastAsia" w:hAnsiTheme="minorEastAsia" w:eastAsiaTheme="minorEastAsia" w:cstheme="minorEastAsia"/>
          <w:sz w:val="24"/>
          <w:szCs w:val="24"/>
          <w:lang w:eastAsia="zh-CN"/>
        </w:rPr>
        <w:t>手写签字后扫描上传进响应文件。</w:t>
      </w:r>
    </w:p>
    <w:p w14:paraId="08715A22">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征集文件</w:t>
      </w:r>
      <w:r>
        <w:rPr>
          <w:rFonts w:hint="eastAsia" w:asciiTheme="minorEastAsia" w:hAnsiTheme="minorEastAsia" w:eastAsiaTheme="minorEastAsia" w:cstheme="minorEastAsia"/>
          <w:sz w:val="24"/>
          <w:szCs w:val="24"/>
        </w:rPr>
        <w:t>要求盖章的内容，一般通过</w:t>
      </w:r>
      <w:r>
        <w:rPr>
          <w:rFonts w:hint="eastAsia" w:asciiTheme="minorEastAsia" w:hAnsiTheme="minorEastAsia" w:eastAsiaTheme="minorEastAsia" w:cstheme="minorEastAsia"/>
          <w:sz w:val="24"/>
          <w:szCs w:val="24"/>
          <w:lang w:val="en-US" w:eastAsia="zh-CN"/>
        </w:rPr>
        <w:t>CA</w:t>
      </w:r>
      <w:r>
        <w:rPr>
          <w:rFonts w:hint="eastAsia" w:asciiTheme="minorEastAsia" w:hAnsiTheme="minorEastAsia" w:eastAsiaTheme="minorEastAsia" w:cstheme="minorEastAsia"/>
          <w:sz w:val="24"/>
          <w:szCs w:val="24"/>
        </w:rPr>
        <w:t>加盖电子签章。</w:t>
      </w:r>
    </w:p>
    <w:p w14:paraId="2D2794B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20" w:firstLineChars="200"/>
        <w:jc w:val="both"/>
        <w:textAlignment w:val="baseline"/>
        <w:rPr>
          <w:rFonts w:hint="eastAsia" w:asciiTheme="minorEastAsia" w:hAnsiTheme="minorEastAsia" w:eastAsiaTheme="minorEastAsia" w:cstheme="minorEastAsia"/>
          <w:sz w:val="21"/>
        </w:rPr>
      </w:pPr>
    </w:p>
    <w:p w14:paraId="149A496B">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响应</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文件的</w:t>
      </w:r>
      <w:r>
        <w:rPr>
          <w:rFonts w:hint="eastAsia" w:asciiTheme="minorEastAsia" w:hAnsiTheme="minorEastAsia" w:eastAsiaTheme="minorEastAsia" w:cstheme="minorEastAsia"/>
          <w:sz w:val="28"/>
          <w:szCs w:val="28"/>
          <w:lang w:val="en-US" w:eastAsia="zh-CN"/>
          <w14:textOutline w14:w="1800" w14:cap="flat" w14:cmpd="sng">
            <w14:solidFill>
              <w14:srgbClr w14:val="000000"/>
            </w14:solidFill>
            <w14:prstDash w14:val="solid"/>
            <w14:miter w14:val="0"/>
          </w14:textOutline>
        </w:rPr>
        <w:t>提</w:t>
      </w:r>
      <w:r>
        <w:rPr>
          <w:rFonts w:hint="eastAsia" w:asciiTheme="minorEastAsia" w:hAnsiTheme="minorEastAsia" w:eastAsiaTheme="minorEastAsia" w:cstheme="minorEastAsia"/>
          <w:sz w:val="28"/>
          <w:szCs w:val="28"/>
          <w14:textOutline w14:w="1800" w14:cap="flat" w14:cmpd="sng">
            <w14:solidFill>
              <w14:srgbClr w14:val="000000"/>
            </w14:solidFill>
            <w14:prstDash w14:val="solid"/>
            <w14:miter w14:val="0"/>
          </w14:textOutline>
        </w:rPr>
        <w:t>交</w:t>
      </w:r>
    </w:p>
    <w:p w14:paraId="0B072F10">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86"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4.</w:t>
      </w:r>
      <w:r>
        <w:rPr>
          <w:rFonts w:hint="eastAsia" w:asciiTheme="minorEastAsia" w:hAnsiTheme="minorEastAsia" w:eastAsiaTheme="minorEastAsia" w:cstheme="minorEastAsia"/>
          <w:b/>
          <w:bCs/>
          <w:spacing w:val="1"/>
          <w:sz w:val="24"/>
          <w:szCs w:val="24"/>
          <w:lang w:eastAsia="zh-CN"/>
        </w:rPr>
        <w:t>响应文件</w:t>
      </w:r>
      <w:r>
        <w:rPr>
          <w:rFonts w:hint="eastAsia" w:asciiTheme="minorEastAsia" w:hAnsiTheme="minorEastAsia" w:eastAsiaTheme="minorEastAsia" w:cstheme="minorEastAsia"/>
          <w:b/>
          <w:bCs/>
          <w:spacing w:val="1"/>
          <w:sz w:val="24"/>
          <w:szCs w:val="24"/>
        </w:rPr>
        <w:t>的</w:t>
      </w:r>
      <w:r>
        <w:rPr>
          <w:rFonts w:hint="eastAsia" w:asciiTheme="minorEastAsia" w:hAnsiTheme="minorEastAsia" w:eastAsiaTheme="minorEastAsia" w:cstheme="minorEastAsia"/>
          <w:b/>
          <w:bCs/>
          <w:spacing w:val="1"/>
          <w:sz w:val="24"/>
          <w:szCs w:val="24"/>
          <w:lang w:val="en-US" w:eastAsia="zh-CN"/>
        </w:rPr>
        <w:t>提</w:t>
      </w:r>
      <w:r>
        <w:rPr>
          <w:rFonts w:hint="eastAsia" w:asciiTheme="minorEastAsia" w:hAnsiTheme="minorEastAsia" w:eastAsiaTheme="minorEastAsia" w:cstheme="minorEastAsia"/>
          <w:b/>
          <w:bCs/>
          <w:spacing w:val="1"/>
          <w:sz w:val="24"/>
          <w:szCs w:val="24"/>
        </w:rPr>
        <w:t>交</w:t>
      </w:r>
    </w:p>
    <w:p w14:paraId="406594B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 xml:space="preserve"> 电子响应文件的提交是指使用南阳市公共资源交易中心网上交易系统在响应截止时间前完成制作软件生成的加密电子响应文件的上传。未在响应截止时间前完成上传的，视为逾期提交。逾期提交的响应文件，电子交易系统将予以拒收。</w:t>
      </w:r>
    </w:p>
    <w:p w14:paraId="58015F9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征集人及采购代理机构拒绝接受通过电子交易平台以外任何形式提交的响应文件。</w:t>
      </w:r>
    </w:p>
    <w:p w14:paraId="28B0C501">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494" w:firstLineChars="200"/>
        <w:jc w:val="both"/>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15.</w:t>
      </w:r>
      <w:r>
        <w:rPr>
          <w:rFonts w:hint="eastAsia" w:asciiTheme="minorEastAsia" w:hAnsiTheme="minorEastAsia" w:eastAsiaTheme="minorEastAsia" w:cstheme="minorEastAsia"/>
          <w:b/>
          <w:bCs/>
          <w:spacing w:val="-1"/>
          <w:sz w:val="24"/>
          <w:szCs w:val="24"/>
          <w:lang w:eastAsia="zh-CN"/>
        </w:rPr>
        <w:t>响应文件</w:t>
      </w:r>
      <w:r>
        <w:rPr>
          <w:rFonts w:hint="eastAsia" w:asciiTheme="minorEastAsia" w:hAnsiTheme="minorEastAsia" w:eastAsiaTheme="minorEastAsia" w:cstheme="minorEastAsia"/>
          <w:b/>
          <w:bCs/>
          <w:spacing w:val="-1"/>
          <w:sz w:val="24"/>
          <w:szCs w:val="24"/>
        </w:rPr>
        <w:t>的修改与撤回</w:t>
      </w:r>
    </w:p>
    <w:p w14:paraId="1684BA7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在征集文件规定的截止时间前，供应商可以修改或撤回已上传的电子响应文件，最终电子响应文件以截止时间前完成上传至南阳市电子交易平台系统最后一份解密响应文件为准。截止时间之后，供应商不得修改或撤回电子响应文件。</w:t>
      </w:r>
    </w:p>
    <w:p w14:paraId="11900637">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74E7C65">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BCE1593">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99E9C37">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DC2C2E7">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7D0B01F">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441E23F6">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863F5D0">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B3C00DB">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62B8B51">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D8AECA0">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668EBCF">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A1A8079">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B804DB8">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0F1880F1">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5D58D941">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9DD7F45">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CA3DB42">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756BFE9E">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231BA3E">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18655EB8">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33A598D1">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14:paraId="6F1F3178">
      <w:pPr>
        <w:pStyle w:val="5"/>
        <w:keepNext w:val="0"/>
        <w:keepLines w:val="0"/>
        <w:pageBreakBefore w:val="0"/>
        <w:widowControl/>
        <w:kinsoku/>
        <w:wordWrap w:val="0"/>
        <w:overflowPunct/>
        <w:topLinePunct w:val="0"/>
        <w:autoSpaceDE w:val="0"/>
        <w:autoSpaceDN w:val="0"/>
        <w:bidi w:val="0"/>
        <w:adjustRightInd w:val="0"/>
        <w:snapToGrid w:val="0"/>
        <w:spacing w:line="219" w:lineRule="auto"/>
        <w:ind w:left="0"/>
        <w:jc w:val="center"/>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四</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z w:val="36"/>
          <w:szCs w:val="36"/>
          <w:lang w:val="en-US" w:eastAsia="zh-CN"/>
          <w14:textOutline w14:w="2306" w14:cap="flat" w14:cmpd="sng">
            <w14:solidFill>
              <w14:srgbClr w14:val="000000"/>
            </w14:solidFill>
            <w14:prstDash w14:val="solid"/>
            <w14:miter w14:val="0"/>
          </w14:textOutline>
        </w:rPr>
        <w:t xml:space="preserve"> 开、</w:t>
      </w:r>
      <w:r>
        <w:rPr>
          <w:rFonts w:hint="eastAsia" w:asciiTheme="minorEastAsia" w:hAnsiTheme="minorEastAsia" w:eastAsiaTheme="minorEastAsia" w:cstheme="minorEastAsia"/>
          <w:sz w:val="36"/>
          <w:szCs w:val="36"/>
          <w:lang w:eastAsia="zh-CN"/>
          <w14:textOutline w14:w="2306" w14:cap="flat" w14:cmpd="sng">
            <w14:solidFill>
              <w14:srgbClr w14:val="000000"/>
            </w14:solidFill>
            <w14:prstDash w14:val="solid"/>
            <w14:miter w14:val="0"/>
          </w14:textOutline>
        </w:rPr>
        <w:t>评审</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程序、</w:t>
      </w:r>
      <w:r>
        <w:rPr>
          <w:rFonts w:hint="eastAsia" w:asciiTheme="minorEastAsia" w:hAnsiTheme="minorEastAsia" w:eastAsiaTheme="minorEastAsia" w:cstheme="minorEastAsia"/>
          <w:sz w:val="36"/>
          <w:szCs w:val="36"/>
          <w:lang w:eastAsia="zh-CN"/>
          <w14:textOutline w14:w="2306" w14:cap="flat" w14:cmpd="sng">
            <w14:solidFill>
              <w14:srgbClr w14:val="000000"/>
            </w14:solidFill>
            <w14:prstDash w14:val="solid"/>
            <w14:miter w14:val="0"/>
          </w14:textOutline>
        </w:rPr>
        <w:t>评审</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方法和</w:t>
      </w:r>
      <w:r>
        <w:rPr>
          <w:rFonts w:hint="eastAsia" w:asciiTheme="minorEastAsia" w:hAnsiTheme="minorEastAsia" w:eastAsiaTheme="minorEastAsia" w:cstheme="minorEastAsia"/>
          <w:sz w:val="36"/>
          <w:szCs w:val="36"/>
          <w:lang w:eastAsia="zh-CN"/>
          <w14:textOutline w14:w="2306" w14:cap="flat" w14:cmpd="sng">
            <w14:solidFill>
              <w14:srgbClr w14:val="000000"/>
            </w14:solidFill>
            <w14:prstDash w14:val="solid"/>
            <w14:miter w14:val="0"/>
          </w14:textOutline>
        </w:rPr>
        <w:t>评审</w:t>
      </w: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标准</w:t>
      </w:r>
    </w:p>
    <w:p w14:paraId="29E5CD73">
      <w:pPr>
        <w:pStyle w:val="5"/>
        <w:keepNext w:val="0"/>
        <w:keepLines w:val="0"/>
        <w:pageBreakBefore w:val="0"/>
        <w:kinsoku/>
        <w:wordWrap w:val="0"/>
        <w:overflowPunct/>
        <w:topLinePunct w:val="0"/>
        <w:bidi w:val="0"/>
        <w:spacing w:before="255" w:line="221" w:lineRule="auto"/>
        <w:ind w:left="3942"/>
        <w:jc w:val="both"/>
        <w:outlineLvl w:val="2"/>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pPr>
    </w:p>
    <w:p w14:paraId="00F9267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一、开标</w:t>
      </w:r>
    </w:p>
    <w:p w14:paraId="76045FBD">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1.征集人或采购代理机构按征集公告中规定的时间开标，本项目使用不见面开标，供应商无需到开标现场。</w:t>
      </w:r>
    </w:p>
    <w:p w14:paraId="1C8CE7BB">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2.开标：</w:t>
      </w:r>
    </w:p>
    <w:p w14:paraId="3633495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2.1 供应商解密：供应商制作电子响应文件时，必须使用本单位企业数字证书进行加密，供应商在开标前须自行检查数字证书的有效性。在解密时间到达后，系统做出解密提示，请各供应商自行解密即可。开标解密时未在规定时间（30分钟）内进行解密的视为撤销其响应文件（因电子开标系统原因除外）。</w:t>
      </w:r>
    </w:p>
    <w:p w14:paraId="0B08170D">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2.2 唱标。查看唱标信息（系统不提供语音在线播放，该页面停留1分钟供供应商查看，如无异议视为同意）。招标（采购）人、监督人员需要关注开标过程中，供应商随时在线提出的异议、问题沟通等信息，并及时做好答复工作。</w:t>
      </w:r>
    </w:p>
    <w:p w14:paraId="3A2EA73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2.3 宣布开标结束。</w:t>
      </w:r>
    </w:p>
    <w:p w14:paraId="14DAB51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p>
    <w:p w14:paraId="61C2CBE1">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outlineLvl w:val="2"/>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二、资格审查</w:t>
      </w:r>
    </w:p>
    <w:p w14:paraId="3EF35578">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1.开标结束后，征集人或采购代理机构将根据资格审查要求中的规定，对供应商进行资格审查，并形成资格审查结果。</w:t>
      </w:r>
    </w:p>
    <w:p w14:paraId="725BBA84">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2.供应商《资格证明文件》有任何一项不符合《资格审查要求》的，资格审查不合格，其响应无效。</w:t>
      </w:r>
    </w:p>
    <w:p w14:paraId="6F20D979">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3.资格审查合格的供应商不足2家的，不进行评审。</w:t>
      </w:r>
    </w:p>
    <w:p w14:paraId="4CB55AAF">
      <w:pPr>
        <w:pStyle w:val="21"/>
        <w:rPr>
          <w:rFonts w:hint="eastAsia"/>
          <w:lang w:val="en-US" w:eastAsia="zh-CN"/>
        </w:rPr>
      </w:pPr>
    </w:p>
    <w:p w14:paraId="159B02F3">
      <w:pPr>
        <w:pStyle w:val="21"/>
        <w:rPr>
          <w:rFonts w:hint="eastAsia"/>
          <w:lang w:val="en-US" w:eastAsia="zh-CN"/>
        </w:rPr>
      </w:pPr>
    </w:p>
    <w:p w14:paraId="230074CA">
      <w:pPr>
        <w:pStyle w:val="21"/>
        <w:rPr>
          <w:rFonts w:hint="eastAsia"/>
          <w:lang w:val="en-US" w:eastAsia="zh-CN"/>
        </w:rPr>
      </w:pPr>
    </w:p>
    <w:p w14:paraId="0CBE506E">
      <w:pPr>
        <w:pStyle w:val="21"/>
        <w:rPr>
          <w:rFonts w:hint="eastAsia"/>
          <w:lang w:val="en-US" w:eastAsia="zh-CN"/>
        </w:rPr>
      </w:pPr>
    </w:p>
    <w:p w14:paraId="523183EB">
      <w:pPr>
        <w:pStyle w:val="21"/>
        <w:rPr>
          <w:rFonts w:hint="eastAsia"/>
          <w:lang w:val="en-US" w:eastAsia="zh-CN"/>
        </w:rPr>
      </w:pPr>
    </w:p>
    <w:p w14:paraId="130440C3">
      <w:pPr>
        <w:pStyle w:val="21"/>
        <w:rPr>
          <w:rFonts w:hint="eastAsia"/>
          <w:lang w:val="en-US" w:eastAsia="zh-CN"/>
        </w:rPr>
      </w:pPr>
    </w:p>
    <w:p w14:paraId="20E5E910">
      <w:pPr>
        <w:pStyle w:val="21"/>
        <w:rPr>
          <w:rFonts w:hint="eastAsia"/>
          <w:lang w:val="en-US" w:eastAsia="zh-CN"/>
        </w:rPr>
      </w:pPr>
    </w:p>
    <w:p w14:paraId="5DA5729B">
      <w:pPr>
        <w:pStyle w:val="21"/>
        <w:rPr>
          <w:rFonts w:hint="eastAsia"/>
          <w:lang w:val="en-US" w:eastAsia="zh-CN"/>
        </w:rPr>
      </w:pPr>
    </w:p>
    <w:p w14:paraId="1FA22A2F">
      <w:pPr>
        <w:pStyle w:val="21"/>
        <w:rPr>
          <w:rFonts w:hint="eastAsia"/>
          <w:lang w:val="en-US" w:eastAsia="zh-CN"/>
        </w:rPr>
      </w:pPr>
    </w:p>
    <w:p w14:paraId="408BC883">
      <w:pPr>
        <w:pStyle w:val="21"/>
        <w:rPr>
          <w:rFonts w:hint="eastAsia"/>
          <w:lang w:val="en-US" w:eastAsia="zh-CN"/>
        </w:rPr>
      </w:pPr>
    </w:p>
    <w:p w14:paraId="529C3AB8">
      <w:pPr>
        <w:pStyle w:val="21"/>
        <w:rPr>
          <w:rFonts w:hint="eastAsia"/>
          <w:lang w:val="en-US" w:eastAsia="zh-CN"/>
        </w:rPr>
      </w:pPr>
    </w:p>
    <w:p w14:paraId="526C05C0">
      <w:pPr>
        <w:pStyle w:val="5"/>
        <w:keepNext w:val="0"/>
        <w:keepLines w:val="0"/>
        <w:pageBreakBefore w:val="0"/>
        <w:kinsoku/>
        <w:wordWrap w:val="0"/>
        <w:overflowPunct/>
        <w:topLinePunct w:val="0"/>
        <w:bidi w:val="0"/>
        <w:spacing w:before="79" w:line="220" w:lineRule="auto"/>
        <w:jc w:val="center"/>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资格审查要求</w:t>
      </w:r>
    </w:p>
    <w:p w14:paraId="196D3AA5">
      <w:pPr>
        <w:keepNext w:val="0"/>
        <w:keepLines w:val="0"/>
        <w:pageBreakBefore w:val="0"/>
        <w:kinsoku/>
        <w:wordWrap w:val="0"/>
        <w:overflowPunct/>
        <w:topLinePunct w:val="0"/>
        <w:bidi w:val="0"/>
        <w:spacing w:line="146" w:lineRule="exact"/>
        <w:jc w:val="both"/>
        <w:rPr>
          <w:rFonts w:hint="eastAsia" w:asciiTheme="minorEastAsia" w:hAnsiTheme="minorEastAsia" w:eastAsiaTheme="minorEastAsia" w:cstheme="minorEastAsia"/>
        </w:rPr>
      </w:pPr>
    </w:p>
    <w:tbl>
      <w:tblPr>
        <w:tblStyle w:val="22"/>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0"/>
        <w:gridCol w:w="1065"/>
        <w:gridCol w:w="4080"/>
        <w:gridCol w:w="3030"/>
      </w:tblGrid>
      <w:tr w14:paraId="695CC1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560" w:type="dxa"/>
            <w:vAlign w:val="top"/>
          </w:tcPr>
          <w:p w14:paraId="6E0684B3">
            <w:pPr>
              <w:keepNext w:val="0"/>
              <w:keepLines w:val="0"/>
              <w:pageBreakBefore w:val="0"/>
              <w:kinsoku/>
              <w:wordWrap w:val="0"/>
              <w:overflowPunct/>
              <w:topLinePunct w:val="0"/>
              <w:bidi w:val="0"/>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65" w:type="dxa"/>
            <w:vAlign w:val="top"/>
          </w:tcPr>
          <w:p w14:paraId="00BE15F3">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080" w:type="dxa"/>
            <w:vAlign w:val="top"/>
          </w:tcPr>
          <w:p w14:paraId="6ECA80C3">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030" w:type="dxa"/>
            <w:vAlign w:val="top"/>
          </w:tcPr>
          <w:p w14:paraId="566F3F0F">
            <w:pPr>
              <w:keepNext w:val="0"/>
              <w:keepLines w:val="0"/>
              <w:pageBreakBefore w:val="0"/>
              <w:kinsoku/>
              <w:wordWrap w:val="0"/>
              <w:overflowPunct/>
              <w:topLinePunct w:val="0"/>
              <w:bidi w:val="0"/>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14:paraId="6E9083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5" w:hRule="atLeast"/>
        </w:trPr>
        <w:tc>
          <w:tcPr>
            <w:tcW w:w="560" w:type="dxa"/>
            <w:vAlign w:val="center"/>
          </w:tcPr>
          <w:p w14:paraId="73A32069">
            <w:pPr>
              <w:pStyle w:val="23"/>
              <w:keepNext w:val="0"/>
              <w:keepLines w:val="0"/>
              <w:pageBreakBefore w:val="0"/>
              <w:kinsoku/>
              <w:wordWrap w:val="0"/>
              <w:overflowPunct/>
              <w:topLinePunct w:val="0"/>
              <w:bidi w:val="0"/>
              <w:spacing w:line="454" w:lineRule="auto"/>
              <w:jc w:val="center"/>
              <w:rPr>
                <w:rFonts w:hint="eastAsia" w:asciiTheme="minorEastAsia" w:hAnsiTheme="minorEastAsia" w:eastAsiaTheme="minorEastAsia" w:cstheme="minorEastAsia"/>
              </w:rPr>
            </w:pPr>
          </w:p>
          <w:p w14:paraId="0C9C7482">
            <w:pPr>
              <w:pStyle w:val="23"/>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65" w:type="dxa"/>
            <w:vAlign w:val="center"/>
          </w:tcPr>
          <w:p w14:paraId="6EC0A5D5">
            <w:pPr>
              <w:keepNext w:val="0"/>
              <w:keepLines w:val="0"/>
              <w:pageBreakBefore w:val="0"/>
              <w:kinsoku/>
              <w:wordWrap w:val="0"/>
              <w:overflowPunct/>
              <w:topLinePunct w:val="0"/>
              <w:bidi w:val="0"/>
              <w:spacing w:before="32" w:line="232" w:lineRule="auto"/>
              <w:ind w:left="112" w:right="10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征集</w:t>
            </w:r>
            <w:r>
              <w:rPr>
                <w:rFonts w:hint="eastAsia" w:asciiTheme="minorEastAsia" w:hAnsiTheme="minorEastAsia" w:eastAsiaTheme="minorEastAsia" w:cstheme="minorEastAsia"/>
                <w:spacing w:val="-2"/>
                <w:sz w:val="24"/>
                <w:szCs w:val="24"/>
                <w:lang w:eastAsia="zh-CN"/>
              </w:rPr>
              <w:t>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供应商具备的</w:t>
            </w:r>
            <w:r>
              <w:rPr>
                <w:rFonts w:hint="eastAsia" w:asciiTheme="minorEastAsia" w:hAnsiTheme="minorEastAsia" w:eastAsiaTheme="minorEastAsia" w:cstheme="minorEastAsia"/>
                <w:spacing w:val="-2"/>
                <w:sz w:val="24"/>
                <w:szCs w:val="24"/>
              </w:rPr>
              <w:t>资格要求</w:t>
            </w:r>
          </w:p>
        </w:tc>
        <w:tc>
          <w:tcPr>
            <w:tcW w:w="4080" w:type="dxa"/>
            <w:vAlign w:val="top"/>
          </w:tcPr>
          <w:p w14:paraId="6595DFEB">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14:paraId="58CA5815">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14:paraId="6145CE94">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14:paraId="77985BC7">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14:paraId="20C3DBE1">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5、参加政府采购活动前三年内，在经营活动中没有重大违法记录；</w:t>
            </w:r>
          </w:p>
          <w:p w14:paraId="5DC24ED1">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6、单位负责人为同一人或者存在直接控股、管理关系的不同供应商，不得参加同一合同项下的政府采购活动。提供承诺函，格式自拟；</w:t>
            </w:r>
          </w:p>
          <w:p w14:paraId="64E206EE">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根据《关于在政府采购活动中查询及使用信用记录有关问题的通知》(财库〔2016〕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14:paraId="01314E60">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8、遵守国家有关法律、法规、规章。</w:t>
            </w:r>
          </w:p>
          <w:p w14:paraId="3B1787B7">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9、符合《第三方机构预算绩效评价业务监督管理暂行办法》（财监[2021]4号）第二条、第七条规定，提供相应的资格证明材料及承诺函，格式自拟；</w:t>
            </w:r>
          </w:p>
          <w:p w14:paraId="687F0EAE">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9.1 第三方机构是指依法设立并向各级财政部门、预算部门和单位等管理、使用财政资金的主体（以下简称委托方）提供预算绩效评价服务，独立于委托方和预算绩效评价对象的组织，主要包括专业咨询机构、会计师事务所、资产评估机构、律师事务所、科研院所、高等院校等。</w:t>
            </w:r>
          </w:p>
          <w:p w14:paraId="18AE3BFC">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9.2 供应商拟派项目负责人（主评人）应符合《第三方机构预算绩效评价业务监督管理暂行办法》第七条规定：</w:t>
            </w:r>
          </w:p>
          <w:p w14:paraId="0FDB677F">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（1）遵守法律、行政法规和本办法的规定，具有良好的职业道德；</w:t>
            </w:r>
          </w:p>
          <w:p w14:paraId="66DDD06F">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（2）具有与预算绩效评价业务相适应的学历、能力；</w:t>
            </w:r>
          </w:p>
          <w:p w14:paraId="4CF3C99A">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（3）具备中高级职称或注册会计师、评估师、律师、内审师、注册造价工程师、注册咨询工程师等相关行业管理部门认可的专业资质；</w:t>
            </w:r>
          </w:p>
          <w:p w14:paraId="210C3AA2">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（4）具有5年以上工作经验，其中从事预算绩效评价工作3年以上；</w:t>
            </w:r>
          </w:p>
          <w:p w14:paraId="1DCB36A7">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（5）具有较强的政策理解、项目管理和沟通协调能力；</w:t>
            </w:r>
          </w:p>
          <w:p w14:paraId="5D2B700C">
            <w:pPr>
              <w:keepNext w:val="0"/>
              <w:keepLines w:val="0"/>
              <w:pageBreakBefore w:val="0"/>
              <w:kinsoku/>
              <w:wordWrap w:val="0"/>
              <w:overflowPunct/>
              <w:topLinePunct w:val="0"/>
              <w:bidi w:val="0"/>
              <w:spacing w:before="32" w:line="232" w:lineRule="auto"/>
              <w:ind w:left="112" w:right="105" w:firstLine="424"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napToGrid w:val="0"/>
                <w:color w:val="000000"/>
                <w:spacing w:val="-14"/>
                <w:kern w:val="0"/>
                <w:sz w:val="24"/>
                <w:szCs w:val="24"/>
                <w:lang w:val="en-US" w:eastAsia="zh-CN" w:bidi="ar-SA"/>
              </w:rPr>
              <w:t>（6）未被追究过刑事责任，或者从事评估、财务、会计、审计活动中因过失犯罪而受刑事处罚，刑罚执行期满逾5年。</w:t>
            </w:r>
          </w:p>
        </w:tc>
        <w:tc>
          <w:tcPr>
            <w:tcW w:w="3030" w:type="dxa"/>
            <w:vAlign w:val="top"/>
          </w:tcPr>
          <w:p w14:paraId="0E39FE40">
            <w:pPr>
              <w:keepNext w:val="0"/>
              <w:keepLines w:val="0"/>
              <w:pageBreakBefore w:val="0"/>
              <w:kinsoku/>
              <w:wordWrap w:val="0"/>
              <w:overflowPunct/>
              <w:topLinePunct w:val="0"/>
              <w:bidi w:val="0"/>
              <w:spacing w:before="32" w:line="232" w:lineRule="auto"/>
              <w:ind w:right="105" w:firstLine="472" w:firstLineChars="20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14:paraId="18C71AEB">
            <w:pPr>
              <w:keepNext w:val="0"/>
              <w:keepLines w:val="0"/>
              <w:pageBreakBefore w:val="0"/>
              <w:kinsoku/>
              <w:wordWrap w:val="0"/>
              <w:overflowPunct/>
              <w:topLinePunct w:val="0"/>
              <w:bidi w:val="0"/>
              <w:spacing w:before="32" w:line="232" w:lineRule="auto"/>
              <w:ind w:right="105" w:firstLine="472" w:firstLineChars="20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14:paraId="0D8C479E">
            <w:pPr>
              <w:keepNext w:val="0"/>
              <w:keepLines w:val="0"/>
              <w:pageBreakBefore w:val="0"/>
              <w:kinsoku/>
              <w:wordWrap w:val="0"/>
              <w:overflowPunct/>
              <w:topLinePunct w:val="0"/>
              <w:bidi w:val="0"/>
              <w:spacing w:before="32" w:line="232" w:lineRule="auto"/>
              <w:ind w:right="105" w:firstLine="472" w:firstLineChars="20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14:paraId="060B6D77">
            <w:pPr>
              <w:keepNext w:val="0"/>
              <w:keepLines w:val="0"/>
              <w:pageBreakBefore w:val="0"/>
              <w:kinsoku/>
              <w:wordWrap w:val="0"/>
              <w:overflowPunct/>
              <w:topLinePunct w:val="0"/>
              <w:bidi w:val="0"/>
              <w:spacing w:before="32" w:line="232" w:lineRule="auto"/>
              <w:ind w:right="105" w:firstLine="472" w:firstLineChars="200"/>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14:paraId="3F7342B7">
            <w:pPr>
              <w:keepNext w:val="0"/>
              <w:keepLines w:val="0"/>
              <w:pageBreakBefore w:val="0"/>
              <w:kinsoku/>
              <w:wordWrap w:val="0"/>
              <w:overflowPunct/>
              <w:topLinePunct w:val="0"/>
              <w:bidi w:val="0"/>
              <w:spacing w:before="32" w:line="232" w:lineRule="auto"/>
              <w:ind w:right="105" w:firstLine="472" w:firstLineChars="20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投标的，应提供该分支机构或其所属法人/其他组织的相应证明文件；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r>
    </w:tbl>
    <w:p w14:paraId="218C8550">
      <w:pPr>
        <w:keepNext w:val="0"/>
        <w:keepLines w:val="0"/>
        <w:pageBreakBefore w:val="0"/>
        <w:widowControl w:val="0"/>
        <w:kinsoku/>
        <w:wordWrap w:val="0"/>
        <w:overflowPunct/>
        <w:topLinePunct w:val="0"/>
        <w:autoSpaceDE w:val="0"/>
        <w:autoSpaceDN w:val="0"/>
        <w:bidi w:val="0"/>
        <w:adjustRightInd w:val="0"/>
        <w:snapToGrid/>
        <w:spacing w:line="360" w:lineRule="auto"/>
        <w:ind w:firstLine="482" w:firstLineChars="200"/>
        <w:jc w:val="both"/>
        <w:textAlignment w:val="auto"/>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1-5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确定入围</w:t>
      </w:r>
      <w:r>
        <w:rPr>
          <w:rFonts w:hint="eastAsia" w:asciiTheme="minorEastAsia" w:hAnsiTheme="minorEastAsia" w:eastAsiaTheme="minorEastAsia" w:cstheme="minorEastAsia"/>
          <w:b/>
          <w:bCs/>
          <w:sz w:val="24"/>
          <w:szCs w:val="24"/>
          <w:lang w:val="zh-CN" w:eastAsia="zh-CN"/>
        </w:rPr>
        <w:t>后，应将上述由信用承诺书替代的证明材料提交征集人或采购代理机构，证明材料将随公告一并公示。</w:t>
      </w:r>
    </w:p>
    <w:p w14:paraId="47784F12">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p>
    <w:p w14:paraId="014AEEC0">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三、评审小组</w:t>
      </w:r>
    </w:p>
    <w:p w14:paraId="063DFEB3">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highlight w:val="yellow"/>
          <w:lang w:val="en-US" w:eastAsia="zh-CN"/>
        </w:rPr>
      </w:pPr>
      <w:r>
        <w:rPr>
          <w:rFonts w:hint="eastAsia" w:asciiTheme="minorEastAsia" w:hAnsiTheme="minorEastAsia" w:eastAsiaTheme="minorEastAsia" w:cstheme="minorEastAsia"/>
          <w:spacing w:val="3"/>
          <w:sz w:val="24"/>
          <w:szCs w:val="24"/>
          <w:lang w:val="en-US" w:eastAsia="zh-CN"/>
        </w:rPr>
        <w:t>1.征集人、采购代理机构将根据《中华人民共和国政府采购法》的规定和采购项目的特点组建评审小组，本项目评审小组全部由评审专家组成，成员人数为5人。征集人应当从省级以上财政部门设立的政府采购评审专家库，通过随机方式抽取专家。</w:t>
      </w:r>
    </w:p>
    <w:p w14:paraId="5EC12F5C">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2.评审小组应当严格遵守评审纪律，现场签订评审委员会评审承诺书，并按照客观、公正、审慎的原则，根据采购文件规定的评审程序、评审方法和评审标准进行独立评审。</w:t>
      </w:r>
    </w:p>
    <w:p w14:paraId="492F8AE3">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3.评审小组应当在评审报告上签字，对自己评审意见承担法律责任。</w:t>
      </w:r>
    </w:p>
    <w:p w14:paraId="0F5ADF24">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4.评审专家未完成评审工作擅自离开评审现场，或者在评审活动中有违法违规行为的，不得获取劳务报酬和报销异地评审差旅费。评审专家以外的其他人员不得获取评审劳务报酬。</w:t>
      </w:r>
    </w:p>
    <w:p w14:paraId="0E21C9D6">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5.评审小组发现征集文件存在歧义、重大缺陷导致评审工作无法进行，或者征集文件内容违反国家有关强制性规定的，应当停止评审工作，与征集人或者采购代理机构沟通并作书面记录。征集人或者采购代理机构确认后，应当修改征集文件，重新组织采购活动。</w:t>
      </w:r>
    </w:p>
    <w:p w14:paraId="4FB7F512">
      <w:pPr>
        <w:keepNext w:val="0"/>
        <w:keepLines w:val="0"/>
        <w:pageBreakBefore w:val="0"/>
        <w:widowControl/>
        <w:kinsoku/>
        <w:wordWrap w:val="0"/>
        <w:overflowPunct/>
        <w:topLinePunct w:val="0"/>
        <w:autoSpaceDE w:val="0"/>
        <w:autoSpaceDN w:val="0"/>
        <w:bidi w:val="0"/>
        <w:adjustRightInd w:val="0"/>
        <w:snapToGrid w:val="0"/>
        <w:spacing w:line="360" w:lineRule="auto"/>
        <w:ind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6.评审小组或者其成员存在下列情形导致评审结果无效的，征集人、采购代理机构可以重新组建评审小组进行评审，并书面报告本级财政部门，但采购合同已经履行的除外：</w:t>
      </w:r>
    </w:p>
    <w:p w14:paraId="6CE8A4D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（1）评审小组组成不符合本办法规定的;</w:t>
      </w:r>
    </w:p>
    <w:p w14:paraId="07DE3EDF">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（2）政府采购货物和服务招标投标管理办法（87号令）第六十二条第一至五项情形的;</w:t>
      </w:r>
    </w:p>
    <w:p w14:paraId="6353F25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（3）评审小组及其成员独立评审受到非法干预的;</w:t>
      </w:r>
    </w:p>
    <w:p w14:paraId="3B577F1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（4）有政府采购法实施条例第七十五条规定的违法行为的。</w:t>
      </w:r>
    </w:p>
    <w:p w14:paraId="22CEB3E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有违法违规行为的原评审小组成员不得参加重新组建的评审小组。</w:t>
      </w:r>
    </w:p>
    <w:p w14:paraId="1B81640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left="0" w:leftChars="0" w:right="0" w:rightChars="0" w:firstLine="492" w:firstLineChars="200"/>
        <w:jc w:val="both"/>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napToGrid w:val="0"/>
          <w:color w:val="000000"/>
          <w:spacing w:val="3"/>
          <w:kern w:val="0"/>
          <w:sz w:val="24"/>
          <w:szCs w:val="24"/>
          <w:lang w:val="en-US" w:eastAsia="zh-CN" w:bidi="ar-SA"/>
        </w:rPr>
        <w:t>7.</w:t>
      </w: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评审活动结束，按照《河南省政府采购评审专家劳务报酬支付标准》的通知(豫财购〔2017〕9号)的规定，发放劳务报酬。</w:t>
      </w:r>
    </w:p>
    <w:p w14:paraId="37114E5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rPr>
          <w:rFonts w:hint="eastAsia" w:asciiTheme="minorEastAsia" w:hAnsiTheme="minorEastAsia" w:eastAsiaTheme="minorEastAsia" w:cstheme="minorEastAsia"/>
          <w:spacing w:val="3"/>
          <w:sz w:val="24"/>
          <w:szCs w:val="24"/>
          <w:lang w:val="en-US" w:eastAsia="zh-CN"/>
        </w:rPr>
      </w:pPr>
    </w:p>
    <w:p w14:paraId="07F8865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rPr>
          <w:rFonts w:hint="eastAsia" w:asciiTheme="minorEastAsia" w:hAnsiTheme="minorEastAsia" w:eastAsiaTheme="minorEastAsia" w:cstheme="minorEastAsia"/>
          <w:spacing w:val="3"/>
          <w:sz w:val="24"/>
          <w:szCs w:val="24"/>
          <w:lang w:val="en-US" w:eastAsia="zh-CN"/>
        </w:rPr>
      </w:pPr>
    </w:p>
    <w:p w14:paraId="3F8ADC1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rPr>
          <w:rFonts w:hint="eastAsia" w:asciiTheme="minorEastAsia" w:hAnsiTheme="minorEastAsia" w:eastAsiaTheme="minorEastAsia" w:cstheme="minorEastAsia"/>
          <w:spacing w:val="3"/>
          <w:sz w:val="24"/>
          <w:szCs w:val="24"/>
          <w:lang w:val="en-US" w:eastAsia="zh-CN"/>
        </w:rPr>
      </w:pPr>
    </w:p>
    <w:p w14:paraId="1817057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right="0" w:rightChars="0"/>
        <w:jc w:val="both"/>
        <w:textAlignment w:val="baseline"/>
        <w:rPr>
          <w:rFonts w:hint="eastAsia" w:asciiTheme="minorEastAsia" w:hAnsiTheme="minorEastAsia" w:eastAsiaTheme="minorEastAsia" w:cstheme="minorEastAsia"/>
          <w:spacing w:val="3"/>
          <w:sz w:val="24"/>
          <w:szCs w:val="24"/>
          <w:lang w:val="en-US" w:eastAsia="zh-CN"/>
        </w:rPr>
      </w:pPr>
    </w:p>
    <w:p w14:paraId="1FAE8BD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4" w:firstLineChars="200"/>
        <w:jc w:val="both"/>
        <w:textAlignment w:val="baseline"/>
        <w:rPr>
          <w:rFonts w:hint="eastAsia" w:asciiTheme="minorEastAsia" w:hAnsiTheme="minorEastAsia" w:eastAsiaTheme="minorEastAsia" w:cstheme="minorEastAsia"/>
          <w:b/>
          <w:bCs/>
          <w:spacing w:val="3"/>
          <w:sz w:val="24"/>
          <w:szCs w:val="24"/>
          <w:lang w:val="en-US" w:eastAsia="zh-CN"/>
        </w:rPr>
      </w:pPr>
    </w:p>
    <w:p w14:paraId="4B037D1B">
      <w:pPr>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b/>
          <w:bCs/>
          <w:spacing w:val="3"/>
          <w:sz w:val="24"/>
          <w:szCs w:val="24"/>
          <w:lang w:val="en-US" w:eastAsia="zh-CN"/>
        </w:rPr>
      </w:pPr>
      <w:r>
        <w:rPr>
          <w:rFonts w:hint="eastAsia" w:asciiTheme="minorEastAsia" w:hAnsiTheme="minorEastAsia" w:eastAsiaTheme="minorEastAsia" w:cstheme="minorEastAsia"/>
          <w:b/>
          <w:bCs/>
          <w:spacing w:val="3"/>
          <w:sz w:val="24"/>
          <w:szCs w:val="24"/>
          <w:lang w:val="en-US" w:eastAsia="zh-CN"/>
        </w:rPr>
        <w:t>四、响应文件的审查</w:t>
      </w:r>
    </w:p>
    <w:p w14:paraId="48C91D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lang w:eastAsia="zh-CN"/>
        </w:rPr>
        <w:t>响应文件</w:t>
      </w:r>
      <w:r>
        <w:rPr>
          <w:rFonts w:hint="eastAsia" w:asciiTheme="minorEastAsia" w:hAnsiTheme="minorEastAsia" w:eastAsiaTheme="minorEastAsia" w:cstheme="minorEastAsia"/>
          <w:sz w:val="24"/>
          <w:szCs w:val="24"/>
        </w:rPr>
        <w:t>的符合性审查</w:t>
      </w:r>
    </w:p>
    <w:p w14:paraId="2AC04AB1">
      <w:pPr>
        <w:ind w:firstLine="488" w:firstLineChars="200"/>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rPr>
        <w:t>1.1</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评审小组</w:t>
      </w:r>
      <w:r>
        <w:rPr>
          <w:rFonts w:hint="eastAsia" w:asciiTheme="minorEastAsia" w:hAnsiTheme="minorEastAsia" w:eastAsiaTheme="minorEastAsia" w:cstheme="minorEastAsia"/>
          <w:spacing w:val="2"/>
          <w:position w:val="17"/>
          <w:sz w:val="24"/>
          <w:szCs w:val="24"/>
        </w:rPr>
        <w:t>对资格审查合格的</w:t>
      </w:r>
      <w:r>
        <w:rPr>
          <w:rFonts w:hint="eastAsia" w:asciiTheme="minorEastAsia" w:hAnsiTheme="minorEastAsia" w:eastAsiaTheme="minorEastAsia" w:cstheme="minorEastAsia"/>
          <w:spacing w:val="2"/>
          <w:position w:val="17"/>
          <w:sz w:val="24"/>
          <w:szCs w:val="24"/>
          <w:lang w:eastAsia="zh-CN"/>
        </w:rPr>
        <w:t>供应商</w:t>
      </w:r>
      <w:r>
        <w:rPr>
          <w:rFonts w:hint="eastAsia" w:asciiTheme="minorEastAsia" w:hAnsiTheme="minorEastAsia" w:eastAsiaTheme="minorEastAsia" w:cstheme="minorEastAsia"/>
          <w:spacing w:val="2"/>
          <w:position w:val="17"/>
          <w:sz w:val="24"/>
          <w:szCs w:val="24"/>
        </w:rPr>
        <w:t>的</w:t>
      </w:r>
      <w:r>
        <w:rPr>
          <w:rFonts w:hint="eastAsia" w:asciiTheme="minorEastAsia" w:hAnsiTheme="minorEastAsia" w:eastAsiaTheme="minorEastAsia" w:cstheme="minorEastAsia"/>
          <w:spacing w:val="2"/>
          <w:position w:val="17"/>
          <w:sz w:val="24"/>
          <w:szCs w:val="24"/>
          <w:lang w:eastAsia="zh-CN"/>
        </w:rPr>
        <w:t>响应文件</w:t>
      </w:r>
      <w:r>
        <w:rPr>
          <w:rFonts w:hint="eastAsia" w:asciiTheme="minorEastAsia" w:hAnsiTheme="minorEastAsia" w:eastAsiaTheme="minorEastAsia" w:cstheme="minorEastAsia"/>
          <w:spacing w:val="2"/>
          <w:position w:val="17"/>
          <w:sz w:val="24"/>
          <w:szCs w:val="24"/>
        </w:rPr>
        <w:t>进行符合性审查，以确</w:t>
      </w:r>
      <w:r>
        <w:rPr>
          <w:rFonts w:hint="eastAsia" w:asciiTheme="minorEastAsia" w:hAnsiTheme="minorEastAsia" w:eastAsiaTheme="minorEastAsia" w:cstheme="minorEastAsia"/>
          <w:spacing w:val="2"/>
          <w:position w:val="17"/>
          <w:sz w:val="24"/>
          <w:szCs w:val="24"/>
          <w:lang w:val="en-US" w:eastAsia="zh-CN"/>
        </w:rPr>
        <w:t>定其是否满足征集文件的实质性要求。</w:t>
      </w:r>
    </w:p>
    <w:p w14:paraId="67CCAC5F">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rPr>
        <w:t>1.2</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评审小组</w:t>
      </w:r>
      <w:r>
        <w:rPr>
          <w:rFonts w:hint="eastAsia" w:asciiTheme="minorEastAsia" w:hAnsiTheme="minorEastAsia" w:eastAsiaTheme="minorEastAsia" w:cstheme="minorEastAsia"/>
          <w:spacing w:val="2"/>
          <w:position w:val="17"/>
          <w:sz w:val="24"/>
          <w:szCs w:val="24"/>
        </w:rPr>
        <w:t>根据《符合性审查要求》中规定的审查因素和审查内容，对</w:t>
      </w:r>
      <w:r>
        <w:rPr>
          <w:rFonts w:hint="eastAsia" w:asciiTheme="minorEastAsia" w:hAnsiTheme="minorEastAsia" w:eastAsiaTheme="minorEastAsia" w:cstheme="minorEastAsia"/>
          <w:spacing w:val="2"/>
          <w:position w:val="17"/>
          <w:sz w:val="24"/>
          <w:szCs w:val="24"/>
          <w:lang w:eastAsia="zh-CN"/>
        </w:rPr>
        <w:t>供应商</w:t>
      </w:r>
      <w:r>
        <w:rPr>
          <w:rFonts w:hint="eastAsia" w:asciiTheme="minorEastAsia" w:hAnsiTheme="minorEastAsia" w:eastAsiaTheme="minorEastAsia" w:cstheme="minorEastAsia"/>
          <w:spacing w:val="2"/>
          <w:position w:val="17"/>
          <w:sz w:val="24"/>
          <w:szCs w:val="24"/>
        </w:rPr>
        <w:t>的</w:t>
      </w:r>
      <w:r>
        <w:rPr>
          <w:rFonts w:hint="eastAsia" w:asciiTheme="minorEastAsia" w:hAnsiTheme="minorEastAsia" w:eastAsiaTheme="minorEastAsia" w:cstheme="minorEastAsia"/>
          <w:spacing w:val="2"/>
          <w:position w:val="17"/>
          <w:sz w:val="24"/>
          <w:szCs w:val="24"/>
          <w:lang w:eastAsia="zh-CN"/>
        </w:rPr>
        <w:t>响应文件</w:t>
      </w:r>
      <w:r>
        <w:rPr>
          <w:rFonts w:hint="eastAsia" w:asciiTheme="minorEastAsia" w:hAnsiTheme="minorEastAsia" w:eastAsiaTheme="minorEastAsia" w:cstheme="minorEastAsia"/>
          <w:spacing w:val="2"/>
          <w:position w:val="17"/>
          <w:sz w:val="24"/>
          <w:szCs w:val="24"/>
        </w:rPr>
        <w:t>是否实质上响应</w:t>
      </w:r>
      <w:r>
        <w:rPr>
          <w:rFonts w:hint="eastAsia" w:asciiTheme="minorEastAsia" w:hAnsiTheme="minorEastAsia" w:eastAsiaTheme="minorEastAsia" w:cstheme="minorEastAsia"/>
          <w:spacing w:val="2"/>
          <w:position w:val="17"/>
          <w:sz w:val="24"/>
          <w:szCs w:val="24"/>
          <w:lang w:eastAsia="zh-CN"/>
        </w:rPr>
        <w:t>征集文件</w:t>
      </w:r>
      <w:r>
        <w:rPr>
          <w:rFonts w:hint="eastAsia" w:asciiTheme="minorEastAsia" w:hAnsiTheme="minorEastAsia" w:eastAsiaTheme="minorEastAsia" w:cstheme="minorEastAsia"/>
          <w:spacing w:val="2"/>
          <w:position w:val="17"/>
          <w:sz w:val="24"/>
          <w:szCs w:val="24"/>
        </w:rPr>
        <w:t>进行符合性审查，并形成符合性审查评审结果。</w:t>
      </w:r>
      <w:r>
        <w:rPr>
          <w:rFonts w:hint="eastAsia" w:asciiTheme="minorEastAsia" w:hAnsiTheme="minorEastAsia" w:eastAsiaTheme="minorEastAsia" w:cstheme="minorEastAsia"/>
          <w:spacing w:val="2"/>
          <w:position w:val="17"/>
          <w:sz w:val="24"/>
          <w:szCs w:val="24"/>
          <w:lang w:eastAsia="zh-CN"/>
        </w:rPr>
        <w:t>供应商</w:t>
      </w:r>
      <w:r>
        <w:rPr>
          <w:rFonts w:hint="eastAsia" w:asciiTheme="minorEastAsia" w:hAnsiTheme="minorEastAsia" w:eastAsiaTheme="minorEastAsia" w:cstheme="minorEastAsia"/>
          <w:spacing w:val="2"/>
          <w:position w:val="17"/>
          <w:sz w:val="24"/>
          <w:szCs w:val="24"/>
        </w:rPr>
        <w:t>《商务技术文件》有任何一项不符合《符合性审查要求》要求的，</w:t>
      </w:r>
      <w:r>
        <w:rPr>
          <w:rFonts w:hint="eastAsia" w:asciiTheme="minorEastAsia" w:hAnsiTheme="minorEastAsia" w:eastAsiaTheme="minorEastAsia" w:cstheme="minorEastAsia"/>
          <w:spacing w:val="2"/>
          <w:position w:val="17"/>
          <w:sz w:val="24"/>
          <w:szCs w:val="24"/>
          <w:lang w:eastAsia="zh-CN"/>
        </w:rPr>
        <w:t>响应</w:t>
      </w:r>
      <w:r>
        <w:rPr>
          <w:rFonts w:hint="eastAsia" w:asciiTheme="minorEastAsia" w:hAnsiTheme="minorEastAsia" w:eastAsiaTheme="minorEastAsia" w:cstheme="minorEastAsia"/>
          <w:spacing w:val="2"/>
          <w:position w:val="17"/>
          <w:sz w:val="24"/>
          <w:szCs w:val="24"/>
        </w:rPr>
        <w:t>无效。</w:t>
      </w:r>
    </w:p>
    <w:p w14:paraId="2ED68F6A">
      <w:pPr>
        <w:pStyle w:val="5"/>
        <w:keepNext w:val="0"/>
        <w:keepLines w:val="0"/>
        <w:pageBreakBefore w:val="0"/>
        <w:kinsoku/>
        <w:wordWrap w:val="0"/>
        <w:overflowPunct/>
        <w:topLinePunct w:val="0"/>
        <w:bidi w:val="0"/>
        <w:spacing w:before="178" w:line="220" w:lineRule="auto"/>
        <w:ind w:left="364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符合性审查要求</w:t>
      </w:r>
    </w:p>
    <w:p w14:paraId="4D2E8379">
      <w:pPr>
        <w:keepNext w:val="0"/>
        <w:keepLines w:val="0"/>
        <w:pageBreakBefore w:val="0"/>
        <w:kinsoku/>
        <w:wordWrap w:val="0"/>
        <w:overflowPunct/>
        <w:topLinePunct w:val="0"/>
        <w:bidi w:val="0"/>
        <w:spacing w:line="145" w:lineRule="exact"/>
        <w:jc w:val="both"/>
        <w:rPr>
          <w:rFonts w:hint="eastAsia" w:asciiTheme="minorEastAsia" w:hAnsiTheme="minorEastAsia" w:eastAsiaTheme="minorEastAsia" w:cstheme="minorEastAsia"/>
        </w:rPr>
      </w:pPr>
    </w:p>
    <w:tbl>
      <w:tblPr>
        <w:tblStyle w:val="22"/>
        <w:tblW w:w="8288" w:type="dxa"/>
        <w:tblInd w:w="7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5"/>
        <w:gridCol w:w="1812"/>
        <w:gridCol w:w="5791"/>
      </w:tblGrid>
      <w:tr w14:paraId="50A56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1" w:hRule="atLeast"/>
        </w:trPr>
        <w:tc>
          <w:tcPr>
            <w:tcW w:w="685" w:type="dxa"/>
            <w:vAlign w:val="top"/>
          </w:tcPr>
          <w:p w14:paraId="57418DC0">
            <w:pPr>
              <w:keepNext w:val="0"/>
              <w:keepLines w:val="0"/>
              <w:pageBreakBefore w:val="0"/>
              <w:kinsoku/>
              <w:wordWrap w:val="0"/>
              <w:overflowPunct/>
              <w:topLinePunct w:val="0"/>
              <w:bidi w:val="0"/>
              <w:spacing w:before="41" w:line="207" w:lineRule="auto"/>
              <w:ind w:left="14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812" w:type="dxa"/>
            <w:vAlign w:val="top"/>
          </w:tcPr>
          <w:p w14:paraId="2E5B4A57">
            <w:pPr>
              <w:keepNext w:val="0"/>
              <w:keepLines w:val="0"/>
              <w:pageBreakBefore w:val="0"/>
              <w:kinsoku/>
              <w:wordWrap w:val="0"/>
              <w:overflowPunct/>
              <w:topLinePunct w:val="0"/>
              <w:bidi w:val="0"/>
              <w:spacing w:before="41" w:line="207" w:lineRule="auto"/>
              <w:ind w:left="43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5791" w:type="dxa"/>
            <w:vAlign w:val="top"/>
          </w:tcPr>
          <w:p w14:paraId="28A31CA6">
            <w:pPr>
              <w:keepNext w:val="0"/>
              <w:keepLines w:val="0"/>
              <w:pageBreakBefore w:val="0"/>
              <w:kinsoku/>
              <w:wordWrap w:val="0"/>
              <w:overflowPunct/>
              <w:topLinePunct w:val="0"/>
              <w:bidi w:val="0"/>
              <w:spacing w:before="41" w:line="207" w:lineRule="auto"/>
              <w:ind w:left="289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r>
      <w:tr w14:paraId="24F36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69A69B6">
            <w:pPr>
              <w:pStyle w:val="23"/>
              <w:keepNext w:val="0"/>
              <w:keepLines w:val="0"/>
              <w:pageBreakBefore w:val="0"/>
              <w:kinsoku/>
              <w:wordWrap w:val="0"/>
              <w:overflowPunct/>
              <w:topLinePunct w:val="0"/>
              <w:bidi w:val="0"/>
              <w:spacing w:before="245" w:line="199" w:lineRule="auto"/>
              <w:ind w:left="32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812" w:type="dxa"/>
            <w:vAlign w:val="center"/>
          </w:tcPr>
          <w:p w14:paraId="57CA786F">
            <w:pPr>
              <w:keepNext w:val="0"/>
              <w:keepLines w:val="0"/>
              <w:pageBreakBefore w:val="0"/>
              <w:kinsoku/>
              <w:wordWrap w:val="0"/>
              <w:overflowPunct/>
              <w:topLinePunct w:val="0"/>
              <w:bidi w:val="0"/>
              <w:spacing w:before="222" w:line="219" w:lineRule="auto"/>
              <w:ind w:left="11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授权委托书</w:t>
            </w:r>
          </w:p>
        </w:tc>
        <w:tc>
          <w:tcPr>
            <w:tcW w:w="5791" w:type="dxa"/>
            <w:vAlign w:val="top"/>
          </w:tcPr>
          <w:p w14:paraId="78C672F6">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按</w:t>
            </w:r>
            <w:r>
              <w:rPr>
                <w:rFonts w:hint="eastAsia" w:asciiTheme="minorEastAsia" w:hAnsiTheme="minorEastAsia" w:eastAsiaTheme="minorEastAsia" w:cstheme="minorEastAsia"/>
                <w:spacing w:val="-3"/>
                <w:sz w:val="24"/>
                <w:szCs w:val="24"/>
                <w:lang w:eastAsia="zh-CN"/>
              </w:rPr>
              <w:t>征集文件</w:t>
            </w:r>
            <w:r>
              <w:rPr>
                <w:rFonts w:hint="eastAsia" w:asciiTheme="minorEastAsia" w:hAnsiTheme="minorEastAsia" w:eastAsiaTheme="minorEastAsia" w:cstheme="minorEastAsia"/>
                <w:spacing w:val="-3"/>
                <w:sz w:val="24"/>
                <w:szCs w:val="24"/>
              </w:rPr>
              <w:t>要求</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供授权委托书</w:t>
            </w:r>
            <w:r>
              <w:rPr>
                <w:rFonts w:hint="eastAsia" w:asciiTheme="minorEastAsia" w:hAnsiTheme="minorEastAsia" w:eastAsiaTheme="minorEastAsia" w:cstheme="minorEastAsia"/>
                <w:spacing w:val="-3"/>
                <w:sz w:val="24"/>
                <w:szCs w:val="24"/>
                <w:lang w:eastAsia="zh-CN"/>
              </w:rPr>
              <w:t>。</w:t>
            </w:r>
          </w:p>
        </w:tc>
      </w:tr>
      <w:tr w14:paraId="2683E1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685" w:type="dxa"/>
            <w:vAlign w:val="center"/>
          </w:tcPr>
          <w:p w14:paraId="0D7B64F3">
            <w:pPr>
              <w:pStyle w:val="23"/>
              <w:keepNext w:val="0"/>
              <w:keepLines w:val="0"/>
              <w:pageBreakBefore w:val="0"/>
              <w:kinsoku/>
              <w:wordWrap w:val="0"/>
              <w:overflowPunct/>
              <w:topLinePunct w:val="0"/>
              <w:bidi w:val="0"/>
              <w:spacing w:before="244" w:line="201" w:lineRule="auto"/>
              <w:ind w:left="315"/>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w:t>
            </w:r>
          </w:p>
        </w:tc>
        <w:tc>
          <w:tcPr>
            <w:tcW w:w="1812" w:type="dxa"/>
            <w:vAlign w:val="center"/>
          </w:tcPr>
          <w:p w14:paraId="50A5F0CE">
            <w:pPr>
              <w:keepNext w:val="0"/>
              <w:keepLines w:val="0"/>
              <w:pageBreakBefore w:val="0"/>
              <w:kinsoku/>
              <w:wordWrap w:val="0"/>
              <w:overflowPunct/>
              <w:topLinePunct w:val="0"/>
              <w:bidi w:val="0"/>
              <w:spacing w:before="223" w:line="220"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完整性</w:t>
            </w:r>
          </w:p>
        </w:tc>
        <w:tc>
          <w:tcPr>
            <w:tcW w:w="5791" w:type="dxa"/>
            <w:vAlign w:val="center"/>
          </w:tcPr>
          <w:p w14:paraId="066AEEBD">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未将一个采购包中的内容拆分</w:t>
            </w:r>
            <w:r>
              <w:rPr>
                <w:rFonts w:hint="eastAsia" w:asciiTheme="minorEastAsia" w:hAnsiTheme="minorEastAsia" w:eastAsiaTheme="minorEastAsia" w:cstheme="minorEastAsia"/>
                <w:spacing w:val="-3"/>
                <w:sz w:val="24"/>
                <w:szCs w:val="24"/>
                <w:lang w:eastAsia="zh-CN"/>
              </w:rPr>
              <w:t>响应</w:t>
            </w:r>
            <w:r>
              <w:rPr>
                <w:rFonts w:hint="eastAsia" w:asciiTheme="minorEastAsia" w:hAnsiTheme="minorEastAsia" w:eastAsiaTheme="minorEastAsia" w:cstheme="minorEastAsia"/>
                <w:spacing w:val="-3"/>
                <w:sz w:val="24"/>
                <w:szCs w:val="24"/>
              </w:rPr>
              <w:t>；</w:t>
            </w:r>
          </w:p>
          <w:p w14:paraId="46392122">
            <w:pPr>
              <w:keepNext w:val="0"/>
              <w:keepLines w:val="0"/>
              <w:pageBreakBefore w:val="0"/>
              <w:kinsoku/>
              <w:wordWrap w:val="0"/>
              <w:overflowPunct/>
              <w:topLinePunct w:val="0"/>
              <w:bidi w:val="0"/>
              <w:spacing w:before="222" w:line="184" w:lineRule="auto"/>
              <w:ind w:left="1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供应商对所投征集文件中所列的所有内容进行响应。</w:t>
            </w:r>
          </w:p>
        </w:tc>
      </w:tr>
      <w:tr w14:paraId="7D525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75679D9C">
            <w:pPr>
              <w:pStyle w:val="23"/>
              <w:keepNext w:val="0"/>
              <w:keepLines w:val="0"/>
              <w:pageBreakBefore w:val="0"/>
              <w:kinsoku/>
              <w:wordWrap w:val="0"/>
              <w:overflowPunct/>
              <w:topLinePunct w:val="0"/>
              <w:bidi w:val="0"/>
              <w:spacing w:before="245" w:line="201"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812" w:type="dxa"/>
            <w:vAlign w:val="center"/>
          </w:tcPr>
          <w:p w14:paraId="31073A30">
            <w:pPr>
              <w:keepNext w:val="0"/>
              <w:keepLines w:val="0"/>
              <w:pageBreakBefore w:val="0"/>
              <w:kinsoku/>
              <w:wordWrap w:val="0"/>
              <w:overflowPunct/>
              <w:topLinePunct w:val="0"/>
              <w:bidi w:val="0"/>
              <w:spacing w:before="221" w:line="219"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响应</w:t>
            </w:r>
            <w:r>
              <w:rPr>
                <w:rFonts w:hint="eastAsia" w:asciiTheme="minorEastAsia" w:hAnsiTheme="minorEastAsia" w:eastAsiaTheme="minorEastAsia" w:cstheme="minorEastAsia"/>
                <w:spacing w:val="-3"/>
                <w:sz w:val="24"/>
                <w:szCs w:val="24"/>
              </w:rPr>
              <w:t>报价</w:t>
            </w:r>
          </w:p>
        </w:tc>
        <w:tc>
          <w:tcPr>
            <w:tcW w:w="5791" w:type="dxa"/>
            <w:vAlign w:val="top"/>
          </w:tcPr>
          <w:p w14:paraId="7B99B554">
            <w:pPr>
              <w:pStyle w:val="23"/>
              <w:keepNext w:val="0"/>
              <w:keepLines w:val="0"/>
              <w:pageBreakBefore w:val="0"/>
              <w:kinsoku/>
              <w:wordWrap w:val="0"/>
              <w:overflowPunct/>
              <w:topLinePunct w:val="0"/>
              <w:bidi w:val="0"/>
              <w:spacing w:before="69" w:line="228" w:lineRule="auto"/>
              <w:ind w:left="117" w:right="29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报价未超过</w:t>
            </w:r>
            <w:r>
              <w:rPr>
                <w:rFonts w:hint="eastAsia" w:asciiTheme="minorEastAsia" w:hAnsiTheme="minorEastAsia" w:eastAsiaTheme="minorEastAsia" w:cstheme="minorEastAsia"/>
                <w:sz w:val="24"/>
                <w:szCs w:val="24"/>
                <w:lang w:eastAsia="zh-CN"/>
              </w:rPr>
              <w:t>征集文件</w:t>
            </w:r>
            <w:r>
              <w:rPr>
                <w:rFonts w:hint="eastAsia" w:asciiTheme="minorEastAsia" w:hAnsiTheme="minorEastAsia" w:eastAsiaTheme="minorEastAsia" w:cstheme="minorEastAsia"/>
                <w:sz w:val="24"/>
                <w:szCs w:val="24"/>
              </w:rPr>
              <w:t>中规定的项目/采购包预算金额或者</w:t>
            </w:r>
            <w:r>
              <w:rPr>
                <w:rFonts w:hint="eastAsia" w:asciiTheme="minorEastAsia" w:hAnsiTheme="minorEastAsia" w:eastAsiaTheme="minorEastAsia" w:cstheme="minorEastAsia"/>
                <w:spacing w:val="-5"/>
                <w:sz w:val="24"/>
                <w:szCs w:val="24"/>
              </w:rPr>
              <w:t>项目/采购包最高限价</w:t>
            </w:r>
            <w:r>
              <w:rPr>
                <w:rFonts w:hint="eastAsia" w:asciiTheme="minorEastAsia" w:hAnsiTheme="minorEastAsia" w:eastAsiaTheme="minorEastAsia" w:cstheme="minorEastAsia"/>
                <w:spacing w:val="-5"/>
                <w:sz w:val="24"/>
                <w:szCs w:val="24"/>
                <w:lang w:eastAsia="zh-CN"/>
              </w:rPr>
              <w:t>。</w:t>
            </w:r>
          </w:p>
        </w:tc>
      </w:tr>
      <w:tr w14:paraId="5909B3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43C2087B">
            <w:pPr>
              <w:pStyle w:val="23"/>
              <w:keepNext w:val="0"/>
              <w:keepLines w:val="0"/>
              <w:pageBreakBefore w:val="0"/>
              <w:kinsoku/>
              <w:wordWrap w:val="0"/>
              <w:overflowPunct/>
              <w:topLinePunct w:val="0"/>
              <w:bidi w:val="0"/>
              <w:spacing w:before="247" w:line="199" w:lineRule="auto"/>
              <w:ind w:left="309"/>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4</w:t>
            </w:r>
          </w:p>
        </w:tc>
        <w:tc>
          <w:tcPr>
            <w:tcW w:w="1812" w:type="dxa"/>
            <w:vAlign w:val="center"/>
          </w:tcPr>
          <w:p w14:paraId="38A55F71">
            <w:pPr>
              <w:keepNext w:val="0"/>
              <w:keepLines w:val="0"/>
              <w:pageBreakBefore w:val="0"/>
              <w:kinsoku/>
              <w:wordWrap w:val="0"/>
              <w:overflowPunct/>
              <w:topLinePunct w:val="0"/>
              <w:bidi w:val="0"/>
              <w:spacing w:before="223" w:line="219" w:lineRule="auto"/>
              <w:ind w:left="1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报价唯一性</w:t>
            </w:r>
          </w:p>
        </w:tc>
        <w:tc>
          <w:tcPr>
            <w:tcW w:w="5791" w:type="dxa"/>
            <w:vAlign w:val="top"/>
          </w:tcPr>
          <w:p w14:paraId="5F212800">
            <w:pPr>
              <w:keepNext w:val="0"/>
              <w:keepLines w:val="0"/>
              <w:pageBreakBefore w:val="0"/>
              <w:kinsoku/>
              <w:wordWrap w:val="0"/>
              <w:overflowPunct/>
              <w:topLinePunct w:val="0"/>
              <w:bidi w:val="0"/>
              <w:spacing w:before="68" w:line="230" w:lineRule="auto"/>
              <w:ind w:left="133" w:right="136" w:hanging="1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响应文件</w:t>
            </w:r>
            <w:r>
              <w:rPr>
                <w:rFonts w:hint="eastAsia" w:asciiTheme="minorEastAsia" w:hAnsiTheme="minorEastAsia" w:eastAsiaTheme="minorEastAsia" w:cstheme="minorEastAsia"/>
                <w:spacing w:val="-1"/>
                <w:sz w:val="24"/>
                <w:szCs w:val="24"/>
              </w:rPr>
              <w:t>未出现可选择性或可调整的报价（</w:t>
            </w:r>
            <w:r>
              <w:rPr>
                <w:rFonts w:hint="eastAsia" w:asciiTheme="minorEastAsia" w:hAnsiTheme="minorEastAsia" w:eastAsiaTheme="minorEastAsia" w:cstheme="minorEastAsia"/>
                <w:spacing w:val="-1"/>
                <w:sz w:val="24"/>
                <w:szCs w:val="24"/>
                <w:lang w:eastAsia="zh-CN"/>
              </w:rPr>
              <w:t>征集文件</w:t>
            </w:r>
            <w:r>
              <w:rPr>
                <w:rFonts w:hint="eastAsia" w:asciiTheme="minorEastAsia" w:hAnsiTheme="minorEastAsia" w:eastAsiaTheme="minorEastAsia" w:cstheme="minorEastAsia"/>
                <w:spacing w:val="-1"/>
                <w:sz w:val="24"/>
                <w:szCs w:val="24"/>
              </w:rPr>
              <w:t>另有规定</w:t>
            </w:r>
            <w:r>
              <w:rPr>
                <w:rFonts w:hint="eastAsia" w:asciiTheme="minorEastAsia" w:hAnsiTheme="minorEastAsia" w:eastAsiaTheme="minorEastAsia" w:cstheme="minorEastAsia"/>
                <w:spacing w:val="-17"/>
                <w:sz w:val="24"/>
                <w:szCs w:val="24"/>
              </w:rPr>
              <w:t>的除外</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w:t>
            </w:r>
          </w:p>
        </w:tc>
      </w:tr>
      <w:tr w14:paraId="0C52B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56BF1876">
            <w:pPr>
              <w:pStyle w:val="23"/>
              <w:keepNext w:val="0"/>
              <w:keepLines w:val="0"/>
              <w:pageBreakBefore w:val="0"/>
              <w:kinsoku/>
              <w:wordWrap w:val="0"/>
              <w:overflowPunct/>
              <w:topLinePunct w:val="0"/>
              <w:bidi w:val="0"/>
              <w:spacing w:before="248" w:line="199" w:lineRule="auto"/>
              <w:ind w:left="31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1812" w:type="dxa"/>
            <w:vAlign w:val="center"/>
          </w:tcPr>
          <w:p w14:paraId="65E47FE6">
            <w:pPr>
              <w:keepNext w:val="0"/>
              <w:keepLines w:val="0"/>
              <w:pageBreakBefore w:val="0"/>
              <w:kinsoku/>
              <w:wordWrap w:val="0"/>
              <w:overflowPunct/>
              <w:topLinePunct w:val="0"/>
              <w:bidi w:val="0"/>
              <w:spacing w:before="222" w:line="221" w:lineRule="auto"/>
              <w:ind w:left="11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有效期</w:t>
            </w:r>
          </w:p>
        </w:tc>
        <w:tc>
          <w:tcPr>
            <w:tcW w:w="5791" w:type="dxa"/>
            <w:vAlign w:val="top"/>
          </w:tcPr>
          <w:p w14:paraId="140107F2">
            <w:pPr>
              <w:keepNext w:val="0"/>
              <w:keepLines w:val="0"/>
              <w:pageBreakBefore w:val="0"/>
              <w:kinsoku/>
              <w:wordWrap w:val="0"/>
              <w:overflowPunct/>
              <w:topLinePunct w:val="0"/>
              <w:bidi w:val="0"/>
              <w:spacing w:before="70" w:line="229" w:lineRule="auto"/>
              <w:ind w:left="117"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响应文件</w:t>
            </w:r>
            <w:r>
              <w:rPr>
                <w:rFonts w:hint="eastAsia" w:asciiTheme="minorEastAsia" w:hAnsiTheme="minorEastAsia" w:eastAsiaTheme="minorEastAsia" w:cstheme="minorEastAsia"/>
                <w:spacing w:val="-1"/>
                <w:sz w:val="24"/>
                <w:szCs w:val="24"/>
              </w:rPr>
              <w:t>中承诺的</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有效期满足</w:t>
            </w:r>
            <w:r>
              <w:rPr>
                <w:rFonts w:hint="eastAsia" w:asciiTheme="minorEastAsia" w:hAnsiTheme="minorEastAsia" w:eastAsiaTheme="minorEastAsia" w:cstheme="minorEastAsia"/>
                <w:spacing w:val="-1"/>
                <w:sz w:val="24"/>
                <w:szCs w:val="24"/>
                <w:lang w:eastAsia="zh-CN"/>
              </w:rPr>
              <w:t>征集文件</w:t>
            </w:r>
            <w:r>
              <w:rPr>
                <w:rFonts w:hint="eastAsia" w:asciiTheme="minorEastAsia" w:hAnsiTheme="minorEastAsia" w:eastAsiaTheme="minorEastAsia" w:cstheme="minorEastAsia"/>
                <w:spacing w:val="-1"/>
                <w:sz w:val="24"/>
                <w:szCs w:val="24"/>
              </w:rPr>
              <w:t>中载明的</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有效</w:t>
            </w:r>
            <w:r>
              <w:rPr>
                <w:rFonts w:hint="eastAsia" w:asciiTheme="minorEastAsia" w:hAnsiTheme="minorEastAsia" w:eastAsiaTheme="minorEastAsia" w:cstheme="minorEastAsia"/>
                <w:spacing w:val="-15"/>
                <w:sz w:val="24"/>
                <w:szCs w:val="24"/>
              </w:rPr>
              <w:t>期的</w:t>
            </w:r>
            <w:r>
              <w:rPr>
                <w:rFonts w:hint="eastAsia" w:asciiTheme="minorEastAsia" w:hAnsiTheme="minorEastAsia" w:eastAsiaTheme="minorEastAsia" w:cstheme="minorEastAsia"/>
                <w:spacing w:val="-15"/>
                <w:sz w:val="24"/>
                <w:szCs w:val="24"/>
                <w:lang w:eastAsia="zh-CN"/>
              </w:rPr>
              <w:t>。</w:t>
            </w:r>
          </w:p>
        </w:tc>
      </w:tr>
      <w:tr w14:paraId="784356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top"/>
          </w:tcPr>
          <w:p w14:paraId="76589EA9">
            <w:pPr>
              <w:pStyle w:val="23"/>
              <w:keepNext w:val="0"/>
              <w:keepLines w:val="0"/>
              <w:pageBreakBefore w:val="0"/>
              <w:kinsoku/>
              <w:wordWrap w:val="0"/>
              <w:overflowPunct/>
              <w:topLinePunct w:val="0"/>
              <w:bidi w:val="0"/>
              <w:spacing w:before="244" w:line="202" w:lineRule="auto"/>
              <w:ind w:left="31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6</w:t>
            </w:r>
          </w:p>
        </w:tc>
        <w:tc>
          <w:tcPr>
            <w:tcW w:w="1812" w:type="dxa"/>
            <w:vAlign w:val="center"/>
          </w:tcPr>
          <w:p w14:paraId="4A7091F2">
            <w:pPr>
              <w:keepNext w:val="0"/>
              <w:keepLines w:val="0"/>
              <w:pageBreakBefore w:val="0"/>
              <w:kinsoku/>
              <w:wordWrap w:val="0"/>
              <w:overflowPunct/>
              <w:topLinePunct w:val="0"/>
              <w:bidi w:val="0"/>
              <w:spacing w:before="224" w:line="220"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实质性格式</w:t>
            </w:r>
          </w:p>
        </w:tc>
        <w:tc>
          <w:tcPr>
            <w:tcW w:w="5791" w:type="dxa"/>
            <w:vAlign w:val="top"/>
          </w:tcPr>
          <w:p w14:paraId="7451965A">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rPr>
              <w:t>标记为</w:t>
            </w:r>
            <w:r>
              <w:rPr>
                <w:rFonts w:hint="eastAsia" w:asciiTheme="minorEastAsia" w:hAnsiTheme="minorEastAsia" w:eastAsiaTheme="minorEastAsia" w:cstheme="minorEastAsia"/>
                <w:spacing w:val="-1"/>
                <w:sz w:val="24"/>
                <w:szCs w:val="24"/>
              </w:rPr>
              <w:t>实质性格式的文件均按</w:t>
            </w:r>
            <w:r>
              <w:rPr>
                <w:rFonts w:hint="eastAsia" w:asciiTheme="minorEastAsia" w:hAnsiTheme="minorEastAsia" w:eastAsiaTheme="minorEastAsia" w:cstheme="minorEastAsia"/>
                <w:spacing w:val="-1"/>
                <w:sz w:val="24"/>
                <w:szCs w:val="24"/>
                <w:lang w:eastAsia="zh-CN"/>
              </w:rPr>
              <w:t>征集文件</w:t>
            </w:r>
            <w:r>
              <w:rPr>
                <w:rFonts w:hint="eastAsia" w:asciiTheme="minorEastAsia" w:hAnsiTheme="minorEastAsia" w:eastAsiaTheme="minorEastAsia" w:cstheme="minorEastAsia"/>
                <w:spacing w:val="-1"/>
                <w:sz w:val="24"/>
                <w:szCs w:val="24"/>
              </w:rPr>
              <w:t>要求</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供且签署、盖</w:t>
            </w:r>
            <w:r>
              <w:rPr>
                <w:rFonts w:hint="eastAsia" w:asciiTheme="minorEastAsia" w:hAnsiTheme="minorEastAsia" w:eastAsiaTheme="minorEastAsia" w:cstheme="minorEastAsia"/>
                <w:spacing w:val="-17"/>
                <w:sz w:val="24"/>
                <w:szCs w:val="24"/>
              </w:rPr>
              <w:t>章的</w:t>
            </w:r>
            <w:r>
              <w:rPr>
                <w:rFonts w:hint="eastAsia" w:asciiTheme="minorEastAsia" w:hAnsiTheme="minorEastAsia" w:eastAsiaTheme="minorEastAsia" w:cstheme="minorEastAsia"/>
                <w:spacing w:val="-17"/>
                <w:sz w:val="24"/>
                <w:szCs w:val="24"/>
                <w:lang w:eastAsia="zh-CN"/>
              </w:rPr>
              <w:t>。</w:t>
            </w:r>
          </w:p>
        </w:tc>
      </w:tr>
      <w:tr w14:paraId="289861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9" w:hRule="atLeast"/>
        </w:trPr>
        <w:tc>
          <w:tcPr>
            <w:tcW w:w="685" w:type="dxa"/>
            <w:vAlign w:val="top"/>
          </w:tcPr>
          <w:p w14:paraId="408F77E5">
            <w:pPr>
              <w:pStyle w:val="23"/>
              <w:keepNext w:val="0"/>
              <w:keepLines w:val="0"/>
              <w:pageBreakBefore w:val="0"/>
              <w:kinsoku/>
              <w:wordWrap w:val="0"/>
              <w:overflowPunct/>
              <w:topLinePunct w:val="0"/>
              <w:bidi w:val="0"/>
              <w:spacing w:before="247"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7</w:t>
            </w:r>
          </w:p>
        </w:tc>
        <w:tc>
          <w:tcPr>
            <w:tcW w:w="1812" w:type="dxa"/>
            <w:vAlign w:val="center"/>
          </w:tcPr>
          <w:p w14:paraId="7446F6C3">
            <w:pPr>
              <w:keepNext w:val="0"/>
              <w:keepLines w:val="0"/>
              <w:pageBreakBefore w:val="0"/>
              <w:kinsoku/>
              <w:wordWrap w:val="0"/>
              <w:overflowPunct/>
              <w:topLinePunct w:val="0"/>
              <w:bidi w:val="0"/>
              <w:spacing w:before="72" w:line="230" w:lineRule="auto"/>
              <w:ind w:left="112" w:right="123" w:hanging="2"/>
              <w:jc w:val="center"/>
              <w:rPr>
                <w:rFonts w:hint="eastAsia" w:asciiTheme="minorEastAsia" w:hAnsiTheme="minorEastAsia" w:eastAsiaTheme="minorEastAsia" w:cstheme="minorEastAsia"/>
                <w:spacing w:val="-16"/>
                <w:sz w:val="24"/>
                <w:szCs w:val="24"/>
              </w:rPr>
            </w:pPr>
            <w:r>
              <w:rPr>
                <w:rFonts w:hint="eastAsia" w:asciiTheme="minorEastAsia" w:hAnsiTheme="minorEastAsia" w:eastAsiaTheme="minorEastAsia" w:cstheme="minorEastAsia"/>
                <w:spacing w:val="-16"/>
                <w:sz w:val="24"/>
                <w:szCs w:val="24"/>
              </w:rPr>
              <w:t>报价的修正</w:t>
            </w:r>
          </w:p>
          <w:p w14:paraId="621CEAD3">
            <w:pPr>
              <w:keepNext w:val="0"/>
              <w:keepLines w:val="0"/>
              <w:pageBreakBefore w:val="0"/>
              <w:kinsoku/>
              <w:wordWrap w:val="0"/>
              <w:overflowPunct/>
              <w:topLinePunct w:val="0"/>
              <w:bidi w:val="0"/>
              <w:spacing w:before="72" w:line="230" w:lineRule="auto"/>
              <w:ind w:left="112" w:right="123" w:hanging="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6"/>
                <w:sz w:val="24"/>
                <w:szCs w:val="24"/>
              </w:rPr>
              <w:t>（如</w:t>
            </w:r>
            <w:r>
              <w:rPr>
                <w:rFonts w:hint="eastAsia" w:asciiTheme="minorEastAsia" w:hAnsiTheme="minorEastAsia" w:eastAsiaTheme="minorEastAsia" w:cstheme="minorEastAsia"/>
                <w:spacing w:val="-7"/>
                <w:sz w:val="24"/>
                <w:szCs w:val="24"/>
              </w:rPr>
              <w:t>有）</w:t>
            </w:r>
          </w:p>
        </w:tc>
        <w:tc>
          <w:tcPr>
            <w:tcW w:w="5791" w:type="dxa"/>
            <w:vAlign w:val="top"/>
          </w:tcPr>
          <w:p w14:paraId="4FF91E0A">
            <w:pPr>
              <w:keepNext w:val="0"/>
              <w:keepLines w:val="0"/>
              <w:pageBreakBefore w:val="0"/>
              <w:kinsoku/>
              <w:wordWrap w:val="0"/>
              <w:overflowPunct/>
              <w:topLinePunct w:val="0"/>
              <w:bidi w:val="0"/>
              <w:spacing w:before="72" w:line="229" w:lineRule="auto"/>
              <w:ind w:left="114" w:right="136" w:firstLine="4"/>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不涉及报价修正，或</w:t>
            </w:r>
            <w:r>
              <w:rPr>
                <w:rFonts w:hint="eastAsia" w:asciiTheme="minorEastAsia" w:hAnsiTheme="minorEastAsia" w:eastAsiaTheme="minorEastAsia" w:cstheme="minorEastAsia"/>
                <w:spacing w:val="-1"/>
                <w:sz w:val="24"/>
                <w:szCs w:val="24"/>
                <w:lang w:eastAsia="zh-CN"/>
              </w:rPr>
              <w:t>响应文件</w:t>
            </w:r>
            <w:r>
              <w:rPr>
                <w:rFonts w:hint="eastAsia" w:asciiTheme="minorEastAsia" w:hAnsiTheme="minorEastAsia" w:eastAsiaTheme="minorEastAsia" w:cstheme="minorEastAsia"/>
                <w:spacing w:val="-1"/>
                <w:sz w:val="24"/>
                <w:szCs w:val="24"/>
              </w:rPr>
              <w:t>报价出现前后不一致时，</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2"/>
                <w:sz w:val="24"/>
                <w:szCs w:val="24"/>
              </w:rPr>
              <w:t>对修正后的报价予以确认</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如有）</w:t>
            </w:r>
          </w:p>
        </w:tc>
      </w:tr>
      <w:tr w14:paraId="296398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top"/>
          </w:tcPr>
          <w:p w14:paraId="54D95B71">
            <w:pPr>
              <w:pStyle w:val="23"/>
              <w:keepNext w:val="0"/>
              <w:keepLines w:val="0"/>
              <w:pageBreakBefore w:val="0"/>
              <w:kinsoku/>
              <w:wordWrap w:val="0"/>
              <w:overflowPunct/>
              <w:topLinePunct w:val="0"/>
              <w:bidi w:val="0"/>
              <w:spacing w:line="304" w:lineRule="auto"/>
              <w:jc w:val="center"/>
              <w:rPr>
                <w:rFonts w:hint="eastAsia" w:asciiTheme="minorEastAsia" w:hAnsiTheme="minorEastAsia" w:eastAsiaTheme="minorEastAsia" w:cstheme="minorEastAsia"/>
              </w:rPr>
            </w:pPr>
          </w:p>
          <w:p w14:paraId="3E304872">
            <w:pPr>
              <w:pStyle w:val="23"/>
              <w:keepNext w:val="0"/>
              <w:keepLines w:val="0"/>
              <w:pageBreakBefore w:val="0"/>
              <w:kinsoku/>
              <w:wordWrap w:val="0"/>
              <w:overflowPunct/>
              <w:topLinePunct w:val="0"/>
              <w:bidi w:val="0"/>
              <w:spacing w:before="69"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val="en-US" w:eastAsia="zh-CN"/>
              </w:rPr>
              <w:t>8</w:t>
            </w:r>
          </w:p>
        </w:tc>
        <w:tc>
          <w:tcPr>
            <w:tcW w:w="1812" w:type="dxa"/>
            <w:vAlign w:val="center"/>
          </w:tcPr>
          <w:p w14:paraId="325AA718">
            <w:pPr>
              <w:keepNext w:val="0"/>
              <w:keepLines w:val="0"/>
              <w:pageBreakBefore w:val="0"/>
              <w:kinsoku/>
              <w:wordWrap w:val="0"/>
              <w:overflowPunct/>
              <w:topLinePunct w:val="0"/>
              <w:bidi w:val="0"/>
              <w:spacing w:before="78" w:line="219" w:lineRule="auto"/>
              <w:ind w:left="11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报价合理性</w:t>
            </w:r>
          </w:p>
        </w:tc>
        <w:tc>
          <w:tcPr>
            <w:tcW w:w="5791" w:type="dxa"/>
            <w:vAlign w:val="top"/>
          </w:tcPr>
          <w:p w14:paraId="52E750C4">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报价合理，或</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的报价明显低于其他通过符合性审查</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的报价，有可能影响产品质量或者不能诚信履约的，能够应</w:t>
            </w:r>
            <w:r>
              <w:rPr>
                <w:rFonts w:hint="eastAsia" w:asciiTheme="minorEastAsia" w:hAnsiTheme="minorEastAsia" w:eastAsiaTheme="minorEastAsia" w:cstheme="minorEastAsia"/>
                <w:spacing w:val="-3"/>
                <w:sz w:val="24"/>
                <w:szCs w:val="24"/>
                <w:lang w:eastAsia="zh-CN"/>
              </w:rPr>
              <w:t>评审小组</w:t>
            </w:r>
            <w:r>
              <w:rPr>
                <w:rFonts w:hint="eastAsia" w:asciiTheme="minorEastAsia" w:hAnsiTheme="minorEastAsia" w:eastAsiaTheme="minorEastAsia" w:cstheme="minorEastAsia"/>
                <w:spacing w:val="-3"/>
                <w:sz w:val="24"/>
                <w:szCs w:val="24"/>
              </w:rPr>
              <w:t>要求在规定时间内证明其报价合理性的</w:t>
            </w:r>
            <w:r>
              <w:rPr>
                <w:rFonts w:hint="eastAsia" w:asciiTheme="minorEastAsia" w:hAnsiTheme="minorEastAsia" w:eastAsiaTheme="minorEastAsia" w:cstheme="minorEastAsia"/>
                <w:spacing w:val="-3"/>
                <w:sz w:val="24"/>
                <w:szCs w:val="24"/>
                <w:lang w:eastAsia="zh-CN"/>
              </w:rPr>
              <w:t>。</w:t>
            </w:r>
          </w:p>
        </w:tc>
      </w:tr>
      <w:tr w14:paraId="542E1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1" w:hRule="atLeast"/>
        </w:trPr>
        <w:tc>
          <w:tcPr>
            <w:tcW w:w="685" w:type="dxa"/>
            <w:vAlign w:val="top"/>
          </w:tcPr>
          <w:p w14:paraId="3C17F73E">
            <w:pPr>
              <w:pStyle w:val="2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9</w:t>
            </w:r>
          </w:p>
        </w:tc>
        <w:tc>
          <w:tcPr>
            <w:tcW w:w="1812" w:type="dxa"/>
            <w:vAlign w:val="center"/>
          </w:tcPr>
          <w:p w14:paraId="129A0D08">
            <w:pPr>
              <w:keepNext w:val="0"/>
              <w:keepLines w:val="0"/>
              <w:pageBreakBefore w:val="0"/>
              <w:kinsoku/>
              <w:wordWrap w:val="0"/>
              <w:overflowPunct/>
              <w:topLinePunct w:val="0"/>
              <w:bidi w:val="0"/>
              <w:spacing w:before="69" w:line="196" w:lineRule="auto"/>
              <w:ind w:right="129"/>
              <w:jc w:val="center"/>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服务期限</w:t>
            </w:r>
          </w:p>
        </w:tc>
        <w:tc>
          <w:tcPr>
            <w:tcW w:w="5791" w:type="dxa"/>
            <w:vAlign w:val="center"/>
          </w:tcPr>
          <w:p w14:paraId="4FA2200E">
            <w:pPr>
              <w:keepNext w:val="0"/>
              <w:keepLines w:val="0"/>
              <w:pageBreakBefore w:val="0"/>
              <w:kinsoku/>
              <w:wordWrap w:val="0"/>
              <w:overflowPunct/>
              <w:topLinePunct w:val="0"/>
              <w:bidi w:val="0"/>
              <w:spacing w:before="69" w:line="196" w:lineRule="auto"/>
              <w:ind w:left="122" w:right="129" w:hanging="7"/>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2035C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685" w:type="dxa"/>
            <w:vAlign w:val="center"/>
          </w:tcPr>
          <w:p w14:paraId="3BBFFC1D">
            <w:pPr>
              <w:pStyle w:val="2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10</w:t>
            </w:r>
          </w:p>
        </w:tc>
        <w:tc>
          <w:tcPr>
            <w:tcW w:w="1812" w:type="dxa"/>
            <w:vAlign w:val="center"/>
          </w:tcPr>
          <w:p w14:paraId="57B1D2E3">
            <w:pPr>
              <w:keepNext w:val="0"/>
              <w:keepLines w:val="0"/>
              <w:pageBreakBefore w:val="0"/>
              <w:kinsoku/>
              <w:wordWrap w:val="0"/>
              <w:overflowPunct/>
              <w:topLinePunct w:val="0"/>
              <w:bidi w:val="0"/>
              <w:spacing w:before="78" w:line="219" w:lineRule="auto"/>
              <w:jc w:val="center"/>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1"/>
                <w:sz w:val="24"/>
                <w:szCs w:val="24"/>
                <w:lang w:val="en-US" w:eastAsia="zh-CN"/>
              </w:rPr>
              <w:t>服务质量</w:t>
            </w:r>
          </w:p>
        </w:tc>
        <w:tc>
          <w:tcPr>
            <w:tcW w:w="5791" w:type="dxa"/>
            <w:vAlign w:val="center"/>
          </w:tcPr>
          <w:p w14:paraId="2608FD3B">
            <w:pPr>
              <w:keepNext w:val="0"/>
              <w:keepLines w:val="0"/>
              <w:pageBreakBefore w:val="0"/>
              <w:kinsoku/>
              <w:wordWrap w:val="0"/>
              <w:overflowPunct/>
              <w:topLinePunct w:val="0"/>
              <w:bidi w:val="0"/>
              <w:spacing w:before="41" w:line="228" w:lineRule="auto"/>
              <w:ind w:left="113" w:right="136"/>
              <w:jc w:val="both"/>
              <w:rPr>
                <w:rFonts w:hint="eastAsia" w:asciiTheme="minorEastAsia" w:hAnsiTheme="minorEastAsia" w:eastAsiaTheme="minorEastAsia" w:cstheme="minorEastAsia"/>
                <w:spacing w:val="-1"/>
                <w:sz w:val="24"/>
                <w:szCs w:val="24"/>
                <w:lang w:eastAsia="zh-CN"/>
              </w:rPr>
            </w:pPr>
            <w:r>
              <w:rPr>
                <w:rFonts w:hint="eastAsia" w:asciiTheme="minorEastAsia" w:hAnsiTheme="minorEastAsia" w:eastAsiaTheme="minorEastAsia" w:cstheme="minorEastAsia"/>
                <w:spacing w:val="-1"/>
                <w:sz w:val="24"/>
                <w:szCs w:val="24"/>
              </w:rPr>
              <w:t>是否符合招标要求</w:t>
            </w:r>
            <w:r>
              <w:rPr>
                <w:rFonts w:hint="eastAsia" w:asciiTheme="minorEastAsia" w:hAnsiTheme="minorEastAsia" w:eastAsiaTheme="minorEastAsia" w:cstheme="minorEastAsia"/>
                <w:spacing w:val="-1"/>
                <w:sz w:val="24"/>
                <w:szCs w:val="24"/>
                <w:lang w:eastAsia="zh-CN"/>
              </w:rPr>
              <w:t>。</w:t>
            </w:r>
          </w:p>
        </w:tc>
      </w:tr>
      <w:tr w14:paraId="78A8C6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8" w:hRule="atLeast"/>
        </w:trPr>
        <w:tc>
          <w:tcPr>
            <w:tcW w:w="685" w:type="dxa"/>
            <w:vAlign w:val="top"/>
          </w:tcPr>
          <w:p w14:paraId="57A5D075">
            <w:pPr>
              <w:pStyle w:val="23"/>
              <w:keepNext w:val="0"/>
              <w:keepLines w:val="0"/>
              <w:pageBreakBefore w:val="0"/>
              <w:kinsoku/>
              <w:wordWrap w:val="0"/>
              <w:overflowPunct/>
              <w:topLinePunct w:val="0"/>
              <w:bidi w:val="0"/>
              <w:spacing w:line="301" w:lineRule="auto"/>
              <w:jc w:val="center"/>
              <w:rPr>
                <w:rFonts w:hint="eastAsia" w:asciiTheme="minorEastAsia" w:hAnsiTheme="minorEastAsia" w:eastAsiaTheme="minorEastAsia" w:cstheme="minorEastAsia"/>
              </w:rPr>
            </w:pPr>
          </w:p>
          <w:p w14:paraId="2EF47EE3">
            <w:pPr>
              <w:pStyle w:val="2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11</w:t>
            </w:r>
          </w:p>
        </w:tc>
        <w:tc>
          <w:tcPr>
            <w:tcW w:w="1812" w:type="dxa"/>
            <w:vAlign w:val="center"/>
          </w:tcPr>
          <w:p w14:paraId="3E2766E4">
            <w:pPr>
              <w:keepNext w:val="0"/>
              <w:keepLines w:val="0"/>
              <w:pageBreakBefore w:val="0"/>
              <w:kinsoku/>
              <w:wordWrap w:val="0"/>
              <w:overflowPunct/>
              <w:topLinePunct w:val="0"/>
              <w:bidi w:val="0"/>
              <w:spacing w:before="78" w:line="220" w:lineRule="auto"/>
              <w:ind w:left="12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公平竞争</w:t>
            </w:r>
          </w:p>
        </w:tc>
        <w:tc>
          <w:tcPr>
            <w:tcW w:w="5791" w:type="dxa"/>
            <w:vAlign w:val="top"/>
          </w:tcPr>
          <w:p w14:paraId="00E244E3">
            <w:pPr>
              <w:keepNext w:val="0"/>
              <w:keepLines w:val="0"/>
              <w:pageBreakBefore w:val="0"/>
              <w:kinsoku/>
              <w:wordWrap w:val="0"/>
              <w:overflowPunct/>
              <w:topLinePunct w:val="0"/>
              <w:bidi w:val="0"/>
              <w:spacing w:before="38" w:line="228" w:lineRule="auto"/>
              <w:ind w:left="113" w:right="136" w:firstLine="4"/>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遵循公平竞争的原则，不存在恶意串通，妨碍其他</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的竞争行为，不存在损害</w:t>
            </w:r>
            <w:r>
              <w:rPr>
                <w:rFonts w:hint="eastAsia" w:asciiTheme="minorEastAsia" w:hAnsiTheme="minorEastAsia" w:eastAsiaTheme="minorEastAsia" w:cstheme="minorEastAsia"/>
                <w:spacing w:val="-1"/>
                <w:sz w:val="24"/>
                <w:szCs w:val="24"/>
                <w:lang w:eastAsia="zh-CN"/>
              </w:rPr>
              <w:t>征集人</w:t>
            </w:r>
            <w:r>
              <w:rPr>
                <w:rFonts w:hint="eastAsia" w:asciiTheme="minorEastAsia" w:hAnsiTheme="minorEastAsia" w:eastAsiaTheme="minorEastAsia" w:cstheme="minorEastAsia"/>
                <w:spacing w:val="-1"/>
                <w:sz w:val="24"/>
                <w:szCs w:val="24"/>
              </w:rPr>
              <w:t>或者其他</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的合法权益</w:t>
            </w:r>
            <w:r>
              <w:rPr>
                <w:rFonts w:hint="eastAsia" w:asciiTheme="minorEastAsia" w:hAnsiTheme="minorEastAsia" w:eastAsiaTheme="minorEastAsia" w:cstheme="minorEastAsia"/>
                <w:spacing w:val="-12"/>
                <w:sz w:val="24"/>
                <w:szCs w:val="24"/>
              </w:rPr>
              <w:t>情形的</w:t>
            </w:r>
            <w:r>
              <w:rPr>
                <w:rFonts w:hint="eastAsia" w:asciiTheme="minorEastAsia" w:hAnsiTheme="minorEastAsia" w:eastAsiaTheme="minorEastAsia" w:cstheme="minorEastAsia"/>
                <w:spacing w:val="-12"/>
                <w:sz w:val="24"/>
                <w:szCs w:val="24"/>
                <w:lang w:eastAsia="zh-CN"/>
              </w:rPr>
              <w:t>。</w:t>
            </w:r>
          </w:p>
        </w:tc>
      </w:tr>
      <w:tr w14:paraId="04DC27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18" w:hRule="atLeast"/>
        </w:trPr>
        <w:tc>
          <w:tcPr>
            <w:tcW w:w="685" w:type="dxa"/>
            <w:vAlign w:val="center"/>
          </w:tcPr>
          <w:p w14:paraId="6F5DF515">
            <w:pPr>
              <w:pStyle w:val="2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0AAA9CA">
            <w:pPr>
              <w:pStyle w:val="2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6476372F">
            <w:pPr>
              <w:pStyle w:val="23"/>
              <w:keepNext w:val="0"/>
              <w:keepLines w:val="0"/>
              <w:pageBreakBefore w:val="0"/>
              <w:kinsoku/>
              <w:wordWrap w:val="0"/>
              <w:overflowPunct/>
              <w:topLinePunct w:val="0"/>
              <w:bidi w:val="0"/>
              <w:spacing w:line="307" w:lineRule="auto"/>
              <w:jc w:val="center"/>
              <w:rPr>
                <w:rFonts w:hint="eastAsia" w:asciiTheme="minorEastAsia" w:hAnsiTheme="minorEastAsia" w:eastAsiaTheme="minorEastAsia" w:cstheme="minorEastAsia"/>
              </w:rPr>
            </w:pPr>
          </w:p>
          <w:p w14:paraId="1E51C6C4">
            <w:pPr>
              <w:pStyle w:val="23"/>
              <w:keepNext w:val="0"/>
              <w:keepLines w:val="0"/>
              <w:pageBreakBefore w:val="0"/>
              <w:kinsoku/>
              <w:wordWrap w:val="0"/>
              <w:overflowPunct/>
              <w:topLinePunct w:val="0"/>
              <w:bidi w:val="0"/>
              <w:spacing w:before="69" w:line="199"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5"/>
                <w:sz w:val="24"/>
                <w:szCs w:val="24"/>
                <w:lang w:val="en-US" w:eastAsia="zh-CN"/>
              </w:rPr>
              <w:t>12</w:t>
            </w:r>
          </w:p>
        </w:tc>
        <w:tc>
          <w:tcPr>
            <w:tcW w:w="1812" w:type="dxa"/>
            <w:vAlign w:val="center"/>
          </w:tcPr>
          <w:p w14:paraId="7F8FE067">
            <w:pPr>
              <w:pStyle w:val="23"/>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41312FBC">
            <w:pPr>
              <w:pStyle w:val="23"/>
              <w:keepNext w:val="0"/>
              <w:keepLines w:val="0"/>
              <w:pageBreakBefore w:val="0"/>
              <w:kinsoku/>
              <w:wordWrap w:val="0"/>
              <w:overflowPunct/>
              <w:topLinePunct w:val="0"/>
              <w:bidi w:val="0"/>
              <w:spacing w:line="296" w:lineRule="auto"/>
              <w:jc w:val="center"/>
              <w:rPr>
                <w:rFonts w:hint="eastAsia" w:asciiTheme="minorEastAsia" w:hAnsiTheme="minorEastAsia" w:eastAsiaTheme="minorEastAsia" w:cstheme="minorEastAsia"/>
              </w:rPr>
            </w:pPr>
          </w:p>
          <w:p w14:paraId="6BF1F877">
            <w:pPr>
              <w:pStyle w:val="23"/>
              <w:keepNext w:val="0"/>
              <w:keepLines w:val="0"/>
              <w:pageBreakBefore w:val="0"/>
              <w:kinsoku/>
              <w:wordWrap w:val="0"/>
              <w:overflowPunct/>
              <w:topLinePunct w:val="0"/>
              <w:bidi w:val="0"/>
              <w:spacing w:line="297" w:lineRule="auto"/>
              <w:jc w:val="center"/>
              <w:rPr>
                <w:rFonts w:hint="eastAsia" w:asciiTheme="minorEastAsia" w:hAnsiTheme="minorEastAsia" w:eastAsiaTheme="minorEastAsia" w:cstheme="minorEastAsia"/>
              </w:rPr>
            </w:pPr>
          </w:p>
          <w:p w14:paraId="07BDB062">
            <w:pPr>
              <w:keepNext w:val="0"/>
              <w:keepLines w:val="0"/>
              <w:pageBreakBefore w:val="0"/>
              <w:kinsoku/>
              <w:wordWrap w:val="0"/>
              <w:overflowPunct/>
              <w:topLinePunct w:val="0"/>
              <w:bidi w:val="0"/>
              <w:spacing w:before="78" w:line="221" w:lineRule="auto"/>
              <w:ind w:left="134"/>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串通投标</w:t>
            </w:r>
          </w:p>
        </w:tc>
        <w:tc>
          <w:tcPr>
            <w:tcW w:w="5791" w:type="dxa"/>
            <w:vAlign w:val="top"/>
          </w:tcPr>
          <w:p w14:paraId="79A4ECA7">
            <w:pPr>
              <w:keepNext w:val="0"/>
              <w:keepLines w:val="0"/>
              <w:pageBreakBefore w:val="0"/>
              <w:kinsoku/>
              <w:wordWrap w:val="0"/>
              <w:overflowPunct/>
              <w:topLinePunct w:val="0"/>
              <w:bidi w:val="0"/>
              <w:spacing w:before="42" w:line="234" w:lineRule="auto"/>
              <w:ind w:left="113" w:right="2" w:firstLine="5"/>
              <w:jc w:val="both"/>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
                <w:sz w:val="24"/>
                <w:szCs w:val="24"/>
              </w:rPr>
              <w:t>不存在《政府采购货物和服务招标投标管理办法》视为</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r>
              <w:rPr>
                <w:rFonts w:hint="eastAsia" w:asciiTheme="minorEastAsia" w:hAnsiTheme="minorEastAsia" w:eastAsiaTheme="minorEastAsia" w:cstheme="minorEastAsia"/>
                <w:spacing w:val="-7"/>
                <w:sz w:val="24"/>
                <w:szCs w:val="24"/>
              </w:rPr>
              <w:t>一）不同</w:t>
            </w:r>
            <w:r>
              <w:rPr>
                <w:rFonts w:hint="eastAsia" w:asciiTheme="minorEastAsia" w:hAnsiTheme="minorEastAsia" w:eastAsiaTheme="minorEastAsia" w:cstheme="minorEastAsia"/>
                <w:spacing w:val="-7"/>
                <w:sz w:val="24"/>
                <w:szCs w:val="24"/>
                <w:lang w:eastAsia="zh-CN"/>
              </w:rPr>
              <w:t>供应商</w:t>
            </w:r>
            <w:r>
              <w:rPr>
                <w:rFonts w:hint="eastAsia" w:asciiTheme="minorEastAsia" w:hAnsiTheme="minorEastAsia" w:eastAsiaTheme="minorEastAsia" w:cstheme="minorEastAsia"/>
                <w:spacing w:val="-7"/>
                <w:sz w:val="24"/>
                <w:szCs w:val="24"/>
              </w:rPr>
              <w:t>的</w:t>
            </w:r>
            <w:r>
              <w:rPr>
                <w:rFonts w:hint="eastAsia" w:asciiTheme="minorEastAsia" w:hAnsiTheme="minorEastAsia" w:eastAsiaTheme="minorEastAsia" w:cstheme="minorEastAsia"/>
                <w:spacing w:val="-7"/>
                <w:sz w:val="24"/>
                <w:szCs w:val="24"/>
                <w:lang w:eastAsia="zh-CN"/>
              </w:rPr>
              <w:t>响应文件</w:t>
            </w:r>
            <w:r>
              <w:rPr>
                <w:rFonts w:hint="eastAsia" w:asciiTheme="minorEastAsia" w:hAnsiTheme="minorEastAsia" w:eastAsiaTheme="minorEastAsia" w:cstheme="minorEastAsia"/>
                <w:spacing w:val="-7"/>
                <w:sz w:val="24"/>
                <w:szCs w:val="24"/>
              </w:rPr>
              <w:t>由同一单位或者</w:t>
            </w:r>
            <w:r>
              <w:rPr>
                <w:rFonts w:hint="eastAsia" w:asciiTheme="minorEastAsia" w:hAnsiTheme="minorEastAsia" w:eastAsiaTheme="minorEastAsia" w:cstheme="minorEastAsia"/>
                <w:spacing w:val="-8"/>
                <w:sz w:val="24"/>
                <w:szCs w:val="24"/>
              </w:rPr>
              <w:t>个人编制</w:t>
            </w:r>
            <w:r>
              <w:rPr>
                <w:rFonts w:hint="eastAsia" w:asciiTheme="minorEastAsia" w:hAnsiTheme="minorEastAsia" w:eastAsiaTheme="minorEastAsia" w:cstheme="minorEastAsia"/>
                <w:spacing w:val="-31"/>
                <w:sz w:val="24"/>
                <w:szCs w:val="24"/>
              </w:rPr>
              <w:t>；（</w:t>
            </w:r>
            <w:r>
              <w:rPr>
                <w:rFonts w:hint="eastAsia" w:asciiTheme="minorEastAsia" w:hAnsiTheme="minorEastAsia" w:eastAsiaTheme="minorEastAsia" w:cstheme="minorEastAsia"/>
                <w:spacing w:val="-8"/>
                <w:sz w:val="24"/>
                <w:szCs w:val="24"/>
              </w:rPr>
              <w:t>二）不同</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委托同一单位或者个人办</w:t>
            </w:r>
            <w:r>
              <w:rPr>
                <w:rFonts w:hint="eastAsia" w:asciiTheme="minorEastAsia" w:hAnsiTheme="minorEastAsia" w:eastAsiaTheme="minorEastAsia" w:cstheme="minorEastAsia"/>
                <w:spacing w:val="-9"/>
                <w:sz w:val="24"/>
                <w:szCs w:val="24"/>
              </w:rPr>
              <w:t>理投标事</w:t>
            </w:r>
            <w:r>
              <w:rPr>
                <w:rFonts w:hint="eastAsia" w:asciiTheme="minorEastAsia" w:hAnsiTheme="minorEastAsia" w:eastAsiaTheme="minorEastAsia" w:cstheme="minorEastAsia"/>
                <w:spacing w:val="-6"/>
                <w:sz w:val="24"/>
                <w:szCs w:val="24"/>
              </w:rPr>
              <w:t>宜</w:t>
            </w:r>
            <w:r>
              <w:rPr>
                <w:rFonts w:hint="eastAsia" w:asciiTheme="minorEastAsia" w:hAnsiTheme="minorEastAsia" w:eastAsiaTheme="minorEastAsia" w:cstheme="minorEastAsia"/>
                <w:spacing w:val="-59"/>
                <w:sz w:val="24"/>
                <w:szCs w:val="24"/>
              </w:rPr>
              <w:t>；（</w:t>
            </w:r>
            <w:r>
              <w:rPr>
                <w:rFonts w:hint="eastAsia" w:asciiTheme="minorEastAsia" w:hAnsiTheme="minorEastAsia" w:eastAsiaTheme="minorEastAsia" w:cstheme="minorEastAsia"/>
                <w:spacing w:val="-6"/>
                <w:sz w:val="24"/>
                <w:szCs w:val="24"/>
              </w:rPr>
              <w:t>三）不同</w:t>
            </w:r>
            <w:r>
              <w:rPr>
                <w:rFonts w:hint="eastAsia" w:asciiTheme="minorEastAsia" w:hAnsiTheme="minorEastAsia" w:eastAsiaTheme="minorEastAsia" w:cstheme="minorEastAsia"/>
                <w:spacing w:val="-6"/>
                <w:sz w:val="24"/>
                <w:szCs w:val="24"/>
                <w:lang w:eastAsia="zh-CN"/>
              </w:rPr>
              <w:t>供应商</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6"/>
                <w:sz w:val="24"/>
                <w:szCs w:val="24"/>
                <w:lang w:eastAsia="zh-CN"/>
              </w:rPr>
              <w:t>响应文件</w:t>
            </w:r>
            <w:r>
              <w:rPr>
                <w:rFonts w:hint="eastAsia" w:asciiTheme="minorEastAsia" w:hAnsiTheme="minorEastAsia" w:eastAsiaTheme="minorEastAsia" w:cstheme="minorEastAsia"/>
                <w:spacing w:val="-6"/>
                <w:sz w:val="24"/>
                <w:szCs w:val="24"/>
              </w:rPr>
              <w:t>载明的项目管理成员或者联系人员为同一人</w:t>
            </w:r>
            <w:r>
              <w:rPr>
                <w:rFonts w:hint="eastAsia" w:asciiTheme="minorEastAsia" w:hAnsiTheme="minorEastAsia" w:eastAsiaTheme="minorEastAsia" w:cstheme="minorEastAsia"/>
                <w:spacing w:val="-57"/>
                <w:sz w:val="24"/>
                <w:szCs w:val="24"/>
              </w:rPr>
              <w:t>；（</w:t>
            </w:r>
            <w:r>
              <w:rPr>
                <w:rFonts w:hint="eastAsia" w:asciiTheme="minorEastAsia" w:hAnsiTheme="minorEastAsia" w:eastAsiaTheme="minorEastAsia" w:cstheme="minorEastAsia"/>
                <w:spacing w:val="-6"/>
                <w:sz w:val="24"/>
                <w:szCs w:val="24"/>
              </w:rPr>
              <w:t>四）不同</w:t>
            </w:r>
            <w:r>
              <w:rPr>
                <w:rFonts w:hint="eastAsia" w:asciiTheme="minorEastAsia" w:hAnsiTheme="minorEastAsia" w:eastAsiaTheme="minorEastAsia" w:cstheme="minorEastAsia"/>
                <w:spacing w:val="-6"/>
                <w:sz w:val="24"/>
                <w:szCs w:val="24"/>
                <w:lang w:eastAsia="zh-CN"/>
              </w:rPr>
              <w:t>供应商</w:t>
            </w:r>
            <w:r>
              <w:rPr>
                <w:rFonts w:hint="eastAsia" w:asciiTheme="minorEastAsia" w:hAnsiTheme="minorEastAsia" w:eastAsiaTheme="minorEastAsia" w:cstheme="minorEastAsia"/>
                <w:spacing w:val="-6"/>
                <w:sz w:val="24"/>
                <w:szCs w:val="24"/>
              </w:rPr>
              <w:t>的</w:t>
            </w:r>
            <w:r>
              <w:rPr>
                <w:rFonts w:hint="eastAsia" w:asciiTheme="minorEastAsia" w:hAnsiTheme="minorEastAsia" w:eastAsiaTheme="minorEastAsia" w:cstheme="minorEastAsia"/>
                <w:spacing w:val="-6"/>
                <w:sz w:val="24"/>
                <w:szCs w:val="24"/>
                <w:lang w:eastAsia="zh-CN"/>
              </w:rPr>
              <w:t>响应文件</w:t>
            </w:r>
            <w:r>
              <w:rPr>
                <w:rFonts w:hint="eastAsia" w:asciiTheme="minorEastAsia" w:hAnsiTheme="minorEastAsia" w:eastAsiaTheme="minorEastAsia" w:cstheme="minorEastAsia"/>
                <w:spacing w:val="-6"/>
                <w:sz w:val="24"/>
                <w:szCs w:val="24"/>
              </w:rPr>
              <w:t>异常一</w:t>
            </w:r>
            <w:r>
              <w:rPr>
                <w:rFonts w:hint="eastAsia" w:asciiTheme="minorEastAsia" w:hAnsiTheme="minorEastAsia" w:eastAsiaTheme="minorEastAsia" w:cstheme="minorEastAsia"/>
                <w:spacing w:val="-7"/>
                <w:sz w:val="24"/>
                <w:szCs w:val="24"/>
              </w:rPr>
              <w:t>致或者</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18"/>
                <w:sz w:val="24"/>
                <w:szCs w:val="24"/>
              </w:rPr>
              <w:t>报价呈规律性差异</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五）不同</w:t>
            </w:r>
            <w:r>
              <w:rPr>
                <w:rFonts w:hint="eastAsia" w:asciiTheme="minorEastAsia" w:hAnsiTheme="minorEastAsia" w:eastAsiaTheme="minorEastAsia" w:cstheme="minorEastAsia"/>
                <w:spacing w:val="-18"/>
                <w:sz w:val="24"/>
                <w:szCs w:val="24"/>
                <w:lang w:eastAsia="zh-CN"/>
              </w:rPr>
              <w:t>供应商</w:t>
            </w:r>
            <w:r>
              <w:rPr>
                <w:rFonts w:hint="eastAsia" w:asciiTheme="minorEastAsia" w:hAnsiTheme="minorEastAsia" w:eastAsiaTheme="minorEastAsia" w:cstheme="minorEastAsia"/>
                <w:spacing w:val="-18"/>
                <w:sz w:val="24"/>
                <w:szCs w:val="24"/>
              </w:rPr>
              <w:t>的</w:t>
            </w:r>
            <w:r>
              <w:rPr>
                <w:rFonts w:hint="eastAsia" w:asciiTheme="minorEastAsia" w:hAnsiTheme="minorEastAsia" w:eastAsiaTheme="minorEastAsia" w:cstheme="minorEastAsia"/>
                <w:spacing w:val="-18"/>
                <w:sz w:val="24"/>
                <w:szCs w:val="24"/>
                <w:lang w:eastAsia="zh-CN"/>
              </w:rPr>
              <w:t>响应文件</w:t>
            </w:r>
            <w:r>
              <w:rPr>
                <w:rFonts w:hint="eastAsia" w:asciiTheme="minorEastAsia" w:hAnsiTheme="minorEastAsia" w:eastAsiaTheme="minorEastAsia" w:cstheme="minorEastAsia"/>
                <w:spacing w:val="-18"/>
                <w:sz w:val="24"/>
                <w:szCs w:val="24"/>
              </w:rPr>
              <w:t>相互混装</w:t>
            </w:r>
            <w:r>
              <w:rPr>
                <w:rFonts w:hint="eastAsia" w:asciiTheme="minorEastAsia" w:hAnsiTheme="minorEastAsia" w:eastAsiaTheme="minorEastAsia" w:cstheme="minorEastAsia"/>
                <w:spacing w:val="-32"/>
                <w:sz w:val="24"/>
                <w:szCs w:val="24"/>
              </w:rPr>
              <w:t>；（</w:t>
            </w:r>
            <w:r>
              <w:rPr>
                <w:rFonts w:hint="eastAsia" w:asciiTheme="minorEastAsia" w:hAnsiTheme="minorEastAsia" w:eastAsiaTheme="minorEastAsia" w:cstheme="minorEastAsia"/>
                <w:spacing w:val="-18"/>
                <w:sz w:val="24"/>
                <w:szCs w:val="24"/>
              </w:rPr>
              <w:t>六）</w:t>
            </w:r>
            <w:r>
              <w:rPr>
                <w:rFonts w:hint="eastAsia" w:asciiTheme="minorEastAsia" w:hAnsiTheme="minorEastAsia" w:eastAsiaTheme="minorEastAsia" w:cstheme="minorEastAsia"/>
                <w:spacing w:val="-1"/>
                <w:sz w:val="24"/>
                <w:szCs w:val="24"/>
              </w:rPr>
              <w:t>不同</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的投标保证金从同一单位或者个人的账户转出；</w:t>
            </w:r>
            <w:r>
              <w:rPr>
                <w:rFonts w:hint="eastAsia" w:asciiTheme="minorEastAsia" w:hAnsiTheme="minorEastAsia" w:eastAsiaTheme="minorEastAsia" w:cstheme="minorEastAsia"/>
                <w:snapToGrid w:val="0"/>
                <w:color w:val="000000"/>
                <w:spacing w:val="-1"/>
                <w:kern w:val="0"/>
                <w:sz w:val="24"/>
                <w:szCs w:val="24"/>
                <w:lang w:val="en-US" w:eastAsia="zh-CN" w:bidi="ar-SA"/>
              </w:rPr>
              <w:t>不存在</w:t>
            </w:r>
            <w:r>
              <w:rPr>
                <w:rFonts w:hint="eastAsia" w:asciiTheme="minorEastAsia" w:hAnsiTheme="minorEastAsia" w:eastAsiaTheme="minorEastAsia" w:cstheme="minorEastAsia"/>
                <w:snapToGrid w:val="0"/>
                <w:color w:val="000000"/>
                <w:spacing w:val="-1"/>
                <w:kern w:val="0"/>
                <w:sz w:val="24"/>
                <w:szCs w:val="24"/>
                <w:lang w:val="en-US" w:eastAsia="en-US" w:bidi="ar-SA"/>
              </w:rPr>
              <w:t>南阳市财政局关于防范供应商串通投标促进政府采购公平竞争的通知（宛财购〔2022〕3号）</w:t>
            </w: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7"/>
                <w:sz w:val="24"/>
                <w:szCs w:val="24"/>
              </w:rPr>
              <w:t>串通投标的情形</w:t>
            </w:r>
            <w:r>
              <w:rPr>
                <w:rFonts w:hint="eastAsia" w:asciiTheme="minorEastAsia" w:hAnsiTheme="minorEastAsia" w:eastAsiaTheme="minorEastAsia" w:cstheme="minorEastAsia"/>
                <w:spacing w:val="-19"/>
                <w:sz w:val="24"/>
                <w:szCs w:val="24"/>
              </w:rPr>
              <w:t>：</w:t>
            </w:r>
          </w:p>
          <w:p w14:paraId="665B3743">
            <w:pPr>
              <w:keepNext w:val="0"/>
              <w:keepLines w:val="0"/>
              <w:pageBreakBefore w:val="0"/>
              <w:widowControl/>
              <w:kinsoku/>
              <w:wordWrap w:val="0"/>
              <w:overflowPunct/>
              <w:topLinePunct w:val="0"/>
              <w:autoSpaceDE w:val="0"/>
              <w:autoSpaceDN w:val="0"/>
              <w:bidi w:val="0"/>
              <w:adjustRightInd w:val="0"/>
              <w:snapToGrid w:val="0"/>
              <w:spacing w:line="234" w:lineRule="auto"/>
              <w:ind w:left="0" w:right="0" w:firstLine="5"/>
              <w:jc w:val="both"/>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一</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）不同供应商的电子</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（响应）文件上传的计算机网卡MAC地址、CPU序列号和硬盘序列号等硬件信息相同</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二</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（响应）文件由同一电子设备编制、打印、加密或上传；（</w:t>
            </w:r>
            <w:r>
              <w:rPr>
                <w:rFonts w:hint="eastAsia" w:asciiTheme="minorEastAsia" w:hAnsiTheme="minorEastAsia" w:eastAsiaTheme="minorEastAsia" w:cstheme="minorEastAsia"/>
                <w:snapToGrid w:val="0"/>
                <w:color w:val="000000"/>
                <w:spacing w:val="-1"/>
                <w:kern w:val="0"/>
                <w:sz w:val="24"/>
                <w:szCs w:val="24"/>
                <w:lang w:val="en-US" w:eastAsia="zh-CN" w:bidi="ar-SA"/>
              </w:rPr>
              <w:t>三</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（响应）文件由同一电子设备打印、复印；（</w:t>
            </w:r>
            <w:r>
              <w:rPr>
                <w:rFonts w:hint="eastAsia" w:asciiTheme="minorEastAsia" w:hAnsiTheme="minorEastAsia" w:eastAsiaTheme="minorEastAsia" w:cstheme="minorEastAsia"/>
                <w:snapToGrid w:val="0"/>
                <w:color w:val="000000"/>
                <w:spacing w:val="-1"/>
                <w:kern w:val="0"/>
                <w:sz w:val="24"/>
                <w:szCs w:val="24"/>
                <w:lang w:val="en-US" w:eastAsia="zh-CN" w:bidi="ar-SA"/>
              </w:rPr>
              <w:t>四</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（响应）文件由同一人送达或分发，或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联系人</w:t>
            </w:r>
            <w:r>
              <w:rPr>
                <w:rFonts w:hint="eastAsia" w:asciiTheme="minorEastAsia" w:hAnsiTheme="minorEastAsia" w:eastAsiaTheme="minorEastAsia" w:cstheme="minorEastAsia"/>
                <w:snapToGrid w:val="0"/>
                <w:color w:val="000000"/>
                <w:spacing w:val="-1"/>
                <w:kern w:val="0"/>
                <w:sz w:val="24"/>
                <w:szCs w:val="24"/>
                <w:lang w:val="en-US" w:eastAsia="en-US" w:bidi="ar-SA"/>
              </w:rPr>
              <w:t>为同一人或不同联系人</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联系电话一致</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五</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w:t>
            </w:r>
            <w:r>
              <w:rPr>
                <w:rFonts w:hint="eastAsia" w:asciiTheme="minorEastAsia" w:hAnsiTheme="minorEastAsia" w:eastAsiaTheme="minorEastAsia" w:cstheme="minorEastAsia"/>
                <w:snapToGrid w:val="0"/>
                <w:color w:val="000000"/>
                <w:spacing w:val="-1"/>
                <w:kern w:val="0"/>
                <w:sz w:val="24"/>
                <w:szCs w:val="24"/>
                <w:lang w:val="en-US" w:eastAsia="zh-CN" w:bidi="ar-SA"/>
              </w:rPr>
              <w:t>响应</w:t>
            </w:r>
            <w:r>
              <w:rPr>
                <w:rFonts w:hint="eastAsia" w:asciiTheme="minorEastAsia" w:hAnsiTheme="minorEastAsia" w:eastAsiaTheme="minorEastAsia" w:cstheme="minorEastAsia"/>
                <w:snapToGrid w:val="0"/>
                <w:color w:val="000000"/>
                <w:spacing w:val="-1"/>
                <w:kern w:val="0"/>
                <w:sz w:val="24"/>
                <w:szCs w:val="24"/>
                <w:lang w:val="en-US" w:eastAsia="en-US" w:bidi="ar-SA"/>
              </w:rPr>
              <w:t>（响应）文件内容</w:t>
            </w:r>
            <w:r>
              <w:rPr>
                <w:rFonts w:hint="eastAsia" w:asciiTheme="minorEastAsia" w:hAnsiTheme="minorEastAsia" w:eastAsiaTheme="minorEastAsia" w:cstheme="minorEastAsia"/>
                <w:snapToGrid w:val="0"/>
                <w:color w:val="000000"/>
                <w:spacing w:val="-1"/>
                <w:kern w:val="0"/>
                <w:sz w:val="24"/>
                <w:szCs w:val="24"/>
                <w:lang w:val="en-US" w:eastAsia="zh-CN" w:bidi="ar-SA"/>
              </w:rPr>
              <w:t>存在</w:t>
            </w:r>
            <w:r>
              <w:rPr>
                <w:rFonts w:hint="eastAsia" w:asciiTheme="minorEastAsia" w:hAnsiTheme="minorEastAsia" w:eastAsiaTheme="minorEastAsia" w:cstheme="minorEastAsia"/>
                <w:snapToGrid w:val="0"/>
                <w:color w:val="000000"/>
                <w:spacing w:val="-1"/>
                <w:kern w:val="0"/>
                <w:sz w:val="24"/>
                <w:szCs w:val="24"/>
                <w:lang w:val="en-US" w:eastAsia="en-US" w:bidi="ar-SA"/>
              </w:rPr>
              <w:t>两处以上</w:t>
            </w:r>
            <w:r>
              <w:rPr>
                <w:rFonts w:hint="eastAsia" w:asciiTheme="minorEastAsia" w:hAnsiTheme="minorEastAsia" w:eastAsiaTheme="minorEastAsia" w:cstheme="minorEastAsia"/>
                <w:snapToGrid w:val="0"/>
                <w:color w:val="000000"/>
                <w:spacing w:val="-1"/>
                <w:kern w:val="0"/>
                <w:sz w:val="24"/>
                <w:szCs w:val="24"/>
                <w:lang w:val="en-US" w:eastAsia="zh-CN" w:bidi="ar-SA"/>
              </w:rPr>
              <w:t>细节错误</w:t>
            </w:r>
            <w:r>
              <w:rPr>
                <w:rFonts w:hint="eastAsia" w:asciiTheme="minorEastAsia" w:hAnsiTheme="minorEastAsia" w:eastAsiaTheme="minorEastAsia" w:cstheme="minorEastAsia"/>
                <w:snapToGrid w:val="0"/>
                <w:color w:val="000000"/>
                <w:spacing w:val="-1"/>
                <w:kern w:val="0"/>
                <w:sz w:val="24"/>
                <w:szCs w:val="24"/>
                <w:lang w:val="en-US" w:eastAsia="en-US" w:bidi="ar-SA"/>
              </w:rPr>
              <w:t>一致；（</w:t>
            </w:r>
            <w:r>
              <w:rPr>
                <w:rFonts w:hint="eastAsia" w:asciiTheme="minorEastAsia" w:hAnsiTheme="minorEastAsia" w:eastAsiaTheme="minorEastAsia" w:cstheme="minorEastAsia"/>
                <w:snapToGrid w:val="0"/>
                <w:color w:val="000000"/>
                <w:spacing w:val="-1"/>
                <w:kern w:val="0"/>
                <w:sz w:val="24"/>
                <w:szCs w:val="24"/>
                <w:lang w:val="en-US" w:eastAsia="zh-CN" w:bidi="ar-SA"/>
              </w:rPr>
              <w:t>六</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）不同供应商的法定代表人、委托代理人、项目经理、项目负责人</w:t>
            </w:r>
            <w:r>
              <w:rPr>
                <w:rFonts w:hint="eastAsia" w:asciiTheme="minorEastAsia" w:hAnsiTheme="minorEastAsia" w:eastAsiaTheme="minorEastAsia" w:cstheme="minorEastAsia"/>
                <w:snapToGrid w:val="0"/>
                <w:color w:val="000000"/>
                <w:spacing w:val="-1"/>
                <w:kern w:val="0"/>
                <w:sz w:val="24"/>
                <w:szCs w:val="24"/>
                <w:lang w:val="en-US" w:eastAsia="zh-CN" w:bidi="ar-SA"/>
              </w:rPr>
              <w:t>等由</w:t>
            </w:r>
            <w:r>
              <w:rPr>
                <w:rFonts w:hint="eastAsia" w:asciiTheme="minorEastAsia" w:hAnsiTheme="minorEastAsia" w:eastAsiaTheme="minorEastAsia" w:cstheme="minorEastAsia"/>
                <w:snapToGrid w:val="0"/>
                <w:color w:val="000000"/>
                <w:spacing w:val="-1"/>
                <w:kern w:val="0"/>
                <w:sz w:val="24"/>
                <w:szCs w:val="24"/>
                <w:lang w:val="en-US" w:eastAsia="en-US" w:bidi="ar-SA"/>
              </w:rPr>
              <w:t>同一单位缴纳社会保险或</w:t>
            </w:r>
            <w:r>
              <w:rPr>
                <w:rFonts w:hint="eastAsia" w:asciiTheme="minorEastAsia" w:hAnsiTheme="minorEastAsia" w:eastAsiaTheme="minorEastAsia" w:cstheme="minorEastAsia"/>
                <w:snapToGrid w:val="0"/>
                <w:color w:val="000000"/>
                <w:spacing w:val="-1"/>
                <w:kern w:val="0"/>
                <w:sz w:val="24"/>
                <w:szCs w:val="24"/>
                <w:lang w:val="en-US" w:eastAsia="zh-CN" w:bidi="ar-SA"/>
              </w:rPr>
              <w:t>者</w:t>
            </w:r>
            <w:r>
              <w:rPr>
                <w:rFonts w:hint="eastAsia" w:asciiTheme="minorEastAsia" w:hAnsiTheme="minorEastAsia" w:eastAsiaTheme="minorEastAsia" w:cstheme="minorEastAsia"/>
                <w:snapToGrid w:val="0"/>
                <w:color w:val="000000"/>
                <w:spacing w:val="-1"/>
                <w:kern w:val="0"/>
                <w:sz w:val="24"/>
                <w:szCs w:val="24"/>
                <w:lang w:val="en-US" w:eastAsia="en-US" w:bidi="ar-SA"/>
              </w:rPr>
              <w:t>领取报酬</w:t>
            </w:r>
            <w:r>
              <w:rPr>
                <w:rFonts w:hint="eastAsia" w:asciiTheme="minorEastAsia" w:hAnsiTheme="minorEastAsia" w:eastAsiaTheme="minorEastAsia" w:cstheme="minorEastAsia"/>
                <w:snapToGrid w:val="0"/>
                <w:color w:val="000000"/>
                <w:spacing w:val="-1"/>
                <w:kern w:val="0"/>
                <w:sz w:val="24"/>
                <w:szCs w:val="24"/>
                <w:lang w:val="en-US" w:eastAsia="zh-CN" w:bidi="ar-SA"/>
              </w:rPr>
              <w:t>的</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七</w:t>
            </w:r>
            <w:r>
              <w:rPr>
                <w:rFonts w:hint="eastAsia" w:asciiTheme="minorEastAsia" w:hAnsiTheme="minorEastAsia" w:eastAsiaTheme="minorEastAsia" w:cstheme="minorEastAsia"/>
                <w:snapToGrid w:val="0"/>
                <w:color w:val="000000"/>
                <w:spacing w:val="-1"/>
                <w:kern w:val="0"/>
                <w:sz w:val="24"/>
                <w:szCs w:val="24"/>
                <w:lang w:val="en-US" w:eastAsia="en-US" w:bidi="ar-SA"/>
              </w:rPr>
              <w:t>）不同供应商</w:t>
            </w:r>
            <w:r>
              <w:rPr>
                <w:rFonts w:hint="eastAsia" w:asciiTheme="minorEastAsia" w:hAnsiTheme="minorEastAsia" w:eastAsiaTheme="minorEastAsia" w:cstheme="minorEastAsia"/>
                <w:snapToGrid w:val="0"/>
                <w:color w:val="000000"/>
                <w:spacing w:val="-1"/>
                <w:kern w:val="0"/>
                <w:sz w:val="24"/>
                <w:szCs w:val="24"/>
                <w:lang w:val="en-US" w:eastAsia="zh-CN" w:bidi="ar-SA"/>
              </w:rPr>
              <w:t>响应（响应）</w:t>
            </w:r>
            <w:r>
              <w:rPr>
                <w:rFonts w:hint="eastAsia" w:asciiTheme="minorEastAsia" w:hAnsiTheme="minorEastAsia" w:eastAsiaTheme="minorEastAsia" w:cstheme="minorEastAsia"/>
                <w:snapToGrid w:val="0"/>
                <w:color w:val="000000"/>
                <w:spacing w:val="-1"/>
                <w:kern w:val="0"/>
                <w:sz w:val="24"/>
                <w:szCs w:val="24"/>
                <w:lang w:val="en-US" w:eastAsia="en-US" w:bidi="ar-SA"/>
              </w:rPr>
              <w:t>文件中的法定代表人或负责人签名出自同一人</w:t>
            </w:r>
            <w:r>
              <w:rPr>
                <w:rFonts w:hint="eastAsia" w:asciiTheme="minorEastAsia" w:hAnsiTheme="minorEastAsia" w:eastAsiaTheme="minorEastAsia" w:cstheme="minorEastAsia"/>
                <w:snapToGrid w:val="0"/>
                <w:color w:val="000000"/>
                <w:spacing w:val="-1"/>
                <w:kern w:val="0"/>
                <w:sz w:val="24"/>
                <w:szCs w:val="24"/>
                <w:lang w:val="en-US" w:eastAsia="zh-CN" w:bidi="ar-SA"/>
              </w:rPr>
              <w:t>之手</w:t>
            </w:r>
            <w:r>
              <w:rPr>
                <w:rFonts w:hint="eastAsia" w:asciiTheme="minorEastAsia" w:hAnsiTheme="minorEastAsia" w:eastAsiaTheme="minorEastAsia" w:cstheme="minorEastAsia"/>
                <w:snapToGrid w:val="0"/>
                <w:color w:val="000000"/>
                <w:spacing w:val="-1"/>
                <w:kern w:val="0"/>
                <w:sz w:val="24"/>
                <w:szCs w:val="24"/>
                <w:lang w:val="en-US" w:eastAsia="en-US" w:bidi="ar-SA"/>
              </w:rPr>
              <w:t>；（</w:t>
            </w:r>
            <w:r>
              <w:rPr>
                <w:rFonts w:hint="eastAsia" w:asciiTheme="minorEastAsia" w:hAnsiTheme="minorEastAsia" w:eastAsiaTheme="minorEastAsia" w:cstheme="minorEastAsia"/>
                <w:snapToGrid w:val="0"/>
                <w:color w:val="000000"/>
                <w:spacing w:val="-1"/>
                <w:kern w:val="0"/>
                <w:sz w:val="24"/>
                <w:szCs w:val="24"/>
                <w:lang w:val="en-US" w:eastAsia="zh-CN" w:bidi="ar-SA"/>
              </w:rPr>
              <w:t>八</w:t>
            </w:r>
            <w:r>
              <w:rPr>
                <w:rFonts w:hint="eastAsia" w:asciiTheme="minorEastAsia" w:hAnsiTheme="minorEastAsia" w:eastAsiaTheme="minorEastAsia" w:cstheme="minorEastAsia"/>
                <w:snapToGrid w:val="0"/>
                <w:color w:val="000000"/>
                <w:spacing w:val="-1"/>
                <w:kern w:val="0"/>
                <w:sz w:val="24"/>
                <w:szCs w:val="24"/>
                <w:lang w:val="en-US" w:eastAsia="en-US" w:bidi="ar-SA"/>
              </w:rPr>
              <w:t>）其他涉嫌串通的情形。</w:t>
            </w:r>
          </w:p>
        </w:tc>
      </w:tr>
      <w:tr w14:paraId="523CDB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685" w:type="dxa"/>
            <w:vAlign w:val="center"/>
          </w:tcPr>
          <w:p w14:paraId="28BD51BB">
            <w:pPr>
              <w:pStyle w:val="23"/>
              <w:keepNext w:val="0"/>
              <w:keepLines w:val="0"/>
              <w:pageBreakBefore w:val="0"/>
              <w:kinsoku/>
              <w:wordWrap w:val="0"/>
              <w:overflowPunct/>
              <w:topLinePunct w:val="0"/>
              <w:bidi w:val="0"/>
              <w:spacing w:before="248" w:line="202"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3</w:t>
            </w:r>
          </w:p>
        </w:tc>
        <w:tc>
          <w:tcPr>
            <w:tcW w:w="1812" w:type="dxa"/>
            <w:vAlign w:val="center"/>
          </w:tcPr>
          <w:p w14:paraId="6CF909EE">
            <w:pPr>
              <w:keepNext w:val="0"/>
              <w:keepLines w:val="0"/>
              <w:pageBreakBefore w:val="0"/>
              <w:kinsoku/>
              <w:wordWrap w:val="0"/>
              <w:overflowPunct/>
              <w:topLinePunct w:val="0"/>
              <w:bidi w:val="0"/>
              <w:spacing w:before="228" w:line="219" w:lineRule="auto"/>
              <w:ind w:left="13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附加条件</w:t>
            </w:r>
          </w:p>
        </w:tc>
        <w:tc>
          <w:tcPr>
            <w:tcW w:w="5791" w:type="dxa"/>
            <w:vAlign w:val="top"/>
          </w:tcPr>
          <w:p w14:paraId="43990CAB">
            <w:pPr>
              <w:keepNext w:val="0"/>
              <w:keepLines w:val="0"/>
              <w:pageBreakBefore w:val="0"/>
              <w:kinsoku/>
              <w:wordWrap w:val="0"/>
              <w:overflowPunct/>
              <w:topLinePunct w:val="0"/>
              <w:bidi w:val="0"/>
              <w:spacing w:before="228" w:line="219" w:lineRule="auto"/>
              <w:ind w:left="11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3"/>
                <w:sz w:val="24"/>
                <w:szCs w:val="24"/>
              </w:rPr>
              <w:t>未含有</w:t>
            </w:r>
            <w:r>
              <w:rPr>
                <w:rFonts w:hint="eastAsia" w:asciiTheme="minorEastAsia" w:hAnsiTheme="minorEastAsia" w:eastAsiaTheme="minorEastAsia" w:cstheme="minorEastAsia"/>
                <w:spacing w:val="-3"/>
                <w:sz w:val="24"/>
                <w:szCs w:val="24"/>
                <w:lang w:eastAsia="zh-CN"/>
              </w:rPr>
              <w:t>征集人</w:t>
            </w:r>
            <w:r>
              <w:rPr>
                <w:rFonts w:hint="eastAsia" w:asciiTheme="minorEastAsia" w:hAnsiTheme="minorEastAsia" w:eastAsiaTheme="minorEastAsia" w:cstheme="minorEastAsia"/>
                <w:spacing w:val="-3"/>
                <w:sz w:val="24"/>
                <w:szCs w:val="24"/>
              </w:rPr>
              <w:t>不能接受的附加条件</w:t>
            </w:r>
            <w:r>
              <w:rPr>
                <w:rFonts w:hint="eastAsia" w:asciiTheme="minorEastAsia" w:hAnsiTheme="minorEastAsia" w:eastAsiaTheme="minorEastAsia" w:cstheme="minorEastAsia"/>
                <w:spacing w:val="-4"/>
                <w:sz w:val="24"/>
                <w:szCs w:val="24"/>
              </w:rPr>
              <w:t>的</w:t>
            </w:r>
            <w:r>
              <w:rPr>
                <w:rFonts w:hint="eastAsia" w:asciiTheme="minorEastAsia" w:hAnsiTheme="minorEastAsia" w:eastAsiaTheme="minorEastAsia" w:cstheme="minorEastAsia"/>
                <w:spacing w:val="-4"/>
                <w:sz w:val="24"/>
                <w:szCs w:val="24"/>
                <w:lang w:eastAsia="zh-CN"/>
              </w:rPr>
              <w:t>。</w:t>
            </w:r>
          </w:p>
        </w:tc>
      </w:tr>
      <w:tr w14:paraId="59B9D3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4" w:hRule="atLeast"/>
        </w:trPr>
        <w:tc>
          <w:tcPr>
            <w:tcW w:w="685" w:type="dxa"/>
            <w:vAlign w:val="top"/>
          </w:tcPr>
          <w:p w14:paraId="16B01791">
            <w:pPr>
              <w:pStyle w:val="23"/>
              <w:keepNext w:val="0"/>
              <w:keepLines w:val="0"/>
              <w:pageBreakBefore w:val="0"/>
              <w:kinsoku/>
              <w:wordWrap w:val="0"/>
              <w:overflowPunct/>
              <w:topLinePunct w:val="0"/>
              <w:bidi w:val="0"/>
              <w:spacing w:before="252" w:line="199"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5"/>
                <w:sz w:val="24"/>
                <w:szCs w:val="24"/>
                <w:lang w:val="en-US" w:eastAsia="zh-CN"/>
              </w:rPr>
              <w:t>4</w:t>
            </w:r>
          </w:p>
        </w:tc>
        <w:tc>
          <w:tcPr>
            <w:tcW w:w="1812" w:type="dxa"/>
            <w:vAlign w:val="top"/>
          </w:tcPr>
          <w:p w14:paraId="1F91A2B8">
            <w:pPr>
              <w:keepNext w:val="0"/>
              <w:keepLines w:val="0"/>
              <w:pageBreakBefore w:val="0"/>
              <w:kinsoku/>
              <w:wordWrap w:val="0"/>
              <w:overflowPunct/>
              <w:topLinePunct w:val="0"/>
              <w:bidi w:val="0"/>
              <w:spacing w:before="226" w:line="221" w:lineRule="auto"/>
              <w:ind w:left="113"/>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其他无效情形</w:t>
            </w:r>
          </w:p>
        </w:tc>
        <w:tc>
          <w:tcPr>
            <w:tcW w:w="5791" w:type="dxa"/>
            <w:vAlign w:val="top"/>
          </w:tcPr>
          <w:p w14:paraId="439AF815">
            <w:pPr>
              <w:keepNext w:val="0"/>
              <w:keepLines w:val="0"/>
              <w:pageBreakBefore w:val="0"/>
              <w:kinsoku/>
              <w:wordWrap w:val="0"/>
              <w:overflowPunct/>
              <w:topLinePunct w:val="0"/>
              <w:bidi w:val="0"/>
              <w:spacing w:before="74" w:line="229" w:lineRule="auto"/>
              <w:ind w:left="115" w:right="136" w:firstLine="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供应商</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响应文件</w:t>
            </w:r>
            <w:r>
              <w:rPr>
                <w:rFonts w:hint="eastAsia" w:asciiTheme="minorEastAsia" w:hAnsiTheme="minorEastAsia" w:eastAsiaTheme="minorEastAsia" w:cstheme="minorEastAsia"/>
                <w:spacing w:val="-1"/>
                <w:sz w:val="24"/>
                <w:szCs w:val="24"/>
              </w:rPr>
              <w:t>不存在不符合法律、法规和</w:t>
            </w:r>
            <w:r>
              <w:rPr>
                <w:rFonts w:hint="eastAsia" w:asciiTheme="minorEastAsia" w:hAnsiTheme="minorEastAsia" w:eastAsiaTheme="minorEastAsia" w:cstheme="minorEastAsia"/>
                <w:spacing w:val="-1"/>
                <w:sz w:val="24"/>
                <w:szCs w:val="24"/>
                <w:lang w:eastAsia="zh-CN"/>
              </w:rPr>
              <w:t>征集文件</w:t>
            </w:r>
            <w:r>
              <w:rPr>
                <w:rFonts w:hint="eastAsia" w:asciiTheme="minorEastAsia" w:hAnsiTheme="minorEastAsia" w:eastAsiaTheme="minorEastAsia" w:cstheme="minorEastAsia"/>
                <w:spacing w:val="-1"/>
                <w:sz w:val="24"/>
                <w:szCs w:val="24"/>
              </w:rPr>
              <w:t>规定的</w:t>
            </w:r>
            <w:r>
              <w:rPr>
                <w:rFonts w:hint="eastAsia" w:asciiTheme="minorEastAsia" w:hAnsiTheme="minorEastAsia" w:eastAsiaTheme="minorEastAsia" w:cstheme="minorEastAsia"/>
                <w:spacing w:val="-6"/>
                <w:sz w:val="24"/>
                <w:szCs w:val="24"/>
              </w:rPr>
              <w:t>其他无效情形。</w:t>
            </w:r>
          </w:p>
        </w:tc>
      </w:tr>
    </w:tbl>
    <w:p w14:paraId="5D356E19">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2.技术审查</w:t>
      </w:r>
    </w:p>
    <w:p w14:paraId="6A17A138">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服务类，审查</w:t>
      </w:r>
      <w:r>
        <w:rPr>
          <w:rFonts w:hint="eastAsia" w:asciiTheme="minorEastAsia" w:hAnsiTheme="minorEastAsia" w:eastAsiaTheme="minorEastAsia" w:cstheme="minorEastAsia"/>
          <w:spacing w:val="2"/>
          <w:position w:val="17"/>
          <w:sz w:val="24"/>
          <w:szCs w:val="24"/>
          <w:highlight w:val="none"/>
          <w:lang w:val="en-US" w:eastAsia="zh-CN"/>
        </w:rPr>
        <w:t>服务方案（对预算绩效管理服务的认识和理解、服务实施方案、服务质量保障措施、履约服务便利度保障措施、内部管理制度、进度保障措施、业务操作流程、风险管控措施、档案管理措施等）是否符合征集要求。</w:t>
      </w:r>
    </w:p>
    <w:p w14:paraId="0CD7848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3.评审小组将通过审查确定每一供应商是否对征集文件做出了实质性响应</w:t>
      </w:r>
    </w:p>
    <w:p w14:paraId="0BEC194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实质性响应的响应是指响应符合征集文件的所有条款、条件和要求，而无重大偏离和保留。重大偏离和保留是指影响到征集文件规定的范围、质量和性能，或限制了征集人的权利和供应商的义务的规定，而纠正这些偏差将影响到其它提交实质性响应的供应商的公平竞争地位。评审小组判断响应文件的响应性仅基于响应文件本身内容而不靠外部证据。评审小组将拒绝被确定为非实质性响应的供应商，供应商不得通过修正或撤销不符之处而使其响应成为实质性响应的投标。</w:t>
      </w:r>
    </w:p>
    <w:p w14:paraId="5350606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4.响应文件的澄清</w:t>
      </w:r>
    </w:p>
    <w:p w14:paraId="4604BF6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4.1 为了有助于对响应文件进行审查、评估和比较，评审小组有权向供应商质疑，请供应商澄清、说明或补正其响应内容。供应商须按照征集人或采购代理机构通知的时间、地点、方式指派法定代表人（负责人）或授权代表进行澄清、说明或补正。</w:t>
      </w:r>
    </w:p>
    <w:p w14:paraId="4F7E79EC">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4.2 澄清、说明或补正要求。对响应文件中含义不明确、同类问题表述不一致或者有明显文字和计算错误的内容，评审小组应当以书面形式要求供应商作出必要的澄清、说明或补正。供应商的澄清、说明或者补正应当采用书面形式，由其法定代表人（负责人）或授权代表签字，并不得超出响应文件的范围或者改变响应文件的实质性内容。</w:t>
      </w:r>
    </w:p>
    <w:p w14:paraId="5F48C6B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4.3 供应商的澄清、说明或补正文件是响应文件的组成部分，并取代响应文件中被澄清、说明或补正的部分。</w:t>
      </w:r>
    </w:p>
    <w:p w14:paraId="28FED71B">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五.评审</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方法和</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评审</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标准</w:t>
      </w:r>
    </w:p>
    <w:p w14:paraId="2FB6445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本项目采用的</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方法为：</w:t>
      </w:r>
    </w:p>
    <w:p w14:paraId="14A851D1">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☑质量优先法</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对满足采购需求且相应报价不超过最高限制单价的服务进行质量综合评分，按照质量评分从高到底排序，根据征集文件规定的淘汰率或者入围供应商数量上限，确定入围供应商的评审方法。</w:t>
      </w:r>
    </w:p>
    <w:p w14:paraId="28A92662">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确定</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入围供应商</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名单</w:t>
      </w:r>
    </w:p>
    <w:p w14:paraId="0D3B25E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 供应商的排名按得分顺序从高到低排列；得分相同的，按响应报价由低到高顺序排列；得分且响应报价相同的，按技术指标优劣顺序排列。</w:t>
      </w:r>
    </w:p>
    <w:p w14:paraId="27B6FD35">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2.2 评审小组</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要对评分汇总情况进行复核，特别是对排名第一的、报价最低的、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响应文件</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被认定为无效的情形进行重点复核。</w:t>
      </w:r>
    </w:p>
    <w:p w14:paraId="5C252627">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 评审小组</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将根据各</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供应商</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的</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排序，依次推荐本项目</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候选人，起草并签署</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w:t>
      </w:r>
    </w:p>
    <w:p w14:paraId="04B79B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报告违法行为</w:t>
      </w:r>
    </w:p>
    <w:p w14:paraId="1016B18A">
      <w:pPr>
        <w:pStyle w:val="5"/>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评审小组</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在</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评审</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过程中发现</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供应商</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有行贿、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提</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供虚假材料或者串通等违法行为时，有向</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征集人</w:t>
      </w:r>
      <w:r>
        <w:rPr>
          <w:rFonts w:hint="eastAsia" w:asciiTheme="minorEastAsia" w:hAnsiTheme="minorEastAsia" w:eastAsiaTheme="minorEastAsia" w:cstheme="minorEastAsia"/>
          <w:snapToGrid w:val="0"/>
          <w:color w:val="000000"/>
          <w:spacing w:val="2"/>
          <w:kern w:val="0"/>
          <w:position w:val="17"/>
          <w:sz w:val="24"/>
          <w:szCs w:val="24"/>
          <w:lang w:val="en-US" w:eastAsia="en-US" w:bidi="ar-SA"/>
        </w:rPr>
        <w:t>、采购代理机构或者有关部门报告的职责。</w:t>
      </w:r>
    </w:p>
    <w:p w14:paraId="2CAEBD69">
      <w:pPr>
        <w:keepNext w:val="0"/>
        <w:keepLines w:val="0"/>
        <w:pageBreakBefore w:val="0"/>
        <w:widowControl/>
        <w:kinsoku/>
        <w:wordWrap w:val="0"/>
        <w:overflowPunct/>
        <w:topLinePunct w:val="0"/>
        <w:autoSpaceDE w:val="0"/>
        <w:autoSpaceDN w:val="0"/>
        <w:bidi w:val="0"/>
        <w:adjustRightInd w:val="0"/>
        <w:snapToGrid w:val="0"/>
        <w:spacing w:line="360" w:lineRule="auto"/>
        <w:ind w:firstLine="490" w:firstLineChars="200"/>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4.供应商存在下列情况之一的，响应无效：</w:t>
      </w:r>
    </w:p>
    <w:p w14:paraId="78FA2A94">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（1）响应文件未按征集文件要求签署、盖章的；</w:t>
      </w:r>
    </w:p>
    <w:p w14:paraId="45E07DD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（2）不具备征集文件中规定的资格要求的；</w:t>
      </w:r>
    </w:p>
    <w:p w14:paraId="77C9FBF8">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（3）报价超过征集文件中规定的预算金额或者最高限价的；</w:t>
      </w:r>
    </w:p>
    <w:p w14:paraId="72B5F66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（4）响应文件含有征集人不能接受的附加条件的；</w:t>
      </w:r>
    </w:p>
    <w:p w14:paraId="3707AA06">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（5）不符合应提交响应文件资料数量要求的；</w:t>
      </w:r>
    </w:p>
    <w:p w14:paraId="629CBE43">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（6）开标解密时未在规定时间（30分钟）内进行解密成功的视为撤销其响应文件（因电子开标系统原因除外）；</w:t>
      </w:r>
    </w:p>
    <w:p w14:paraId="40C5EB5D">
      <w:pPr>
        <w:keepNext w:val="0"/>
        <w:keepLines w:val="0"/>
        <w:pageBreakBefore w:val="0"/>
        <w:widowControl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（7）电子响应文件未使用CA</w:t>
      </w:r>
      <w:r>
        <w:rPr>
          <w:rFonts w:hint="eastAsia" w:asciiTheme="minorEastAsia" w:hAnsiTheme="minorEastAsia" w:eastAsiaTheme="minorEastAsia" w:cstheme="minorEastAsia"/>
          <w:b/>
          <w:bCs/>
          <w:snapToGrid w:val="0"/>
          <w:color w:val="000000"/>
          <w:spacing w:val="2"/>
          <w:kern w:val="0"/>
          <w:position w:val="17"/>
          <w:sz w:val="24"/>
          <w:szCs w:val="24"/>
          <w:lang w:val="en-US" w:eastAsia="en-US" w:bidi="ar-SA"/>
        </w:rPr>
        <w:t>认证并加密的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FBED1D0">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（8）未在响应截止时间前完成上传的；</w:t>
      </w:r>
    </w:p>
    <w:p w14:paraId="2E0F1D71">
      <w:pPr>
        <w:keepNext w:val="0"/>
        <w:keepLines w:val="0"/>
        <w:pageBreakBefore w:val="0"/>
        <w:kinsoku/>
        <w:wordWrap w:val="0"/>
        <w:overflowPunct/>
        <w:topLinePunct w:val="0"/>
        <w:bidi w:val="0"/>
        <w:spacing w:line="360" w:lineRule="auto"/>
        <w:ind w:firstLine="490" w:firstLineChars="200"/>
        <w:jc w:val="both"/>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（9）</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未按</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暗标</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r>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t>要求编写技术或方案部分的</w:t>
      </w: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w:t>
      </w:r>
    </w:p>
    <w:p w14:paraId="761CEE77">
      <w:pPr>
        <w:keepNext w:val="0"/>
        <w:keepLines w:val="0"/>
        <w:pageBreakBefore w:val="0"/>
        <w:kinsoku/>
        <w:wordWrap w:val="0"/>
        <w:overflowPunct/>
        <w:topLinePunct w:val="0"/>
        <w:bidi w:val="0"/>
        <w:spacing w:line="360" w:lineRule="auto"/>
        <w:ind w:firstLine="490" w:firstLineChars="200"/>
        <w:jc w:val="both"/>
        <w:rPr>
          <w:rFonts w:hint="default"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（10）法律、法规和征集文件规定的其他无效情形。</w:t>
      </w:r>
    </w:p>
    <w:p w14:paraId="5F8EE21D">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5.出现下列情形之一的，应予废标：</w:t>
      </w:r>
    </w:p>
    <w:p w14:paraId="665650D3">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（1）符合专业条件的供应商或者对征集文件作实质性响应的供应商不足两家的；</w:t>
      </w:r>
    </w:p>
    <w:p w14:paraId="5BAD176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（2）出现影响采购公正的违法、违规行为的；</w:t>
      </w:r>
    </w:p>
    <w:p w14:paraId="66D5AC92">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（3）供应商的报价均超过了预算金额，征集人不能支付的；</w:t>
      </w:r>
    </w:p>
    <w:p w14:paraId="2806CD0C">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（4）因重大变故，采购任务取消的。</w:t>
      </w:r>
    </w:p>
    <w:p w14:paraId="28B6739E">
      <w:pPr>
        <w:keepNext w:val="0"/>
        <w:keepLines w:val="0"/>
        <w:pageBreakBefore w:val="0"/>
        <w:kinsoku/>
        <w:wordWrap w:val="0"/>
        <w:overflowPunct/>
        <w:topLinePunct w:val="0"/>
        <w:bidi w:val="0"/>
        <w:spacing w:line="360" w:lineRule="auto"/>
        <w:ind w:firstLine="490" w:firstLineChars="200"/>
        <w:jc w:val="both"/>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废标后，应当在指定媒体发布公告，将废标理由通知所有供应商。</w:t>
      </w:r>
    </w:p>
    <w:p w14:paraId="0FB838A7">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0A31A346">
      <w:pPr>
        <w:pStyle w:val="5"/>
        <w:keepNext w:val="0"/>
        <w:keepLines w:val="0"/>
        <w:pageBreakBefore w:val="0"/>
        <w:kinsoku/>
        <w:wordWrap w:val="0"/>
        <w:overflowPunct/>
        <w:topLinePunct w:val="0"/>
        <w:bidi w:val="0"/>
        <w:spacing w:before="78" w:line="221" w:lineRule="auto"/>
        <w:jc w:val="center"/>
        <w:outlineLvl w:val="2"/>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分</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标准</w:t>
      </w:r>
    </w:p>
    <w:tbl>
      <w:tblPr>
        <w:tblStyle w:val="16"/>
        <w:tblW w:w="8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6"/>
        <w:gridCol w:w="1601"/>
        <w:gridCol w:w="5360"/>
      </w:tblGrid>
      <w:tr w14:paraId="63F06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246" w:type="dxa"/>
            <w:noWrap w:val="0"/>
            <w:vAlign w:val="center"/>
          </w:tcPr>
          <w:p w14:paraId="52F25CF7">
            <w:pPr>
              <w:keepNext w:val="0"/>
              <w:keepLines w:val="0"/>
              <w:pageBreakBefore w:val="0"/>
              <w:widowControl/>
              <w:kinsoku/>
              <w:wordWrap w:val="0"/>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评审项</w:t>
            </w:r>
          </w:p>
        </w:tc>
        <w:tc>
          <w:tcPr>
            <w:tcW w:w="1601" w:type="dxa"/>
            <w:tcBorders>
              <w:right w:val="single" w:color="auto" w:sz="2" w:space="0"/>
            </w:tcBorders>
            <w:noWrap w:val="0"/>
            <w:vAlign w:val="center"/>
          </w:tcPr>
          <w:p w14:paraId="4C9CC35F">
            <w:pPr>
              <w:keepNext w:val="0"/>
              <w:keepLines w:val="0"/>
              <w:pageBreakBefore w:val="0"/>
              <w:widowControl/>
              <w:kinsoku/>
              <w:wordWrap w:val="0"/>
              <w:overflowPunct/>
              <w:topLinePunct w:val="0"/>
              <w:autoSpaceDE w:val="0"/>
              <w:autoSpaceDN w:val="0"/>
              <w:bidi w:val="0"/>
              <w:adjustRightInd w:val="0"/>
              <w:snapToGrid w:val="0"/>
              <w:spacing w:line="48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评分因素</w:t>
            </w:r>
          </w:p>
        </w:tc>
        <w:tc>
          <w:tcPr>
            <w:tcW w:w="5360" w:type="dxa"/>
            <w:noWrap w:val="0"/>
            <w:vAlign w:val="center"/>
          </w:tcPr>
          <w:p w14:paraId="76224837">
            <w:pPr>
              <w:keepNext w:val="0"/>
              <w:keepLines w:val="0"/>
              <w:pageBreakBefore w:val="0"/>
              <w:widowControl/>
              <w:kinsoku/>
              <w:wordWrap w:val="0"/>
              <w:overflowPunct/>
              <w:topLinePunct w:val="0"/>
              <w:autoSpaceDE w:val="0"/>
              <w:autoSpaceDN w:val="0"/>
              <w:bidi w:val="0"/>
              <w:adjustRightInd w:val="0"/>
              <w:snapToGrid w:val="0"/>
              <w:spacing w:line="48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评分标准</w:t>
            </w:r>
          </w:p>
        </w:tc>
      </w:tr>
      <w:tr w14:paraId="45708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7" w:hRule="atLeast"/>
          <w:jc w:val="center"/>
        </w:trPr>
        <w:tc>
          <w:tcPr>
            <w:tcW w:w="1246" w:type="dxa"/>
            <w:noWrap w:val="0"/>
            <w:vAlign w:val="center"/>
          </w:tcPr>
          <w:p w14:paraId="2E4722E3">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报价部分</w:t>
            </w:r>
          </w:p>
          <w:p w14:paraId="3668E62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（10分）</w:t>
            </w:r>
          </w:p>
        </w:tc>
        <w:tc>
          <w:tcPr>
            <w:tcW w:w="1601" w:type="dxa"/>
            <w:tcBorders>
              <w:right w:val="single" w:color="auto" w:sz="2" w:space="0"/>
            </w:tcBorders>
            <w:noWrap w:val="0"/>
            <w:vAlign w:val="center"/>
          </w:tcPr>
          <w:p w14:paraId="15E4535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第一阶段</w:t>
            </w:r>
          </w:p>
          <w:p w14:paraId="52FEEE8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响应报价</w:t>
            </w:r>
          </w:p>
          <w:p w14:paraId="18D8F7F5">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（10分）</w:t>
            </w:r>
          </w:p>
        </w:tc>
        <w:tc>
          <w:tcPr>
            <w:tcW w:w="5360" w:type="dxa"/>
            <w:noWrap w:val="0"/>
            <w:vAlign w:val="center"/>
          </w:tcPr>
          <w:p w14:paraId="217CCDCA">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所有有效供应商中响应报价综合费率最低的为评审基准价，其报价得分为满分10分。其他供应商的价格分统一按照下列公式计算：</w:t>
            </w:r>
          </w:p>
          <w:p w14:paraId="2229016F">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 xml:space="preserve">Sn=10×Cmin/Cn </w:t>
            </w:r>
          </w:p>
          <w:p w14:paraId="349598F6">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Sn：第n个有效供应商的价格得分；</w:t>
            </w:r>
          </w:p>
          <w:p w14:paraId="2059A8AC">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Cmin：全部有效供应商最低的响应报价；</w:t>
            </w:r>
          </w:p>
          <w:p w14:paraId="3C190F3D">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Cn：第n个技术和商务审查符合的有效供应商的响应报价。</w:t>
            </w:r>
          </w:p>
          <w:p w14:paraId="0D443BE2">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备注：</w:t>
            </w:r>
          </w:p>
          <w:p w14:paraId="193B75C7">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根据《政府采购促进中小企业发展管理办法》财库〔2020〕46号、《关于进一步加大政府采购支持中小企业力度的通知》财库〔2022〕19号的规定，对于非专门面向中小企业的项目，对所有服务全部均由小型和微型企业提供的给予</w:t>
            </w:r>
            <w:r>
              <w:rPr>
                <w:rFonts w:hint="eastAsia" w:ascii="宋体" w:hAnsi="宋体" w:eastAsia="宋体" w:cs="宋体"/>
                <w:snapToGrid w:val="0"/>
                <w:color w:val="auto"/>
                <w:spacing w:val="2"/>
                <w:kern w:val="0"/>
                <w:position w:val="17"/>
                <w:sz w:val="21"/>
                <w:szCs w:val="21"/>
                <w:lang w:val="en-US" w:eastAsia="zh-CN" w:bidi="ar-SA"/>
              </w:rPr>
              <w:t>10%</w:t>
            </w:r>
            <w:r>
              <w:rPr>
                <w:rFonts w:hint="eastAsia" w:ascii="宋体" w:hAnsi="宋体" w:eastAsia="宋体" w:cs="宋体"/>
                <w:snapToGrid w:val="0"/>
                <w:color w:val="000000"/>
                <w:spacing w:val="2"/>
                <w:kern w:val="0"/>
                <w:position w:val="17"/>
                <w:sz w:val="21"/>
                <w:szCs w:val="21"/>
                <w:lang w:val="en-US" w:eastAsia="zh-CN" w:bidi="ar-SA"/>
              </w:rPr>
              <w:t>的扣除，用扣除后的价格参与评审。</w:t>
            </w:r>
          </w:p>
          <w:p w14:paraId="4FABCCFF">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2.根据《关于促进残疾人就业政府采购政策的通知》（财库〔2017〕141 号）的规定，残疾人福利性单位视同小型、微型企业；根据财库〔2014〕68号《财政部司法部关于政府采购支持监狱企业发展有关问题的通知》，监狱企业视同小微企业。</w:t>
            </w:r>
          </w:p>
          <w:p w14:paraId="4BEB05DC">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3.同一供应商，小微企业、残疾人福利企业、监狱企业价格扣除优惠只享受一次，不重复享受。</w:t>
            </w:r>
          </w:p>
        </w:tc>
      </w:tr>
      <w:tr w14:paraId="3AF25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jc w:val="center"/>
        </w:trPr>
        <w:tc>
          <w:tcPr>
            <w:tcW w:w="1246" w:type="dxa"/>
            <w:vMerge w:val="restart"/>
            <w:noWrap w:val="0"/>
            <w:vAlign w:val="center"/>
          </w:tcPr>
          <w:p w14:paraId="71FAB8EB">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p w14:paraId="2BDE90F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p w14:paraId="0A15A2B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p w14:paraId="18B1B447">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p w14:paraId="5393ACE3">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p w14:paraId="1B872D8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商务部分（42分）</w:t>
            </w:r>
          </w:p>
        </w:tc>
        <w:tc>
          <w:tcPr>
            <w:tcW w:w="1601" w:type="dxa"/>
            <w:tcBorders>
              <w:right w:val="single" w:color="auto" w:sz="2" w:space="0"/>
            </w:tcBorders>
            <w:noWrap w:val="0"/>
            <w:vAlign w:val="center"/>
          </w:tcPr>
          <w:p w14:paraId="520185CC">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供应商业绩</w:t>
            </w:r>
          </w:p>
          <w:p w14:paraId="442D64DE">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（12分）</w:t>
            </w:r>
          </w:p>
        </w:tc>
        <w:tc>
          <w:tcPr>
            <w:tcW w:w="5360" w:type="dxa"/>
            <w:noWrap w:val="0"/>
            <w:vAlign w:val="center"/>
          </w:tcPr>
          <w:p w14:paraId="20431F46">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根据2020年1月份以来（以合同或协议签订时间为准），供应商提供的所承担预算绩效管理服务各类业务的相关材料，进行评审打分。</w:t>
            </w:r>
          </w:p>
          <w:p w14:paraId="39A0AC2B">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每提供1份财政事前绩效评估的相关材料得1分，最多得3分；</w:t>
            </w:r>
          </w:p>
          <w:p w14:paraId="6054B7C8">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每提供1份财政重点绩效评价相关材料得1分，最多得3分；</w:t>
            </w:r>
          </w:p>
          <w:p w14:paraId="1EFE4254">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每提供1份全成本预算绩效分析的相关材料得1分，最多得3分；</w:t>
            </w:r>
          </w:p>
          <w:p w14:paraId="5DCBC58C">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每提供1份绩效指标和标准体系制定相关材料得1分，最多得3分；</w:t>
            </w:r>
          </w:p>
          <w:p w14:paraId="4F61F832">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注：</w:t>
            </w:r>
          </w:p>
          <w:p w14:paraId="4EC0E81B">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①响应文件中附承接项目委托合同或协议及成果资料关键页扫描件，合同中需显示委托单位名称、项目名称，否则不予认可。</w:t>
            </w:r>
          </w:p>
          <w:p w14:paraId="1D095839">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②</w:t>
            </w:r>
            <w:r>
              <w:rPr>
                <w:rFonts w:hint="eastAsia" w:ascii="宋体" w:hAnsi="宋体" w:eastAsia="宋体" w:cs="宋体"/>
                <w:b/>
                <w:bCs/>
                <w:snapToGrid w:val="0"/>
                <w:color w:val="000000"/>
                <w:spacing w:val="2"/>
                <w:kern w:val="0"/>
                <w:position w:val="17"/>
                <w:sz w:val="21"/>
                <w:szCs w:val="21"/>
                <w:lang w:val="en-US" w:eastAsia="zh-CN" w:bidi="ar-SA"/>
              </w:rPr>
              <w:t>供应商业绩与项目主评人业绩不重复计算得分</w:t>
            </w:r>
            <w:r>
              <w:rPr>
                <w:rFonts w:hint="eastAsia" w:ascii="宋体" w:hAnsi="宋体" w:eastAsia="宋体" w:cs="宋体"/>
                <w:snapToGrid w:val="0"/>
                <w:color w:val="000000"/>
                <w:spacing w:val="2"/>
                <w:kern w:val="0"/>
                <w:position w:val="17"/>
                <w:sz w:val="21"/>
                <w:szCs w:val="21"/>
                <w:lang w:val="en-US" w:eastAsia="zh-CN" w:bidi="ar-SA"/>
              </w:rPr>
              <w:t>。</w:t>
            </w:r>
          </w:p>
          <w:p w14:paraId="376342D0">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③如成果文件有关内容涉及商业机密等事宜，须事先征得委托人同意，否则一切后果由供应商承担。</w:t>
            </w:r>
          </w:p>
        </w:tc>
      </w:tr>
      <w:tr w14:paraId="594E0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14:paraId="00A0F701">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499F0EAF">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b w:val="0"/>
                <w:bCs w:val="0"/>
                <w:snapToGrid w:val="0"/>
                <w:color w:val="000000"/>
                <w:kern w:val="2"/>
                <w:sz w:val="21"/>
                <w:szCs w:val="21"/>
                <w:lang w:val="en-US" w:eastAsia="zh-CN" w:bidi="ar-SA"/>
              </w:rPr>
              <w:t>信用评价（2分）</w:t>
            </w:r>
          </w:p>
        </w:tc>
        <w:tc>
          <w:tcPr>
            <w:tcW w:w="5360" w:type="dxa"/>
            <w:noWrap w:val="0"/>
            <w:vAlign w:val="center"/>
          </w:tcPr>
          <w:p w14:paraId="507854DD">
            <w:pPr>
              <w:keepNext w:val="0"/>
              <w:keepLines w:val="0"/>
              <w:pageBreakBefore w:val="0"/>
              <w:widowControl/>
              <w:kinsoku/>
              <w:wordWrap w:val="0"/>
              <w:overflowPunct/>
              <w:topLinePunct w:val="0"/>
              <w:autoSpaceDE w:val="0"/>
              <w:autoSpaceDN w:val="0"/>
              <w:bidi w:val="0"/>
              <w:adjustRightInd w:val="0"/>
              <w:snapToGrid w:val="0"/>
              <w:spacing w:line="360" w:lineRule="auto"/>
              <w:ind w:firstLine="420"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b w:val="0"/>
                <w:bCs w:val="0"/>
                <w:snapToGrid w:val="0"/>
                <w:color w:val="000000"/>
                <w:kern w:val="2"/>
                <w:sz w:val="21"/>
                <w:szCs w:val="21"/>
                <w:lang w:val="en-US" w:eastAsia="zh-CN" w:bidi="ar-SA"/>
              </w:rPr>
              <w:t>根据《南阳市政府采购信用评价实施办法》，投标人登录“南阳市政府采购信用管理系统”打印并提交《南阳市政府采购供应商信用记录表》，诚信评价为三星级的加 1 分，四星级的加 2 分，其他不得分；</w:t>
            </w:r>
          </w:p>
        </w:tc>
      </w:tr>
      <w:tr w14:paraId="4DC6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7" w:hRule="atLeast"/>
          <w:jc w:val="center"/>
        </w:trPr>
        <w:tc>
          <w:tcPr>
            <w:tcW w:w="1246" w:type="dxa"/>
            <w:vMerge w:val="continue"/>
            <w:noWrap w:val="0"/>
            <w:vAlign w:val="center"/>
          </w:tcPr>
          <w:p w14:paraId="7FDE3A7F">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257DC43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项目负责人</w:t>
            </w:r>
          </w:p>
          <w:p w14:paraId="3863E51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（主评人）</w:t>
            </w:r>
          </w:p>
          <w:p w14:paraId="69D7729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（5分）</w:t>
            </w:r>
          </w:p>
        </w:tc>
        <w:tc>
          <w:tcPr>
            <w:tcW w:w="5360" w:type="dxa"/>
            <w:noWrap w:val="0"/>
            <w:vAlign w:val="center"/>
          </w:tcPr>
          <w:p w14:paraId="162CA466">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1.项目负责人（主评人）证书（3分）</w:t>
            </w:r>
          </w:p>
          <w:p w14:paraId="0E359602">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供应商拟派项目负责人（主评人）在高级（副高）专业技术职称、注册会计师、资产评估师三种证书中同时具备任意两种及以上证书的得3分，否则不得分。</w:t>
            </w:r>
          </w:p>
          <w:p w14:paraId="24AB0790">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2.项目负责人（主评人）业绩（2分）</w:t>
            </w:r>
          </w:p>
          <w:p w14:paraId="7798D627">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 xml:space="preserve">每提供1份2020年1月份以来（以合同或协议签订时间为准）财政事前绩效评估、财政重点绩效评价、全成本预算绩效分析、绩效指标和标准体系制定，各得0.5分，最多得2分(每类业绩不重复计算得分)。 </w:t>
            </w:r>
          </w:p>
          <w:p w14:paraId="2450EF1A">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注：</w:t>
            </w:r>
          </w:p>
          <w:p w14:paraId="2CBF7577">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①响应文件中附承接项目委托合同或协议及成果资料关键页扫描件，合同中需显示委托单位名称、项目名称，否则不予认可。</w:t>
            </w:r>
          </w:p>
          <w:p w14:paraId="5B3B4CAB">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②</w:t>
            </w:r>
            <w:r>
              <w:rPr>
                <w:rFonts w:hint="eastAsia" w:ascii="宋体" w:hAnsi="宋体" w:eastAsia="宋体" w:cs="宋体"/>
                <w:b/>
                <w:bCs/>
                <w:snapToGrid w:val="0"/>
                <w:color w:val="000000"/>
                <w:spacing w:val="2"/>
                <w:kern w:val="0"/>
                <w:position w:val="17"/>
                <w:sz w:val="21"/>
                <w:szCs w:val="21"/>
                <w:lang w:val="en-US" w:eastAsia="zh-CN" w:bidi="ar-SA"/>
              </w:rPr>
              <w:t>供应商业绩与项目负责人（主评人）业绩不重复计算得分。</w:t>
            </w:r>
          </w:p>
          <w:p w14:paraId="2277FA14">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③如成果文件有关内容涉及商业机密等事宜，须事先征得委托人同意，否则一切后果由供应商承担。</w:t>
            </w:r>
          </w:p>
        </w:tc>
      </w:tr>
      <w:tr w14:paraId="1F22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14:paraId="68331C15">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47A43E2A">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p w14:paraId="6C03A62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拟派项目团队人员（20分）</w:t>
            </w:r>
          </w:p>
        </w:tc>
        <w:tc>
          <w:tcPr>
            <w:tcW w:w="5360" w:type="dxa"/>
            <w:noWrap w:val="0"/>
            <w:vAlign w:val="center"/>
          </w:tcPr>
          <w:p w14:paraId="3A39C204">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拟派项目团队人员中（项目负责人、主评人除外）每有一人具有高级（副高）专业技术职称或注册会计师或评估师、律师、内审师、注册造价工程师、注册咨询工程师等相关行业管理部门认可的专业资质的得2分，最多得10分。</w:t>
            </w:r>
          </w:p>
          <w:p w14:paraId="230A41AE">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2.拟派项目团队人员中（项目负责人、主评人除外）每有一人具有中级专业技术职称证书的得1分，最多得10分。</w:t>
            </w:r>
          </w:p>
          <w:p w14:paraId="75F6E0E9">
            <w:pPr>
              <w:keepNext w:val="0"/>
              <w:keepLines w:val="0"/>
              <w:pageBreakBefore w:val="0"/>
              <w:widowControl/>
              <w:kinsoku/>
              <w:wordWrap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注：</w:t>
            </w:r>
          </w:p>
          <w:p w14:paraId="53D2B9AB">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①提供专业技术职称证书扫描件和本项目响应文件递交截止时间前最近3个月供应商连续为相应人员缴纳社保的证明材料，否则不予认可；</w:t>
            </w:r>
          </w:p>
          <w:p w14:paraId="48B20767">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②拟派项目团队人员中，同一人员所持证书不重复计分。同一人员具有多个证书的，按得分最高证书计分；同一人员最高得分证书有两个及以上的，仅就一种证书计分。</w:t>
            </w:r>
          </w:p>
        </w:tc>
      </w:tr>
      <w:tr w14:paraId="39027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2" w:hRule="atLeast"/>
          <w:jc w:val="center"/>
        </w:trPr>
        <w:tc>
          <w:tcPr>
            <w:tcW w:w="1246" w:type="dxa"/>
            <w:vMerge w:val="continue"/>
            <w:noWrap w:val="0"/>
            <w:vAlign w:val="center"/>
          </w:tcPr>
          <w:p w14:paraId="052666A3">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1809E7CD">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专业能力（3分）</w:t>
            </w:r>
          </w:p>
        </w:tc>
        <w:tc>
          <w:tcPr>
            <w:tcW w:w="5360" w:type="dxa"/>
            <w:noWrap w:val="0"/>
            <w:vAlign w:val="center"/>
          </w:tcPr>
          <w:p w14:paraId="783CF054">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供应商或项目负责人（主评人）2020年1月1日以来参与过预算绩效管理相关课题研究或发表相关专著、期刊论文的，每提供一项得1分，最多得3分。在响应文件中附相关证明材料，否则不予认可</w:t>
            </w:r>
          </w:p>
        </w:tc>
      </w:tr>
      <w:tr w14:paraId="0EB4C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restart"/>
            <w:noWrap w:val="0"/>
            <w:vAlign w:val="center"/>
          </w:tcPr>
          <w:p w14:paraId="5DCB1384">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技术部分</w:t>
            </w:r>
          </w:p>
          <w:p w14:paraId="61841CFA">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（48分）</w:t>
            </w:r>
          </w:p>
        </w:tc>
        <w:tc>
          <w:tcPr>
            <w:tcW w:w="1601" w:type="dxa"/>
            <w:tcBorders>
              <w:right w:val="single" w:color="auto" w:sz="2" w:space="0"/>
            </w:tcBorders>
            <w:noWrap w:val="0"/>
            <w:vAlign w:val="center"/>
          </w:tcPr>
          <w:p w14:paraId="62B57C1C">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对预算绩效管理服务的认识和理解（5分）</w:t>
            </w:r>
          </w:p>
        </w:tc>
        <w:tc>
          <w:tcPr>
            <w:tcW w:w="5360" w:type="dxa"/>
            <w:noWrap w:val="0"/>
            <w:vAlign w:val="center"/>
          </w:tcPr>
          <w:p w14:paraId="1940E6CE">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1.对预算绩效管理有全面深入的认识和理解，能够详细介绍预算绩效管理有关法律和政策要求、管理框架、积极作用和最新进展等有关内容的，得5分；</w:t>
            </w:r>
          </w:p>
          <w:p w14:paraId="49FC0E73">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2.对预算绩效管理有较全面的了解和认识、能够大概介绍的，得3分；</w:t>
            </w:r>
          </w:p>
          <w:p w14:paraId="79CD2F8B">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3.对预算绩效管理不甚理解、介绍的内容陈旧、不符合现阶段情况的，得2分；</w:t>
            </w:r>
          </w:p>
          <w:p w14:paraId="517D109F">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4.有明显错误或未提供的不得分。</w:t>
            </w:r>
          </w:p>
        </w:tc>
      </w:tr>
      <w:tr w14:paraId="07B66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14:paraId="7CAA1FF0">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7024885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服务实施方案</w:t>
            </w:r>
          </w:p>
          <w:p w14:paraId="329B39F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（10分）</w:t>
            </w:r>
          </w:p>
        </w:tc>
        <w:tc>
          <w:tcPr>
            <w:tcW w:w="5360" w:type="dxa"/>
            <w:noWrap w:val="0"/>
            <w:vAlign w:val="center"/>
          </w:tcPr>
          <w:p w14:paraId="7C493A5E">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1.根据征集人服务需求，制定切实可行的整体服务实施方案，服务内容详实、项目需求理解全面、工作部署、</w:t>
            </w:r>
            <w:r>
              <w:rPr>
                <w:rFonts w:hint="eastAsia" w:ascii="宋体" w:hAnsi="宋体" w:eastAsia="宋体" w:cs="宋体"/>
                <w:snapToGrid w:val="0"/>
                <w:color w:val="auto"/>
                <w:spacing w:val="2"/>
                <w:kern w:val="0"/>
                <w:position w:val="17"/>
                <w:sz w:val="21"/>
                <w:szCs w:val="21"/>
                <w:highlight w:val="none"/>
                <w:lang w:val="en-US" w:eastAsia="zh-CN" w:bidi="ar-SA"/>
              </w:rPr>
              <w:t>岗位职责安排（含项目负责人、主评人、专家）</w:t>
            </w:r>
            <w:r>
              <w:rPr>
                <w:rFonts w:hint="eastAsia" w:ascii="宋体" w:hAnsi="宋体" w:eastAsia="宋体" w:cs="宋体"/>
                <w:snapToGrid w:val="0"/>
                <w:color w:val="000000"/>
                <w:spacing w:val="2"/>
                <w:kern w:val="0"/>
                <w:position w:val="17"/>
                <w:sz w:val="21"/>
                <w:szCs w:val="21"/>
                <w:lang w:val="en-US" w:eastAsia="zh-CN" w:bidi="ar-SA"/>
              </w:rPr>
              <w:t>、资源配置清晰且服务流程具体、可行性强的得10分；</w:t>
            </w:r>
          </w:p>
          <w:p w14:paraId="6DD33A7C">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2.服务内容较详实，项目需求理解较全面，工作部署、</w:t>
            </w:r>
            <w:r>
              <w:rPr>
                <w:rFonts w:hint="eastAsia" w:ascii="宋体" w:hAnsi="宋体" w:eastAsia="宋体" w:cs="宋体"/>
                <w:snapToGrid w:val="0"/>
                <w:color w:val="auto"/>
                <w:spacing w:val="2"/>
                <w:kern w:val="0"/>
                <w:position w:val="17"/>
                <w:sz w:val="21"/>
                <w:szCs w:val="21"/>
                <w:highlight w:val="none"/>
                <w:lang w:val="en-US" w:eastAsia="zh-CN" w:bidi="ar-SA"/>
              </w:rPr>
              <w:t>岗位职责安排（含项目负责人、主评人、专家）</w:t>
            </w:r>
            <w:r>
              <w:rPr>
                <w:rFonts w:hint="eastAsia" w:ascii="宋体" w:hAnsi="宋体" w:eastAsia="宋体" w:cs="宋体"/>
                <w:snapToGrid w:val="0"/>
                <w:color w:val="000000"/>
                <w:spacing w:val="2"/>
                <w:kern w:val="0"/>
                <w:position w:val="17"/>
                <w:sz w:val="21"/>
                <w:szCs w:val="21"/>
                <w:lang w:val="en-US" w:eastAsia="zh-CN" w:bidi="ar-SA"/>
              </w:rPr>
              <w:t>、资源配置较清晰，服务流程较具体，可行性较强的得8分；</w:t>
            </w:r>
          </w:p>
          <w:p w14:paraId="6FD4F691">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3.服务内容基本详实，项目需求理解基本全面，工作部署、</w:t>
            </w:r>
            <w:r>
              <w:rPr>
                <w:rFonts w:hint="eastAsia" w:ascii="宋体" w:hAnsi="宋体" w:eastAsia="宋体" w:cs="宋体"/>
                <w:snapToGrid w:val="0"/>
                <w:color w:val="auto"/>
                <w:spacing w:val="2"/>
                <w:kern w:val="0"/>
                <w:position w:val="17"/>
                <w:sz w:val="21"/>
                <w:szCs w:val="21"/>
                <w:highlight w:val="none"/>
                <w:lang w:val="en-US" w:eastAsia="zh-CN" w:bidi="ar-SA"/>
              </w:rPr>
              <w:t>岗位职责安排（含项目负责人、主评人、专家）</w:t>
            </w:r>
            <w:r>
              <w:rPr>
                <w:rFonts w:hint="eastAsia" w:ascii="宋体" w:hAnsi="宋体" w:eastAsia="宋体" w:cs="宋体"/>
                <w:snapToGrid w:val="0"/>
                <w:color w:val="000000"/>
                <w:spacing w:val="2"/>
                <w:kern w:val="0"/>
                <w:position w:val="17"/>
                <w:sz w:val="21"/>
                <w:szCs w:val="21"/>
                <w:lang w:val="en-US" w:eastAsia="zh-CN" w:bidi="ar-SA"/>
              </w:rPr>
              <w:t>、资源配置基本清晰，服务流程基本具体，切实可行的得6分；</w:t>
            </w:r>
          </w:p>
          <w:p w14:paraId="3F5A2B78">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4.服务内容不详实、项目需求理解不全面，工作部署、</w:t>
            </w:r>
            <w:r>
              <w:rPr>
                <w:rFonts w:hint="eastAsia" w:ascii="宋体" w:hAnsi="宋体" w:eastAsia="宋体" w:cs="宋体"/>
                <w:snapToGrid w:val="0"/>
                <w:color w:val="auto"/>
                <w:spacing w:val="2"/>
                <w:kern w:val="0"/>
                <w:position w:val="17"/>
                <w:sz w:val="21"/>
                <w:szCs w:val="21"/>
                <w:highlight w:val="none"/>
                <w:lang w:val="en-US" w:eastAsia="zh-CN" w:bidi="ar-SA"/>
              </w:rPr>
              <w:t>岗位职责安排（含项目负责人、主评人、专家）</w:t>
            </w:r>
            <w:r>
              <w:rPr>
                <w:rFonts w:hint="eastAsia" w:ascii="宋体" w:hAnsi="宋体" w:eastAsia="宋体" w:cs="宋体"/>
                <w:snapToGrid w:val="0"/>
                <w:color w:val="000000"/>
                <w:spacing w:val="2"/>
                <w:kern w:val="0"/>
                <w:position w:val="17"/>
                <w:sz w:val="21"/>
                <w:szCs w:val="21"/>
                <w:lang w:val="en-US" w:eastAsia="zh-CN" w:bidi="ar-SA"/>
              </w:rPr>
              <w:t>、资源配置不清晰，服务流程不具体，切实可行一般的得4分；</w:t>
            </w:r>
          </w:p>
          <w:p w14:paraId="72CC04F0">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5.未提供不得分。</w:t>
            </w:r>
          </w:p>
        </w:tc>
      </w:tr>
      <w:tr w14:paraId="3E0CF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46" w:type="dxa"/>
            <w:vMerge w:val="continue"/>
            <w:noWrap w:val="0"/>
            <w:vAlign w:val="center"/>
          </w:tcPr>
          <w:p w14:paraId="6961A0B6">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0A6E7CD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服务质量</w:t>
            </w:r>
          </w:p>
          <w:p w14:paraId="5AF01931">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保障措施</w:t>
            </w:r>
          </w:p>
          <w:p w14:paraId="7203BCAE">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（5分）</w:t>
            </w:r>
          </w:p>
        </w:tc>
        <w:tc>
          <w:tcPr>
            <w:tcW w:w="5360" w:type="dxa"/>
            <w:noWrap w:val="0"/>
            <w:vAlign w:val="center"/>
          </w:tcPr>
          <w:p w14:paraId="26715456">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质量目标明确，并有实现质量目标的保障措施，各阶段具有保证质量的工作内容、工作方法、工作重点、难点分析及相关的处理措施。根据各供应商的质量保证措施是否符合以下标准进行评审：</w:t>
            </w:r>
          </w:p>
          <w:p w14:paraId="7C042B1F">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制定有包括上述所有内容的服务质量保障措施，具有各阶段保证质量的工作内容、工作方法、工作重点、关键节点的质量控制措施和处理方法，内容详实完整、条理清晰、有可量化的操作措施，且切实可行，得5分；</w:t>
            </w:r>
          </w:p>
          <w:p w14:paraId="27EBB66C">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2.制定有包括上述所有内容的服务质量保障措施，具有各阶段保证质量的工作内容、工作方法、工作重点、关键节点有质量控制措施和处理方法，内容完整，可量化的操作措施和可操作性一般，得4分；</w:t>
            </w:r>
          </w:p>
          <w:p w14:paraId="3F9F7CDB">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3.制定有基本包括上述所有内容相应的服务质量保障措施，各阶段保证质量的工作内容、工作方法、工作重点、关键节点只有基本的质量控制措施和处理方法，内容比较完整、可量化的操作措施、可操作性较差，得3分；</w:t>
            </w:r>
          </w:p>
          <w:p w14:paraId="6AF99D5E">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 xml:space="preserve">4.制定的服务质量保障措施较为简单，各阶段保证质量的工作内容、工作方法、工作重点、关键节点的质量控制措施有欠缺，可行性差，得2分； </w:t>
            </w:r>
          </w:p>
          <w:p w14:paraId="64BDBED2">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5.制定的服务质量保障措施未能包括上述所有相应内容，各阶段保证质量的工作内容、工作方法、工作重点、关键节点的质量控制措施有明显的缺陷，得1分；</w:t>
            </w:r>
          </w:p>
          <w:p w14:paraId="0728022F">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6.未提供服务质量保障措施不得分。</w:t>
            </w:r>
          </w:p>
        </w:tc>
      </w:tr>
      <w:tr w14:paraId="3E08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246" w:type="dxa"/>
            <w:vMerge w:val="continue"/>
            <w:noWrap w:val="0"/>
            <w:vAlign w:val="center"/>
          </w:tcPr>
          <w:p w14:paraId="0EBFE3D8">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4C2D028D">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履约服务便利度保障措施（5分）</w:t>
            </w:r>
          </w:p>
        </w:tc>
        <w:tc>
          <w:tcPr>
            <w:tcW w:w="5360" w:type="dxa"/>
            <w:noWrap w:val="0"/>
            <w:vAlign w:val="center"/>
          </w:tcPr>
          <w:p w14:paraId="27B33A0A">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1.服务保障内容完善（包括但不限于拟投入本项目人员到岗保障、执业质量保障、工作期间提供驻场服务保障、积极配合采购人工作保障、服从工作安排等保障措施），得5分；</w:t>
            </w:r>
          </w:p>
          <w:p w14:paraId="0448946F">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2.服务保障内容相对完善，能够提供驻场服务，可以配合采购人的工作，服从采购人的工作安排，能解决工作中的问题，得3分；</w:t>
            </w:r>
          </w:p>
          <w:p w14:paraId="1BF900C7">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3.服务保障内容基本完善，不能够提供驻场服务，得1分；</w:t>
            </w:r>
          </w:p>
          <w:p w14:paraId="0679EBCA">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4.服务保障内容不完善，且不能提供驻场服务，不得分。</w:t>
            </w:r>
          </w:p>
        </w:tc>
      </w:tr>
      <w:tr w14:paraId="3475E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jc w:val="center"/>
        </w:trPr>
        <w:tc>
          <w:tcPr>
            <w:tcW w:w="1246" w:type="dxa"/>
            <w:vMerge w:val="continue"/>
            <w:noWrap w:val="0"/>
            <w:vAlign w:val="center"/>
          </w:tcPr>
          <w:p w14:paraId="3B96A2C9">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0FA79349">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内部管理制度</w:t>
            </w:r>
          </w:p>
          <w:p w14:paraId="4A32FEB7">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（5分）</w:t>
            </w:r>
          </w:p>
        </w:tc>
        <w:tc>
          <w:tcPr>
            <w:tcW w:w="5360" w:type="dxa"/>
            <w:noWrap w:val="0"/>
            <w:vAlign w:val="center"/>
          </w:tcPr>
          <w:p w14:paraId="0A13143A">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具有财务管理制度、质量控制制度、时效控制制度、风险控制制度、保密制度、技术档案管理制度的（提供供应商相关管理制度的扫描件），得5分。</w:t>
            </w:r>
          </w:p>
          <w:p w14:paraId="75D9F619">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6个方面有部分缺项的，每缺一方面减1分，本项得分减完为止。</w:t>
            </w:r>
          </w:p>
        </w:tc>
      </w:tr>
      <w:tr w14:paraId="066A2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14:paraId="36FB6FE4">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03BABFC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p w14:paraId="3B06B26D">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p w14:paraId="6E2A5E2B">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进度保障措施</w:t>
            </w:r>
          </w:p>
          <w:p w14:paraId="16354B8E">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（5分）</w:t>
            </w:r>
          </w:p>
        </w:tc>
        <w:tc>
          <w:tcPr>
            <w:tcW w:w="5360" w:type="dxa"/>
            <w:noWrap w:val="0"/>
            <w:vAlign w:val="center"/>
          </w:tcPr>
          <w:p w14:paraId="4704F9D9">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服务进度控制措施包括进度计划、人员配备、资源配备计划、在服务期限内完成项目任务的承诺且具有进度控制措施和处理方法。根据各供应商的进度保障措施是否符合以下标准进行评审：</w:t>
            </w:r>
          </w:p>
          <w:p w14:paraId="76A1D1ED">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1.内容详实完整、条理清晰、有可量化的操作措施且切实可行，得5分；</w:t>
            </w:r>
          </w:p>
          <w:p w14:paraId="4E96DF99">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2.内容比较完整、有可量化的操作措施、可操作性一般，得3分；</w:t>
            </w:r>
          </w:p>
          <w:p w14:paraId="32EBA4A8">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3.内容有明显缺失、不完整，得1分；</w:t>
            </w:r>
          </w:p>
          <w:p w14:paraId="5C8C23E7">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4.未提供进度保障措施的不得分。</w:t>
            </w:r>
          </w:p>
        </w:tc>
      </w:tr>
      <w:tr w14:paraId="4B4EA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14:paraId="75A5D641">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119AE563">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业务操作流程</w:t>
            </w:r>
          </w:p>
          <w:p w14:paraId="7D6B6060">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（5分）</w:t>
            </w:r>
          </w:p>
        </w:tc>
        <w:tc>
          <w:tcPr>
            <w:tcW w:w="5360" w:type="dxa"/>
            <w:noWrap w:val="0"/>
            <w:vAlign w:val="center"/>
          </w:tcPr>
          <w:p w14:paraId="04B60A03">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有完善的工作流程、工作计划及实施时间，体现标准化服务，管理服务水平符合国家和行业标准。根据各供应商的业务操作流程是否符合以下标准进行评审：</w:t>
            </w:r>
          </w:p>
          <w:p w14:paraId="7350B94A">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1.内容详实完整、条理清晰、有可量化的操作措施且切实可行，得5分；</w:t>
            </w:r>
          </w:p>
          <w:p w14:paraId="4575E9FE">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2.内容比较完整、有可量化的操作措施、可操作性一般，得3分；</w:t>
            </w:r>
          </w:p>
          <w:p w14:paraId="3E2E768B">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3.内容有明显缺失、不完整，得1分；</w:t>
            </w:r>
          </w:p>
          <w:p w14:paraId="412A1F63">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4.未提供业务操作流程的不得分。</w:t>
            </w:r>
          </w:p>
        </w:tc>
      </w:tr>
      <w:tr w14:paraId="08B8F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46" w:type="dxa"/>
            <w:vMerge w:val="continue"/>
            <w:noWrap w:val="0"/>
            <w:vAlign w:val="center"/>
          </w:tcPr>
          <w:p w14:paraId="017976A2">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74E81FA2">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风险管控措施</w:t>
            </w:r>
          </w:p>
          <w:p w14:paraId="48B703BC">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（5分）</w:t>
            </w:r>
          </w:p>
        </w:tc>
        <w:tc>
          <w:tcPr>
            <w:tcW w:w="5360" w:type="dxa"/>
            <w:noWrap w:val="0"/>
            <w:vAlign w:val="center"/>
          </w:tcPr>
          <w:p w14:paraId="1CA57A80">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项目风险防控管理措施包括项目开展的事前、事中、事后风险控制及应急措施。根据各供应商的风险管控措施是否符合以下标准进行评审：</w:t>
            </w:r>
          </w:p>
          <w:p w14:paraId="6344E288">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1.内容详实完整、条理清晰、有可量化的操作措施且切实可行，得5分；</w:t>
            </w:r>
          </w:p>
          <w:p w14:paraId="5132989B">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2.内容比较完整、有可量化的操作措施、可操作性一般，得3分；</w:t>
            </w:r>
          </w:p>
          <w:p w14:paraId="4471E359">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3.内容有明显缺失、不完整，得1分；</w:t>
            </w:r>
          </w:p>
          <w:p w14:paraId="199803DA">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4.未提供风险管控措施的不得分。</w:t>
            </w:r>
          </w:p>
        </w:tc>
      </w:tr>
      <w:tr w14:paraId="340C0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atLeast"/>
          <w:jc w:val="center"/>
        </w:trPr>
        <w:tc>
          <w:tcPr>
            <w:tcW w:w="1246" w:type="dxa"/>
            <w:vMerge w:val="continue"/>
            <w:noWrap w:val="0"/>
            <w:vAlign w:val="center"/>
          </w:tcPr>
          <w:p w14:paraId="1F44A5AB">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center"/>
              <w:textAlignment w:val="baseline"/>
              <w:rPr>
                <w:rFonts w:hint="eastAsia" w:ascii="宋体" w:hAnsi="宋体" w:eastAsia="宋体" w:cs="宋体"/>
                <w:snapToGrid w:val="0"/>
                <w:color w:val="000000"/>
                <w:spacing w:val="2"/>
                <w:kern w:val="0"/>
                <w:position w:val="17"/>
                <w:sz w:val="21"/>
                <w:szCs w:val="21"/>
                <w:lang w:val="en-US" w:eastAsia="zh-CN" w:bidi="ar-SA"/>
              </w:rPr>
            </w:pPr>
          </w:p>
        </w:tc>
        <w:tc>
          <w:tcPr>
            <w:tcW w:w="1601" w:type="dxa"/>
            <w:tcBorders>
              <w:right w:val="single" w:color="auto" w:sz="2" w:space="0"/>
            </w:tcBorders>
            <w:noWrap w:val="0"/>
            <w:vAlign w:val="center"/>
          </w:tcPr>
          <w:p w14:paraId="6D79B2B5">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档案管理措施</w:t>
            </w:r>
          </w:p>
          <w:p w14:paraId="77D97268">
            <w:pPr>
              <w:keepNext w:val="0"/>
              <w:keepLines w:val="0"/>
              <w:pageBreakBefore w:val="0"/>
              <w:widowControl/>
              <w:kinsoku/>
              <w:wordWrap w:val="0"/>
              <w:overflowPunct/>
              <w:topLinePunct w:val="0"/>
              <w:autoSpaceDE w:val="0"/>
              <w:autoSpaceDN w:val="0"/>
              <w:bidi w:val="0"/>
              <w:adjustRightInd w:val="0"/>
              <w:snapToGrid w:val="0"/>
              <w:spacing w:line="360" w:lineRule="auto"/>
              <w:jc w:val="center"/>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（3分）</w:t>
            </w:r>
          </w:p>
        </w:tc>
        <w:tc>
          <w:tcPr>
            <w:tcW w:w="5360" w:type="dxa"/>
            <w:noWrap w:val="0"/>
            <w:vAlign w:val="center"/>
          </w:tcPr>
          <w:p w14:paraId="37B84158">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项目档案管理措施包括档案管理制度、档案存放环境、存放档案的设施设备、档案的存放年限以及档案的可追溯性。根据各供应商的档案管理措施是否符合以下标准进行评审：</w:t>
            </w:r>
          </w:p>
          <w:p w14:paraId="6FE85BFA">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1.内容详实完整、条理清晰、有可量化的操作措施且切实可行，得3分；</w:t>
            </w:r>
          </w:p>
          <w:p w14:paraId="7AAC816A">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2.内容有明显缺失、不完整，得1分；</w:t>
            </w:r>
          </w:p>
          <w:p w14:paraId="1A67D164">
            <w:pPr>
              <w:keepNext w:val="0"/>
              <w:keepLines w:val="0"/>
              <w:pageBreakBefore w:val="0"/>
              <w:widowControl/>
              <w:kinsoku/>
              <w:wordWrap w:val="0"/>
              <w:overflowPunct/>
              <w:topLinePunct w:val="0"/>
              <w:autoSpaceDE w:val="0"/>
              <w:autoSpaceDN w:val="0"/>
              <w:bidi w:val="0"/>
              <w:adjustRightInd w:val="0"/>
              <w:snapToGrid w:val="0"/>
              <w:spacing w:line="360" w:lineRule="auto"/>
              <w:ind w:firstLine="428" w:firstLineChars="200"/>
              <w:jc w:val="left"/>
              <w:textAlignment w:val="baseline"/>
              <w:rPr>
                <w:rFonts w:hint="eastAsia" w:ascii="宋体" w:hAnsi="宋体" w:eastAsia="宋体" w:cs="宋体"/>
                <w:snapToGrid w:val="0"/>
                <w:color w:val="000000"/>
                <w:spacing w:val="2"/>
                <w:kern w:val="0"/>
                <w:position w:val="17"/>
                <w:sz w:val="21"/>
                <w:szCs w:val="21"/>
                <w:lang w:val="en-US" w:eastAsia="zh-CN" w:bidi="ar-SA"/>
              </w:rPr>
            </w:pPr>
            <w:r>
              <w:rPr>
                <w:rFonts w:hint="eastAsia" w:ascii="宋体" w:hAnsi="宋体" w:eastAsia="宋体" w:cs="宋体"/>
                <w:snapToGrid w:val="0"/>
                <w:color w:val="000000"/>
                <w:spacing w:val="2"/>
                <w:kern w:val="0"/>
                <w:position w:val="17"/>
                <w:sz w:val="21"/>
                <w:szCs w:val="21"/>
                <w:lang w:val="en-US" w:eastAsia="zh-CN" w:bidi="ar-SA"/>
              </w:rPr>
              <w:t>3.未提供档案管理措施的不得分。</w:t>
            </w:r>
          </w:p>
        </w:tc>
      </w:tr>
    </w:tbl>
    <w:p w14:paraId="0C66A6F2">
      <w:pPr>
        <w:ind w:firstLine="480" w:firstLineChars="200"/>
        <w:jc w:val="left"/>
        <w:rPr>
          <w:rFonts w:hint="eastAsia" w:ascii="仿宋" w:hAnsi="仿宋" w:eastAsia="仿宋" w:cs="仿宋"/>
          <w:kern w:val="0"/>
          <w:sz w:val="24"/>
          <w:szCs w:val="24"/>
        </w:rPr>
      </w:pPr>
    </w:p>
    <w:p w14:paraId="64531F2B">
      <w:pPr>
        <w:keepNext w:val="0"/>
        <w:keepLines w:val="0"/>
        <w:pageBreakBefore w:val="0"/>
        <w:widowControl/>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评标采用</w:t>
      </w:r>
      <w:r>
        <w:rPr>
          <w:rFonts w:hint="eastAsia" w:asciiTheme="minorEastAsia" w:hAnsiTheme="minorEastAsia" w:eastAsiaTheme="minorEastAsia" w:cstheme="minorEastAsia"/>
          <w:sz w:val="24"/>
          <w:szCs w:val="24"/>
          <w:highlight w:val="none"/>
          <w:lang w:val="en-US" w:eastAsia="zh-CN"/>
        </w:rPr>
        <w:t>质量优先法</w:t>
      </w:r>
      <w:r>
        <w:rPr>
          <w:rFonts w:hint="eastAsia" w:asciiTheme="minorEastAsia" w:hAnsiTheme="minorEastAsia" w:eastAsiaTheme="minorEastAsia" w:cstheme="minorEastAsia"/>
          <w:sz w:val="24"/>
          <w:szCs w:val="24"/>
        </w:rPr>
        <w:t>，总分为100分。评审委员会根据综合评分情况，</w:t>
      </w:r>
      <w:r>
        <w:rPr>
          <w:rFonts w:hint="eastAsia" w:asciiTheme="minorEastAsia" w:hAnsiTheme="minorEastAsia" w:eastAsiaTheme="minorEastAsia" w:cstheme="minorEastAsia"/>
          <w:sz w:val="24"/>
          <w:szCs w:val="24"/>
          <w:highlight w:val="none"/>
          <w:lang w:val="en-US" w:eastAsia="zh-CN"/>
        </w:rPr>
        <w:t>淘汰20%后，</w:t>
      </w:r>
      <w:r>
        <w:rPr>
          <w:rFonts w:hint="eastAsia" w:asciiTheme="minorEastAsia" w:hAnsiTheme="minorEastAsia" w:eastAsiaTheme="minorEastAsia" w:cstheme="minorEastAsia"/>
          <w:sz w:val="24"/>
          <w:szCs w:val="24"/>
        </w:rPr>
        <w:t>按照评审得分由高到低的顺序推荐15名成交候选供应商，并编写评审报告。评审得分相同的，按照最后报价由低到高的顺序推荐；评审得分且最后报价相同的，按照服务方案得分由高到低顺序推荐。</w:t>
      </w:r>
    </w:p>
    <w:p w14:paraId="685798E2">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六.入围通知及签订合同</w:t>
      </w:r>
    </w:p>
    <w:p w14:paraId="13A68EA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1.授予框架协议</w:t>
      </w:r>
    </w:p>
    <w:p w14:paraId="41C743D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 入围结果公告</w:t>
      </w:r>
    </w:p>
    <w:p w14:paraId="16B3826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1.1.1 采购代理机构应当在入围供应商确定之日起1个工作日内，在征集公告发布的同一媒体上发布入围结果公告，征集文件应当随入围结果同时公告。公告期限为1个工作日。</w:t>
      </w:r>
    </w:p>
    <w:p w14:paraId="48F7E67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1.1.2入围结果公告内容包括采购项目名称、编号、征集人的名称、地址、联系人和联系方式、入围供应商名称、地址及排序、主要服务内容及服务标准，入围价格、评审小组成员名单、采购代理服务收费标准及金额、公告期限及其他事项。</w:t>
      </w:r>
    </w:p>
    <w:p w14:paraId="04E82E5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1.1.3 入围通知书发出后，征集人不得违法改变入围结果，入围供应商无正当理由不得放弃入围。</w:t>
      </w:r>
    </w:p>
    <w:p w14:paraId="742EC6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1.1.4 入围供应商为残疾人福利性单位的，征集人、采购代理机构将随入围结果同时公告其《残疾人福利性单位声明函》，接受社会监督。入围供应商享受《政府采购促进中小企业发展管理办法》规定的中小企业扶持政策的，征集人、采购代理机构应当随入围结果公开入围供应商的《中小企业声明函》。</w:t>
      </w:r>
    </w:p>
    <w:p w14:paraId="4F46783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 取消入围资格或者解除框架协议的情形</w:t>
      </w:r>
    </w:p>
    <w:p w14:paraId="6F87FA7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2.1 入围供应商有下列情形之一，尚未签订框架协议的，取消其入围资格；已经签订框架协议的，解除与其签订的框架协议：</w:t>
      </w:r>
    </w:p>
    <w:p w14:paraId="5640EC9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（1）恶意串通谋取入围或者合同成交的；</w:t>
      </w:r>
    </w:p>
    <w:p w14:paraId="0D0DDF0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（2）提供虚假材料谋取入围或者合同成交的；</w:t>
      </w:r>
    </w:p>
    <w:p w14:paraId="274C750D">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（3）无正当理由拒不接受合同授予的；</w:t>
      </w:r>
    </w:p>
    <w:p w14:paraId="39C22B6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（4）不履行合同义务或者履行合同义务不符合约定，经征集人请求履行后仍不履行或者仍未按约定履行的；</w:t>
      </w:r>
    </w:p>
    <w:p w14:paraId="52C33E3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（5）框架协议有效期内，因违法行为被禁止或限制参加政府采购活动的； </w:t>
      </w:r>
    </w:p>
    <w:p w14:paraId="4A2A3CA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（6）框架协议约定的其他情形。</w:t>
      </w:r>
    </w:p>
    <w:p w14:paraId="78AD0883">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2.2 被取消入围资格或者被解除框架协议的供应商不得参加同一封闭式框架协议补充征集。</w:t>
      </w:r>
    </w:p>
    <w:p w14:paraId="1956B21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2.3 因重大变故采购任务取消时，征集人有权拒绝任何供应商入围，且对受影响的供应商不承担任何责任。</w:t>
      </w:r>
    </w:p>
    <w:p w14:paraId="72BF348E">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 入围通知书</w:t>
      </w:r>
    </w:p>
    <w:p w14:paraId="25079369">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在公告入围结果的同时，征集人或者采购代理机构应当向入围供应商发出入围通知书。</w:t>
      </w:r>
    </w:p>
    <w:p w14:paraId="5987C563">
      <w:pPr>
        <w:keepNext w:val="0"/>
        <w:keepLines w:val="0"/>
        <w:pageBreakBefore w:val="0"/>
        <w:kinsoku/>
        <w:wordWrap w:val="0"/>
        <w:overflowPunct/>
        <w:topLinePunct w:val="0"/>
        <w:bidi w:val="0"/>
        <w:spacing w:line="360" w:lineRule="auto"/>
        <w:ind w:firstLine="488"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 《入围通知书》将作为签订合同的依据之一。</w:t>
      </w:r>
    </w:p>
    <w:p w14:paraId="638E750A">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入围通知书》发放办法：政府采购项目通过“南阳市公共资源交易中心公共服务平台”向中标人发出电子《入围通知书》后，入围供应商可登录南阳市公共资源交易平台会员系统，自行打印加盖电子签章的《入围通知书》。</w:t>
      </w:r>
    </w:p>
    <w:p w14:paraId="6F3B2EF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 履约保证金</w:t>
      </w:r>
    </w:p>
    <w:p w14:paraId="6C153A3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本项目不要求递交履约保证金。</w:t>
      </w:r>
    </w:p>
    <w:p w14:paraId="3725A86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 签订框架协议</w:t>
      </w:r>
    </w:p>
    <w:p w14:paraId="7F05DFA7">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auto"/>
          <w:spacing w:val="2"/>
          <w:kern w:val="0"/>
          <w:position w:val="17"/>
          <w:sz w:val="24"/>
          <w:szCs w:val="24"/>
          <w:lang w:val="en-US" w:eastAsia="zh-CN" w:bidi="ar-SA"/>
        </w:rPr>
      </w:pPr>
      <w:r>
        <w:rPr>
          <w:rFonts w:hint="eastAsia" w:asciiTheme="minorEastAsia" w:hAnsiTheme="minorEastAsia" w:eastAsiaTheme="minorEastAsia" w:cstheme="minorEastAsia"/>
          <w:snapToGrid w:val="0"/>
          <w:color w:val="auto"/>
          <w:spacing w:val="2"/>
          <w:kern w:val="0"/>
          <w:position w:val="17"/>
          <w:sz w:val="24"/>
          <w:szCs w:val="24"/>
          <w:lang w:val="en-US" w:eastAsia="zh-CN" w:bidi="ar-SA"/>
        </w:rPr>
        <w:t>征集人应当自入围通知书发出之日起3个工作日内和入围供应商签订框架协议，并在框架协议签订后3个工作日内，将框架协议副本报有关部门备案。</w:t>
      </w:r>
    </w:p>
    <w:p w14:paraId="6CB33054">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5.1 所签订的框架协议不得对征集文件确定的事项和入围供应商响应文件作实质性修改。</w:t>
      </w:r>
    </w:p>
    <w:p w14:paraId="6BB18F7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5.2 征集文件、入围供应商的响应文件和澄清文件等，均应作为签约合同文本的基础。</w:t>
      </w:r>
    </w:p>
    <w:p w14:paraId="1A7061E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5.3 入围供应商无正当理由，不得主动放弃入围资格或者退出框架协议。</w:t>
      </w:r>
    </w:p>
    <w:p w14:paraId="1DCED23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5.4 征集人在框架协议签订后3个工作日内通过电子交易系统将入围信息告知适用框架协议的所有征集人或者服务对象。</w:t>
      </w:r>
    </w:p>
    <w:p w14:paraId="7D59CD6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5.5.入围信息应当包括所有入围供应商的名称、地址、联系方式、入围产品信息和协议价格等内容。入围产品信息应当详细列明服务内容、服务标准等能反映产品质量特点的内容。</w:t>
      </w:r>
    </w:p>
    <w:p w14:paraId="31F1A44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5.6 征集文件和入围信息在整个框架协议有效期内随时可供公众查阅。</w:t>
      </w:r>
    </w:p>
    <w:p w14:paraId="2C9E58E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 第二阶段成交供应商的选定</w:t>
      </w:r>
    </w:p>
    <w:p w14:paraId="2051D4C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6.1 由征集人按照供应商须知表中规定的方式确定第二阶段成交供应商。</w:t>
      </w:r>
    </w:p>
    <w:p w14:paraId="44224C00">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6.2 征集人应当公开第二阶段成交结果。</w:t>
      </w:r>
    </w:p>
    <w:p w14:paraId="32D5BDB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6.3 服务对象采购框架协议约定的服务，应当将第二阶段的采购合同授予入围供应商。</w:t>
      </w:r>
    </w:p>
    <w:p w14:paraId="61CD6EAF">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6.4 同一框架协议采购应当使用统一的采购合同文本，服务对象和供应商不得擅自改变框架协议约定的合同实质性条款。</w:t>
      </w:r>
    </w:p>
    <w:p w14:paraId="207A88A2">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 入围供应商的清退和补充规则</w:t>
      </w:r>
    </w:p>
    <w:p w14:paraId="3482F594">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7.1</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 入围供应商的清退</w:t>
      </w:r>
    </w:p>
    <w:p w14:paraId="7736A442">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入围供应商无正当理由，不得主动放弃入围资格或者退出框架协议。入围供应商有下列情形之一，尚未签订框架协议的，取消其入围资格；已经签订框架协议的，解除与其签订的框架协议：</w:t>
      </w:r>
    </w:p>
    <w:p w14:paraId="41C7BBA7">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①恶意串通谋取入围或者合同成交的；</w:t>
      </w:r>
    </w:p>
    <w:p w14:paraId="17CBD315">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②提供虚假材料谋取入围或者合同成交的；</w:t>
      </w:r>
    </w:p>
    <w:p w14:paraId="04BCC25B">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③无正当理由拒不接受合同授予的；</w:t>
      </w:r>
    </w:p>
    <w:p w14:paraId="6870A181">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④不履行合同义务或者履行合同义务不符合约定，经征集人请求履行后仍不履行或者仍未按约定履行的；</w:t>
      </w:r>
    </w:p>
    <w:p w14:paraId="3626E13E">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⑤框架协议有效期内，因违法行为被禁止或限制参加政府采购活动的；</w:t>
      </w:r>
    </w:p>
    <w:p w14:paraId="570F388C">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⑥入围供应商实质性违反本合同约定的；</w:t>
      </w:r>
    </w:p>
    <w:p w14:paraId="51624936">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⑦入围供应商有违反合同约定或其职责、义务的行为，在征集人指定期限内未予以纠正或补救的；</w:t>
      </w:r>
    </w:p>
    <w:p w14:paraId="18AEF0E5">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⑧入围供应商泄漏委托方的秘密或与第三方串通损害征集人利益的；由此造成的经济损失，入围供应商应予赔偿；存在违法违规行为的,由相关部门进行处理；</w:t>
      </w:r>
    </w:p>
    <w:p w14:paraId="4B7DFA36">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⑨征集人针对项目完成时限、质量有权提出要求,由于入围供应商原因,项目完成时限超出委托时限或质量不合格的；</w:t>
      </w:r>
    </w:p>
    <w:p w14:paraId="0303FB84">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⑩入围供应商将征集人提供的相关资料丢失的；由此造成的经济损失，入围供应商应予赔偿；存在违法违规行为的，由相关部门进行处理；</w:t>
      </w:r>
    </w:p>
    <w:p w14:paraId="36C78B48">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⑪入围供应商提供服务时，需按委托人要求时限完成,无正当理由，未按时完成的将解除合同。</w:t>
      </w:r>
    </w:p>
    <w:p w14:paraId="5E66E5F2">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7.2 入围供应商的补充</w:t>
      </w:r>
    </w:p>
    <w:p w14:paraId="045B2B0B">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入围供应商被取消入围资格或者被解除框架协议的，不得参加同一封闭式框架协议补充征集活动,不得重新申请加入同一开放式框架协议。</w:t>
      </w:r>
    </w:p>
    <w:p w14:paraId="527C96B4">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剩余入围供应商不足入围供应商总数70%且影响框架协议执行的，框架协议有效期内征集人有权视情况进行补充。</w:t>
      </w:r>
    </w:p>
    <w:p w14:paraId="6DEB35C5">
      <w:pPr>
        <w:keepNext w:val="0"/>
        <w:keepLines w:val="0"/>
        <w:pageBreakBefore w:val="0"/>
        <w:widowControl/>
        <w:numPr>
          <w:ilvl w:val="1"/>
          <w:numId w:val="0"/>
        </w:numPr>
        <w:kinsoku/>
        <w:wordWrap w:val="0"/>
        <w:overflowPunct/>
        <w:topLinePunct w:val="0"/>
        <w:autoSpaceDE w:val="0"/>
        <w:autoSpaceDN w:val="0"/>
        <w:bidi w:val="0"/>
        <w:adjustRightInd w:val="0"/>
        <w:snapToGrid w:val="0"/>
        <w:spacing w:line="360" w:lineRule="auto"/>
        <w:ind w:left="0" w:leftChars="0"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补充征集的条件、程序、评审方法和淘汰比例与初次征集相同。补充征集遵守原框架协议的有效期。补充征集期间，原框架协议继续履行。</w:t>
      </w:r>
    </w:p>
    <w:p w14:paraId="5C2CFB66">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14:paraId="56B76FDD">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七.质疑与答复</w:t>
      </w:r>
    </w:p>
    <w:p w14:paraId="5754DA2F">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入围</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或者成交结果使自己的权益受到损害的，可以在知道或者应知其权益受到损害之日起7个工作日内，以书面形式向</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征集人</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、采购代理机构提出质疑。供应商须在法定质疑期内一次性提出针对同一采购程序环节的质疑。</w:t>
      </w:r>
    </w:p>
    <w:p w14:paraId="3AF91686">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14:paraId="34151D70">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14:paraId="121AECF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3.1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在线接收，请质疑人上传质疑函原件扫描件到南阳市公共资源交易系统并电话通知到项目负责人。</w:t>
      </w:r>
    </w:p>
    <w:p w14:paraId="7BF35647">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 xml:space="preserve">3.2 </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14:paraId="672EED1E">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征集人</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和采购代理机构可以拒收，质疑供应商将依法承担不利后果。</w:t>
      </w:r>
    </w:p>
    <w:p w14:paraId="48BFCE51">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5.征集人</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和采购代理机构在收到质疑函后7个工作日内作出答复，并以书面形式通知质疑供应商和其他有关供应商。</w:t>
      </w:r>
    </w:p>
    <w:p w14:paraId="5276C1B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CCBCCAE">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579D369">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8EA69D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C5377A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7CFF976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401B6FF">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210BBB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40ADD52D">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55CEECE4">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36F003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0739F20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6C209A4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pPr>
    </w:p>
    <w:p w14:paraId="173F82CA">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napToGrid w:val="0"/>
          <w:color w:val="000000"/>
          <w:spacing w:val="2"/>
          <w:kern w:val="0"/>
          <w:position w:val="17"/>
          <w:sz w:val="32"/>
          <w:szCs w:val="32"/>
          <w:lang w:val="en-US" w:eastAsia="zh-CN" w:bidi="ar-SA"/>
        </w:rPr>
      </w:pPr>
      <w:r>
        <w:rPr>
          <w:rFonts w:hint="eastAsia" w:asciiTheme="minorEastAsia" w:hAnsiTheme="minorEastAsia" w:eastAsiaTheme="minorEastAsia" w:cstheme="minorEastAsia"/>
          <w:b/>
          <w:bCs/>
          <w:snapToGrid w:val="0"/>
          <w:color w:val="000000"/>
          <w:spacing w:val="2"/>
          <w:kern w:val="0"/>
          <w:position w:val="17"/>
          <w:sz w:val="32"/>
          <w:szCs w:val="32"/>
          <w:lang w:val="en-US" w:eastAsia="zh-CN" w:bidi="ar-SA"/>
        </w:rPr>
        <w:t>河南省政府采购合同融资政策告知函</w:t>
      </w:r>
    </w:p>
    <w:p w14:paraId="20D14DF6">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14:paraId="3B7CD2D8">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14:paraId="06096C8B">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14:paraId="53593375">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14:paraId="484B4511">
      <w:pPr>
        <w:keepNext w:val="0"/>
        <w:keepLines w:val="0"/>
        <w:pageBreakBefore w:val="0"/>
        <w:widowControl/>
        <w:kinsoku/>
        <w:wordWrap w:val="0"/>
        <w:overflowPunct/>
        <w:topLinePunct w:val="0"/>
        <w:autoSpaceDE w:val="0"/>
        <w:autoSpaceDN w:val="0"/>
        <w:bidi w:val="0"/>
        <w:adjustRightInd w:val="0"/>
        <w:snapToGrid w:val="0"/>
        <w:spacing w:line="360" w:lineRule="auto"/>
        <w:ind w:firstLine="488" w:firstLineChars="200"/>
        <w:jc w:val="both"/>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14:paraId="04E3E8D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firstLine="430" w:firstLineChars="200"/>
        <w:jc w:val="both"/>
        <w:textAlignment w:val="baseline"/>
        <w:rPr>
          <w:rFonts w:hint="eastAsia" w:asciiTheme="minorEastAsia" w:hAnsiTheme="minorEastAsia" w:eastAsiaTheme="minorEastAsia" w:cstheme="minorEastAsia"/>
          <w:b/>
          <w:bCs/>
          <w:spacing w:val="-13"/>
          <w:sz w:val="24"/>
          <w:szCs w:val="24"/>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），有需求的供应商，可按上述通知要求办理政采贷。</w:t>
      </w:r>
    </w:p>
    <w:p w14:paraId="0C6DDFED">
      <w:pPr>
        <w:pStyle w:val="21"/>
        <w:keepNext w:val="0"/>
        <w:keepLines w:val="0"/>
        <w:pageBreakBefore w:val="0"/>
        <w:kinsoku/>
        <w:wordWrap w:val="0"/>
        <w:overflowPunct/>
        <w:topLinePunct w:val="0"/>
        <w:bidi w:val="0"/>
        <w:jc w:val="both"/>
        <w:rPr>
          <w:rFonts w:hint="eastAsia"/>
          <w:lang w:val="en-US" w:eastAsia="zh-CN"/>
        </w:rPr>
        <w:sectPr>
          <w:footerReference r:id="rId8" w:type="default"/>
          <w:pgSz w:w="11907" w:h="16840"/>
          <w:pgMar w:top="1440" w:right="1800" w:bottom="1440" w:left="1800" w:header="878" w:footer="886" w:gutter="0"/>
          <w:pgNumType w:fmt="decimal" w:start="1"/>
          <w:cols w:space="720" w:num="1"/>
        </w:sectPr>
      </w:pPr>
    </w:p>
    <w:p w14:paraId="344A3289">
      <w:pPr>
        <w:pStyle w:val="5"/>
        <w:keepNext w:val="0"/>
        <w:keepLines w:val="0"/>
        <w:pageBreakBefore w:val="0"/>
        <w:widowControl/>
        <w:numPr>
          <w:ilvl w:val="0"/>
          <w:numId w:val="5"/>
        </w:numPr>
        <w:kinsoku/>
        <w:wordWrap w:val="0"/>
        <w:overflowPunct/>
        <w:topLinePunct w:val="0"/>
        <w:autoSpaceDE w:val="0"/>
        <w:autoSpaceDN w:val="0"/>
        <w:bidi w:val="0"/>
        <w:adjustRightInd w:val="0"/>
        <w:snapToGrid w:val="0"/>
        <w:spacing w:before="353" w:line="219" w:lineRule="auto"/>
        <w:ind w:firstLine="358" w:firstLineChars="100"/>
        <w:jc w:val="center"/>
        <w:textAlignment w:val="baseline"/>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框架协议文本和采购合同文本（草案）</w:t>
      </w:r>
    </w:p>
    <w:p w14:paraId="0EE9204F">
      <w:pPr>
        <w:spacing w:before="41"/>
        <w:ind w:right="492"/>
        <w:jc w:val="center"/>
        <w:rPr>
          <w:rFonts w:hint="eastAsia" w:ascii="方正小标宋_GBK" w:hAnsi="方正小标宋_GBK" w:eastAsia="方正小标宋_GBK" w:cs="方正小标宋_GBK"/>
          <w:color w:val="282A2A"/>
          <w:w w:val="105"/>
          <w:sz w:val="42"/>
          <w:szCs w:val="24"/>
        </w:rPr>
      </w:pPr>
    </w:p>
    <w:p w14:paraId="0A5B058B">
      <w:pPr>
        <w:spacing w:before="41"/>
        <w:ind w:right="492"/>
        <w:jc w:val="center"/>
        <w:rPr>
          <w:rFonts w:hint="eastAsia" w:ascii="方正小标宋_GBK" w:hAnsi="方正小标宋_GBK" w:eastAsia="方正小标宋_GBK" w:cs="方正小标宋_GBK"/>
          <w:color w:val="282A2A"/>
          <w:w w:val="105"/>
          <w:sz w:val="42"/>
          <w:szCs w:val="24"/>
        </w:rPr>
      </w:pPr>
      <w:r>
        <w:rPr>
          <w:rFonts w:hint="eastAsia" w:ascii="方正小标宋_GBK" w:hAnsi="方正小标宋_GBK" w:eastAsia="方正小标宋_GBK" w:cs="方正小标宋_GBK"/>
          <w:color w:val="282A2A"/>
          <w:w w:val="105"/>
          <w:sz w:val="42"/>
          <w:szCs w:val="24"/>
        </w:rPr>
        <w:t>南阳市财政局财政预算绩效管理</w:t>
      </w:r>
    </w:p>
    <w:p w14:paraId="7985F938">
      <w:pPr>
        <w:spacing w:before="41"/>
        <w:ind w:right="492"/>
        <w:jc w:val="center"/>
        <w:rPr>
          <w:rFonts w:hint="eastAsia" w:ascii="方正小标宋_GBK" w:hAnsi="方正小标宋_GBK" w:eastAsia="方正小标宋_GBK" w:cs="方正小标宋_GBK"/>
          <w:sz w:val="42"/>
          <w:szCs w:val="24"/>
        </w:rPr>
      </w:pPr>
      <w:r>
        <w:rPr>
          <w:rFonts w:hint="eastAsia" w:ascii="方正小标宋_GBK" w:hAnsi="方正小标宋_GBK" w:eastAsia="方正小标宋_GBK" w:cs="方正小标宋_GBK"/>
          <w:color w:val="282A2A"/>
          <w:w w:val="105"/>
          <w:sz w:val="42"/>
          <w:szCs w:val="24"/>
        </w:rPr>
        <w:t>第三方服务机构委托服务框架协议</w:t>
      </w:r>
    </w:p>
    <w:p w14:paraId="6D460FED">
      <w:pPr>
        <w:rPr>
          <w:rFonts w:hint="eastAsia" w:ascii="宋体" w:hAnsi="宋体" w:cs="宋体"/>
          <w:szCs w:val="24"/>
        </w:rPr>
      </w:pPr>
    </w:p>
    <w:p w14:paraId="4DAFD610">
      <w:pPr>
        <w:rPr>
          <w:rFonts w:hint="eastAsia" w:ascii="宋体" w:hAnsi="宋体" w:cs="宋体"/>
          <w:szCs w:val="24"/>
        </w:rPr>
      </w:pPr>
    </w:p>
    <w:p w14:paraId="52610999">
      <w:pPr>
        <w:rPr>
          <w:rFonts w:hint="eastAsia" w:ascii="宋体" w:hAnsi="宋体" w:cs="宋体"/>
          <w:szCs w:val="24"/>
        </w:rPr>
      </w:pPr>
    </w:p>
    <w:p w14:paraId="12EE2938">
      <w:pPr>
        <w:rPr>
          <w:rFonts w:hint="eastAsia" w:ascii="宋体" w:hAnsi="宋体" w:cs="宋体"/>
          <w:szCs w:val="24"/>
        </w:rPr>
      </w:pPr>
    </w:p>
    <w:p w14:paraId="566752CF">
      <w:pPr>
        <w:rPr>
          <w:rFonts w:hint="eastAsia" w:ascii="宋体" w:hAnsi="宋体" w:cs="宋体"/>
          <w:szCs w:val="24"/>
        </w:rPr>
      </w:pPr>
    </w:p>
    <w:p w14:paraId="13578EEC">
      <w:pPr>
        <w:rPr>
          <w:rFonts w:hint="eastAsia" w:ascii="宋体" w:hAnsi="宋体" w:cs="宋体"/>
          <w:szCs w:val="24"/>
        </w:rPr>
      </w:pPr>
    </w:p>
    <w:p w14:paraId="3A98013D">
      <w:pPr>
        <w:jc w:val="left"/>
        <w:rPr>
          <w:rFonts w:ascii="宋体" w:hAnsi="宋体" w:cs="宋体"/>
          <w:szCs w:val="24"/>
        </w:rPr>
      </w:pPr>
      <w:bookmarkStart w:id="2" w:name="_Toc16336"/>
      <w:bookmarkStart w:id="3" w:name="_Toc3367"/>
    </w:p>
    <w:p w14:paraId="2690257F">
      <w:pPr>
        <w:jc w:val="left"/>
        <w:rPr>
          <w:rFonts w:ascii="宋体" w:hAnsi="宋体" w:cs="宋体"/>
          <w:szCs w:val="24"/>
        </w:rPr>
      </w:pPr>
    </w:p>
    <w:p w14:paraId="13B04A88">
      <w:pPr>
        <w:spacing w:line="360" w:lineRule="auto"/>
        <w:ind w:firstLine="3092" w:firstLineChars="1100"/>
        <w:rPr>
          <w:rFonts w:hint="eastAsia" w:ascii="仿宋" w:hAnsi="仿宋" w:eastAsia="仿宋"/>
          <w:b/>
          <w:kern w:val="44"/>
          <w:sz w:val="28"/>
          <w:szCs w:val="28"/>
        </w:rPr>
      </w:pPr>
    </w:p>
    <w:p w14:paraId="08BED010">
      <w:pPr>
        <w:spacing w:line="360" w:lineRule="auto"/>
        <w:ind w:firstLine="3092" w:firstLineChars="1100"/>
        <w:rPr>
          <w:rFonts w:hint="eastAsia" w:ascii="仿宋" w:hAnsi="仿宋" w:eastAsia="仿宋"/>
          <w:b/>
          <w:kern w:val="44"/>
          <w:sz w:val="28"/>
          <w:szCs w:val="28"/>
        </w:rPr>
      </w:pPr>
    </w:p>
    <w:p w14:paraId="6431253D">
      <w:pPr>
        <w:spacing w:line="360" w:lineRule="auto"/>
        <w:ind w:firstLine="3092" w:firstLineChars="1100"/>
        <w:rPr>
          <w:rFonts w:hint="eastAsia" w:ascii="仿宋" w:hAnsi="仿宋" w:eastAsia="仿宋"/>
          <w:b/>
          <w:kern w:val="44"/>
          <w:sz w:val="28"/>
          <w:szCs w:val="28"/>
        </w:rPr>
      </w:pPr>
    </w:p>
    <w:p w14:paraId="12939532">
      <w:pPr>
        <w:spacing w:line="360" w:lineRule="auto"/>
        <w:ind w:firstLine="3092" w:firstLineChars="1100"/>
        <w:rPr>
          <w:rFonts w:hint="eastAsia" w:ascii="仿宋" w:hAnsi="仿宋" w:eastAsia="仿宋"/>
          <w:b/>
          <w:kern w:val="44"/>
          <w:sz w:val="28"/>
          <w:szCs w:val="28"/>
        </w:rPr>
      </w:pPr>
    </w:p>
    <w:p w14:paraId="6740829D">
      <w:pPr>
        <w:spacing w:line="360" w:lineRule="auto"/>
        <w:ind w:firstLine="3092" w:firstLineChars="1100"/>
        <w:rPr>
          <w:rFonts w:hint="eastAsia" w:ascii="仿宋" w:hAnsi="仿宋" w:eastAsia="仿宋"/>
          <w:b/>
          <w:kern w:val="44"/>
          <w:sz w:val="28"/>
          <w:szCs w:val="28"/>
        </w:rPr>
      </w:pPr>
    </w:p>
    <w:p w14:paraId="5F082313">
      <w:pPr>
        <w:spacing w:line="360" w:lineRule="auto"/>
        <w:ind w:firstLine="3092" w:firstLineChars="1100"/>
        <w:rPr>
          <w:rFonts w:hint="eastAsia" w:ascii="仿宋" w:hAnsi="仿宋" w:eastAsia="仿宋"/>
          <w:b/>
          <w:kern w:val="44"/>
          <w:sz w:val="28"/>
          <w:szCs w:val="28"/>
        </w:rPr>
      </w:pPr>
    </w:p>
    <w:p w14:paraId="7BC6068F">
      <w:pPr>
        <w:spacing w:line="360" w:lineRule="auto"/>
        <w:ind w:firstLine="3092" w:firstLineChars="1100"/>
        <w:rPr>
          <w:rFonts w:hint="eastAsia" w:ascii="仿宋" w:hAnsi="仿宋" w:eastAsia="仿宋"/>
          <w:b/>
          <w:kern w:val="44"/>
          <w:sz w:val="28"/>
          <w:szCs w:val="28"/>
        </w:rPr>
      </w:pPr>
    </w:p>
    <w:p w14:paraId="752C4B9D">
      <w:pPr>
        <w:spacing w:line="360" w:lineRule="auto"/>
        <w:ind w:firstLine="3092" w:firstLineChars="1100"/>
        <w:rPr>
          <w:rFonts w:ascii="仿宋" w:hAnsi="仿宋" w:eastAsia="仿宋"/>
          <w:b/>
          <w:kern w:val="44"/>
          <w:sz w:val="28"/>
          <w:szCs w:val="28"/>
          <w:u w:val="single"/>
        </w:rPr>
      </w:pPr>
      <w:r>
        <w:rPr>
          <w:rFonts w:hint="eastAsia" w:ascii="仿宋" w:hAnsi="仿宋" w:eastAsia="仿宋"/>
          <w:b/>
          <w:kern w:val="44"/>
          <w:sz w:val="28"/>
          <w:szCs w:val="28"/>
        </w:rPr>
        <w:t>甲方：</w:t>
      </w:r>
      <w:r>
        <w:rPr>
          <w:rFonts w:hint="eastAsia" w:ascii="仿宋" w:hAnsi="仿宋" w:eastAsia="仿宋"/>
          <w:b/>
          <w:kern w:val="44"/>
          <w:sz w:val="28"/>
          <w:szCs w:val="28"/>
          <w:u w:val="single"/>
        </w:rPr>
        <w:t>南阳市财政局</w:t>
      </w:r>
      <w:bookmarkEnd w:id="2"/>
      <w:bookmarkEnd w:id="3"/>
    </w:p>
    <w:p w14:paraId="2A7735B5">
      <w:pPr>
        <w:spacing w:line="360" w:lineRule="auto"/>
        <w:ind w:firstLine="3092" w:firstLineChars="1100"/>
        <w:rPr>
          <w:rFonts w:ascii="仿宋" w:hAnsi="仿宋" w:eastAsia="仿宋"/>
          <w:b/>
          <w:kern w:val="44"/>
          <w:sz w:val="28"/>
          <w:szCs w:val="28"/>
          <w:u w:val="single"/>
        </w:rPr>
      </w:pPr>
      <w:bookmarkStart w:id="4" w:name="_Toc31282"/>
      <w:bookmarkStart w:id="5" w:name="_Toc8270"/>
      <w:r>
        <w:rPr>
          <w:rFonts w:hint="eastAsia" w:ascii="仿宋" w:hAnsi="仿宋" w:eastAsia="仿宋"/>
          <w:b/>
          <w:kern w:val="44"/>
          <w:sz w:val="28"/>
          <w:szCs w:val="28"/>
        </w:rPr>
        <w:t>乙方：</w:t>
      </w:r>
      <w:bookmarkEnd w:id="4"/>
      <w:bookmarkEnd w:id="5"/>
      <w:r>
        <w:rPr>
          <w:rFonts w:hint="eastAsia" w:ascii="仿宋" w:hAnsi="仿宋" w:eastAsia="仿宋"/>
          <w:b/>
          <w:kern w:val="44"/>
          <w:sz w:val="28"/>
          <w:szCs w:val="28"/>
          <w:u w:val="single"/>
        </w:rPr>
        <w:t xml:space="preserve">           </w:t>
      </w:r>
    </w:p>
    <w:p w14:paraId="4D39EB65">
      <w:pPr>
        <w:spacing w:line="360" w:lineRule="auto"/>
        <w:ind w:firstLine="3092" w:firstLineChars="1100"/>
        <w:jc w:val="both"/>
        <w:rPr>
          <w:rFonts w:hint="eastAsia" w:ascii="仿宋" w:hAnsi="仿宋" w:eastAsia="仿宋"/>
          <w:b/>
          <w:kern w:val="44"/>
          <w:sz w:val="28"/>
          <w:szCs w:val="28"/>
        </w:rPr>
      </w:pPr>
      <w:r>
        <w:rPr>
          <w:rFonts w:hint="eastAsia" w:ascii="仿宋" w:hAnsi="仿宋" w:eastAsia="仿宋"/>
          <w:b/>
          <w:kern w:val="44"/>
          <w:sz w:val="28"/>
          <w:szCs w:val="28"/>
        </w:rPr>
        <w:t>日期：</w:t>
      </w:r>
      <w:r>
        <w:rPr>
          <w:rFonts w:hint="eastAsia" w:ascii="仿宋" w:hAnsi="仿宋" w:eastAsia="仿宋"/>
          <w:b/>
          <w:kern w:val="44"/>
          <w:sz w:val="28"/>
          <w:szCs w:val="28"/>
          <w:lang w:val="en-US" w:eastAsia="zh-CN"/>
        </w:rPr>
        <w:t xml:space="preserve">  </w:t>
      </w:r>
      <w:r>
        <w:rPr>
          <w:rFonts w:hint="eastAsia" w:ascii="仿宋" w:hAnsi="仿宋" w:eastAsia="仿宋"/>
          <w:b/>
          <w:kern w:val="44"/>
          <w:sz w:val="28"/>
          <w:szCs w:val="28"/>
        </w:rPr>
        <w:t>年  月  日</w:t>
      </w:r>
    </w:p>
    <w:p w14:paraId="528D0BC5">
      <w:pPr>
        <w:spacing w:before="13"/>
        <w:ind w:left="938"/>
        <w:rPr>
          <w:rFonts w:hint="eastAsia" w:ascii="仿宋" w:hAnsi="仿宋" w:eastAsia="仿宋" w:cs="仿宋"/>
          <w:sz w:val="30"/>
          <w:szCs w:val="30"/>
        </w:rPr>
      </w:pPr>
      <w:r>
        <w:rPr>
          <w:rFonts w:hint="eastAsia" w:ascii="仿宋" w:hAnsi="仿宋" w:eastAsia="仿宋" w:cs="仿宋"/>
          <w:color w:val="232624"/>
          <w:sz w:val="30"/>
          <w:szCs w:val="30"/>
        </w:rPr>
        <w:br w:type="page"/>
      </w:r>
      <w:r>
        <w:rPr>
          <w:rFonts w:ascii="仿宋" w:hAnsi="仿宋" w:eastAsia="仿宋" w:cs="仿宋"/>
          <w:color w:val="232624"/>
          <w:sz w:val="30"/>
          <w:szCs w:val="30"/>
        </w:rPr>
        <mc:AlternateContent>
          <mc:Choice Requires="wps">
            <w:drawing>
              <wp:anchor distT="0" distB="0" distL="114300" distR="114300" simplePos="0" relativeHeight="251659264" behindDoc="0" locked="0" layoutInCell="1" allowOverlap="1">
                <wp:simplePos x="0" y="0"/>
                <wp:positionH relativeFrom="page">
                  <wp:posOffset>247650</wp:posOffset>
                </wp:positionH>
                <wp:positionV relativeFrom="page">
                  <wp:posOffset>2867660</wp:posOffset>
                </wp:positionV>
                <wp:extent cx="64135" cy="98425"/>
                <wp:effectExtent l="0" t="0" r="0" b="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64135" cy="98425"/>
                        </a:xfrm>
                        <a:prstGeom prst="rect">
                          <a:avLst/>
                        </a:prstGeom>
                        <a:noFill/>
                        <a:ln>
                          <a:noFill/>
                        </a:ln>
                        <a:effectLst/>
                      </wps:spPr>
                      <wps:txbx>
                        <w:txbxContent>
                          <w:p w14:paraId="4C38359B">
                            <w:pPr>
                              <w:spacing w:line="216" w:lineRule="auto"/>
                              <w:ind w:left="20"/>
                              <w:rPr>
                                <w:sz w:val="6"/>
                              </w:rPr>
                            </w:pPr>
                            <w:r>
                              <w:rPr>
                                <w:color w:val="AEAFB5"/>
                                <w:w w:val="99"/>
                                <w:sz w:val="6"/>
                              </w:rPr>
                              <w:t>－今</w:t>
                            </w:r>
                          </w:p>
                        </w:txbxContent>
                      </wps:txbx>
                      <wps:bodyPr rot="0" vert="eaVert" wrap="square" lIns="0" tIns="0" rIns="0" bIns="0" anchor="t" anchorCtr="0" upright="1">
                        <a:noAutofit/>
                      </wps:bodyPr>
                    </wps:wsp>
                  </a:graphicData>
                </a:graphic>
              </wp:anchor>
            </w:drawing>
          </mc:Choice>
          <mc:Fallback>
            <w:pict>
              <v:shape id="_x0000_s1026" o:spid="_x0000_s1026" o:spt="202" type="#_x0000_t202" style="position:absolute;left:0pt;margin-left:19.5pt;margin-top:225.8pt;height:7.75pt;width:5.05pt;mso-position-horizontal-relative:page;mso-position-vertical-relative:page;z-index:251659264;mso-width-relative:page;mso-height-relative:page;" filled="f" stroked="f" coordsize="21600,21600" o:gfxdata="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zCzDu1wAAAAkBAAAPAAAAAAAAAAEA&#10;IAAAACIAAABkcnMvZG93bnJldi54bWxQSwECFAAUAAAACACHTuJAZki3HBACAAASBAAADgAAAAAA&#10;AAABACAAAAAmAQAAZHJzL2Uyb0RvYy54bWxQSwUGAAAAAAYABgBZAQAAqAUAAAAA&#10;">
                <v:fill on="f" focussize="0,0"/>
                <v:stroke on="f"/>
                <v:imagedata o:title=""/>
                <o:lock v:ext="edit" aspectratio="f"/>
                <v:textbox inset="0mm,0mm,0mm,0mm" style="layout-flow:vertical-ideographic;">
                  <w:txbxContent>
                    <w:p w14:paraId="4C38359B">
                      <w:pPr>
                        <w:spacing w:line="216" w:lineRule="auto"/>
                        <w:ind w:left="20"/>
                        <w:rPr>
                          <w:sz w:val="6"/>
                        </w:rPr>
                      </w:pPr>
                      <w:r>
                        <w:rPr>
                          <w:color w:val="AEAFB5"/>
                          <w:w w:val="99"/>
                          <w:sz w:val="6"/>
                        </w:rPr>
                        <w:t>－今</w:t>
                      </w:r>
                    </w:p>
                  </w:txbxContent>
                </v:textbox>
              </v:shape>
            </w:pict>
          </mc:Fallback>
        </mc:AlternateContent>
      </w:r>
      <w:r>
        <w:rPr>
          <w:rFonts w:hint="eastAsia" w:ascii="仿宋" w:hAnsi="仿宋" w:eastAsia="仿宋" w:cs="仿宋"/>
          <w:color w:val="232624"/>
          <w:sz w:val="30"/>
          <w:szCs w:val="30"/>
        </w:rPr>
        <w:t xml:space="preserve">  南阳市财政局中介服务机构委托服务框架协议</w:t>
      </w:r>
    </w:p>
    <w:p w14:paraId="67061745">
      <w:pPr>
        <w:spacing w:before="8" w:after="120"/>
        <w:rPr>
          <w:rFonts w:hint="eastAsia" w:ascii="仿宋" w:hAnsi="仿宋" w:eastAsia="仿宋" w:cs="仿宋"/>
          <w:kern w:val="0"/>
          <w:sz w:val="19"/>
          <w:szCs w:val="24"/>
        </w:rPr>
      </w:pPr>
    </w:p>
    <w:p w14:paraId="4242DF04">
      <w:pPr>
        <w:keepNext/>
        <w:keepLines/>
        <w:spacing w:line="360" w:lineRule="auto"/>
        <w:jc w:val="center"/>
        <w:outlineLvl w:val="0"/>
        <w:rPr>
          <w:rFonts w:ascii="Times New Roman" w:hAnsi="Times New Roman"/>
          <w:b/>
          <w:bCs/>
          <w:kern w:val="44"/>
          <w:sz w:val="32"/>
          <w:szCs w:val="32"/>
        </w:rPr>
      </w:pPr>
      <w:r>
        <w:rPr>
          <w:rFonts w:hint="eastAsia" w:ascii="Times New Roman" w:hAnsi="Times New Roman"/>
          <w:b/>
          <w:bCs/>
          <w:kern w:val="44"/>
          <w:sz w:val="32"/>
          <w:szCs w:val="32"/>
        </w:rPr>
        <w:t xml:space="preserve">  </w:t>
      </w:r>
      <w:r>
        <w:rPr>
          <w:rFonts w:hint="eastAsia" w:ascii="宋体" w:hAnsi="宋体"/>
          <w:b/>
          <w:bCs/>
          <w:kern w:val="44"/>
          <w:sz w:val="32"/>
          <w:szCs w:val="32"/>
        </w:rPr>
        <w:t>框架协议文本和采购合同文本</w:t>
      </w:r>
    </w:p>
    <w:p w14:paraId="3253A2E7">
      <w:pPr>
        <w:keepNext/>
        <w:keepLines/>
        <w:spacing w:line="360" w:lineRule="auto"/>
        <w:jc w:val="center"/>
        <w:outlineLvl w:val="0"/>
        <w:rPr>
          <w:rFonts w:hint="eastAsia" w:ascii="黑体" w:hAnsi="黑体" w:eastAsia="黑体" w:cs="黑体"/>
          <w:b w:val="0"/>
          <w:bCs/>
          <w:sz w:val="48"/>
          <w:szCs w:val="48"/>
        </w:rPr>
      </w:pPr>
      <w:r>
        <w:rPr>
          <w:rFonts w:hint="eastAsia" w:ascii="黑体" w:hAnsi="黑体" w:eastAsia="黑体" w:cs="黑体"/>
          <w:b w:val="0"/>
          <w:bCs/>
          <w:kern w:val="44"/>
          <w:sz w:val="48"/>
          <w:szCs w:val="48"/>
        </w:rPr>
        <w:t>（一）框架协议文本</w:t>
      </w:r>
    </w:p>
    <w:p w14:paraId="575B9DF0">
      <w:pPr>
        <w:spacing w:line="400" w:lineRule="exact"/>
        <w:ind w:firstLine="482"/>
        <w:jc w:val="center"/>
        <w:rPr>
          <w:rFonts w:ascii="宋体" w:hAnsi="宋体" w:cs="宋体"/>
          <w:kern w:val="0"/>
          <w:szCs w:val="21"/>
        </w:rPr>
      </w:pPr>
      <w:r>
        <w:rPr>
          <w:rFonts w:hint="eastAsia" w:ascii="宋体" w:hAnsi="宋体" w:cs="宋体"/>
          <w:b/>
          <w:bCs/>
          <w:szCs w:val="21"/>
        </w:rPr>
        <w:t>（以最终签订的合同为准）</w:t>
      </w:r>
    </w:p>
    <w:p w14:paraId="1B26D87D">
      <w:pPr>
        <w:keepNext w:val="0"/>
        <w:keepLines w:val="0"/>
        <w:pageBreakBefore w:val="0"/>
        <w:widowControl/>
        <w:kinsoku w:val="0"/>
        <w:overflowPunct/>
        <w:autoSpaceDE w:val="0"/>
        <w:autoSpaceDN w:val="0"/>
        <w:bidi w:val="0"/>
        <w:adjustRightInd w:val="0"/>
        <w:snapToGrid w:val="0"/>
        <w:spacing w:line="600" w:lineRule="exact"/>
        <w:textAlignment w:val="baseline"/>
        <w:rPr>
          <w:rFonts w:hint="eastAsia" w:ascii="仿宋" w:hAnsi="仿宋" w:eastAsia="仿宋" w:cs="仿宋"/>
          <w:kern w:val="0"/>
          <w:sz w:val="32"/>
          <w:szCs w:val="32"/>
        </w:rPr>
      </w:pPr>
      <w:r>
        <w:rPr>
          <w:rFonts w:hint="eastAsia" w:ascii="仿宋" w:hAnsi="仿宋" w:eastAsia="仿宋" w:cs="仿宋"/>
          <w:spacing w:val="12"/>
          <w:kern w:val="0"/>
          <w:sz w:val="32"/>
          <w:szCs w:val="32"/>
        </w:rPr>
        <w:t>甲方</w:t>
      </w:r>
      <w:r>
        <w:rPr>
          <w:rFonts w:hint="eastAsia" w:ascii="仿宋" w:hAnsi="仿宋" w:eastAsia="仿宋" w:cs="仿宋"/>
          <w:spacing w:val="6"/>
          <w:kern w:val="0"/>
          <w:sz w:val="32"/>
          <w:szCs w:val="32"/>
        </w:rPr>
        <w:t>(征集人)：</w:t>
      </w:r>
      <w:r>
        <w:rPr>
          <w:rFonts w:hint="eastAsia" w:ascii="仿宋" w:hAnsi="仿宋" w:eastAsia="仿宋" w:cs="仿宋"/>
          <w:spacing w:val="6"/>
          <w:kern w:val="0"/>
          <w:sz w:val="32"/>
          <w:szCs w:val="32"/>
          <w:u w:val="single"/>
        </w:rPr>
        <w:t xml:space="preserve">                                 </w:t>
      </w:r>
    </w:p>
    <w:p w14:paraId="1DF1F226">
      <w:pPr>
        <w:keepNext w:val="0"/>
        <w:keepLines w:val="0"/>
        <w:pageBreakBefore w:val="0"/>
        <w:widowControl/>
        <w:kinsoku w:val="0"/>
        <w:overflowPunct/>
        <w:autoSpaceDE w:val="0"/>
        <w:autoSpaceDN w:val="0"/>
        <w:bidi w:val="0"/>
        <w:adjustRightInd w:val="0"/>
        <w:snapToGrid w:val="0"/>
        <w:spacing w:line="600" w:lineRule="exact"/>
        <w:textAlignment w:val="baseline"/>
        <w:rPr>
          <w:rFonts w:hint="eastAsia" w:ascii="仿宋" w:hAnsi="仿宋" w:eastAsia="仿宋" w:cs="仿宋"/>
          <w:kern w:val="0"/>
          <w:sz w:val="32"/>
          <w:szCs w:val="32"/>
        </w:rPr>
      </w:pPr>
      <w:r>
        <w:rPr>
          <w:rFonts w:hint="eastAsia" w:ascii="仿宋" w:hAnsi="仿宋" w:eastAsia="仿宋" w:cs="仿宋"/>
          <w:spacing w:val="7"/>
          <w:kern w:val="0"/>
          <w:sz w:val="32"/>
          <w:szCs w:val="32"/>
        </w:rPr>
        <w:t>乙</w:t>
      </w:r>
      <w:r>
        <w:rPr>
          <w:rFonts w:hint="eastAsia" w:ascii="仿宋" w:hAnsi="仿宋" w:eastAsia="仿宋" w:cs="仿宋"/>
          <w:spacing w:val="5"/>
          <w:kern w:val="0"/>
          <w:sz w:val="32"/>
          <w:szCs w:val="32"/>
        </w:rPr>
        <w:t>方(入围供应商)：</w:t>
      </w:r>
      <w:r>
        <w:rPr>
          <w:rFonts w:hint="eastAsia" w:ascii="仿宋" w:hAnsi="仿宋" w:eastAsia="仿宋" w:cs="仿宋"/>
          <w:kern w:val="0"/>
          <w:sz w:val="32"/>
          <w:szCs w:val="32"/>
          <w:u w:val="single"/>
        </w:rPr>
        <w:t xml:space="preserve">                                       </w:t>
      </w:r>
    </w:p>
    <w:p w14:paraId="259326D9">
      <w:pPr>
        <w:keepNext w:val="0"/>
        <w:keepLines w:val="0"/>
        <w:pageBreakBefore w:val="0"/>
        <w:wordWrap w:val="0"/>
        <w:overflowPunct/>
        <w:topLinePunct/>
        <w:bidi w:val="0"/>
        <w:adjustRightInd w:val="0"/>
        <w:snapToGrid w:val="0"/>
        <w:spacing w:line="6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甲方作为征集人，通过公开征集程序，确定乙方为</w:t>
      </w:r>
      <w:r>
        <w:rPr>
          <w:rFonts w:hint="eastAsia" w:ascii="仿宋" w:hAnsi="仿宋" w:eastAsia="仿宋" w:cs="Times New Roman"/>
          <w:sz w:val="32"/>
          <w:szCs w:val="32"/>
        </w:rPr>
        <w:t>_______</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项目第一阶段入围供应商。根据《中华人民共和国政府采购法》《中华人民共和国政府采购法实施条例》《中华人民共和国民法典》和《政府采购框架协议采购方式管理暂行办法》以及本项目征集文件的规定，甲方与乙方就协议采购事项，签署本框架协议。</w:t>
      </w:r>
    </w:p>
    <w:p w14:paraId="38B79045">
      <w:pPr>
        <w:keepNext w:val="0"/>
        <w:keepLines w:val="0"/>
        <w:pageBreakBefore w:val="0"/>
        <w:wordWrap w:val="0"/>
        <w:overflowPunct/>
        <w:topLinePunct/>
        <w:bidi w:val="0"/>
        <w:adjustRightInd w:val="0"/>
        <w:snapToGrid w:val="0"/>
        <w:spacing w:line="600" w:lineRule="exact"/>
        <w:ind w:firstLine="643" w:firstLineChars="20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第一条 协议适用当事人</w:t>
      </w:r>
    </w:p>
    <w:p w14:paraId="6430F44E">
      <w:pPr>
        <w:keepNext w:val="0"/>
        <w:keepLines w:val="0"/>
        <w:pageBreakBefore w:val="0"/>
        <w:wordWrap w:val="0"/>
        <w:overflowPunct/>
        <w:topLinePunct/>
        <w:bidi w:val="0"/>
        <w:adjustRightInd w:val="0"/>
        <w:snapToGrid w:val="0"/>
        <w:spacing w:line="6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本协议适用于技术、服务等标准明确、统一，需要多次重复采购的服务，通过公开征集程序，确定第一阶段入围供应商并订立框架协议，服务对象按照框架协议约定规则，在入围供应商范围内确定第二阶段成交供应商并订立采购合同。</w:t>
      </w:r>
    </w:p>
    <w:p w14:paraId="258F9E2A">
      <w:pPr>
        <w:keepNext w:val="0"/>
        <w:keepLines w:val="0"/>
        <w:pageBreakBefore w:val="0"/>
        <w:wordWrap w:val="0"/>
        <w:overflowPunct/>
        <w:topLinePunct/>
        <w:bidi w:val="0"/>
        <w:adjustRightInd w:val="0"/>
        <w:snapToGrid w:val="0"/>
        <w:spacing w:line="6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在本协议确定的协议期限内，根据征集人需求向乙方购买本协议第二条确定的服务，并由服务对象与乙方直接签订采购合同,根据本框架协议和采购合同向征集人履行协议义务。</w:t>
      </w:r>
    </w:p>
    <w:p w14:paraId="6530A291">
      <w:pPr>
        <w:keepNext w:val="0"/>
        <w:keepLines w:val="0"/>
        <w:pageBreakBefore w:val="0"/>
        <w:wordWrap w:val="0"/>
        <w:overflowPunct/>
        <w:topLinePunct/>
        <w:bidi w:val="0"/>
        <w:adjustRightInd w:val="0"/>
        <w:snapToGrid w:val="0"/>
        <w:spacing w:line="600" w:lineRule="exact"/>
        <w:ind w:firstLine="643" w:firstLineChars="20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第二条 项目基本情况</w:t>
      </w:r>
    </w:p>
    <w:p w14:paraId="7EACCEF7">
      <w:pPr>
        <w:keepNext w:val="0"/>
        <w:keepLines w:val="0"/>
        <w:pageBreakBefore w:val="0"/>
        <w:wordWrap w:val="0"/>
        <w:overflowPunct/>
        <w:topLinePunct/>
        <w:bidi w:val="0"/>
        <w:adjustRightInd w:val="0"/>
        <w:snapToGrid w:val="0"/>
        <w:spacing w:line="60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项目名称：</w:t>
      </w:r>
      <w:r>
        <w:rPr>
          <w:rFonts w:hint="eastAsia" w:ascii="仿宋" w:hAnsi="仿宋" w:eastAsia="仿宋" w:cs="仿宋"/>
          <w:kern w:val="0"/>
          <w:sz w:val="32"/>
          <w:szCs w:val="32"/>
          <w:u w:val="single"/>
        </w:rPr>
        <w:t xml:space="preserve">                    </w:t>
      </w:r>
    </w:p>
    <w:p w14:paraId="2C39FF21">
      <w:pPr>
        <w:keepNext w:val="0"/>
        <w:keepLines w:val="0"/>
        <w:pageBreakBefore w:val="0"/>
        <w:wordWrap w:val="0"/>
        <w:overflowPunct/>
        <w:topLinePunct/>
        <w:bidi w:val="0"/>
        <w:adjustRightInd w:val="0"/>
        <w:snapToGrid w:val="0"/>
        <w:spacing w:line="600" w:lineRule="exact"/>
        <w:ind w:firstLine="640" w:firstLineChars="200"/>
        <w:textAlignment w:val="baseline"/>
        <w:rPr>
          <w:rFonts w:hint="eastAsia" w:ascii="宋体" w:hAnsi="宋体" w:cs="宋体"/>
          <w:kern w:val="0"/>
          <w:sz w:val="32"/>
          <w:szCs w:val="32"/>
        </w:rPr>
      </w:pPr>
      <w:r>
        <w:rPr>
          <w:rFonts w:hint="eastAsia" w:ascii="仿宋" w:hAnsi="仿宋" w:eastAsia="仿宋" w:cs="仿宋"/>
          <w:kern w:val="0"/>
          <w:sz w:val="32"/>
          <w:szCs w:val="32"/>
        </w:rPr>
        <w:t>项目编号：</w:t>
      </w:r>
      <w:r>
        <w:rPr>
          <w:rFonts w:hint="eastAsia" w:ascii="仿宋" w:hAnsi="仿宋" w:eastAsia="仿宋" w:cs="仿宋"/>
          <w:kern w:val="0"/>
          <w:sz w:val="32"/>
          <w:szCs w:val="32"/>
          <w:u w:val="single"/>
        </w:rPr>
        <w:t xml:space="preserve">     </w:t>
      </w:r>
      <w:r>
        <w:rPr>
          <w:rFonts w:hint="eastAsia" w:ascii="宋体" w:hAnsi="宋体" w:cs="宋体"/>
          <w:kern w:val="0"/>
          <w:sz w:val="32"/>
          <w:szCs w:val="32"/>
          <w:u w:val="single"/>
        </w:rPr>
        <w:t xml:space="preserve">              </w:t>
      </w:r>
    </w:p>
    <w:p w14:paraId="27D06D40">
      <w:pPr>
        <w:keepNext w:val="0"/>
        <w:keepLines w:val="0"/>
        <w:pageBreakBefore w:val="0"/>
        <w:widowControl/>
        <w:overflowPunct/>
        <w:bidi w:val="0"/>
        <w:spacing w:line="600" w:lineRule="exact"/>
        <w:ind w:firstLine="643" w:firstLineChars="200"/>
        <w:jc w:val="left"/>
        <w:rPr>
          <w:rFonts w:hint="eastAsia" w:ascii="仿宋" w:hAnsi="仿宋" w:eastAsia="仿宋" w:cs="仿宋"/>
          <w:b/>
          <w:sz w:val="32"/>
          <w:szCs w:val="32"/>
        </w:rPr>
      </w:pPr>
      <w:r>
        <w:rPr>
          <w:rFonts w:hint="eastAsia" w:ascii="仿宋" w:hAnsi="仿宋" w:eastAsia="仿宋" w:cs="仿宋"/>
          <w:b/>
          <w:bCs/>
          <w:kern w:val="0"/>
          <w:sz w:val="32"/>
          <w:szCs w:val="32"/>
        </w:rPr>
        <w:t xml:space="preserve">第三条 </w:t>
      </w:r>
      <w:r>
        <w:rPr>
          <w:rFonts w:hint="eastAsia" w:ascii="仿宋" w:hAnsi="仿宋" w:eastAsia="仿宋" w:cs="仿宋"/>
          <w:b/>
          <w:sz w:val="32"/>
          <w:szCs w:val="32"/>
        </w:rPr>
        <w:t>服务内容、服务标准</w:t>
      </w:r>
    </w:p>
    <w:p w14:paraId="66FAA71D">
      <w:pPr>
        <w:keepNext w:val="0"/>
        <w:keepLines w:val="0"/>
        <w:pageBreakBefore w:val="0"/>
        <w:overflowPunct/>
        <w:bidi w:val="0"/>
        <w:spacing w:line="600" w:lineRule="exact"/>
        <w:ind w:firstLine="640" w:firstLineChars="200"/>
        <w:rPr>
          <w:rFonts w:hint="eastAsia" w:ascii="仿宋" w:hAnsi="仿宋" w:eastAsia="仿宋" w:cs="宋体"/>
          <w:sz w:val="32"/>
          <w:szCs w:val="32"/>
        </w:rPr>
      </w:pPr>
      <w:r>
        <w:rPr>
          <w:rFonts w:hint="eastAsia" w:ascii="仿宋" w:hAnsi="仿宋" w:eastAsia="仿宋" w:cs="宋体"/>
          <w:sz w:val="32"/>
          <w:szCs w:val="32"/>
          <w:shd w:val="clear" w:color="auto" w:fill="FFFFFF"/>
        </w:rPr>
        <w:t>1、服务内容：</w:t>
      </w:r>
      <w:r>
        <w:rPr>
          <w:rFonts w:hint="eastAsia" w:ascii="仿宋" w:hAnsi="仿宋" w:eastAsia="仿宋" w:cs="宋体"/>
          <w:sz w:val="32"/>
          <w:szCs w:val="32"/>
        </w:rPr>
        <w:t>南阳市财政局委托的财政资金项目</w:t>
      </w:r>
      <w:r>
        <w:rPr>
          <w:rFonts w:hint="eastAsia" w:ascii="仿宋" w:hAnsi="仿宋" w:eastAsia="仿宋" w:cs="宋体"/>
          <w:sz w:val="32"/>
          <w:szCs w:val="32"/>
          <w:lang w:val="en-US" w:eastAsia="zh-CN"/>
        </w:rPr>
        <w:t>财政</w:t>
      </w:r>
      <w:r>
        <w:rPr>
          <w:rFonts w:ascii="仿宋" w:hAnsi="仿宋" w:eastAsia="仿宋" w:cs="宋体"/>
          <w:sz w:val="32"/>
          <w:szCs w:val="32"/>
        </w:rPr>
        <w:t>事前绩效评估；绩效目标审核；财政重点绩效监控；</w:t>
      </w:r>
      <w:r>
        <w:rPr>
          <w:rFonts w:hint="eastAsia" w:ascii="仿宋" w:hAnsi="仿宋" w:eastAsia="仿宋" w:cs="宋体"/>
          <w:sz w:val="32"/>
          <w:szCs w:val="32"/>
        </w:rPr>
        <w:t>财政重点</w:t>
      </w:r>
      <w:r>
        <w:rPr>
          <w:rFonts w:ascii="仿宋" w:hAnsi="仿宋" w:eastAsia="仿宋" w:cs="宋体"/>
          <w:sz w:val="32"/>
          <w:szCs w:val="32"/>
        </w:rPr>
        <w:t>绩效评价</w:t>
      </w:r>
      <w:r>
        <w:rPr>
          <w:rFonts w:hint="eastAsia" w:ascii="仿宋" w:hAnsi="仿宋" w:eastAsia="仿宋" w:cs="宋体"/>
          <w:sz w:val="32"/>
          <w:szCs w:val="32"/>
        </w:rPr>
        <w:t>或</w:t>
      </w:r>
      <w:r>
        <w:rPr>
          <w:rFonts w:ascii="仿宋" w:hAnsi="仿宋" w:eastAsia="仿宋" w:cs="宋体"/>
          <w:sz w:val="32"/>
          <w:szCs w:val="32"/>
        </w:rPr>
        <w:t>评价结果复核；全成本预算绩效分析和支出标准制定；绩效指标和标准体系制定；预算绩效管理课题研究</w:t>
      </w:r>
      <w:r>
        <w:rPr>
          <w:rFonts w:hint="eastAsia" w:ascii="仿宋" w:hAnsi="仿宋" w:eastAsia="仿宋" w:cs="宋体"/>
          <w:sz w:val="32"/>
          <w:szCs w:val="32"/>
        </w:rPr>
        <w:t>等工作。</w:t>
      </w:r>
    </w:p>
    <w:p w14:paraId="51652A0E">
      <w:pPr>
        <w:keepNext w:val="0"/>
        <w:keepLines w:val="0"/>
        <w:pageBreakBefore w:val="0"/>
        <w:numPr>
          <w:ilvl w:val="0"/>
          <w:numId w:val="6"/>
        </w:numPr>
        <w:overflowPunct/>
        <w:bidi w:val="0"/>
        <w:spacing w:line="600" w:lineRule="exact"/>
        <w:ind w:firstLine="640" w:firstLineChars="200"/>
        <w:rPr>
          <w:rFonts w:hint="eastAsia" w:ascii="仿宋" w:hAnsi="仿宋" w:eastAsia="仿宋" w:cs="仿宋"/>
          <w:sz w:val="32"/>
          <w:szCs w:val="32"/>
        </w:rPr>
      </w:pPr>
      <w:r>
        <w:rPr>
          <w:rFonts w:hint="eastAsia" w:ascii="仿宋" w:hAnsi="仿宋" w:eastAsia="仿宋" w:cs="宋体"/>
          <w:sz w:val="32"/>
          <w:szCs w:val="32"/>
          <w:shd w:val="clear" w:color="auto" w:fill="FFFFFF"/>
        </w:rPr>
        <w:t>服务标准：</w:t>
      </w:r>
      <w:r>
        <w:rPr>
          <w:rFonts w:hint="eastAsia" w:ascii="仿宋" w:hAnsi="仿宋" w:eastAsia="仿宋" w:cs="宋体"/>
          <w:sz w:val="32"/>
          <w:szCs w:val="32"/>
        </w:rPr>
        <w:t>符合国家、河南省、南阳市有关文件规定及服务对象要求。</w:t>
      </w:r>
    </w:p>
    <w:p w14:paraId="4AC13415">
      <w:pPr>
        <w:keepNext w:val="0"/>
        <w:keepLines w:val="0"/>
        <w:pageBreakBefore w:val="0"/>
        <w:widowControl/>
        <w:numPr>
          <w:ilvl w:val="0"/>
          <w:numId w:val="7"/>
        </w:numPr>
        <w:kinsoku/>
        <w:wordWrap/>
        <w:overflowPunct/>
        <w:topLinePunct w:val="0"/>
        <w:autoSpaceDE/>
        <w:autoSpaceDN/>
        <w:bidi w:val="0"/>
        <w:adjustRightInd/>
        <w:snapToGrid/>
        <w:spacing w:line="640" w:lineRule="exact"/>
        <w:ind w:firstLine="643" w:firstLineChars="200"/>
        <w:jc w:val="left"/>
        <w:textAlignment w:val="auto"/>
        <w:rPr>
          <w:rFonts w:hint="eastAsia" w:ascii="仿宋" w:hAnsi="仿宋" w:eastAsia="仿宋" w:cs="宋体"/>
          <w:b/>
          <w:sz w:val="32"/>
          <w:szCs w:val="32"/>
        </w:rPr>
      </w:pPr>
      <w:r>
        <w:rPr>
          <w:rFonts w:hint="eastAsia" w:ascii="仿宋" w:hAnsi="仿宋" w:eastAsia="仿宋" w:cs="仿宋"/>
          <w:b/>
          <w:bCs/>
          <w:kern w:val="0"/>
          <w:sz w:val="32"/>
          <w:szCs w:val="32"/>
          <w:lang w:val="en-US" w:eastAsia="zh-CN"/>
        </w:rPr>
        <w:t>确定</w:t>
      </w:r>
      <w:r>
        <w:rPr>
          <w:rFonts w:hint="eastAsia" w:ascii="仿宋" w:hAnsi="仿宋" w:eastAsia="仿宋" w:cs="宋体"/>
          <w:b/>
          <w:sz w:val="32"/>
          <w:szCs w:val="32"/>
        </w:rPr>
        <w:t>第二阶段</w:t>
      </w:r>
      <w:r>
        <w:rPr>
          <w:rFonts w:hint="eastAsia" w:ascii="仿宋" w:hAnsi="仿宋" w:eastAsia="仿宋" w:cs="宋体"/>
          <w:b/>
          <w:sz w:val="32"/>
          <w:szCs w:val="32"/>
          <w:lang w:val="en-US" w:eastAsia="zh-CN"/>
        </w:rPr>
        <w:t>成交供应商的</w:t>
      </w:r>
      <w:r>
        <w:rPr>
          <w:rFonts w:hint="eastAsia" w:ascii="仿宋" w:hAnsi="仿宋" w:eastAsia="仿宋" w:cs="宋体"/>
          <w:b/>
          <w:sz w:val="32"/>
          <w:szCs w:val="32"/>
        </w:rPr>
        <w:t>方式</w:t>
      </w:r>
    </w:p>
    <w:p w14:paraId="440B979B">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sz w:val="32"/>
          <w:szCs w:val="32"/>
        </w:rPr>
        <w:t>确定第二阶段成交供应商的方式</w:t>
      </w:r>
      <w:r>
        <w:rPr>
          <w:rFonts w:hint="eastAsia" w:ascii="仿宋" w:hAnsi="仿宋" w:eastAsia="仿宋" w:cs="仿宋"/>
          <w:sz w:val="32"/>
          <w:szCs w:val="32"/>
          <w:lang w:val="en-US" w:eastAsia="zh-CN"/>
        </w:rPr>
        <w:t>按照供应商</w:t>
      </w:r>
      <w:r>
        <w:rPr>
          <w:rFonts w:hint="eastAsia" w:ascii="仿宋" w:hAnsi="仿宋" w:eastAsia="仿宋" w:cs="仿宋"/>
          <w:color w:val="000000"/>
          <w:sz w:val="32"/>
          <w:szCs w:val="32"/>
          <w:lang w:val="en-US" w:eastAsia="zh-CN"/>
        </w:rPr>
        <w:t>入围顺序，</w:t>
      </w:r>
      <w:r>
        <w:rPr>
          <w:rFonts w:hint="eastAsia" w:ascii="仿宋" w:hAnsi="仿宋" w:eastAsia="仿宋" w:cs="仿宋"/>
          <w:color w:val="000000"/>
          <w:sz w:val="32"/>
          <w:szCs w:val="32"/>
        </w:rPr>
        <w:t>采用轮候加抽签</w:t>
      </w:r>
      <w:r>
        <w:rPr>
          <w:rFonts w:hint="eastAsia" w:ascii="仿宋" w:hAnsi="仿宋" w:eastAsia="仿宋" w:cs="仿宋"/>
          <w:color w:val="000000"/>
          <w:sz w:val="32"/>
          <w:szCs w:val="32"/>
          <w:lang w:eastAsia="zh-CN"/>
        </w:rPr>
        <w:t>的</w:t>
      </w:r>
      <w:r>
        <w:rPr>
          <w:rFonts w:hint="eastAsia" w:ascii="仿宋" w:hAnsi="仿宋" w:eastAsia="仿宋" w:cs="仿宋"/>
          <w:color w:val="000000"/>
          <w:sz w:val="32"/>
          <w:szCs w:val="32"/>
        </w:rPr>
        <w:t>方式确定中介机构及服务项目，所有中介机构轮流一遍为一轮。原则上中介机构不得拒绝或推脱委托单位委托的项目。</w:t>
      </w:r>
    </w:p>
    <w:p w14:paraId="54FE1559">
      <w:pPr>
        <w:keepNext w:val="0"/>
        <w:keepLines w:val="0"/>
        <w:pageBreakBefore w:val="0"/>
        <w:widowControl/>
        <w:kinsoku/>
        <w:wordWrap/>
        <w:overflowPunct/>
        <w:topLinePunct w:val="0"/>
        <w:autoSpaceDE/>
        <w:autoSpaceDN/>
        <w:bidi w:val="0"/>
        <w:adjustRightInd/>
        <w:snapToGrid/>
        <w:spacing w:line="640" w:lineRule="exact"/>
        <w:ind w:left="0" w:firstLine="643" w:firstLineChars="200"/>
        <w:jc w:val="left"/>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第五条 委托预算绩效管理业务程序</w:t>
      </w:r>
    </w:p>
    <w:p w14:paraId="252636BC">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中介机构接到预算绩效管理业务委托后，应成立工作组，确定至少1名项目负责人（绩效评价工作为项目主评人），配备与受托工作能力要求相适应、结构合理、相对固定的服务团队，并保持工作组成员相对稳定。</w:t>
      </w:r>
    </w:p>
    <w:p w14:paraId="0370D973">
      <w:pPr>
        <w:keepNext w:val="0"/>
        <w:keepLines w:val="0"/>
        <w:pageBreakBefore w:val="0"/>
        <w:widowControl w:val="0"/>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中介机构应制定实施方案，报委托方审定。严格按照实施方案组织开展工作，真实、完整地获取数据、资料，对技术难度大、专业性强的工作内容，聘请相关领域专家实施论证，及时向委托方反馈工作进度、重要事项和相关问题，全程接受委托方的指导以及财政部门和社会公众的监督。并在委托协议或合同约定时间内，客观独立出具意见、结论、报告等工作成果，对工作成果负责，报委托方审定。工作成果应符合规定要求和文本格式，做到要素完整、依据充分、结论客观、建议可行。</w:t>
      </w:r>
    </w:p>
    <w:p w14:paraId="387F6F45">
      <w:pPr>
        <w:keepNext w:val="0"/>
        <w:keepLines w:val="0"/>
        <w:pageBreakBefore w:val="0"/>
        <w:widowControl/>
        <w:kinsoku/>
        <w:overflowPunct/>
        <w:autoSpaceDE/>
        <w:autoSpaceDN/>
        <w:bidi w:val="0"/>
        <w:spacing w:line="640" w:lineRule="exact"/>
        <w:ind w:firstLine="643" w:firstLineChars="200"/>
        <w:jc w:val="left"/>
        <w:rPr>
          <w:rFonts w:hint="eastAsia" w:ascii="仿宋" w:hAnsi="仿宋" w:eastAsia="仿宋" w:cs="仿宋"/>
          <w:b/>
          <w:sz w:val="32"/>
          <w:szCs w:val="32"/>
        </w:rPr>
      </w:pPr>
      <w:r>
        <w:rPr>
          <w:rFonts w:hint="eastAsia" w:ascii="仿宋" w:hAnsi="仿宋" w:eastAsia="仿宋" w:cs="仿宋"/>
          <w:b/>
          <w:sz w:val="32"/>
          <w:szCs w:val="32"/>
        </w:rPr>
        <w:t>第六条 协议方的权利和义务</w:t>
      </w:r>
    </w:p>
    <w:p w14:paraId="52E20B18">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（一）甲方权责</w:t>
      </w:r>
    </w:p>
    <w:p w14:paraId="0AC319A2">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1.协调相关部门（单位）向乙方提供完成</w:t>
      </w:r>
      <w:r>
        <w:rPr>
          <w:rFonts w:hint="eastAsia" w:ascii="仿宋" w:hAnsi="仿宋" w:eastAsia="仿宋" w:cs="仿宋"/>
          <w:sz w:val="32"/>
          <w:szCs w:val="32"/>
          <w:lang w:val="en-US" w:eastAsia="zh-CN"/>
        </w:rPr>
        <w:t>预算</w:t>
      </w:r>
      <w:r>
        <w:rPr>
          <w:rFonts w:hint="eastAsia" w:ascii="仿宋" w:hAnsi="仿宋" w:eastAsia="仿宋" w:cs="仿宋"/>
          <w:sz w:val="32"/>
          <w:szCs w:val="32"/>
        </w:rPr>
        <w:t>绩效</w:t>
      </w:r>
      <w:r>
        <w:rPr>
          <w:rFonts w:hint="eastAsia" w:ascii="仿宋" w:hAnsi="仿宋" w:eastAsia="仿宋" w:cs="仿宋"/>
          <w:sz w:val="32"/>
          <w:szCs w:val="32"/>
          <w:lang w:val="en-US" w:eastAsia="zh-CN"/>
        </w:rPr>
        <w:t>管理相关</w:t>
      </w:r>
      <w:r>
        <w:rPr>
          <w:rFonts w:hint="eastAsia" w:ascii="仿宋" w:hAnsi="仿宋" w:eastAsia="仿宋" w:cs="仿宋"/>
          <w:sz w:val="32"/>
          <w:szCs w:val="32"/>
        </w:rPr>
        <w:t>工作所需的有关文件资料，指导乙方开展工作。</w:t>
      </w:r>
    </w:p>
    <w:p w14:paraId="37ACB86D">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2.对乙方提交的预算绩效管理相关工作实施方案及</w:t>
      </w:r>
      <w:r>
        <w:rPr>
          <w:rFonts w:hint="eastAsia" w:ascii="仿宋" w:hAnsi="仿宋" w:eastAsia="仿宋" w:cs="仿宋"/>
          <w:sz w:val="32"/>
          <w:szCs w:val="32"/>
          <w:lang w:val="en-US" w:eastAsia="zh-CN"/>
        </w:rPr>
        <w:t>工作</w:t>
      </w:r>
      <w:r>
        <w:rPr>
          <w:rFonts w:hint="eastAsia" w:ascii="仿宋" w:hAnsi="仿宋" w:eastAsia="仿宋" w:cs="仿宋"/>
          <w:sz w:val="32"/>
          <w:szCs w:val="32"/>
        </w:rPr>
        <w:t>报告</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结论</w:t>
      </w:r>
      <w:r>
        <w:rPr>
          <w:rFonts w:hint="eastAsia" w:ascii="仿宋" w:hAnsi="仿宋" w:eastAsia="仿宋" w:cs="仿宋"/>
          <w:sz w:val="32"/>
          <w:szCs w:val="32"/>
        </w:rPr>
        <w:t>提出审核意见。</w:t>
      </w:r>
    </w:p>
    <w:p w14:paraId="7708A09F">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3.对乙方开展</w:t>
      </w:r>
      <w:r>
        <w:rPr>
          <w:rFonts w:hint="eastAsia" w:ascii="仿宋" w:hAnsi="仿宋" w:eastAsia="仿宋" w:cs="仿宋"/>
          <w:sz w:val="32"/>
          <w:szCs w:val="32"/>
          <w:lang w:val="en-US" w:eastAsia="zh-CN"/>
        </w:rPr>
        <w:t>预算</w:t>
      </w:r>
      <w:r>
        <w:rPr>
          <w:rFonts w:hint="eastAsia" w:ascii="仿宋" w:hAnsi="仿宋" w:eastAsia="仿宋" w:cs="仿宋"/>
          <w:sz w:val="32"/>
          <w:szCs w:val="32"/>
        </w:rPr>
        <w:t>绩效</w:t>
      </w:r>
      <w:r>
        <w:rPr>
          <w:rFonts w:hint="eastAsia" w:ascii="仿宋" w:hAnsi="仿宋" w:eastAsia="仿宋" w:cs="仿宋"/>
          <w:sz w:val="32"/>
          <w:szCs w:val="32"/>
          <w:lang w:val="en-US" w:eastAsia="zh-CN"/>
        </w:rPr>
        <w:t>管理相关</w:t>
      </w:r>
      <w:r>
        <w:rPr>
          <w:rFonts w:hint="eastAsia" w:ascii="仿宋" w:hAnsi="仿宋" w:eastAsia="仿宋" w:cs="仿宋"/>
          <w:sz w:val="32"/>
          <w:szCs w:val="32"/>
        </w:rPr>
        <w:t>工作进行跟踪和监督，提出整改意见，并督促落实。</w:t>
      </w:r>
    </w:p>
    <w:p w14:paraId="7930EB70">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4.对乙方提供的预算绩效管理相关工作报告质量进行考核验收。</w:t>
      </w:r>
    </w:p>
    <w:p w14:paraId="07EB76D2">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5.按合同规定支付服务费用。</w:t>
      </w:r>
    </w:p>
    <w:p w14:paraId="47DD44C6">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6.在框架协议有效期满后10个工作日内发布成交结果汇总公告。</w:t>
      </w:r>
    </w:p>
    <w:p w14:paraId="02AD370C">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（二）乙方权责</w:t>
      </w:r>
    </w:p>
    <w:p w14:paraId="2F10B8DE">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1.乙方保证对其提供的服务享有合法的权利，甲方接受乙方服务不会因此而侵犯任何人的合法权益。</w:t>
      </w:r>
    </w:p>
    <w:p w14:paraId="10E0682B">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2.乙方保证其提供服务没有侵犯任何第三人的知识产权和商业秘密等权利。</w:t>
      </w:r>
    </w:p>
    <w:p w14:paraId="7CDF15D9">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3.乙方提供服务构成上述侵权的，则由乙方承担全部责任。</w:t>
      </w:r>
    </w:p>
    <w:p w14:paraId="12417DF6">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4.在履行本合同的过程中，如果甲方或乙方提供、接触、知悉的内容属于保密的，甲乙双方均有保密义务。保密的内容包括但不限于书面、电子数据等承载保密信息的各种形式。</w:t>
      </w:r>
    </w:p>
    <w:p w14:paraId="5681A75B">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5.乙方必须为本项目涉及的各种资料、数据和</w:t>
      </w:r>
      <w:r>
        <w:rPr>
          <w:rFonts w:hint="eastAsia" w:ascii="仿宋" w:hAnsi="仿宋" w:eastAsia="仿宋" w:cs="仿宋"/>
          <w:sz w:val="32"/>
          <w:szCs w:val="32"/>
          <w:lang w:val="en-US" w:eastAsia="zh-CN"/>
        </w:rPr>
        <w:t>票</w:t>
      </w:r>
      <w:r>
        <w:rPr>
          <w:rFonts w:hint="eastAsia" w:ascii="仿宋" w:hAnsi="仿宋" w:eastAsia="仿宋" w:cs="仿宋"/>
          <w:sz w:val="32"/>
          <w:szCs w:val="32"/>
        </w:rPr>
        <w:t>据等保密。未经甲方书面同意，乙方及乙方员工不得泄露、遗失、复印与本合同规定业务活动有关的一切资料和内容。所有甲方或第三人（与合同业务有关相关单位）提供的与本合同规定业务活动有关的一切资料，在合同结束后均应归还。</w:t>
      </w:r>
    </w:p>
    <w:p w14:paraId="7B98AE62">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6.乙方所提供的服务标准按照国家标准、行业标准或地方标准确定，均有标准的以高者（严格者）为准。没有国家标准、行业标准和地方标准的，按照通常标准或者符合合同目的的特定标准确定。</w:t>
      </w:r>
    </w:p>
    <w:p w14:paraId="488CB7FD">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7.乙方有权在履行合同期间内取得按合同约定应有的报酬。</w:t>
      </w:r>
    </w:p>
    <w:p w14:paraId="42BD120C">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8.乙方在项目服务过程中，如甲方提供的资料不明确时可向甲方提出书面报告。</w:t>
      </w:r>
    </w:p>
    <w:p w14:paraId="4D390736">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9.乙方有权在合同履行期间得到甲方必要的支持，有权拒绝执行甲方任何不符合有关法律、法规规定的要求。</w:t>
      </w:r>
    </w:p>
    <w:p w14:paraId="5C0A598B">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10.乙方应严格遵守国家、地方的法律、法规的规定，保证在合法且不侵犯他人利益的原则下进行所委托项目服务活动，并对其所进行的与委托有关的服务活动负责。</w:t>
      </w:r>
    </w:p>
    <w:p w14:paraId="7F896861">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11.乙方应按采购合同所述的时间、服务范围和内容，尽自己的一切努力，按行业通常接受的技术惯例和专业机构承认的标准，高效地履行自己的义务。在项目执行过程中支持和维护国家和甲方的合法利益。</w:t>
      </w:r>
    </w:p>
    <w:p w14:paraId="28D87414">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12.乙方应向甲方提供与本项目服务有关的资料，包括项目服务单位、人员的资质证书及承担本合同业务的专业人员名单、项目服务工作计划等，并按合同约定的范围、时间工作依据、工作标准等，出具内容齐全、规范、准确的相关报告等。</w:t>
      </w:r>
    </w:p>
    <w:p w14:paraId="2C36EC2F">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13.乙方应对履行本合同所规定的服务以及在履行中因自己违约而造成的损失承担责任并应当向甲方进行赔偿。但以下情况除外；</w:t>
      </w:r>
    </w:p>
    <w:p w14:paraId="12D8462F">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（1）非乙方的行为、过失、违约或失职造成的损失或伤害；</w:t>
      </w:r>
    </w:p>
    <w:p w14:paraId="68C22BF0">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（2）不可抗力造成的损失。</w:t>
      </w:r>
    </w:p>
    <w:p w14:paraId="5343B608">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14.乙方应对本项目所提供服务结果的可靠性、准确性、全面性向甲方负责，由于服务结果的可靠性、准确性、全面性不足而导致甲方工作偏差或失误，乙方应承担责任。</w:t>
      </w:r>
    </w:p>
    <w:p w14:paraId="521F7A2A">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15.乙方在履行合同期间或合同规定期限内，履行本合同所确定的项目负责人及主要专业技术、管理人员等必须是本单位职工和该项目的实际操作者，未经甲方同意，乙方不得调换或撤离上述人员。</w:t>
      </w:r>
    </w:p>
    <w:p w14:paraId="7686A8EF">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16.按本协议支付给乙方的报酬应为本合同服务的唯一报酬。</w:t>
      </w:r>
    </w:p>
    <w:p w14:paraId="6944CA0D">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17.乙方在本合同履行期间均不能直接或间接从事与本合同中活动相冲突的商业或职业活动，不得以任何理由向甲方任何工作人员行贿或有类似的行为，不得以任何理由接受第三方受贿或有类似的行为。</w:t>
      </w:r>
    </w:p>
    <w:p w14:paraId="5AF074C6">
      <w:pPr>
        <w:keepNext w:val="0"/>
        <w:keepLines w:val="0"/>
        <w:pageBreakBefore w:val="0"/>
        <w:widowControl/>
        <w:kinsoku/>
        <w:overflowPunct/>
        <w:autoSpaceDE/>
        <w:autoSpaceDN/>
        <w:bidi w:val="0"/>
        <w:spacing w:line="64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18.乙方应独立完成受托工作任务，不得以任何形式转让其应履行的协议项下的任何责任和义务。</w:t>
      </w:r>
    </w:p>
    <w:p w14:paraId="42C93C41">
      <w:pPr>
        <w:keepNext w:val="0"/>
        <w:keepLines w:val="0"/>
        <w:pageBreakBefore w:val="0"/>
        <w:widowControl/>
        <w:kinsoku/>
        <w:overflowPunct/>
        <w:autoSpaceDE/>
        <w:autoSpaceDN/>
        <w:bidi w:val="0"/>
        <w:spacing w:line="640" w:lineRule="exact"/>
        <w:ind w:firstLine="643" w:firstLineChars="200"/>
        <w:jc w:val="left"/>
        <w:rPr>
          <w:rFonts w:hint="eastAsia" w:ascii="仿宋" w:hAnsi="仿宋" w:eastAsia="仿宋" w:cs="仿宋"/>
          <w:b/>
          <w:kern w:val="0"/>
          <w:sz w:val="32"/>
          <w:szCs w:val="32"/>
        </w:rPr>
      </w:pPr>
      <w:r>
        <w:rPr>
          <w:rFonts w:hint="eastAsia" w:ascii="仿宋" w:hAnsi="仿宋" w:eastAsia="仿宋" w:cs="仿宋"/>
          <w:b/>
          <w:kern w:val="0"/>
          <w:sz w:val="32"/>
          <w:szCs w:val="32"/>
        </w:rPr>
        <w:t>第七条 服务质量的考核</w:t>
      </w:r>
    </w:p>
    <w:p w14:paraId="79C21996">
      <w:pPr>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1、单个项目完成后，征集人根据《南阳市市级部门委托第三方机构参与预算绩效管理工作办法》对中介机构工作情况和业务质量进行</w:t>
      </w:r>
      <w:r>
        <w:rPr>
          <w:rFonts w:hint="eastAsia" w:ascii="仿宋" w:hAnsi="仿宋" w:eastAsia="仿宋" w:cs="仿宋"/>
          <w:sz w:val="32"/>
          <w:szCs w:val="32"/>
          <w:lang w:val="en-US" w:eastAsia="zh-CN"/>
        </w:rPr>
        <w:t>综合考评</w:t>
      </w:r>
      <w:r>
        <w:rPr>
          <w:rFonts w:hint="eastAsia" w:ascii="仿宋" w:hAnsi="仿宋" w:eastAsia="仿宋" w:cs="仿宋"/>
          <w:sz w:val="32"/>
          <w:szCs w:val="32"/>
          <w:lang w:eastAsia="zh-CN"/>
        </w:rPr>
        <w:t>，</w:t>
      </w:r>
      <w:r>
        <w:rPr>
          <w:rFonts w:hint="eastAsia" w:ascii="仿宋" w:hAnsi="仿宋" w:eastAsia="仿宋" w:cs="仿宋"/>
          <w:sz w:val="32"/>
          <w:szCs w:val="32"/>
        </w:rPr>
        <w:t>考评结果分为优（得分≥90分）、良（90分&gt;得分≥80分）、中（80分&gt;得分≥60分）、差（得分＜60分）四个等级。</w:t>
      </w:r>
    </w:p>
    <w:p w14:paraId="498BAD73">
      <w:pPr>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2、考核结果为“中“、”差”等级的不再参与下一轮抽签，并取消框架协议后续服务期服务资格，同时将其执业质量情况通报其所在的行业协会及监管部门。</w:t>
      </w:r>
    </w:p>
    <w:p w14:paraId="473AB7A6">
      <w:pPr>
        <w:keepNext w:val="0"/>
        <w:keepLines w:val="0"/>
        <w:pageBreakBefore w:val="0"/>
        <w:widowControl/>
        <w:kinsoku/>
        <w:wordWrap/>
        <w:overflowPunct/>
        <w:topLinePunct w:val="0"/>
        <w:autoSpaceDE/>
        <w:autoSpaceDN/>
        <w:bidi w:val="0"/>
        <w:adjustRightInd/>
        <w:snapToGrid/>
        <w:spacing w:line="640" w:lineRule="exact"/>
        <w:ind w:left="0" w:leftChars="0" w:firstLine="643" w:firstLineChars="200"/>
        <w:jc w:val="left"/>
        <w:textAlignment w:val="auto"/>
        <w:rPr>
          <w:rFonts w:hint="eastAsia" w:ascii="仿宋" w:hAnsi="仿宋" w:eastAsia="仿宋" w:cs="仿宋"/>
          <w:b/>
          <w:kern w:val="0"/>
          <w:sz w:val="32"/>
          <w:szCs w:val="32"/>
          <w:lang w:val="en-US" w:eastAsia="zh-CN"/>
        </w:rPr>
      </w:pPr>
      <w:r>
        <w:rPr>
          <w:rFonts w:hint="eastAsia" w:ascii="仿宋" w:hAnsi="仿宋" w:eastAsia="仿宋" w:cs="仿宋"/>
          <w:b/>
          <w:kern w:val="0"/>
          <w:sz w:val="32"/>
          <w:szCs w:val="32"/>
        </w:rPr>
        <w:t>第八条 服务费用</w:t>
      </w:r>
      <w:r>
        <w:rPr>
          <w:rFonts w:hint="eastAsia" w:ascii="仿宋" w:hAnsi="仿宋" w:eastAsia="仿宋" w:cs="仿宋"/>
          <w:b/>
          <w:kern w:val="0"/>
          <w:sz w:val="32"/>
          <w:szCs w:val="32"/>
          <w:lang w:val="en-US" w:eastAsia="zh-CN"/>
        </w:rPr>
        <w:t>计费标准</w:t>
      </w:r>
      <w:r>
        <w:rPr>
          <w:rFonts w:hint="eastAsia" w:ascii="仿宋" w:hAnsi="仿宋" w:eastAsia="仿宋" w:cs="仿宋"/>
          <w:b/>
          <w:kern w:val="0"/>
          <w:sz w:val="32"/>
          <w:szCs w:val="32"/>
        </w:rPr>
        <w:t>及支付</w:t>
      </w:r>
      <w:r>
        <w:rPr>
          <w:rFonts w:hint="eastAsia" w:ascii="仿宋" w:hAnsi="仿宋" w:eastAsia="仿宋" w:cs="仿宋"/>
          <w:b/>
          <w:kern w:val="0"/>
          <w:sz w:val="32"/>
          <w:szCs w:val="32"/>
          <w:lang w:val="en-US" w:eastAsia="zh-CN"/>
        </w:rPr>
        <w:t>条件</w:t>
      </w:r>
    </w:p>
    <w:p w14:paraId="699C9079">
      <w:pPr>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第三方机构计费标准：按如下标准收取服务费</w:t>
      </w:r>
      <w:r>
        <w:rPr>
          <w:rFonts w:hint="eastAsia" w:ascii="仿宋" w:hAnsi="仿宋" w:eastAsia="仿宋" w:cs="仿宋"/>
          <w:sz w:val="32"/>
          <w:szCs w:val="32"/>
        </w:rPr>
        <w:t>。</w:t>
      </w:r>
    </w:p>
    <w:p w14:paraId="127EE721">
      <w:pPr>
        <w:keepNext w:val="0"/>
        <w:keepLines w:val="0"/>
        <w:pageBreakBefore w:val="0"/>
        <w:widowControl/>
        <w:kinsoku/>
        <w:wordWrap/>
        <w:overflowPunct/>
        <w:topLinePunct w:val="0"/>
        <w:autoSpaceDE/>
        <w:autoSpaceDN/>
        <w:bidi w:val="0"/>
        <w:adjustRightInd/>
        <w:snapToGrid/>
        <w:spacing w:line="64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.1计件费用标准上限</w:t>
      </w:r>
    </w:p>
    <w:tbl>
      <w:tblPr>
        <w:tblStyle w:val="16"/>
        <w:tblW w:w="8079" w:type="dxa"/>
        <w:tblInd w:w="534" w:type="dxa"/>
        <w:tblLayout w:type="fixed"/>
        <w:tblCellMar>
          <w:top w:w="0" w:type="dxa"/>
          <w:left w:w="108" w:type="dxa"/>
          <w:bottom w:w="0" w:type="dxa"/>
          <w:right w:w="108" w:type="dxa"/>
        </w:tblCellMar>
      </w:tblPr>
      <w:tblGrid>
        <w:gridCol w:w="1701"/>
        <w:gridCol w:w="2976"/>
        <w:gridCol w:w="3402"/>
      </w:tblGrid>
      <w:tr w14:paraId="4C62F3C3">
        <w:tblPrEx>
          <w:tblCellMar>
            <w:top w:w="0" w:type="dxa"/>
            <w:left w:w="108" w:type="dxa"/>
            <w:bottom w:w="0" w:type="dxa"/>
            <w:right w:w="108" w:type="dxa"/>
          </w:tblCellMar>
        </w:tblPrEx>
        <w:trPr>
          <w:trHeight w:val="799" w:hRule="atLeast"/>
        </w:trPr>
        <w:tc>
          <w:tcPr>
            <w:tcW w:w="1701" w:type="dxa"/>
            <w:tcBorders>
              <w:top w:val="single" w:color="auto" w:sz="8" w:space="0"/>
              <w:left w:val="single" w:color="auto" w:sz="8" w:space="0"/>
              <w:bottom w:val="single" w:color="auto" w:sz="8" w:space="0"/>
              <w:right w:val="single" w:color="auto" w:sz="8" w:space="0"/>
            </w:tcBorders>
            <w:noWrap w:val="0"/>
            <w:vAlign w:val="center"/>
          </w:tcPr>
          <w:p w14:paraId="5D463960">
            <w:pPr>
              <w:keepNext w:val="0"/>
              <w:keepLines w:val="0"/>
              <w:pageBreakBefore w:val="0"/>
              <w:widowControl/>
              <w:kinsoku/>
              <w:wordWrap/>
              <w:overflowPunct/>
              <w:topLinePunct w:val="0"/>
              <w:autoSpaceDE/>
              <w:autoSpaceDN/>
              <w:bidi w:val="0"/>
              <w:adjustRightInd/>
              <w:snapToGrid/>
              <w:spacing w:line="260" w:lineRule="exact"/>
              <w:jc w:val="center"/>
              <w:textAlignment w:val="auto"/>
              <w:rPr>
                <w:b/>
                <w:bCs/>
                <w:color w:val="000000"/>
                <w:kern w:val="0"/>
                <w:sz w:val="24"/>
                <w:szCs w:val="24"/>
              </w:rPr>
            </w:pPr>
            <w:r>
              <w:rPr>
                <w:rFonts w:cs="Calibri"/>
                <w:b/>
                <w:bCs/>
                <w:color w:val="000000"/>
                <w:kern w:val="0"/>
                <w:sz w:val="24"/>
                <w:szCs w:val="24"/>
              </w:rPr>
              <w:t>计费依据</w:t>
            </w:r>
          </w:p>
        </w:tc>
        <w:tc>
          <w:tcPr>
            <w:tcW w:w="2976" w:type="dxa"/>
            <w:tcBorders>
              <w:top w:val="single" w:color="auto" w:sz="8" w:space="0"/>
              <w:left w:val="nil"/>
              <w:bottom w:val="single" w:color="auto" w:sz="8" w:space="0"/>
              <w:right w:val="single" w:color="auto" w:sz="8" w:space="0"/>
            </w:tcBorders>
            <w:noWrap w:val="0"/>
            <w:vAlign w:val="center"/>
          </w:tcPr>
          <w:p w14:paraId="2A011E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cs="宋体"/>
                <w:b/>
                <w:bCs/>
                <w:color w:val="000000"/>
                <w:kern w:val="0"/>
                <w:sz w:val="24"/>
                <w:szCs w:val="24"/>
              </w:rPr>
            </w:pPr>
            <w:r>
              <w:rPr>
                <w:rFonts w:cs="Calibri"/>
                <w:b/>
                <w:bCs/>
                <w:color w:val="000000"/>
                <w:kern w:val="0"/>
                <w:sz w:val="24"/>
                <w:szCs w:val="24"/>
              </w:rPr>
              <w:t>超额累进费率计费（万元）</w:t>
            </w:r>
          </w:p>
        </w:tc>
        <w:tc>
          <w:tcPr>
            <w:tcW w:w="3402" w:type="dxa"/>
            <w:tcBorders>
              <w:top w:val="single" w:color="auto" w:sz="8" w:space="0"/>
              <w:left w:val="nil"/>
              <w:bottom w:val="single" w:color="auto" w:sz="8" w:space="0"/>
              <w:right w:val="single" w:color="auto" w:sz="8" w:space="0"/>
            </w:tcBorders>
            <w:noWrap w:val="0"/>
            <w:vAlign w:val="center"/>
          </w:tcPr>
          <w:p w14:paraId="795D2E92">
            <w:pPr>
              <w:keepNext w:val="0"/>
              <w:keepLines w:val="0"/>
              <w:pageBreakBefore w:val="0"/>
              <w:widowControl/>
              <w:kinsoku/>
              <w:wordWrap/>
              <w:overflowPunct/>
              <w:topLinePunct w:val="0"/>
              <w:autoSpaceDE/>
              <w:autoSpaceDN/>
              <w:bidi w:val="0"/>
              <w:adjustRightInd/>
              <w:snapToGrid/>
              <w:spacing w:line="260" w:lineRule="exact"/>
              <w:jc w:val="center"/>
              <w:textAlignment w:val="auto"/>
              <w:rPr>
                <w:b/>
                <w:bCs/>
                <w:color w:val="000000"/>
                <w:kern w:val="0"/>
                <w:sz w:val="24"/>
                <w:szCs w:val="24"/>
              </w:rPr>
            </w:pPr>
            <w:r>
              <w:rPr>
                <w:rFonts w:cs="Calibri"/>
                <w:b/>
                <w:bCs/>
                <w:color w:val="000000"/>
                <w:kern w:val="0"/>
                <w:sz w:val="24"/>
                <w:szCs w:val="24"/>
              </w:rPr>
              <w:t>最高费率</w:t>
            </w:r>
            <w:r>
              <w:rPr>
                <w:rFonts w:ascii="宋体" w:hAnsi="宋体" w:cs="宋体"/>
                <w:b/>
                <w:color w:val="000000"/>
                <w:kern w:val="0"/>
                <w:sz w:val="24"/>
              </w:rPr>
              <w:t>（‰）</w:t>
            </w:r>
          </w:p>
        </w:tc>
      </w:tr>
      <w:tr w14:paraId="3291BDF3">
        <w:tblPrEx>
          <w:tblCellMar>
            <w:top w:w="0" w:type="dxa"/>
            <w:left w:w="108" w:type="dxa"/>
            <w:bottom w:w="0" w:type="dxa"/>
            <w:right w:w="108" w:type="dxa"/>
          </w:tblCellMar>
        </w:tblPrEx>
        <w:trPr>
          <w:trHeight w:val="498" w:hRule="atLeast"/>
        </w:trPr>
        <w:tc>
          <w:tcPr>
            <w:tcW w:w="1701" w:type="dxa"/>
            <w:vMerge w:val="restart"/>
            <w:tcBorders>
              <w:top w:val="nil"/>
              <w:left w:val="single" w:color="auto" w:sz="8" w:space="0"/>
              <w:bottom w:val="single" w:color="auto" w:sz="8" w:space="0"/>
              <w:right w:val="single" w:color="auto" w:sz="8" w:space="0"/>
            </w:tcBorders>
            <w:noWrap w:val="0"/>
            <w:vAlign w:val="center"/>
          </w:tcPr>
          <w:p w14:paraId="71552678">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kern w:val="0"/>
                <w:sz w:val="24"/>
                <w:szCs w:val="24"/>
              </w:rPr>
            </w:pPr>
            <w:r>
              <w:rPr>
                <w:rFonts w:cs="Calibri"/>
                <w:color w:val="000000"/>
                <w:kern w:val="0"/>
                <w:sz w:val="24"/>
                <w:szCs w:val="24"/>
              </w:rPr>
              <w:t>绩效评价对象的资金规模</w:t>
            </w:r>
          </w:p>
        </w:tc>
        <w:tc>
          <w:tcPr>
            <w:tcW w:w="2976" w:type="dxa"/>
            <w:tcBorders>
              <w:top w:val="nil"/>
              <w:left w:val="nil"/>
              <w:bottom w:val="single" w:color="auto" w:sz="8" w:space="0"/>
              <w:right w:val="single" w:color="auto" w:sz="8" w:space="0"/>
            </w:tcBorders>
            <w:noWrap w:val="0"/>
            <w:vAlign w:val="center"/>
          </w:tcPr>
          <w:p w14:paraId="74FC10FB">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kern w:val="0"/>
                <w:sz w:val="24"/>
                <w:szCs w:val="24"/>
              </w:rPr>
            </w:pPr>
            <w:r>
              <w:rPr>
                <w:color w:val="000000"/>
                <w:kern w:val="0"/>
                <w:sz w:val="24"/>
                <w:szCs w:val="24"/>
              </w:rPr>
              <w:t>X</w:t>
            </w:r>
            <w:r>
              <w:rPr>
                <w:rFonts w:cs="Calibri"/>
                <w:color w:val="000000"/>
                <w:kern w:val="0"/>
                <w:sz w:val="24"/>
                <w:szCs w:val="24"/>
              </w:rPr>
              <w:t>≤</w:t>
            </w:r>
            <w:r>
              <w:rPr>
                <w:color w:val="000000"/>
                <w:kern w:val="0"/>
                <w:sz w:val="24"/>
                <w:szCs w:val="24"/>
              </w:rPr>
              <w:t>500</w:t>
            </w:r>
          </w:p>
        </w:tc>
        <w:tc>
          <w:tcPr>
            <w:tcW w:w="3402" w:type="dxa"/>
            <w:tcBorders>
              <w:top w:val="nil"/>
              <w:left w:val="nil"/>
              <w:bottom w:val="single" w:color="auto" w:sz="8" w:space="0"/>
              <w:right w:val="single" w:color="auto" w:sz="8" w:space="0"/>
            </w:tcBorders>
            <w:noWrap/>
            <w:vAlign w:val="center"/>
          </w:tcPr>
          <w:p w14:paraId="01E42D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kern w:val="0"/>
                <w:sz w:val="24"/>
                <w:szCs w:val="24"/>
              </w:rPr>
            </w:pPr>
            <w:r>
              <w:rPr>
                <w:kern w:val="0"/>
                <w:sz w:val="24"/>
                <w:szCs w:val="24"/>
              </w:rPr>
              <w:t>3.78</w:t>
            </w:r>
          </w:p>
        </w:tc>
      </w:tr>
      <w:tr w14:paraId="34D357DB">
        <w:tblPrEx>
          <w:tblCellMar>
            <w:top w:w="0" w:type="dxa"/>
            <w:left w:w="108" w:type="dxa"/>
            <w:bottom w:w="0" w:type="dxa"/>
            <w:right w:w="108" w:type="dxa"/>
          </w:tblCellMar>
        </w:tblPrEx>
        <w:trPr>
          <w:trHeight w:val="5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295E2B9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2CE7B35C">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kern w:val="0"/>
                <w:sz w:val="24"/>
                <w:szCs w:val="24"/>
              </w:rPr>
            </w:pPr>
            <w:r>
              <w:rPr>
                <w:color w:val="000000"/>
                <w:kern w:val="0"/>
                <w:sz w:val="24"/>
                <w:szCs w:val="24"/>
              </w:rPr>
              <w:t>500</w:t>
            </w:r>
            <w:r>
              <w:rPr>
                <w:rFonts w:cs="Calibri"/>
                <w:color w:val="000000"/>
                <w:kern w:val="0"/>
                <w:sz w:val="24"/>
                <w:szCs w:val="24"/>
              </w:rPr>
              <w:t>＜</w:t>
            </w:r>
            <w:r>
              <w:rPr>
                <w:color w:val="000000"/>
                <w:kern w:val="0"/>
                <w:sz w:val="24"/>
                <w:szCs w:val="24"/>
              </w:rPr>
              <w:t>X</w:t>
            </w:r>
            <w:r>
              <w:rPr>
                <w:rFonts w:cs="Calibri"/>
                <w:color w:val="000000"/>
                <w:kern w:val="0"/>
                <w:sz w:val="24"/>
                <w:szCs w:val="24"/>
              </w:rPr>
              <w:t>≤</w:t>
            </w:r>
            <w:r>
              <w:rPr>
                <w:color w:val="000000"/>
                <w:kern w:val="0"/>
                <w:sz w:val="24"/>
                <w:szCs w:val="24"/>
              </w:rPr>
              <w:t>2000</w:t>
            </w:r>
          </w:p>
        </w:tc>
        <w:tc>
          <w:tcPr>
            <w:tcW w:w="3402" w:type="dxa"/>
            <w:tcBorders>
              <w:top w:val="nil"/>
              <w:left w:val="nil"/>
              <w:bottom w:val="single" w:color="auto" w:sz="8" w:space="0"/>
              <w:right w:val="single" w:color="auto" w:sz="8" w:space="0"/>
            </w:tcBorders>
            <w:noWrap/>
            <w:vAlign w:val="center"/>
          </w:tcPr>
          <w:p w14:paraId="38EE7F7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kern w:val="0"/>
                <w:sz w:val="24"/>
                <w:szCs w:val="24"/>
              </w:rPr>
            </w:pPr>
            <w:r>
              <w:rPr>
                <w:kern w:val="0"/>
                <w:sz w:val="24"/>
                <w:szCs w:val="24"/>
              </w:rPr>
              <w:t>0.96</w:t>
            </w:r>
          </w:p>
        </w:tc>
      </w:tr>
      <w:tr w14:paraId="3035FD58">
        <w:tblPrEx>
          <w:tblCellMar>
            <w:top w:w="0" w:type="dxa"/>
            <w:left w:w="108" w:type="dxa"/>
            <w:bottom w:w="0" w:type="dxa"/>
            <w:right w:w="108" w:type="dxa"/>
          </w:tblCellMar>
        </w:tblPrEx>
        <w:trPr>
          <w:trHeight w:val="4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1008429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586C3DD2">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kern w:val="0"/>
                <w:sz w:val="24"/>
                <w:szCs w:val="24"/>
              </w:rPr>
            </w:pPr>
            <w:r>
              <w:rPr>
                <w:color w:val="000000"/>
                <w:kern w:val="0"/>
                <w:sz w:val="24"/>
                <w:szCs w:val="24"/>
              </w:rPr>
              <w:t>2000</w:t>
            </w:r>
            <w:r>
              <w:rPr>
                <w:rFonts w:cs="Calibri"/>
                <w:color w:val="000000"/>
                <w:kern w:val="0"/>
                <w:sz w:val="24"/>
                <w:szCs w:val="24"/>
              </w:rPr>
              <w:t>＜</w:t>
            </w:r>
            <w:r>
              <w:rPr>
                <w:color w:val="000000"/>
                <w:kern w:val="0"/>
                <w:sz w:val="24"/>
                <w:szCs w:val="24"/>
              </w:rPr>
              <w:t>X</w:t>
            </w:r>
            <w:r>
              <w:rPr>
                <w:rFonts w:cs="Calibri"/>
                <w:color w:val="000000"/>
                <w:kern w:val="0"/>
                <w:sz w:val="24"/>
                <w:szCs w:val="24"/>
              </w:rPr>
              <w:t>≤</w:t>
            </w:r>
            <w:r>
              <w:rPr>
                <w:color w:val="000000"/>
                <w:kern w:val="0"/>
                <w:sz w:val="24"/>
                <w:szCs w:val="24"/>
              </w:rPr>
              <w:t>5000</w:t>
            </w:r>
          </w:p>
        </w:tc>
        <w:tc>
          <w:tcPr>
            <w:tcW w:w="3402" w:type="dxa"/>
            <w:tcBorders>
              <w:top w:val="nil"/>
              <w:left w:val="nil"/>
              <w:bottom w:val="single" w:color="auto" w:sz="8" w:space="0"/>
              <w:right w:val="single" w:color="auto" w:sz="8" w:space="0"/>
            </w:tcBorders>
            <w:noWrap/>
            <w:vAlign w:val="center"/>
          </w:tcPr>
          <w:p w14:paraId="2447874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kern w:val="0"/>
                <w:sz w:val="24"/>
                <w:szCs w:val="24"/>
              </w:rPr>
            </w:pPr>
            <w:r>
              <w:rPr>
                <w:kern w:val="0"/>
                <w:sz w:val="24"/>
                <w:szCs w:val="24"/>
              </w:rPr>
              <w:t>0.36</w:t>
            </w:r>
          </w:p>
        </w:tc>
      </w:tr>
      <w:tr w14:paraId="4C95081C">
        <w:tblPrEx>
          <w:tblCellMar>
            <w:top w:w="0" w:type="dxa"/>
            <w:left w:w="108" w:type="dxa"/>
            <w:bottom w:w="0" w:type="dxa"/>
            <w:right w:w="108" w:type="dxa"/>
          </w:tblCellMar>
        </w:tblPrEx>
        <w:trPr>
          <w:trHeight w:val="547"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234FCAB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16698A75">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kern w:val="0"/>
                <w:sz w:val="24"/>
                <w:szCs w:val="24"/>
              </w:rPr>
            </w:pPr>
            <w:r>
              <w:rPr>
                <w:color w:val="000000"/>
                <w:kern w:val="0"/>
                <w:sz w:val="24"/>
                <w:szCs w:val="24"/>
              </w:rPr>
              <w:t>5000</w:t>
            </w:r>
            <w:r>
              <w:rPr>
                <w:rFonts w:cs="Calibri"/>
                <w:color w:val="000000"/>
                <w:kern w:val="0"/>
                <w:sz w:val="24"/>
                <w:szCs w:val="24"/>
              </w:rPr>
              <w:t>＜</w:t>
            </w:r>
            <w:r>
              <w:rPr>
                <w:color w:val="000000"/>
                <w:kern w:val="0"/>
                <w:sz w:val="24"/>
                <w:szCs w:val="24"/>
              </w:rPr>
              <w:t>X</w:t>
            </w:r>
            <w:r>
              <w:rPr>
                <w:rFonts w:cs="Calibri"/>
                <w:color w:val="000000"/>
                <w:kern w:val="0"/>
                <w:sz w:val="24"/>
                <w:szCs w:val="24"/>
              </w:rPr>
              <w:t>≤</w:t>
            </w:r>
            <w:r>
              <w:rPr>
                <w:color w:val="000000"/>
                <w:kern w:val="0"/>
                <w:sz w:val="24"/>
                <w:szCs w:val="24"/>
              </w:rPr>
              <w:t>10000</w:t>
            </w:r>
          </w:p>
        </w:tc>
        <w:tc>
          <w:tcPr>
            <w:tcW w:w="3402" w:type="dxa"/>
            <w:tcBorders>
              <w:top w:val="nil"/>
              <w:left w:val="nil"/>
              <w:bottom w:val="single" w:color="auto" w:sz="8" w:space="0"/>
              <w:right w:val="single" w:color="auto" w:sz="8" w:space="0"/>
            </w:tcBorders>
            <w:noWrap/>
            <w:vAlign w:val="center"/>
          </w:tcPr>
          <w:p w14:paraId="6FD5A6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kern w:val="0"/>
                <w:sz w:val="24"/>
                <w:szCs w:val="24"/>
              </w:rPr>
            </w:pPr>
            <w:r>
              <w:rPr>
                <w:kern w:val="0"/>
                <w:sz w:val="24"/>
                <w:szCs w:val="24"/>
              </w:rPr>
              <w:t>0.198</w:t>
            </w:r>
          </w:p>
        </w:tc>
      </w:tr>
      <w:tr w14:paraId="2147073C">
        <w:tblPrEx>
          <w:tblCellMar>
            <w:top w:w="0" w:type="dxa"/>
            <w:left w:w="108" w:type="dxa"/>
            <w:bottom w:w="0" w:type="dxa"/>
            <w:right w:w="108" w:type="dxa"/>
          </w:tblCellMar>
        </w:tblPrEx>
        <w:trPr>
          <w:trHeight w:val="6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573448B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1C3531B1">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kern w:val="0"/>
                <w:sz w:val="24"/>
                <w:szCs w:val="24"/>
              </w:rPr>
            </w:pPr>
            <w:r>
              <w:rPr>
                <w:color w:val="000000"/>
                <w:kern w:val="0"/>
                <w:sz w:val="24"/>
                <w:szCs w:val="24"/>
              </w:rPr>
              <w:t>10000</w:t>
            </w:r>
            <w:r>
              <w:rPr>
                <w:rFonts w:cs="Calibri"/>
                <w:color w:val="000000"/>
                <w:kern w:val="0"/>
                <w:sz w:val="24"/>
                <w:szCs w:val="24"/>
              </w:rPr>
              <w:t>＜</w:t>
            </w:r>
            <w:r>
              <w:rPr>
                <w:color w:val="000000"/>
                <w:kern w:val="0"/>
                <w:sz w:val="24"/>
                <w:szCs w:val="24"/>
              </w:rPr>
              <w:t>X</w:t>
            </w:r>
            <w:r>
              <w:rPr>
                <w:rFonts w:cs="Calibri"/>
                <w:color w:val="000000"/>
                <w:kern w:val="0"/>
                <w:sz w:val="24"/>
                <w:szCs w:val="24"/>
              </w:rPr>
              <w:t>≤</w:t>
            </w:r>
            <w:r>
              <w:rPr>
                <w:color w:val="000000"/>
                <w:kern w:val="0"/>
                <w:sz w:val="24"/>
                <w:szCs w:val="24"/>
              </w:rPr>
              <w:t>50000</w:t>
            </w:r>
          </w:p>
        </w:tc>
        <w:tc>
          <w:tcPr>
            <w:tcW w:w="3402" w:type="dxa"/>
            <w:tcBorders>
              <w:top w:val="nil"/>
              <w:left w:val="nil"/>
              <w:bottom w:val="single" w:color="auto" w:sz="8" w:space="0"/>
              <w:right w:val="single" w:color="auto" w:sz="8" w:space="0"/>
            </w:tcBorders>
            <w:noWrap/>
            <w:vAlign w:val="center"/>
          </w:tcPr>
          <w:p w14:paraId="2116D82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kern w:val="0"/>
                <w:sz w:val="24"/>
                <w:szCs w:val="24"/>
              </w:rPr>
            </w:pPr>
            <w:r>
              <w:rPr>
                <w:kern w:val="0"/>
                <w:sz w:val="24"/>
                <w:szCs w:val="24"/>
              </w:rPr>
              <w:t>0.03</w:t>
            </w:r>
          </w:p>
        </w:tc>
      </w:tr>
      <w:tr w14:paraId="58064ED3">
        <w:tblPrEx>
          <w:tblCellMar>
            <w:top w:w="0" w:type="dxa"/>
            <w:left w:w="108" w:type="dxa"/>
            <w:bottom w:w="0" w:type="dxa"/>
            <w:right w:w="108" w:type="dxa"/>
          </w:tblCellMar>
        </w:tblPrEx>
        <w:trPr>
          <w:trHeight w:val="6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13DC014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1FE20530">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kern w:val="0"/>
                <w:sz w:val="24"/>
                <w:szCs w:val="24"/>
              </w:rPr>
            </w:pPr>
            <w:r>
              <w:rPr>
                <w:color w:val="000000"/>
                <w:kern w:val="0"/>
                <w:sz w:val="24"/>
                <w:szCs w:val="24"/>
              </w:rPr>
              <w:t>50000</w:t>
            </w:r>
            <w:r>
              <w:rPr>
                <w:rFonts w:cs="Calibri"/>
                <w:color w:val="000000"/>
                <w:kern w:val="0"/>
                <w:sz w:val="24"/>
                <w:szCs w:val="24"/>
              </w:rPr>
              <w:t>＜</w:t>
            </w:r>
            <w:r>
              <w:rPr>
                <w:color w:val="000000"/>
                <w:kern w:val="0"/>
                <w:sz w:val="24"/>
                <w:szCs w:val="24"/>
              </w:rPr>
              <w:t>X</w:t>
            </w:r>
            <w:r>
              <w:rPr>
                <w:rFonts w:cs="Calibri"/>
                <w:color w:val="000000"/>
                <w:kern w:val="0"/>
                <w:sz w:val="24"/>
                <w:szCs w:val="24"/>
              </w:rPr>
              <w:t>≤</w:t>
            </w:r>
            <w:r>
              <w:rPr>
                <w:color w:val="000000"/>
                <w:kern w:val="0"/>
                <w:sz w:val="24"/>
                <w:szCs w:val="24"/>
              </w:rPr>
              <w:t>100000</w:t>
            </w:r>
          </w:p>
        </w:tc>
        <w:tc>
          <w:tcPr>
            <w:tcW w:w="3402" w:type="dxa"/>
            <w:tcBorders>
              <w:top w:val="nil"/>
              <w:left w:val="nil"/>
              <w:bottom w:val="single" w:color="auto" w:sz="8" w:space="0"/>
              <w:right w:val="single" w:color="auto" w:sz="8" w:space="0"/>
            </w:tcBorders>
            <w:noWrap/>
            <w:vAlign w:val="center"/>
          </w:tcPr>
          <w:p w14:paraId="165F6AC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kern w:val="0"/>
                <w:sz w:val="24"/>
                <w:szCs w:val="24"/>
              </w:rPr>
            </w:pPr>
            <w:r>
              <w:rPr>
                <w:kern w:val="0"/>
                <w:sz w:val="24"/>
                <w:szCs w:val="24"/>
              </w:rPr>
              <w:t>0.012</w:t>
            </w:r>
          </w:p>
        </w:tc>
      </w:tr>
      <w:tr w14:paraId="662962BD">
        <w:tblPrEx>
          <w:tblCellMar>
            <w:top w:w="0" w:type="dxa"/>
            <w:left w:w="108" w:type="dxa"/>
            <w:bottom w:w="0" w:type="dxa"/>
            <w:right w:w="108" w:type="dxa"/>
          </w:tblCellMar>
        </w:tblPrEx>
        <w:trPr>
          <w:trHeight w:val="660" w:hRule="atLeast"/>
        </w:trPr>
        <w:tc>
          <w:tcPr>
            <w:tcW w:w="1701" w:type="dxa"/>
            <w:vMerge w:val="continue"/>
            <w:tcBorders>
              <w:top w:val="nil"/>
              <w:left w:val="single" w:color="auto" w:sz="8" w:space="0"/>
              <w:bottom w:val="single" w:color="auto" w:sz="8" w:space="0"/>
              <w:right w:val="single" w:color="auto" w:sz="8" w:space="0"/>
            </w:tcBorders>
            <w:noWrap w:val="0"/>
            <w:vAlign w:val="center"/>
          </w:tcPr>
          <w:p w14:paraId="1FD0EF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ascii="宋体" w:hAnsi="宋体" w:cs="宋体"/>
                <w:color w:val="000000"/>
                <w:kern w:val="0"/>
                <w:sz w:val="24"/>
                <w:szCs w:val="24"/>
              </w:rPr>
            </w:pPr>
          </w:p>
        </w:tc>
        <w:tc>
          <w:tcPr>
            <w:tcW w:w="2976" w:type="dxa"/>
            <w:tcBorders>
              <w:top w:val="nil"/>
              <w:left w:val="nil"/>
              <w:bottom w:val="single" w:color="auto" w:sz="8" w:space="0"/>
              <w:right w:val="single" w:color="auto" w:sz="8" w:space="0"/>
            </w:tcBorders>
            <w:noWrap w:val="0"/>
            <w:vAlign w:val="center"/>
          </w:tcPr>
          <w:p w14:paraId="64124D49">
            <w:pPr>
              <w:keepNext w:val="0"/>
              <w:keepLines w:val="0"/>
              <w:pageBreakBefore w:val="0"/>
              <w:widowControl/>
              <w:kinsoku/>
              <w:wordWrap/>
              <w:overflowPunct/>
              <w:topLinePunct w:val="0"/>
              <w:autoSpaceDE/>
              <w:autoSpaceDN/>
              <w:bidi w:val="0"/>
              <w:adjustRightInd/>
              <w:snapToGrid/>
              <w:spacing w:line="260" w:lineRule="exact"/>
              <w:jc w:val="center"/>
              <w:textAlignment w:val="auto"/>
              <w:rPr>
                <w:color w:val="000000"/>
                <w:kern w:val="0"/>
                <w:sz w:val="24"/>
                <w:szCs w:val="24"/>
              </w:rPr>
            </w:pPr>
            <w:r>
              <w:rPr>
                <w:color w:val="000000"/>
                <w:kern w:val="0"/>
                <w:sz w:val="24"/>
                <w:szCs w:val="24"/>
              </w:rPr>
              <w:t>X</w:t>
            </w:r>
            <w:r>
              <w:rPr>
                <w:rFonts w:cs="Calibri"/>
                <w:color w:val="000000"/>
                <w:kern w:val="0"/>
                <w:sz w:val="24"/>
                <w:szCs w:val="24"/>
              </w:rPr>
              <w:t>＞</w:t>
            </w:r>
            <w:r>
              <w:rPr>
                <w:color w:val="000000"/>
                <w:kern w:val="0"/>
                <w:sz w:val="24"/>
                <w:szCs w:val="24"/>
              </w:rPr>
              <w:t>100000</w:t>
            </w:r>
          </w:p>
        </w:tc>
        <w:tc>
          <w:tcPr>
            <w:tcW w:w="3402" w:type="dxa"/>
            <w:tcBorders>
              <w:top w:val="nil"/>
              <w:left w:val="nil"/>
              <w:bottom w:val="single" w:color="auto" w:sz="8" w:space="0"/>
              <w:right w:val="single" w:color="auto" w:sz="8" w:space="0"/>
            </w:tcBorders>
            <w:noWrap/>
            <w:vAlign w:val="center"/>
          </w:tcPr>
          <w:p w14:paraId="72AD3E0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eastAsia="宋体"/>
                <w:kern w:val="0"/>
                <w:sz w:val="24"/>
                <w:szCs w:val="24"/>
              </w:rPr>
            </w:pPr>
            <w:r>
              <w:rPr>
                <w:kern w:val="0"/>
                <w:sz w:val="24"/>
                <w:szCs w:val="24"/>
              </w:rPr>
              <w:t>0.006</w:t>
            </w:r>
          </w:p>
        </w:tc>
      </w:tr>
    </w:tbl>
    <w:p w14:paraId="211364F0">
      <w:pPr>
        <w:keepNext w:val="0"/>
        <w:keepLines w:val="0"/>
        <w:pageBreakBefore w:val="0"/>
        <w:widowControl/>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.2计时费用标准上限</w:t>
      </w:r>
    </w:p>
    <w:tbl>
      <w:tblPr>
        <w:tblStyle w:val="16"/>
        <w:tblW w:w="82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3685"/>
        <w:gridCol w:w="3515"/>
      </w:tblGrid>
      <w:tr w14:paraId="66DE3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2BD89D04">
            <w:pPr>
              <w:widowControl/>
              <w:spacing w:line="560" w:lineRule="exact"/>
              <w:jc w:val="center"/>
              <w:rPr>
                <w:b/>
                <w:bCs/>
                <w:color w:val="000000"/>
                <w:kern w:val="0"/>
                <w:sz w:val="24"/>
                <w:szCs w:val="24"/>
              </w:rPr>
            </w:pPr>
            <w:r>
              <w:rPr>
                <w:rFonts w:cs="Calibri"/>
                <w:b/>
                <w:bCs/>
                <w:color w:val="000000"/>
                <w:kern w:val="0"/>
                <w:sz w:val="24"/>
                <w:szCs w:val="24"/>
              </w:rPr>
              <w:t>序号</w:t>
            </w:r>
          </w:p>
        </w:tc>
        <w:tc>
          <w:tcPr>
            <w:tcW w:w="3685" w:type="dxa"/>
            <w:tcBorders>
              <w:top w:val="single" w:color="auto" w:sz="4" w:space="0"/>
              <w:left w:val="nil"/>
              <w:bottom w:val="single" w:color="auto" w:sz="4" w:space="0"/>
              <w:right w:val="single" w:color="auto" w:sz="4" w:space="0"/>
            </w:tcBorders>
            <w:noWrap w:val="0"/>
            <w:vAlign w:val="center"/>
          </w:tcPr>
          <w:p w14:paraId="2E26A584">
            <w:pPr>
              <w:widowControl/>
              <w:spacing w:line="560" w:lineRule="exact"/>
              <w:jc w:val="center"/>
              <w:rPr>
                <w:b/>
                <w:bCs/>
                <w:color w:val="000000"/>
                <w:kern w:val="0"/>
                <w:sz w:val="24"/>
                <w:szCs w:val="24"/>
              </w:rPr>
            </w:pPr>
            <w:r>
              <w:rPr>
                <w:rFonts w:cs="Calibri"/>
                <w:b/>
                <w:bCs/>
                <w:color w:val="000000"/>
                <w:kern w:val="0"/>
                <w:sz w:val="24"/>
                <w:szCs w:val="24"/>
              </w:rPr>
              <w:t>人员类别</w:t>
            </w:r>
          </w:p>
        </w:tc>
        <w:tc>
          <w:tcPr>
            <w:tcW w:w="3515" w:type="dxa"/>
            <w:tcBorders>
              <w:top w:val="single" w:color="auto" w:sz="4" w:space="0"/>
              <w:left w:val="nil"/>
              <w:bottom w:val="single" w:color="auto" w:sz="4" w:space="0"/>
              <w:right w:val="single" w:color="auto" w:sz="4" w:space="0"/>
            </w:tcBorders>
            <w:noWrap w:val="0"/>
            <w:vAlign w:val="center"/>
          </w:tcPr>
          <w:p w14:paraId="2A268204">
            <w:pPr>
              <w:widowControl/>
              <w:spacing w:line="560" w:lineRule="exact"/>
              <w:jc w:val="center"/>
              <w:rPr>
                <w:b/>
                <w:bCs/>
                <w:color w:val="000000"/>
                <w:kern w:val="0"/>
                <w:sz w:val="24"/>
                <w:szCs w:val="24"/>
              </w:rPr>
            </w:pPr>
            <w:r>
              <w:rPr>
                <w:rFonts w:cs="Calibri"/>
                <w:b/>
                <w:bCs/>
                <w:color w:val="000000"/>
                <w:kern w:val="0"/>
                <w:sz w:val="24"/>
                <w:szCs w:val="24"/>
              </w:rPr>
              <w:t>最高收费限额（元</w:t>
            </w:r>
            <w:r>
              <w:rPr>
                <w:b/>
                <w:bCs/>
                <w:color w:val="000000"/>
                <w:kern w:val="0"/>
                <w:sz w:val="24"/>
                <w:szCs w:val="24"/>
              </w:rPr>
              <w:t>/</w:t>
            </w:r>
            <w:r>
              <w:rPr>
                <w:rFonts w:cs="Calibri"/>
                <w:b/>
                <w:bCs/>
                <w:color w:val="000000"/>
                <w:kern w:val="0"/>
                <w:sz w:val="24"/>
                <w:szCs w:val="24"/>
              </w:rPr>
              <w:t>天）</w:t>
            </w:r>
          </w:p>
        </w:tc>
      </w:tr>
      <w:tr w14:paraId="2A158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42EC7BB2">
            <w:pPr>
              <w:widowControl/>
              <w:spacing w:line="560" w:lineRule="exact"/>
              <w:jc w:val="center"/>
              <w:rPr>
                <w:color w:val="000000"/>
                <w:kern w:val="0"/>
                <w:sz w:val="24"/>
                <w:szCs w:val="24"/>
              </w:rPr>
            </w:pPr>
            <w:r>
              <w:rPr>
                <w:color w:val="000000"/>
                <w:kern w:val="0"/>
                <w:sz w:val="24"/>
                <w:szCs w:val="24"/>
              </w:rPr>
              <w:t>1</w:t>
            </w:r>
          </w:p>
        </w:tc>
        <w:tc>
          <w:tcPr>
            <w:tcW w:w="3685" w:type="dxa"/>
            <w:tcBorders>
              <w:top w:val="single" w:color="auto" w:sz="4" w:space="0"/>
              <w:left w:val="nil"/>
              <w:bottom w:val="single" w:color="auto" w:sz="4" w:space="0"/>
              <w:right w:val="single" w:color="auto" w:sz="4" w:space="0"/>
            </w:tcBorders>
            <w:noWrap w:val="0"/>
            <w:vAlign w:val="center"/>
          </w:tcPr>
          <w:p w14:paraId="563A54FA">
            <w:pPr>
              <w:widowControl/>
              <w:spacing w:line="560" w:lineRule="exact"/>
              <w:jc w:val="center"/>
              <w:rPr>
                <w:color w:val="000000"/>
                <w:kern w:val="0"/>
                <w:sz w:val="24"/>
                <w:szCs w:val="24"/>
              </w:rPr>
            </w:pPr>
            <w:r>
              <w:rPr>
                <w:rFonts w:cs="Calibri"/>
                <w:color w:val="000000"/>
                <w:kern w:val="0"/>
                <w:sz w:val="24"/>
                <w:szCs w:val="24"/>
              </w:rPr>
              <w:t>副高级及以上技术职称专业人员</w:t>
            </w:r>
          </w:p>
        </w:tc>
        <w:tc>
          <w:tcPr>
            <w:tcW w:w="3515" w:type="dxa"/>
            <w:tcBorders>
              <w:top w:val="single" w:color="auto" w:sz="4" w:space="0"/>
              <w:left w:val="nil"/>
              <w:bottom w:val="single" w:color="auto" w:sz="4" w:space="0"/>
              <w:right w:val="single" w:color="auto" w:sz="4" w:space="0"/>
            </w:tcBorders>
            <w:noWrap w:val="0"/>
            <w:vAlign w:val="center"/>
          </w:tcPr>
          <w:p w14:paraId="09977E02">
            <w:pPr>
              <w:widowControl/>
              <w:spacing w:line="560" w:lineRule="exact"/>
              <w:jc w:val="center"/>
              <w:rPr>
                <w:color w:val="000000"/>
                <w:kern w:val="0"/>
                <w:sz w:val="24"/>
                <w:szCs w:val="24"/>
              </w:rPr>
            </w:pPr>
            <w:r>
              <w:rPr>
                <w:color w:val="000000"/>
                <w:kern w:val="0"/>
                <w:sz w:val="24"/>
                <w:szCs w:val="24"/>
              </w:rPr>
              <w:t>500</w:t>
            </w:r>
          </w:p>
        </w:tc>
      </w:tr>
      <w:tr w14:paraId="18A1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21528B11">
            <w:pPr>
              <w:widowControl/>
              <w:spacing w:line="560" w:lineRule="exact"/>
              <w:jc w:val="center"/>
              <w:rPr>
                <w:color w:val="000000"/>
                <w:kern w:val="0"/>
                <w:sz w:val="24"/>
                <w:szCs w:val="24"/>
              </w:rPr>
            </w:pPr>
            <w:r>
              <w:rPr>
                <w:color w:val="000000"/>
                <w:kern w:val="0"/>
                <w:sz w:val="24"/>
                <w:szCs w:val="24"/>
              </w:rPr>
              <w:t>2</w:t>
            </w:r>
          </w:p>
        </w:tc>
        <w:tc>
          <w:tcPr>
            <w:tcW w:w="3685" w:type="dxa"/>
            <w:tcBorders>
              <w:top w:val="single" w:color="auto" w:sz="4" w:space="0"/>
              <w:left w:val="nil"/>
              <w:bottom w:val="single" w:color="auto" w:sz="4" w:space="0"/>
              <w:right w:val="single" w:color="auto" w:sz="4" w:space="0"/>
            </w:tcBorders>
            <w:noWrap w:val="0"/>
            <w:vAlign w:val="center"/>
          </w:tcPr>
          <w:p w14:paraId="4AFD9A2E">
            <w:pPr>
              <w:widowControl/>
              <w:spacing w:line="560" w:lineRule="exact"/>
              <w:jc w:val="center"/>
              <w:rPr>
                <w:color w:val="000000"/>
                <w:kern w:val="0"/>
                <w:sz w:val="24"/>
                <w:szCs w:val="24"/>
              </w:rPr>
            </w:pPr>
            <w:r>
              <w:rPr>
                <w:rFonts w:cs="Calibri"/>
                <w:color w:val="000000"/>
                <w:kern w:val="0"/>
                <w:sz w:val="24"/>
                <w:szCs w:val="24"/>
              </w:rPr>
              <w:t>中级以上技术职称专业人员</w:t>
            </w:r>
          </w:p>
        </w:tc>
        <w:tc>
          <w:tcPr>
            <w:tcW w:w="3515" w:type="dxa"/>
            <w:tcBorders>
              <w:top w:val="single" w:color="auto" w:sz="4" w:space="0"/>
              <w:left w:val="nil"/>
              <w:bottom w:val="single" w:color="auto" w:sz="4" w:space="0"/>
              <w:right w:val="single" w:color="auto" w:sz="4" w:space="0"/>
            </w:tcBorders>
            <w:noWrap w:val="0"/>
            <w:vAlign w:val="center"/>
          </w:tcPr>
          <w:p w14:paraId="5C0D6A26">
            <w:pPr>
              <w:widowControl/>
              <w:spacing w:line="560" w:lineRule="exact"/>
              <w:jc w:val="center"/>
              <w:rPr>
                <w:color w:val="000000"/>
                <w:kern w:val="0"/>
                <w:sz w:val="24"/>
                <w:szCs w:val="24"/>
              </w:rPr>
            </w:pPr>
            <w:r>
              <w:rPr>
                <w:color w:val="000000"/>
                <w:kern w:val="0"/>
                <w:sz w:val="24"/>
                <w:szCs w:val="24"/>
              </w:rPr>
              <w:t>300</w:t>
            </w:r>
          </w:p>
        </w:tc>
      </w:tr>
      <w:tr w14:paraId="51C2B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jc w:val="center"/>
        </w:trPr>
        <w:tc>
          <w:tcPr>
            <w:tcW w:w="1011" w:type="dxa"/>
            <w:tcBorders>
              <w:top w:val="single" w:color="auto" w:sz="4" w:space="0"/>
              <w:left w:val="single" w:color="auto" w:sz="4" w:space="0"/>
              <w:bottom w:val="single" w:color="auto" w:sz="4" w:space="0"/>
              <w:right w:val="single" w:color="auto" w:sz="4" w:space="0"/>
            </w:tcBorders>
            <w:noWrap w:val="0"/>
            <w:vAlign w:val="center"/>
          </w:tcPr>
          <w:p w14:paraId="15391182">
            <w:pPr>
              <w:widowControl/>
              <w:spacing w:line="560" w:lineRule="exact"/>
              <w:jc w:val="center"/>
              <w:rPr>
                <w:color w:val="000000"/>
                <w:kern w:val="0"/>
                <w:sz w:val="24"/>
                <w:szCs w:val="24"/>
              </w:rPr>
            </w:pPr>
            <w:r>
              <w:rPr>
                <w:color w:val="000000"/>
                <w:kern w:val="0"/>
                <w:sz w:val="24"/>
                <w:szCs w:val="24"/>
              </w:rPr>
              <w:t>3</w:t>
            </w:r>
          </w:p>
        </w:tc>
        <w:tc>
          <w:tcPr>
            <w:tcW w:w="3685" w:type="dxa"/>
            <w:tcBorders>
              <w:top w:val="single" w:color="auto" w:sz="4" w:space="0"/>
              <w:left w:val="nil"/>
              <w:bottom w:val="single" w:color="auto" w:sz="4" w:space="0"/>
              <w:right w:val="single" w:color="auto" w:sz="4" w:space="0"/>
            </w:tcBorders>
            <w:noWrap w:val="0"/>
            <w:vAlign w:val="center"/>
          </w:tcPr>
          <w:p w14:paraId="16236DFD">
            <w:pPr>
              <w:widowControl/>
              <w:spacing w:line="560" w:lineRule="exact"/>
              <w:jc w:val="center"/>
              <w:rPr>
                <w:color w:val="000000"/>
                <w:kern w:val="0"/>
                <w:sz w:val="24"/>
                <w:szCs w:val="24"/>
              </w:rPr>
            </w:pPr>
            <w:r>
              <w:rPr>
                <w:rFonts w:cs="Calibri"/>
                <w:color w:val="000000"/>
                <w:kern w:val="0"/>
                <w:sz w:val="24"/>
                <w:szCs w:val="24"/>
              </w:rPr>
              <w:t>助理人员</w:t>
            </w:r>
          </w:p>
        </w:tc>
        <w:tc>
          <w:tcPr>
            <w:tcW w:w="3515" w:type="dxa"/>
            <w:tcBorders>
              <w:top w:val="single" w:color="auto" w:sz="4" w:space="0"/>
              <w:left w:val="nil"/>
              <w:bottom w:val="single" w:color="auto" w:sz="4" w:space="0"/>
              <w:right w:val="single" w:color="auto" w:sz="4" w:space="0"/>
            </w:tcBorders>
            <w:noWrap w:val="0"/>
            <w:vAlign w:val="center"/>
          </w:tcPr>
          <w:p w14:paraId="75C07C5E">
            <w:pPr>
              <w:widowControl/>
              <w:spacing w:line="560" w:lineRule="exact"/>
              <w:jc w:val="center"/>
              <w:rPr>
                <w:color w:val="000000"/>
                <w:kern w:val="0"/>
                <w:sz w:val="24"/>
                <w:szCs w:val="24"/>
              </w:rPr>
            </w:pPr>
            <w:r>
              <w:rPr>
                <w:color w:val="000000"/>
                <w:kern w:val="0"/>
                <w:sz w:val="24"/>
                <w:szCs w:val="24"/>
              </w:rPr>
              <w:t>200</w:t>
            </w:r>
          </w:p>
        </w:tc>
      </w:tr>
    </w:tbl>
    <w:p w14:paraId="2C7A2CC4">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2、支付条件：单个项目完成后，根据征集人对第三方机构工作情况和业务质量综合考评结果，支付不同比例的合同价款（业务委托协议约定服务费用）。</w:t>
      </w:r>
    </w:p>
    <w:p w14:paraId="40DEEC2A">
      <w:pPr>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考评结果为优（得分≥90分）的，支付协议约定服务费用的100%；考评结果为良（90分&gt;得分≥80分）的，支付协议约定服务费用的85%；考评结果为中（80分&gt;得分≥60分）的，支付协议约定服务费用的70%；考评结果为差（得分＜60分）的，支付协议约定服务费用的50%。</w:t>
      </w:r>
    </w:p>
    <w:p w14:paraId="770ECAFF">
      <w:pPr>
        <w:keepNext w:val="0"/>
        <w:keepLines w:val="0"/>
        <w:pageBreakBefore w:val="0"/>
        <w:widowControl w:val="0"/>
        <w:kinsoku/>
        <w:wordWrap/>
        <w:overflowPunct/>
        <w:topLinePunct/>
        <w:autoSpaceDE/>
        <w:autoSpaceDN/>
        <w:bidi w:val="0"/>
        <w:adjustRightInd w:val="0"/>
        <w:snapToGrid w:val="0"/>
        <w:spacing w:line="640" w:lineRule="exact"/>
        <w:ind w:firstLine="643" w:firstLineChars="200"/>
        <w:jc w:val="left"/>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w:t>
      </w:r>
      <w:r>
        <w:rPr>
          <w:rFonts w:hint="eastAsia" w:ascii="仿宋" w:hAnsi="仿宋" w:eastAsia="仿宋" w:cs="仿宋"/>
          <w:b/>
          <w:bCs/>
          <w:kern w:val="0"/>
          <w:sz w:val="32"/>
          <w:szCs w:val="32"/>
          <w:lang w:val="en-US" w:eastAsia="zh-CN"/>
        </w:rPr>
        <w:t>九</w:t>
      </w:r>
      <w:r>
        <w:rPr>
          <w:rFonts w:hint="eastAsia" w:ascii="仿宋" w:hAnsi="仿宋" w:eastAsia="仿宋" w:cs="仿宋"/>
          <w:b/>
          <w:bCs/>
          <w:kern w:val="0"/>
          <w:sz w:val="32"/>
          <w:szCs w:val="32"/>
        </w:rPr>
        <w:t>条 入围供应商清退和补充规则</w:t>
      </w:r>
    </w:p>
    <w:p w14:paraId="0230F908">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1、入围供应商清退</w:t>
      </w:r>
    </w:p>
    <w:p w14:paraId="5FA12FB6">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乙方有下列情形之一，尚未签订框架协议的，取消其入围资格；已经签订框架协议的，解除与其签订的框架协议：</w:t>
      </w:r>
    </w:p>
    <w:p w14:paraId="2B61F213">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(一)恶意串通谋取入围或者合同成交的；</w:t>
      </w:r>
    </w:p>
    <w:p w14:paraId="1959147D">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(二)提供虚假材料谋取入围或者合同成交的；</w:t>
      </w:r>
    </w:p>
    <w:p w14:paraId="4B19F398">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(三)无正当理由拒不接受合同授予的；</w:t>
      </w:r>
    </w:p>
    <w:p w14:paraId="3C5A64A8">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(四)不履行合同义务或者履行合同义务不符合约定，经征集人请求履行后仍不履行或者仍未按约定履行的；</w:t>
      </w:r>
    </w:p>
    <w:p w14:paraId="040171E9">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(五)框架协议有效期内，因违法行为被禁止或限制参加政府采购活动的；</w:t>
      </w:r>
    </w:p>
    <w:p w14:paraId="1374C010">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(六)框架协议约定的其他情形：</w:t>
      </w:r>
    </w:p>
    <w:p w14:paraId="5DD35BBC">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(1)乙方实质性违反本合同约定的；</w:t>
      </w:r>
    </w:p>
    <w:p w14:paraId="4A7C471C">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(2)乙方有违反合同约定或其职责、义务的行为，在征集人指定期限内未予以纠正或补救的；</w:t>
      </w:r>
    </w:p>
    <w:p w14:paraId="276D3FA5">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(3)乙方泄漏委托方的秘密或与第三方串通损害征集人利益的；由此造成的经济损失，乙方应予赔偿；存在违法违规行为的,由相关部门进行处理；</w:t>
      </w:r>
    </w:p>
    <w:p w14:paraId="21BA129A">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(4)征集人针对项目完成时限、质量有权提出要求,由于乙方原因,项目完成时限超出委托时限或质量不合格的；</w:t>
      </w:r>
    </w:p>
    <w:p w14:paraId="65F488C6">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(5)乙方将征集人提供的相关资料丢失的；由此造成的经济损失，乙方应予赔偿；存在违法违规行为的，由相关部门进行处理；</w:t>
      </w:r>
    </w:p>
    <w:p w14:paraId="4C46EA65">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(6)乙方提供服务时，需按委托人要求时限完成,无正当理由，未按时完成的将解除合同。</w:t>
      </w:r>
    </w:p>
    <w:p w14:paraId="1277582F">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2、补充规则</w:t>
      </w:r>
    </w:p>
    <w:p w14:paraId="0CB23704">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乙方被取消入围资格或者被解除框架协议的，不得参加同一封闭式框架协议补充征集活动,不得重新申请加入同一开放式框架协议。</w:t>
      </w:r>
    </w:p>
    <w:p w14:paraId="525BA9FD">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剩余入围供应商不足入围供应商总数70%且影响框架协议执行的，框架协议有效期内征集人有权视情况进行补充。</w:t>
      </w:r>
    </w:p>
    <w:p w14:paraId="5C594DC2">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补充征集的条件、程序、评审方法和淘汰比例与初次征集相同。补充征集遵守原框架协议的有效期。补充征集期间，原框架协议继续履行。</w:t>
      </w:r>
    </w:p>
    <w:p w14:paraId="76DC6032">
      <w:pPr>
        <w:keepNext w:val="0"/>
        <w:keepLines w:val="0"/>
        <w:pageBreakBefore w:val="0"/>
        <w:widowControl w:val="0"/>
        <w:kinsoku/>
        <w:wordWrap w:val="0"/>
        <w:overflowPunct/>
        <w:topLinePunct/>
        <w:autoSpaceDE/>
        <w:autoSpaceDN/>
        <w:bidi w:val="0"/>
        <w:adjustRightInd w:val="0"/>
        <w:snapToGrid w:val="0"/>
        <w:spacing w:line="640" w:lineRule="exact"/>
        <w:ind w:firstLine="643" w:firstLineChars="20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第十</w:t>
      </w:r>
      <w:r>
        <w:rPr>
          <w:rFonts w:hint="eastAsia" w:ascii="仿宋" w:hAnsi="仿宋" w:eastAsia="仿宋" w:cs="仿宋"/>
          <w:b/>
          <w:bCs/>
          <w:kern w:val="0"/>
          <w:sz w:val="32"/>
          <w:szCs w:val="32"/>
          <w:lang w:val="en-US" w:eastAsia="zh-CN"/>
        </w:rPr>
        <w:t>条</w:t>
      </w:r>
      <w:r>
        <w:rPr>
          <w:rFonts w:hint="eastAsia" w:ascii="仿宋" w:hAnsi="仿宋" w:eastAsia="仿宋" w:cs="仿宋"/>
          <w:b/>
          <w:bCs/>
          <w:kern w:val="0"/>
          <w:sz w:val="32"/>
          <w:szCs w:val="32"/>
        </w:rPr>
        <w:t>违约责任</w:t>
      </w:r>
    </w:p>
    <w:p w14:paraId="1FB83F9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1、乙方不履行或不完全履行本协议约定的，甲方有权要求乙方限期改正。乙方逾期未改正或该等违约情形在协议有效期内累计发生三次及以上的，甲方有权解除本协议，要求乙方支付违约金人民币壹拾万元，并赔偿甲方因此遭受的全部损失。</w:t>
      </w:r>
    </w:p>
    <w:p w14:paraId="2CF0D5C0">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2、乙方有下列情形之一，情节轻微的，甲方对其提出警告；情节严重的，甲方将其从入围名单中删除；涉及违法的，按照相关法律、法规追究法律责任。</w:t>
      </w:r>
    </w:p>
    <w:p w14:paraId="46D952BB">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(一)结果文件存在重大失误；</w:t>
      </w:r>
    </w:p>
    <w:p w14:paraId="2B47FBF8">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(二)过程中有违反本办法规定的行为；</w:t>
      </w:r>
    </w:p>
    <w:p w14:paraId="75B36A9D">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(三)未在规定时限或者经批准的延期时限内完成服务的；</w:t>
      </w:r>
    </w:p>
    <w:p w14:paraId="2B4F8C40">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(四)拒绝接受委托任务；</w:t>
      </w:r>
    </w:p>
    <w:p w14:paraId="48DFB1F0">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(五)违反行业有关规定的；</w:t>
      </w:r>
    </w:p>
    <w:p w14:paraId="330E03C8">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(六)其他违反国家法律、法规的行为。</w:t>
      </w:r>
    </w:p>
    <w:p w14:paraId="1704CA44">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甲方对入围单位建立信用记录，情节严重的列入信用黑名单，按有关规定向社会公开，两年之内不能参与甲方委托的服务事项。</w:t>
      </w:r>
      <w:r>
        <w:rPr>
          <w:rFonts w:hint="eastAsia" w:ascii="仿宋" w:hAnsi="仿宋" w:eastAsia="仿宋" w:cs="仿宋"/>
          <w:b/>
          <w:bCs/>
          <w:kern w:val="0"/>
          <w:sz w:val="32"/>
          <w:szCs w:val="32"/>
        </w:rPr>
        <w:t xml:space="preserve"> </w:t>
      </w:r>
    </w:p>
    <w:p w14:paraId="6716F779">
      <w:pPr>
        <w:keepNext w:val="0"/>
        <w:keepLines w:val="0"/>
        <w:pageBreakBefore w:val="0"/>
        <w:widowControl w:val="0"/>
        <w:kinsoku/>
        <w:wordWrap w:val="0"/>
        <w:overflowPunct/>
        <w:topLinePunct/>
        <w:autoSpaceDE/>
        <w:autoSpaceDN/>
        <w:bidi w:val="0"/>
        <w:adjustRightInd w:val="0"/>
        <w:snapToGrid w:val="0"/>
        <w:spacing w:line="640" w:lineRule="exact"/>
        <w:ind w:firstLine="643" w:firstLineChars="20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第十</w:t>
      </w:r>
      <w:r>
        <w:rPr>
          <w:rFonts w:hint="eastAsia" w:ascii="仿宋" w:hAnsi="仿宋" w:eastAsia="仿宋" w:cs="仿宋"/>
          <w:b/>
          <w:bCs/>
          <w:kern w:val="0"/>
          <w:sz w:val="32"/>
          <w:szCs w:val="32"/>
          <w:lang w:val="en-US" w:eastAsia="zh-CN"/>
        </w:rPr>
        <w:t>一</w:t>
      </w:r>
      <w:r>
        <w:rPr>
          <w:rFonts w:hint="eastAsia" w:ascii="仿宋" w:hAnsi="仿宋" w:eastAsia="仿宋" w:cs="仿宋"/>
          <w:b/>
          <w:bCs/>
          <w:kern w:val="0"/>
          <w:sz w:val="32"/>
          <w:szCs w:val="32"/>
        </w:rPr>
        <w:t>条 需要约定的其他事项</w:t>
      </w:r>
    </w:p>
    <w:p w14:paraId="746F7DD5">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1、甲方需及时向乙方提供(或委托项目单位提供)与项目有关的资料；</w:t>
      </w:r>
    </w:p>
    <w:p w14:paraId="48D9548A">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2、甲方协助乙方做好资料收集等工作；</w:t>
      </w:r>
    </w:p>
    <w:p w14:paraId="48E29AC9">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3、乙方严格遵守南阳市财政局相关制度规定。</w:t>
      </w:r>
    </w:p>
    <w:p w14:paraId="169DBB3D">
      <w:pPr>
        <w:keepNext w:val="0"/>
        <w:keepLines w:val="0"/>
        <w:pageBreakBefore w:val="0"/>
        <w:widowControl w:val="0"/>
        <w:kinsoku/>
        <w:wordWrap w:val="0"/>
        <w:overflowPunct/>
        <w:topLinePunct/>
        <w:autoSpaceDE/>
        <w:autoSpaceDN/>
        <w:bidi w:val="0"/>
        <w:adjustRightInd w:val="0"/>
        <w:snapToGrid w:val="0"/>
        <w:spacing w:line="640" w:lineRule="exact"/>
        <w:ind w:firstLine="643" w:firstLineChars="20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第十</w:t>
      </w:r>
      <w:r>
        <w:rPr>
          <w:rFonts w:hint="eastAsia" w:ascii="仿宋" w:hAnsi="仿宋" w:eastAsia="仿宋" w:cs="仿宋"/>
          <w:b/>
          <w:bCs/>
          <w:kern w:val="0"/>
          <w:sz w:val="32"/>
          <w:szCs w:val="32"/>
          <w:lang w:val="en-US" w:eastAsia="zh-CN"/>
        </w:rPr>
        <w:t>二</w:t>
      </w:r>
      <w:r>
        <w:rPr>
          <w:rFonts w:hint="eastAsia" w:ascii="仿宋" w:hAnsi="仿宋" w:eastAsia="仿宋" w:cs="仿宋"/>
          <w:b/>
          <w:bCs/>
          <w:kern w:val="0"/>
          <w:sz w:val="32"/>
          <w:szCs w:val="32"/>
        </w:rPr>
        <w:t>条 不可抗力</w:t>
      </w:r>
    </w:p>
    <w:p w14:paraId="2E6F6856">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1、任何一方对由于不可抗力造成的部分或全部不能履行本合同不承担违约责任。但迟延履行后发生不可抗力的，不能免除责任。</w:t>
      </w:r>
    </w:p>
    <w:p w14:paraId="29699F69">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2、遇有不可抗力的一方，应在三日内将事件的情况以书面形式通知另一方，并在事件发生后十日内,向另一方提交合同不能履行或部分不能履行或需要延期履行理由的报告。</w:t>
      </w:r>
    </w:p>
    <w:p w14:paraId="35E4D05E">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3、不可抗力是指协议双方不可预见、不可避免、不可克服的自然灾害和社会事件。</w:t>
      </w:r>
    </w:p>
    <w:p w14:paraId="5198434F">
      <w:pPr>
        <w:keepNext w:val="0"/>
        <w:keepLines w:val="0"/>
        <w:pageBreakBefore w:val="0"/>
        <w:widowControl w:val="0"/>
        <w:kinsoku/>
        <w:wordWrap w:val="0"/>
        <w:overflowPunct/>
        <w:topLinePunct/>
        <w:autoSpaceDE/>
        <w:autoSpaceDN/>
        <w:bidi w:val="0"/>
        <w:adjustRightInd w:val="0"/>
        <w:snapToGrid w:val="0"/>
        <w:spacing w:line="640" w:lineRule="exact"/>
        <w:ind w:firstLine="643" w:firstLineChars="20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第十三条 解决争议的方法</w:t>
      </w:r>
    </w:p>
    <w:p w14:paraId="4E6F8DD3">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1、协议各方应通过友好协商，解决在执行本协议过程中所发生的或与本协议有关的一切争端。</w:t>
      </w:r>
    </w:p>
    <w:p w14:paraId="336E791A">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2、协商不成，则提交甲方所在地人民法院诉讼解决。</w:t>
      </w:r>
    </w:p>
    <w:p w14:paraId="0662DD30">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3、如诉讼事项不影响协议其它部分的履行，则在诉讼期间，除正在进行诉讼的部分外，本协议的其它部分应继续执行。</w:t>
      </w:r>
    </w:p>
    <w:p w14:paraId="3745BB01">
      <w:pPr>
        <w:keepNext w:val="0"/>
        <w:keepLines w:val="0"/>
        <w:pageBreakBefore w:val="0"/>
        <w:widowControl w:val="0"/>
        <w:kinsoku/>
        <w:wordWrap w:val="0"/>
        <w:overflowPunct/>
        <w:topLinePunct/>
        <w:autoSpaceDE/>
        <w:autoSpaceDN/>
        <w:bidi w:val="0"/>
        <w:adjustRightInd w:val="0"/>
        <w:snapToGrid w:val="0"/>
        <w:spacing w:line="640" w:lineRule="exact"/>
        <w:ind w:firstLine="643" w:firstLineChars="20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第十四条 协议生效及文本</w:t>
      </w:r>
    </w:p>
    <w:p w14:paraId="1E7F5E2C">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1、本协议在协议各方签字盖章后生效。</w:t>
      </w:r>
    </w:p>
    <w:p w14:paraId="778DB920">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2、本协议一式</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份，各方各执</w:t>
      </w:r>
      <w:r>
        <w:rPr>
          <w:rFonts w:hint="eastAsia" w:ascii="仿宋" w:hAnsi="仿宋" w:eastAsia="仿宋" w:cs="仿宋"/>
          <w:kern w:val="0"/>
          <w:sz w:val="32"/>
          <w:szCs w:val="32"/>
          <w:u w:val="single"/>
        </w:rPr>
        <w:t xml:space="preserve">       </w:t>
      </w:r>
      <w:r>
        <w:rPr>
          <w:rFonts w:hint="eastAsia" w:ascii="仿宋" w:hAnsi="仿宋" w:eastAsia="仿宋" w:cs="仿宋"/>
          <w:kern w:val="0"/>
          <w:sz w:val="32"/>
          <w:szCs w:val="32"/>
        </w:rPr>
        <w:t>份。</w:t>
      </w:r>
    </w:p>
    <w:p w14:paraId="3B136563">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3、本协议双方落款的地址、联系方式为双方信息文书送达地址、变更须经书面通知。</w:t>
      </w:r>
    </w:p>
    <w:p w14:paraId="0C787F4F">
      <w:pPr>
        <w:keepNext w:val="0"/>
        <w:keepLines w:val="0"/>
        <w:pageBreakBefore w:val="0"/>
        <w:widowControl w:val="0"/>
        <w:kinsoku/>
        <w:wordWrap w:val="0"/>
        <w:overflowPunct/>
        <w:topLinePunct/>
        <w:autoSpaceDE/>
        <w:autoSpaceDN/>
        <w:bidi w:val="0"/>
        <w:adjustRightInd w:val="0"/>
        <w:snapToGrid w:val="0"/>
        <w:spacing w:line="640" w:lineRule="exact"/>
        <w:ind w:firstLine="643" w:firstLineChars="200"/>
        <w:textAlignment w:val="baseline"/>
        <w:rPr>
          <w:rFonts w:hint="eastAsia" w:ascii="仿宋" w:hAnsi="仿宋" w:eastAsia="仿宋" w:cs="仿宋"/>
          <w:b/>
          <w:bCs/>
          <w:kern w:val="0"/>
          <w:sz w:val="32"/>
          <w:szCs w:val="32"/>
        </w:rPr>
      </w:pPr>
      <w:r>
        <w:rPr>
          <w:rFonts w:hint="eastAsia" w:ascii="仿宋" w:hAnsi="仿宋" w:eastAsia="仿宋" w:cs="仿宋"/>
          <w:b/>
          <w:bCs/>
          <w:kern w:val="0"/>
          <w:sz w:val="32"/>
          <w:szCs w:val="32"/>
        </w:rPr>
        <w:t>第十五条 协议的修改</w:t>
      </w:r>
    </w:p>
    <w:p w14:paraId="24CFF7EA">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除了双方签署书面修改协议，并成为本协议不可分割的一部分之外，本协议条件不得有任何变化或修改。</w:t>
      </w:r>
    </w:p>
    <w:p w14:paraId="56DBD864">
      <w:pPr>
        <w:keepNext w:val="0"/>
        <w:keepLines w:val="0"/>
        <w:pageBreakBefore w:val="0"/>
        <w:widowControl w:val="0"/>
        <w:kinsoku/>
        <w:wordWrap w:val="0"/>
        <w:overflowPunct/>
        <w:topLinePunct/>
        <w:autoSpaceDE/>
        <w:autoSpaceDN/>
        <w:bidi w:val="0"/>
        <w:adjustRightInd w:val="0"/>
        <w:snapToGrid w:val="0"/>
        <w:spacing w:line="640" w:lineRule="exact"/>
        <w:ind w:firstLine="643" w:firstLineChars="200"/>
        <w:textAlignment w:val="baseline"/>
        <w:rPr>
          <w:rFonts w:hint="eastAsia" w:ascii="仿宋" w:hAnsi="仿宋" w:eastAsia="仿宋" w:cs="仿宋"/>
          <w:kern w:val="0"/>
          <w:sz w:val="32"/>
          <w:szCs w:val="32"/>
        </w:rPr>
      </w:pPr>
      <w:r>
        <w:rPr>
          <w:rFonts w:hint="eastAsia" w:ascii="仿宋" w:hAnsi="仿宋" w:eastAsia="仿宋" w:cs="仿宋"/>
          <w:b/>
          <w:bCs/>
          <w:kern w:val="0"/>
          <w:sz w:val="32"/>
          <w:szCs w:val="32"/>
        </w:rPr>
        <w:t>第十六条 协议附件</w:t>
      </w:r>
    </w:p>
    <w:p w14:paraId="71F5AEB4">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1、本协议附件包括征集文件、响应文件、采购合同等。</w:t>
      </w:r>
    </w:p>
    <w:p w14:paraId="6B3560E0">
      <w:pPr>
        <w:keepNext w:val="0"/>
        <w:keepLines w:val="0"/>
        <w:pageBreakBefore w:val="0"/>
        <w:kinsoku/>
        <w:wordWrap w:val="0"/>
        <w:overflowPunct/>
        <w:topLinePunct/>
        <w:autoSpaceDE/>
        <w:autoSpaceDN/>
        <w:bidi w:val="0"/>
        <w:adjustRightInd w:val="0"/>
        <w:snapToGrid w:val="0"/>
        <w:spacing w:line="640" w:lineRule="exact"/>
        <w:ind w:firstLine="640" w:firstLineChars="200"/>
        <w:textAlignment w:val="baseline"/>
        <w:rPr>
          <w:rFonts w:hint="eastAsia" w:ascii="仿宋" w:hAnsi="仿宋" w:eastAsia="仿宋" w:cs="仿宋"/>
          <w:kern w:val="0"/>
          <w:sz w:val="32"/>
          <w:szCs w:val="32"/>
        </w:rPr>
      </w:pPr>
      <w:r>
        <w:rPr>
          <w:rFonts w:hint="eastAsia" w:ascii="仿宋" w:hAnsi="仿宋" w:eastAsia="仿宋" w:cs="仿宋"/>
          <w:kern w:val="0"/>
          <w:sz w:val="32"/>
          <w:szCs w:val="32"/>
        </w:rPr>
        <w:t>2、本协议附件与协议具有同等效力。</w:t>
      </w:r>
    </w:p>
    <w:p w14:paraId="702CAA68">
      <w:pPr>
        <w:keepNext w:val="0"/>
        <w:keepLines w:val="0"/>
        <w:pageBreakBefore w:val="0"/>
        <w:widowControl/>
        <w:kinsoku w:val="0"/>
        <w:overflowPunct/>
        <w:autoSpaceDE w:val="0"/>
        <w:autoSpaceDN w:val="0"/>
        <w:bidi w:val="0"/>
        <w:adjustRightInd w:val="0"/>
        <w:snapToGrid w:val="0"/>
        <w:spacing w:line="640" w:lineRule="exact"/>
        <w:ind w:left="433"/>
        <w:textAlignment w:val="baseline"/>
        <w:rPr>
          <w:rFonts w:hint="eastAsia" w:ascii="宋体" w:hAnsi="宋体" w:cs="宋体"/>
          <w:spacing w:val="14"/>
          <w:kern w:val="0"/>
          <w:position w:val="1"/>
          <w:sz w:val="32"/>
          <w:szCs w:val="32"/>
        </w:rPr>
      </w:pPr>
      <w:r>
        <w:rPr>
          <w:rFonts w:hint="eastAsia" w:ascii="宋体" w:hAnsi="宋体" w:cs="宋体"/>
          <w:spacing w:val="14"/>
          <w:kern w:val="0"/>
          <w:position w:val="1"/>
          <w:sz w:val="32"/>
          <w:szCs w:val="32"/>
        </w:rPr>
        <w:t xml:space="preserve">  </w:t>
      </w:r>
    </w:p>
    <w:p w14:paraId="608E62AE">
      <w:pPr>
        <w:keepNext w:val="0"/>
        <w:keepLines w:val="0"/>
        <w:pageBreakBefore w:val="0"/>
        <w:widowControl/>
        <w:kinsoku w:val="0"/>
        <w:overflowPunct/>
        <w:autoSpaceDE w:val="0"/>
        <w:autoSpaceDN w:val="0"/>
        <w:bidi w:val="0"/>
        <w:adjustRightInd w:val="0"/>
        <w:snapToGrid w:val="0"/>
        <w:spacing w:line="640" w:lineRule="exact"/>
        <w:ind w:left="433"/>
        <w:textAlignment w:val="baseline"/>
        <w:rPr>
          <w:rFonts w:hint="eastAsia" w:ascii="仿宋" w:hAnsi="仿宋" w:eastAsia="仿宋" w:cs="仿宋"/>
          <w:spacing w:val="14"/>
          <w:kern w:val="0"/>
          <w:position w:val="1"/>
          <w:sz w:val="32"/>
          <w:szCs w:val="32"/>
        </w:rPr>
      </w:pPr>
      <w:r>
        <w:rPr>
          <w:rFonts w:hint="eastAsia" w:ascii="仿宋" w:hAnsi="仿宋" w:eastAsia="仿宋" w:cs="仿宋"/>
          <w:spacing w:val="14"/>
          <w:kern w:val="0"/>
          <w:position w:val="1"/>
          <w:sz w:val="32"/>
          <w:szCs w:val="32"/>
        </w:rPr>
        <w:t>甲方：(盖章)               乙方：(盖章)</w:t>
      </w:r>
    </w:p>
    <w:p w14:paraId="328FA6DA">
      <w:pPr>
        <w:keepNext w:val="0"/>
        <w:keepLines w:val="0"/>
        <w:pageBreakBefore w:val="0"/>
        <w:widowControl/>
        <w:kinsoku w:val="0"/>
        <w:overflowPunct/>
        <w:autoSpaceDE w:val="0"/>
        <w:autoSpaceDN w:val="0"/>
        <w:bidi w:val="0"/>
        <w:adjustRightInd w:val="0"/>
        <w:snapToGrid w:val="0"/>
        <w:spacing w:line="640" w:lineRule="exact"/>
        <w:textAlignment w:val="baseline"/>
        <w:rPr>
          <w:rFonts w:hint="eastAsia" w:ascii="仿宋" w:hAnsi="仿宋" w:eastAsia="仿宋" w:cs="仿宋"/>
          <w:spacing w:val="14"/>
          <w:kern w:val="0"/>
          <w:position w:val="1"/>
          <w:sz w:val="32"/>
          <w:szCs w:val="32"/>
        </w:rPr>
      </w:pPr>
      <w:r>
        <w:rPr>
          <w:rFonts w:hint="eastAsia" w:ascii="仿宋" w:hAnsi="仿宋" w:eastAsia="仿宋" w:cs="仿宋"/>
          <w:spacing w:val="14"/>
          <w:kern w:val="0"/>
          <w:position w:val="1"/>
          <w:sz w:val="32"/>
          <w:szCs w:val="32"/>
        </w:rPr>
        <w:t>法定代表人 (授权代表) ：    法定代表人 (授权代表) ：</w:t>
      </w:r>
    </w:p>
    <w:p w14:paraId="1CBF5480">
      <w:pPr>
        <w:keepNext w:val="0"/>
        <w:keepLines w:val="0"/>
        <w:pageBreakBefore w:val="0"/>
        <w:widowControl/>
        <w:kinsoku w:val="0"/>
        <w:overflowPunct/>
        <w:autoSpaceDE w:val="0"/>
        <w:autoSpaceDN w:val="0"/>
        <w:bidi w:val="0"/>
        <w:adjustRightInd w:val="0"/>
        <w:snapToGrid w:val="0"/>
        <w:spacing w:line="640" w:lineRule="exact"/>
        <w:ind w:left="433"/>
        <w:textAlignment w:val="baseline"/>
        <w:rPr>
          <w:rFonts w:hint="eastAsia" w:ascii="仿宋" w:hAnsi="仿宋" w:eastAsia="仿宋" w:cs="仿宋"/>
          <w:spacing w:val="14"/>
          <w:kern w:val="0"/>
          <w:position w:val="1"/>
          <w:sz w:val="32"/>
          <w:szCs w:val="32"/>
        </w:rPr>
      </w:pPr>
      <w:r>
        <w:rPr>
          <w:rFonts w:hint="eastAsia" w:ascii="仿宋" w:hAnsi="仿宋" w:eastAsia="仿宋" w:cs="仿宋"/>
          <w:spacing w:val="14"/>
          <w:kern w:val="0"/>
          <w:position w:val="1"/>
          <w:sz w:val="32"/>
          <w:szCs w:val="32"/>
        </w:rPr>
        <w:t>地址：                     地址：</w:t>
      </w:r>
    </w:p>
    <w:p w14:paraId="65D1E2B6">
      <w:pPr>
        <w:keepNext w:val="0"/>
        <w:keepLines w:val="0"/>
        <w:pageBreakBefore w:val="0"/>
        <w:widowControl/>
        <w:kinsoku w:val="0"/>
        <w:overflowPunct/>
        <w:autoSpaceDE w:val="0"/>
        <w:autoSpaceDN w:val="0"/>
        <w:bidi w:val="0"/>
        <w:adjustRightInd w:val="0"/>
        <w:snapToGrid w:val="0"/>
        <w:spacing w:line="640" w:lineRule="exact"/>
        <w:ind w:left="433"/>
        <w:textAlignment w:val="baseline"/>
        <w:rPr>
          <w:rFonts w:hint="eastAsia" w:ascii="仿宋" w:hAnsi="仿宋" w:eastAsia="仿宋" w:cs="仿宋"/>
          <w:spacing w:val="14"/>
          <w:kern w:val="0"/>
          <w:position w:val="1"/>
          <w:sz w:val="32"/>
          <w:szCs w:val="32"/>
        </w:rPr>
      </w:pPr>
      <w:r>
        <w:rPr>
          <w:rFonts w:hint="eastAsia" w:ascii="仿宋" w:hAnsi="仿宋" w:eastAsia="仿宋" w:cs="仿宋"/>
          <w:spacing w:val="14"/>
          <w:kern w:val="0"/>
          <w:position w:val="1"/>
          <w:sz w:val="32"/>
          <w:szCs w:val="32"/>
        </w:rPr>
        <w:t>电话：                     电话：</w:t>
      </w:r>
    </w:p>
    <w:p w14:paraId="51D68461">
      <w:pPr>
        <w:keepNext w:val="0"/>
        <w:keepLines w:val="0"/>
        <w:pageBreakBefore w:val="0"/>
        <w:widowControl/>
        <w:kinsoku w:val="0"/>
        <w:overflowPunct/>
        <w:autoSpaceDE w:val="0"/>
        <w:autoSpaceDN w:val="0"/>
        <w:bidi w:val="0"/>
        <w:adjustRightInd w:val="0"/>
        <w:snapToGrid w:val="0"/>
        <w:spacing w:line="640" w:lineRule="exact"/>
        <w:ind w:left="433"/>
        <w:textAlignment w:val="baseline"/>
        <w:rPr>
          <w:rFonts w:hint="eastAsia" w:ascii="仿宋" w:hAnsi="仿宋" w:eastAsia="仿宋" w:cs="仿宋"/>
          <w:spacing w:val="14"/>
          <w:kern w:val="0"/>
          <w:position w:val="1"/>
          <w:sz w:val="32"/>
          <w:szCs w:val="32"/>
        </w:rPr>
      </w:pPr>
      <w:r>
        <w:rPr>
          <w:rFonts w:hint="eastAsia" w:ascii="仿宋" w:hAnsi="仿宋" w:eastAsia="仿宋" w:cs="仿宋"/>
          <w:spacing w:val="14"/>
          <w:kern w:val="0"/>
          <w:position w:val="1"/>
          <w:sz w:val="32"/>
          <w:szCs w:val="32"/>
        </w:rPr>
        <w:t xml:space="preserve"> </w:t>
      </w:r>
    </w:p>
    <w:p w14:paraId="27743226">
      <w:pPr>
        <w:keepNext w:val="0"/>
        <w:keepLines w:val="0"/>
        <w:pageBreakBefore w:val="0"/>
        <w:widowControl/>
        <w:kinsoku w:val="0"/>
        <w:overflowPunct/>
        <w:autoSpaceDE w:val="0"/>
        <w:autoSpaceDN w:val="0"/>
        <w:bidi w:val="0"/>
        <w:adjustRightInd w:val="0"/>
        <w:snapToGrid w:val="0"/>
        <w:spacing w:line="640" w:lineRule="exact"/>
        <w:ind w:left="433"/>
        <w:textAlignment w:val="baseline"/>
        <w:rPr>
          <w:rFonts w:hint="eastAsia" w:ascii="仿宋" w:hAnsi="仿宋" w:eastAsia="仿宋" w:cs="仿宋"/>
          <w:spacing w:val="14"/>
          <w:kern w:val="0"/>
          <w:position w:val="1"/>
          <w:sz w:val="32"/>
          <w:szCs w:val="32"/>
        </w:rPr>
      </w:pPr>
      <w:r>
        <w:rPr>
          <w:rFonts w:hint="eastAsia" w:ascii="仿宋" w:hAnsi="仿宋" w:eastAsia="仿宋" w:cs="仿宋"/>
          <w:spacing w:val="14"/>
          <w:kern w:val="0"/>
          <w:position w:val="1"/>
          <w:sz w:val="32"/>
          <w:szCs w:val="32"/>
        </w:rPr>
        <w:t>签约时间：   年  月  日  签约时间：   年  月  日</w:t>
      </w:r>
    </w:p>
    <w:p w14:paraId="24F1154F">
      <w:pPr>
        <w:keepNext w:val="0"/>
        <w:keepLines w:val="0"/>
        <w:pageBreakBefore w:val="0"/>
        <w:overflowPunct/>
        <w:bidi w:val="0"/>
        <w:spacing w:line="640" w:lineRule="exact"/>
        <w:rPr>
          <w:rFonts w:hint="eastAsia" w:ascii="仿宋" w:hAnsi="仿宋" w:eastAsia="仿宋" w:cs="仿宋"/>
          <w:sz w:val="32"/>
          <w:szCs w:val="32"/>
        </w:rPr>
      </w:pPr>
    </w:p>
    <w:p w14:paraId="28E32681">
      <w:pPr>
        <w:keepNext w:val="0"/>
        <w:keepLines w:val="0"/>
        <w:pageBreakBefore w:val="0"/>
        <w:overflowPunct/>
        <w:bidi w:val="0"/>
        <w:spacing w:line="640" w:lineRule="exact"/>
        <w:rPr>
          <w:rFonts w:hint="eastAsia" w:ascii="仿宋" w:hAnsi="仿宋" w:eastAsia="仿宋"/>
          <w:sz w:val="32"/>
          <w:szCs w:val="32"/>
        </w:rPr>
        <w:sectPr>
          <w:footerReference r:id="rId9" w:type="default"/>
          <w:pgSz w:w="11906" w:h="16838"/>
          <w:pgMar w:top="1984" w:right="1531" w:bottom="1871" w:left="1531" w:header="851" w:footer="1361" w:gutter="0"/>
          <w:cols w:space="720" w:num="1"/>
          <w:docGrid w:type="lines" w:linePitch="312" w:charSpace="0"/>
        </w:sectPr>
      </w:pPr>
    </w:p>
    <w:p w14:paraId="5CFA5F91">
      <w:pPr>
        <w:jc w:val="center"/>
        <w:rPr>
          <w:rFonts w:hint="eastAsia" w:ascii="黑体" w:hAnsi="黑体" w:eastAsia="黑体" w:cs="Times New Roman"/>
          <w:sz w:val="48"/>
          <w:szCs w:val="48"/>
        </w:rPr>
      </w:pPr>
      <w:r>
        <w:rPr>
          <w:rFonts w:hint="eastAsia" w:ascii="黑体" w:hAnsi="黑体" w:eastAsia="黑体" w:cs="Times New Roman"/>
          <w:sz w:val="48"/>
          <w:szCs w:val="48"/>
        </w:rPr>
        <w:t>（二）采购合同文本：</w:t>
      </w:r>
    </w:p>
    <w:p w14:paraId="4A538778">
      <w:pPr>
        <w:jc w:val="center"/>
        <w:rPr>
          <w:rFonts w:hint="eastAsia" w:ascii="黑体" w:hAnsi="黑体" w:eastAsia="黑体" w:cs="Times New Roman"/>
          <w:sz w:val="48"/>
          <w:szCs w:val="48"/>
        </w:rPr>
      </w:pPr>
      <w:r>
        <w:rPr>
          <w:rFonts w:hint="eastAsia" w:ascii="黑体" w:hAnsi="黑体" w:eastAsia="黑体" w:cs="Times New Roman"/>
          <w:sz w:val="48"/>
          <w:szCs w:val="48"/>
        </w:rPr>
        <w:t>预算绩效管理业务委托协议</w:t>
      </w:r>
    </w:p>
    <w:p w14:paraId="484FA0BA">
      <w:pPr>
        <w:rPr>
          <w:rFonts w:hint="eastAsia" w:ascii="仿宋" w:hAnsi="仿宋" w:eastAsia="仿宋" w:cs="Times New Roman"/>
          <w:sz w:val="32"/>
          <w:szCs w:val="32"/>
        </w:rPr>
      </w:pPr>
    </w:p>
    <w:p w14:paraId="6731F93A">
      <w:pPr>
        <w:rPr>
          <w:rFonts w:hint="eastAsia" w:ascii="仿宋" w:hAnsi="仿宋" w:eastAsia="仿宋" w:cs="Times New Roman"/>
          <w:sz w:val="32"/>
          <w:szCs w:val="32"/>
        </w:rPr>
      </w:pPr>
    </w:p>
    <w:p w14:paraId="22DF0A25">
      <w:pPr>
        <w:rPr>
          <w:rFonts w:hint="eastAsia" w:ascii="仿宋" w:hAnsi="仿宋" w:eastAsia="仿宋" w:cs="Times New Roman"/>
          <w:sz w:val="32"/>
          <w:szCs w:val="32"/>
        </w:rPr>
      </w:pPr>
    </w:p>
    <w:p w14:paraId="2FFDB7D4">
      <w:pPr>
        <w:rPr>
          <w:rFonts w:hint="eastAsia" w:ascii="仿宋" w:hAnsi="仿宋" w:eastAsia="仿宋" w:cs="Times New Roman"/>
          <w:sz w:val="32"/>
          <w:szCs w:val="32"/>
        </w:rPr>
      </w:pPr>
    </w:p>
    <w:p w14:paraId="796B50CB">
      <w:pPr>
        <w:rPr>
          <w:rFonts w:hint="eastAsia" w:ascii="仿宋" w:hAnsi="仿宋" w:eastAsia="仿宋" w:cs="Times New Roman"/>
          <w:sz w:val="32"/>
          <w:szCs w:val="32"/>
        </w:rPr>
      </w:pPr>
    </w:p>
    <w:p w14:paraId="3CC66611">
      <w:pPr>
        <w:ind w:firstLine="640" w:firstLineChars="200"/>
        <w:rPr>
          <w:rFonts w:ascii="仿宋" w:hAnsi="仿宋" w:eastAsia="仿宋" w:cs="Times New Roman"/>
          <w:sz w:val="32"/>
          <w:szCs w:val="32"/>
        </w:rPr>
      </w:pPr>
      <w:r>
        <w:rPr>
          <w:rFonts w:hint="eastAsia" w:ascii="仿宋" w:hAnsi="仿宋" w:eastAsia="仿宋" w:cs="Times New Roman"/>
          <w:sz w:val="32"/>
          <w:szCs w:val="32"/>
        </w:rPr>
        <w:t>项目名称：</w:t>
      </w:r>
      <w:r>
        <w:rPr>
          <w:rFonts w:hint="eastAsia" w:ascii="仿宋" w:hAnsi="仿宋" w:eastAsia="仿宋" w:cs="Times New Roman"/>
          <w:sz w:val="32"/>
          <w:szCs w:val="32"/>
        </w:rPr>
        <w:tab/>
      </w:r>
      <w:bookmarkStart w:id="6" w:name="_Hlk195619555"/>
      <w:r>
        <w:rPr>
          <w:rFonts w:hint="eastAsia" w:ascii="仿宋" w:hAnsi="仿宋" w:eastAsia="仿宋" w:cs="Times New Roman"/>
          <w:sz w:val="32"/>
          <w:szCs w:val="32"/>
        </w:rPr>
        <w:t>______________________________</w:t>
      </w:r>
      <w:bookmarkEnd w:id="6"/>
      <w:r>
        <w:rPr>
          <w:rFonts w:hint="eastAsia" w:ascii="仿宋" w:hAnsi="仿宋" w:eastAsia="仿宋" w:cs="Times New Roman"/>
          <w:sz w:val="32"/>
          <w:szCs w:val="32"/>
        </w:rPr>
        <w:t xml:space="preserve"> </w:t>
      </w:r>
    </w:p>
    <w:p w14:paraId="1CC4D860">
      <w:pPr>
        <w:ind w:firstLine="640" w:firstLineChars="200"/>
        <w:rPr>
          <w:rFonts w:ascii="仿宋" w:hAnsi="仿宋" w:eastAsia="仿宋" w:cs="Times New Roman"/>
          <w:sz w:val="32"/>
          <w:szCs w:val="32"/>
        </w:rPr>
      </w:pPr>
      <w:r>
        <w:rPr>
          <w:rFonts w:hint="eastAsia" w:ascii="仿宋" w:hAnsi="仿宋" w:eastAsia="仿宋" w:cs="Times New Roman"/>
          <w:sz w:val="32"/>
          <w:szCs w:val="32"/>
        </w:rPr>
        <w:t>委 托 方：</w:t>
      </w:r>
      <w:r>
        <w:rPr>
          <w:rFonts w:hint="eastAsia" w:ascii="仿宋" w:hAnsi="仿宋" w:eastAsia="仿宋" w:cs="Times New Roman"/>
          <w:sz w:val="32"/>
          <w:szCs w:val="32"/>
        </w:rPr>
        <w:tab/>
      </w:r>
      <w:r>
        <w:rPr>
          <w:rFonts w:hint="eastAsia" w:ascii="仿宋" w:hAnsi="仿宋" w:eastAsia="仿宋" w:cs="Times New Roman"/>
          <w:sz w:val="32"/>
          <w:szCs w:val="32"/>
        </w:rPr>
        <w:t xml:space="preserve">______________________________ </w:t>
      </w:r>
    </w:p>
    <w:p w14:paraId="142433AB">
      <w:pPr>
        <w:ind w:firstLine="640" w:firstLineChars="200"/>
        <w:rPr>
          <w:rFonts w:ascii="仿宋" w:hAnsi="仿宋" w:eastAsia="仿宋" w:cs="Times New Roman"/>
          <w:sz w:val="32"/>
          <w:szCs w:val="32"/>
        </w:rPr>
      </w:pPr>
      <w:r>
        <w:rPr>
          <w:rFonts w:hint="eastAsia" w:ascii="仿宋" w:hAnsi="仿宋" w:eastAsia="仿宋" w:cs="Times New Roman"/>
          <w:sz w:val="32"/>
          <w:szCs w:val="32"/>
        </w:rPr>
        <w:t>受 托 方：</w:t>
      </w:r>
      <w:r>
        <w:rPr>
          <w:rFonts w:hint="eastAsia" w:ascii="仿宋" w:hAnsi="仿宋" w:eastAsia="仿宋" w:cs="Times New Roman"/>
          <w:sz w:val="32"/>
          <w:szCs w:val="32"/>
        </w:rPr>
        <w:tab/>
      </w:r>
      <w:r>
        <w:rPr>
          <w:rFonts w:hint="eastAsia" w:ascii="仿宋" w:hAnsi="仿宋" w:eastAsia="仿宋" w:cs="Times New Roman"/>
          <w:sz w:val="32"/>
          <w:szCs w:val="32"/>
        </w:rPr>
        <w:t xml:space="preserve">______________________________ </w:t>
      </w:r>
    </w:p>
    <w:p w14:paraId="366D2BF0">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 xml:space="preserve">签署日期：  ______________________________                         </w:t>
      </w:r>
    </w:p>
    <w:p w14:paraId="3FDE860E">
      <w:pPr>
        <w:rPr>
          <w:rFonts w:ascii="仿宋" w:hAnsi="仿宋" w:eastAsia="仿宋" w:cs="Times New Roman"/>
          <w:sz w:val="32"/>
          <w:szCs w:val="32"/>
        </w:rPr>
      </w:pPr>
      <w:r>
        <w:rPr>
          <w:rFonts w:hint="eastAsia" w:ascii="仿宋" w:hAnsi="仿宋" w:eastAsia="仿宋" w:cs="Times New Roman"/>
          <w:sz w:val="32"/>
          <w:szCs w:val="32"/>
        </w:rPr>
        <w:t xml:space="preserve"> </w:t>
      </w:r>
    </w:p>
    <w:p w14:paraId="487463EE">
      <w:pPr>
        <w:rPr>
          <w:rFonts w:ascii="仿宋" w:hAnsi="仿宋" w:eastAsia="仿宋" w:cs="Times New Roman"/>
          <w:sz w:val="32"/>
          <w:szCs w:val="32"/>
        </w:rPr>
      </w:pPr>
    </w:p>
    <w:p w14:paraId="2535F4E0">
      <w:pPr>
        <w:rPr>
          <w:rFonts w:ascii="仿宋" w:hAnsi="仿宋" w:eastAsia="仿宋" w:cs="Times New Roman"/>
          <w:sz w:val="32"/>
          <w:szCs w:val="32"/>
        </w:rPr>
      </w:pPr>
    </w:p>
    <w:p w14:paraId="5CE4937B">
      <w:pPr>
        <w:rPr>
          <w:rFonts w:ascii="仿宋" w:hAnsi="仿宋" w:eastAsia="仿宋" w:cs="Times New Roman"/>
          <w:sz w:val="32"/>
          <w:szCs w:val="32"/>
        </w:rPr>
      </w:pPr>
    </w:p>
    <w:p w14:paraId="4B138BA4">
      <w:pPr>
        <w:rPr>
          <w:rFonts w:ascii="仿宋" w:hAnsi="仿宋" w:eastAsia="仿宋" w:cs="Times New Roman"/>
          <w:sz w:val="32"/>
          <w:szCs w:val="32"/>
        </w:rPr>
      </w:pPr>
    </w:p>
    <w:p w14:paraId="5D1A0416">
      <w:pPr>
        <w:rPr>
          <w:rFonts w:hint="eastAsia" w:ascii="仿宋" w:hAnsi="仿宋" w:eastAsia="仿宋" w:cs="Times New Roman"/>
          <w:sz w:val="32"/>
          <w:szCs w:val="32"/>
        </w:rPr>
      </w:pPr>
    </w:p>
    <w:p w14:paraId="24EE50E7">
      <w:pPr>
        <w:ind w:firstLine="643" w:firstLineChars="200"/>
        <w:rPr>
          <w:rFonts w:hint="eastAsia" w:ascii="仿宋" w:hAnsi="仿宋" w:eastAsia="仿宋" w:cs="Times New Roman"/>
          <w:b/>
          <w:bCs/>
          <w:sz w:val="32"/>
          <w:szCs w:val="32"/>
        </w:rPr>
      </w:pPr>
    </w:p>
    <w:p w14:paraId="59A3D97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p>
    <w:p w14:paraId="4BD0C4EE">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p>
    <w:p w14:paraId="15ECEC4B">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p>
    <w:p w14:paraId="727E900F">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ascii="仿宋" w:hAnsi="仿宋" w:eastAsia="仿宋" w:cs="Times New Roman"/>
          <w:sz w:val="32"/>
          <w:szCs w:val="32"/>
        </w:rPr>
      </w:pPr>
      <w:r>
        <w:rPr>
          <w:rFonts w:hint="eastAsia" w:ascii="仿宋" w:hAnsi="仿宋" w:eastAsia="仿宋" w:cs="Times New Roman"/>
          <w:b/>
          <w:bCs/>
          <w:sz w:val="32"/>
          <w:szCs w:val="32"/>
        </w:rPr>
        <w:t>委托方（ 以下简称甲方）：</w:t>
      </w:r>
      <w:r>
        <w:rPr>
          <w:rFonts w:hint="eastAsia" w:ascii="仿宋" w:hAnsi="仿宋" w:eastAsia="仿宋" w:cs="Times New Roman"/>
          <w:sz w:val="32"/>
          <w:szCs w:val="32"/>
        </w:rPr>
        <w:t xml:space="preserve"> </w:t>
      </w:r>
    </w:p>
    <w:p w14:paraId="456D58C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地址：</w:t>
      </w:r>
    </w:p>
    <w:p w14:paraId="17E06D8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联系人：</w:t>
      </w:r>
    </w:p>
    <w:p w14:paraId="4E487E5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联系电话：</w:t>
      </w:r>
    </w:p>
    <w:p w14:paraId="123D7F7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开户行及账号：</w:t>
      </w:r>
    </w:p>
    <w:p w14:paraId="2317D98B">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ascii="仿宋" w:hAnsi="仿宋" w:eastAsia="仿宋" w:cs="Times New Roman"/>
          <w:b/>
          <w:bCs/>
          <w:sz w:val="32"/>
          <w:szCs w:val="32"/>
        </w:rPr>
      </w:pPr>
      <w:r>
        <w:rPr>
          <w:rFonts w:hint="eastAsia" w:ascii="仿宋" w:hAnsi="仿宋" w:eastAsia="仿宋" w:cs="Times New Roman"/>
          <w:b/>
          <w:bCs/>
          <w:sz w:val="32"/>
          <w:szCs w:val="32"/>
        </w:rPr>
        <w:t xml:space="preserve">受托方（ 以下简称乙方）： </w:t>
      </w:r>
    </w:p>
    <w:p w14:paraId="6B79ADF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地址：</w:t>
      </w:r>
    </w:p>
    <w:p w14:paraId="7AE808D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联系人：</w:t>
      </w:r>
    </w:p>
    <w:p w14:paraId="16D5A84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联系电话：</w:t>
      </w:r>
    </w:p>
    <w:p w14:paraId="2C917B1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开户行及账号：</w:t>
      </w:r>
    </w:p>
    <w:p w14:paraId="19856E2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val="en-US" w:eastAsia="zh-CN"/>
        </w:rPr>
        <w:t>鉴于预算绩效管理工作需要，根据</w:t>
      </w:r>
      <w:r>
        <w:rPr>
          <w:rFonts w:hint="eastAsia" w:ascii="仿宋" w:hAnsi="仿宋" w:eastAsia="仿宋" w:cs="Times New Roman"/>
          <w:sz w:val="32"/>
          <w:szCs w:val="32"/>
        </w:rPr>
        <w:t>_______</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框架协议采购项目名称</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征集入围结果，</w:t>
      </w:r>
      <w:r>
        <w:rPr>
          <w:rFonts w:hint="eastAsia" w:ascii="仿宋" w:hAnsi="仿宋" w:eastAsia="仿宋" w:cs="Times New Roman"/>
          <w:sz w:val="32"/>
          <w:szCs w:val="32"/>
        </w:rPr>
        <w:t>甲乙双方依据《中华人民共和国民法典》、《中华人民共和国预算法》及其实施条例、《中华人民共和国政府采购法》及其实施条例、《政府购买服务管理办法》（财政部令第102 号）、《财政部关于委托第三方机构参与预算绩效管理的指导意见》（财预〔2021〕6 号）、《第三方机构预算绩效评价业务监督管理暂行办法》（财监〔2021〕4 号）等法律法规和相关文件的规定，在平等自愿、协商一致的基础上，</w:t>
      </w:r>
      <w:r>
        <w:rPr>
          <w:rFonts w:hint="eastAsia" w:ascii="仿宋" w:hAnsi="仿宋" w:eastAsia="仿宋" w:cs="Times New Roman"/>
          <w:sz w:val="32"/>
          <w:szCs w:val="32"/>
          <w:lang w:val="en-US" w:eastAsia="zh-CN"/>
        </w:rPr>
        <w:t>就甲方委托乙方提供预算绩效管理咨询服务事宜，</w:t>
      </w:r>
      <w:r>
        <w:rPr>
          <w:rFonts w:hint="eastAsia" w:ascii="仿宋" w:hAnsi="仿宋" w:eastAsia="仿宋" w:cs="Times New Roman"/>
          <w:sz w:val="32"/>
          <w:szCs w:val="32"/>
        </w:rPr>
        <w:t>同意按照下面的条款和条件，签署本合同</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供双方共同遵守执行。</w:t>
      </w:r>
    </w:p>
    <w:p w14:paraId="578170B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一、委托事项名称</w:t>
      </w:r>
    </w:p>
    <w:p w14:paraId="3CA4D26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p>
    <w:p w14:paraId="12A75D36">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二、委托事项内容</w:t>
      </w:r>
    </w:p>
    <w:p w14:paraId="71BA323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（一）</w:t>
      </w:r>
      <w:r>
        <w:rPr>
          <w:rFonts w:hint="eastAsia" w:ascii="仿宋" w:hAnsi="仿宋" w:eastAsia="仿宋" w:cs="Times New Roman"/>
          <w:sz w:val="32"/>
          <w:szCs w:val="32"/>
          <w:lang w:val="en-US" w:eastAsia="zh-CN"/>
        </w:rPr>
        <w:t>委托服务内容</w:t>
      </w:r>
      <w:r>
        <w:rPr>
          <w:rFonts w:hint="eastAsia" w:ascii="仿宋" w:hAnsi="仿宋" w:eastAsia="仿宋" w:cs="Times New Roman"/>
          <w:sz w:val="32"/>
          <w:szCs w:val="32"/>
        </w:rPr>
        <w:t xml:space="preserve">：__________________________                                </w:t>
      </w:r>
    </w:p>
    <w:p w14:paraId="3943D1D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 xml:space="preserve">（二）委托服务范围：__________________________                               </w:t>
      </w:r>
    </w:p>
    <w:p w14:paraId="0C11F65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（三）工作程序：</w:t>
      </w:r>
    </w:p>
    <w:p w14:paraId="281D478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1.研究制定</w:t>
      </w:r>
      <w:r>
        <w:rPr>
          <w:rFonts w:hint="eastAsia" w:ascii="仿宋" w:hAnsi="仿宋" w:eastAsia="仿宋" w:cs="Times New Roman"/>
          <w:sz w:val="32"/>
          <w:szCs w:val="32"/>
          <w:lang w:val="en-US" w:eastAsia="zh-CN"/>
        </w:rPr>
        <w:t>工作</w:t>
      </w:r>
      <w:r>
        <w:rPr>
          <w:rFonts w:hint="eastAsia" w:ascii="仿宋" w:hAnsi="仿宋" w:eastAsia="仿宋" w:cs="Times New Roman"/>
          <w:sz w:val="32"/>
          <w:szCs w:val="32"/>
        </w:rPr>
        <w:t>实施方案；</w:t>
      </w:r>
    </w:p>
    <w:p w14:paraId="7A000C43">
      <w:pPr>
        <w:keepNext w:val="0"/>
        <w:keepLines w:val="0"/>
        <w:pageBreakBefore w:val="0"/>
        <w:widowControl w:val="0"/>
        <w:kinsoku/>
        <w:wordWrap/>
        <w:overflowPunct/>
        <w:topLinePunct w:val="0"/>
        <w:autoSpaceDE/>
        <w:autoSpaceDN/>
        <w:bidi w:val="0"/>
        <w:adjustRightInd/>
        <w:snapToGrid/>
        <w:spacing w:line="480" w:lineRule="exact"/>
        <w:ind w:left="105" w:leftChars="50" w:firstLine="480" w:firstLineChars="150"/>
        <w:textAlignment w:val="auto"/>
        <w:rPr>
          <w:rFonts w:ascii="仿宋" w:hAnsi="仿宋" w:eastAsia="仿宋" w:cs="Times New Roman"/>
          <w:sz w:val="32"/>
          <w:szCs w:val="32"/>
        </w:rPr>
      </w:pPr>
      <w:r>
        <w:rPr>
          <w:rFonts w:hint="eastAsia" w:ascii="仿宋" w:hAnsi="仿宋" w:eastAsia="仿宋" w:cs="Times New Roman"/>
          <w:sz w:val="32"/>
          <w:szCs w:val="32"/>
        </w:rPr>
        <w:t>2.组成工作组，成员包括</w:t>
      </w:r>
      <w:bookmarkStart w:id="7" w:name="_Hlk195619668"/>
      <w:r>
        <w:rPr>
          <w:rFonts w:hint="eastAsia" w:ascii="仿宋" w:hAnsi="仿宋" w:eastAsia="仿宋" w:cs="Times New Roman"/>
          <w:sz w:val="32"/>
          <w:szCs w:val="32"/>
        </w:rPr>
        <w:t>___________________</w:t>
      </w:r>
      <w:bookmarkEnd w:id="7"/>
      <w:r>
        <w:rPr>
          <w:rFonts w:hint="eastAsia" w:ascii="仿宋" w:hAnsi="仿宋" w:eastAsia="仿宋" w:cs="Times New Roman"/>
          <w:sz w:val="32"/>
          <w:szCs w:val="32"/>
        </w:rPr>
        <w:t>；</w:t>
      </w:r>
    </w:p>
    <w:p w14:paraId="7908F1F1">
      <w:pPr>
        <w:keepNext w:val="0"/>
        <w:keepLines w:val="0"/>
        <w:pageBreakBefore w:val="0"/>
        <w:widowControl w:val="0"/>
        <w:kinsoku/>
        <w:wordWrap/>
        <w:overflowPunct/>
        <w:topLinePunct w:val="0"/>
        <w:autoSpaceDE/>
        <w:autoSpaceDN/>
        <w:bidi w:val="0"/>
        <w:adjustRightInd/>
        <w:snapToGrid/>
        <w:spacing w:line="480" w:lineRule="exact"/>
        <w:ind w:left="105" w:leftChars="50" w:firstLine="480" w:firstLineChars="150"/>
        <w:textAlignment w:val="auto"/>
        <w:rPr>
          <w:rFonts w:hint="eastAsia" w:ascii="仿宋" w:hAnsi="仿宋" w:eastAsia="仿宋" w:cs="Times New Roman"/>
          <w:sz w:val="32"/>
          <w:szCs w:val="32"/>
        </w:rPr>
      </w:pPr>
      <w:r>
        <w:rPr>
          <w:rFonts w:hint="eastAsia" w:ascii="仿宋" w:hAnsi="仿宋" w:eastAsia="仿宋" w:cs="Times New Roman"/>
          <w:sz w:val="32"/>
          <w:szCs w:val="32"/>
        </w:rPr>
        <w:t>3.收集工作基础资料，并进行整理分析；</w:t>
      </w:r>
    </w:p>
    <w:p w14:paraId="0691256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4赴项目现场开展调研，通过 ________________等方式核实项目实施基本情况，形成现场工作意见；</w:t>
      </w:r>
    </w:p>
    <w:p w14:paraId="1636534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5.依据现场工作结论，并参考对工作资料的审核结果进行全面分析与综合评</w:t>
      </w:r>
      <w:r>
        <w:rPr>
          <w:rFonts w:hint="eastAsia" w:ascii="仿宋" w:hAnsi="仿宋" w:eastAsia="仿宋" w:cs="Times New Roman"/>
          <w:sz w:val="32"/>
          <w:szCs w:val="32"/>
          <w:lang w:val="en-US" w:eastAsia="zh-CN"/>
        </w:rPr>
        <w:t>判</w:t>
      </w:r>
      <w:r>
        <w:rPr>
          <w:rFonts w:hint="eastAsia" w:ascii="仿宋" w:hAnsi="仿宋" w:eastAsia="仿宋" w:cs="Times New Roman"/>
          <w:sz w:val="32"/>
          <w:szCs w:val="32"/>
        </w:rPr>
        <w:t>；</w:t>
      </w:r>
    </w:p>
    <w:p w14:paraId="58E16EA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6.撰写</w:t>
      </w:r>
      <w:r>
        <w:rPr>
          <w:rFonts w:hint="eastAsia" w:ascii="仿宋" w:hAnsi="仿宋" w:eastAsia="仿宋" w:cs="Times New Roman"/>
          <w:sz w:val="32"/>
          <w:szCs w:val="32"/>
          <w:lang w:val="en-US" w:eastAsia="zh-CN"/>
        </w:rPr>
        <w:t>工作</w:t>
      </w:r>
      <w:r>
        <w:rPr>
          <w:rFonts w:hint="eastAsia" w:ascii="仿宋" w:hAnsi="仿宋" w:eastAsia="仿宋" w:cs="Times New Roman"/>
          <w:sz w:val="32"/>
          <w:szCs w:val="32"/>
        </w:rPr>
        <w:t>价报告。</w:t>
      </w:r>
    </w:p>
    <w:p w14:paraId="7E59FEB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（四）工作成果：</w:t>
      </w:r>
    </w:p>
    <w:p w14:paraId="453D21D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1.工作实施方案。包括工作目标、工作组织安排、工作方向和重点、工作方法、指标体系、调查问卷等。</w:t>
      </w:r>
    </w:p>
    <w:p w14:paraId="7648C21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2.工作报告。正式提交的工作报告，一式___份，均需要加盖乙方公章、项目负责人（主评人）签名确认。</w:t>
      </w:r>
    </w:p>
    <w:p w14:paraId="54B3B81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三、工作要求</w:t>
      </w:r>
    </w:p>
    <w:p w14:paraId="5E5752B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（一）人员配备。工作组包括</w:t>
      </w:r>
      <w:r>
        <w:rPr>
          <w:rFonts w:hint="eastAsia" w:ascii="仿宋" w:hAnsi="仿宋" w:eastAsia="仿宋" w:cs="Times New Roman"/>
          <w:sz w:val="32"/>
          <w:szCs w:val="32"/>
          <w:lang w:val="en-US" w:eastAsia="zh-CN"/>
        </w:rPr>
        <w:t>项目负责人（</w:t>
      </w:r>
      <w:r>
        <w:rPr>
          <w:rFonts w:hint="eastAsia" w:ascii="仿宋" w:hAnsi="仿宋" w:eastAsia="仿宋" w:cs="Times New Roman"/>
          <w:sz w:val="32"/>
          <w:szCs w:val="32"/>
        </w:rPr>
        <w:t>主评人</w:t>
      </w:r>
      <w:r>
        <w:rPr>
          <w:rFonts w:hint="eastAsia" w:ascii="仿宋" w:hAnsi="仿宋" w:eastAsia="仿宋" w:cs="Times New Roman"/>
          <w:sz w:val="32"/>
          <w:szCs w:val="32"/>
          <w:lang w:val="en-US" w:eastAsia="zh-CN"/>
        </w:rPr>
        <w:t>）</w:t>
      </w:r>
      <w:r>
        <w:rPr>
          <w:rFonts w:hint="eastAsia" w:ascii="仿宋" w:hAnsi="仿宋" w:eastAsia="仿宋" w:cs="Times New Roman"/>
          <w:sz w:val="32"/>
          <w:szCs w:val="32"/>
        </w:rPr>
        <w:t>__名和其他成员___名，项目负责人（主评人）为_______。项目负责人（主评人）一经确定，不得随意变更，并保持工作组成员相对稳定。</w:t>
      </w:r>
    </w:p>
    <w:p w14:paraId="0186E69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（二）完成时限。</w:t>
      </w:r>
      <w:r>
        <w:rPr>
          <w:rFonts w:hint="eastAsia" w:ascii="仿宋" w:hAnsi="仿宋" w:eastAsia="仿宋" w:cs="Times New Roman"/>
          <w:sz w:val="32"/>
          <w:szCs w:val="32"/>
          <w:lang w:val="en-US" w:eastAsia="zh-CN"/>
        </w:rPr>
        <w:t>工作</w:t>
      </w:r>
      <w:r>
        <w:rPr>
          <w:rFonts w:hint="eastAsia" w:ascii="仿宋" w:hAnsi="仿宋" w:eastAsia="仿宋" w:cs="Times New Roman"/>
          <w:sz w:val="32"/>
          <w:szCs w:val="32"/>
        </w:rPr>
        <w:t>服务时间为_____年___月    ____日至</w:t>
      </w:r>
      <w:bookmarkStart w:id="8" w:name="_Hlk195619951"/>
      <w:r>
        <w:rPr>
          <w:rFonts w:hint="eastAsia" w:ascii="仿宋" w:hAnsi="仿宋" w:eastAsia="仿宋" w:cs="Times New Roman"/>
          <w:sz w:val="32"/>
          <w:szCs w:val="32"/>
        </w:rPr>
        <w:t>______年____月____日</w:t>
      </w:r>
      <w:bookmarkEnd w:id="8"/>
      <w:r>
        <w:rPr>
          <w:rFonts w:hint="eastAsia" w:ascii="仿宋" w:hAnsi="仿宋" w:eastAsia="仿宋" w:cs="Times New Roman"/>
          <w:sz w:val="32"/>
          <w:szCs w:val="32"/>
        </w:rPr>
        <w:t>。具体进度要求如下：乙方应在______年____月____日前提交经甲方审核通过的工作实施方案；______年____月____日前提交工作报告初稿；______年____月____日前按照甲方提出的审核意见修改后，提交工作报告正式稿。</w:t>
      </w:r>
    </w:p>
    <w:p w14:paraId="7EBFA32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（三）质量要求。乙方应认真组织开展绩效</w:t>
      </w:r>
      <w:r>
        <w:rPr>
          <w:rFonts w:hint="eastAsia" w:ascii="仿宋" w:hAnsi="仿宋" w:eastAsia="仿宋" w:cs="Times New Roman"/>
          <w:sz w:val="32"/>
          <w:szCs w:val="32"/>
          <w:lang w:val="en-US" w:eastAsia="zh-CN"/>
        </w:rPr>
        <w:t>管理相关</w:t>
      </w:r>
      <w:r>
        <w:rPr>
          <w:rFonts w:hint="eastAsia" w:ascii="仿宋" w:hAnsi="仿宋" w:eastAsia="仿宋" w:cs="Times New Roman"/>
          <w:sz w:val="32"/>
          <w:szCs w:val="32"/>
        </w:rPr>
        <w:t>工作， 确保在</w:t>
      </w:r>
      <w:r>
        <w:rPr>
          <w:rFonts w:hint="eastAsia" w:ascii="仿宋" w:hAnsi="仿宋" w:eastAsia="仿宋" w:cs="Times New Roman"/>
          <w:sz w:val="32"/>
          <w:szCs w:val="32"/>
          <w:lang w:val="en-US" w:eastAsia="zh-CN"/>
        </w:rPr>
        <w:t>工作</w:t>
      </w:r>
      <w:r>
        <w:rPr>
          <w:rFonts w:hint="eastAsia" w:ascii="仿宋" w:hAnsi="仿宋" w:eastAsia="仿宋" w:cs="Times New Roman"/>
          <w:sz w:val="32"/>
          <w:szCs w:val="32"/>
        </w:rPr>
        <w:t>方案制定、指标体系设置、人员力量配备、工作程序、最终工作成果等方面符合有关规范要求。</w:t>
      </w:r>
    </w:p>
    <w:p w14:paraId="325B4D9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四）纪律要求。乙方组织的工作人员必须严格遵守廉洁纪律。不得参加可能影响独立公正开展绩效管理相关工作的宴请和活动；不得收受项目单位赠送的礼品、礼金、有价证券及其他福利品以及以任何名义给予的加班费、奖金、津贴等；不得在项目单位报销任何费用；不得索贿、受贿；不得有其他可能影响绩效管理相关工作公正性的行为。</w:t>
      </w:r>
    </w:p>
    <w:p w14:paraId="40EF890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（五）回避情形。乙方应确保与被</w:t>
      </w:r>
      <w:r>
        <w:rPr>
          <w:rFonts w:hint="eastAsia" w:ascii="仿宋" w:hAnsi="仿宋" w:eastAsia="仿宋" w:cs="Times New Roman"/>
          <w:sz w:val="32"/>
          <w:szCs w:val="32"/>
          <w:lang w:val="en-US" w:eastAsia="zh-CN"/>
        </w:rPr>
        <w:t>绩效管理工作</w:t>
      </w:r>
      <w:r>
        <w:rPr>
          <w:rFonts w:hint="eastAsia" w:ascii="仿宋" w:hAnsi="仿宋" w:eastAsia="仿宋" w:cs="Times New Roman"/>
          <w:sz w:val="32"/>
          <w:szCs w:val="32"/>
        </w:rPr>
        <w:t>对象之间不存在以下必须回避的情形：</w:t>
      </w:r>
    </w:p>
    <w:p w14:paraId="1DEE69D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1.在会计、税务、审计等事项中有直接经济利益关系或其他直接利害关系；</w:t>
      </w:r>
    </w:p>
    <w:p w14:paraId="73D362E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2.本单位相关人员与</w:t>
      </w:r>
      <w:r>
        <w:rPr>
          <w:rFonts w:hint="eastAsia" w:ascii="仿宋" w:hAnsi="仿宋" w:eastAsia="仿宋" w:cs="Times New Roman"/>
          <w:sz w:val="32"/>
          <w:szCs w:val="32"/>
          <w:lang w:val="en-US" w:eastAsia="zh-CN"/>
        </w:rPr>
        <w:t>绩效</w:t>
      </w:r>
      <w:r>
        <w:rPr>
          <w:rFonts w:hint="eastAsia" w:ascii="仿宋" w:hAnsi="仿宋" w:eastAsia="仿宋" w:cs="Times New Roman"/>
          <w:sz w:val="32"/>
          <w:szCs w:val="32"/>
        </w:rPr>
        <w:t>管理相关</w:t>
      </w:r>
      <w:r>
        <w:rPr>
          <w:rFonts w:hint="eastAsia" w:ascii="仿宋" w:hAnsi="仿宋" w:eastAsia="仿宋" w:cs="Times New Roman"/>
          <w:sz w:val="32"/>
          <w:szCs w:val="32"/>
          <w:lang w:val="en-US" w:eastAsia="zh-CN"/>
        </w:rPr>
        <w:t>工作</w:t>
      </w:r>
      <w:r>
        <w:rPr>
          <w:rFonts w:hint="eastAsia" w:ascii="仿宋" w:hAnsi="仿宋" w:eastAsia="仿宋" w:cs="Times New Roman"/>
          <w:sz w:val="32"/>
          <w:szCs w:val="32"/>
        </w:rPr>
        <w:t>对象负责人或主管人员有亲属关系；</w:t>
      </w:r>
    </w:p>
    <w:p w14:paraId="799D217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3.聘请的专家属于</w:t>
      </w:r>
      <w:r>
        <w:rPr>
          <w:rFonts w:hint="eastAsia" w:ascii="仿宋" w:hAnsi="仿宋" w:eastAsia="仿宋" w:cs="Times New Roman"/>
          <w:sz w:val="32"/>
          <w:szCs w:val="32"/>
          <w:lang w:val="en-US" w:eastAsia="zh-CN"/>
        </w:rPr>
        <w:t>绩效</w:t>
      </w:r>
      <w:r>
        <w:rPr>
          <w:rFonts w:hint="eastAsia" w:ascii="仿宋" w:hAnsi="仿宋" w:eastAsia="仿宋" w:cs="Times New Roman"/>
          <w:sz w:val="32"/>
          <w:szCs w:val="32"/>
        </w:rPr>
        <w:t>管理相关</w:t>
      </w:r>
      <w:r>
        <w:rPr>
          <w:rFonts w:hint="eastAsia" w:ascii="仿宋" w:hAnsi="仿宋" w:eastAsia="仿宋" w:cs="Times New Roman"/>
          <w:sz w:val="32"/>
          <w:szCs w:val="32"/>
          <w:lang w:val="en-US" w:eastAsia="zh-CN"/>
        </w:rPr>
        <w:t>工作</w:t>
      </w:r>
      <w:r>
        <w:rPr>
          <w:rFonts w:hint="eastAsia" w:ascii="仿宋" w:hAnsi="仿宋" w:eastAsia="仿宋" w:cs="Times New Roman"/>
          <w:sz w:val="32"/>
          <w:szCs w:val="32"/>
        </w:rPr>
        <w:t>对象的在职人员；</w:t>
      </w:r>
    </w:p>
    <w:p w14:paraId="39272E2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4.在本合同履行期间，与</w:t>
      </w:r>
      <w:r>
        <w:rPr>
          <w:rFonts w:hint="eastAsia" w:ascii="仿宋" w:hAnsi="仿宋" w:eastAsia="仿宋" w:cs="Times New Roman"/>
          <w:sz w:val="32"/>
          <w:szCs w:val="32"/>
          <w:lang w:val="en-US" w:eastAsia="zh-CN"/>
        </w:rPr>
        <w:t>绩效</w:t>
      </w:r>
      <w:r>
        <w:rPr>
          <w:rFonts w:hint="eastAsia" w:ascii="仿宋" w:hAnsi="仿宋" w:eastAsia="仿宋" w:cs="Times New Roman"/>
          <w:sz w:val="32"/>
          <w:szCs w:val="32"/>
        </w:rPr>
        <w:t>管理相关</w:t>
      </w:r>
      <w:r>
        <w:rPr>
          <w:rFonts w:hint="eastAsia" w:ascii="仿宋" w:hAnsi="仿宋" w:eastAsia="仿宋" w:cs="Times New Roman"/>
          <w:sz w:val="32"/>
          <w:szCs w:val="32"/>
          <w:lang w:val="en-US" w:eastAsia="zh-CN"/>
        </w:rPr>
        <w:t>工作</w:t>
      </w:r>
      <w:r>
        <w:rPr>
          <w:rFonts w:hint="eastAsia" w:ascii="仿宋" w:hAnsi="仿宋" w:eastAsia="仿宋" w:cs="Times New Roman"/>
          <w:sz w:val="32"/>
          <w:szCs w:val="32"/>
        </w:rPr>
        <w:t>对象已经建立或者有意向建立</w:t>
      </w:r>
      <w:r>
        <w:rPr>
          <w:rFonts w:hint="eastAsia" w:ascii="仿宋" w:hAnsi="仿宋" w:eastAsia="仿宋" w:cs="Times New Roman"/>
          <w:sz w:val="32"/>
          <w:szCs w:val="32"/>
          <w:lang w:val="en-US" w:eastAsia="zh-CN"/>
        </w:rPr>
        <w:t>绩效</w:t>
      </w:r>
      <w:r>
        <w:rPr>
          <w:rFonts w:hint="eastAsia" w:ascii="仿宋" w:hAnsi="仿宋" w:eastAsia="仿宋" w:cs="Times New Roman"/>
          <w:sz w:val="32"/>
          <w:szCs w:val="32"/>
        </w:rPr>
        <w:t>管理</w:t>
      </w:r>
      <w:r>
        <w:rPr>
          <w:rFonts w:hint="eastAsia" w:ascii="仿宋" w:hAnsi="仿宋" w:eastAsia="仿宋" w:cs="Times New Roman"/>
          <w:sz w:val="32"/>
          <w:szCs w:val="32"/>
          <w:lang w:val="en-US" w:eastAsia="zh-CN"/>
        </w:rPr>
        <w:t>工作</w:t>
      </w:r>
      <w:r>
        <w:rPr>
          <w:rFonts w:hint="eastAsia" w:ascii="仿宋" w:hAnsi="仿宋" w:eastAsia="仿宋" w:cs="Times New Roman"/>
          <w:sz w:val="32"/>
          <w:szCs w:val="32"/>
        </w:rPr>
        <w:t>相关服务合作关系；</w:t>
      </w:r>
    </w:p>
    <w:p w14:paraId="63B7AC9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5.其他可能影响公正性的情形。</w:t>
      </w:r>
    </w:p>
    <w:p w14:paraId="51D82DB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六）保密要求。乙方应对本协议有关的信息资料（包括口头及书面）采取保密措施，未经甲方的书面同意，不得将本委托事项所涉及的资料向第三方透露，也不得将协议的具体条款进行新闻发布、公开宣称、否认或承认。在本协议委托事项工作结束并通过验收后，乙方应向甲方移交所有需要移交的资料或文件等，并承诺不保留这些资料或文件的任何电子文档和复印件。</w:t>
      </w:r>
    </w:p>
    <w:p w14:paraId="1202337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（七）成果归属。乙方完成的工作成果知识产权归甲方所有，乙方未经甲方允许，不得将相关工作成果对外提供或公开发表。</w:t>
      </w:r>
    </w:p>
    <w:p w14:paraId="23E9557C">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四、合同双方的权利和义务</w:t>
      </w:r>
    </w:p>
    <w:p w14:paraId="0982B1B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（一）甲方的权利义务如下：</w:t>
      </w:r>
    </w:p>
    <w:p w14:paraId="2A652ED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 xml:space="preserve">1. 明确委托事项具体内容、工作要求和工作规范； </w:t>
      </w:r>
    </w:p>
    <w:p w14:paraId="040F446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2.对乙方推荐的项目负责人（主评人）人选进行审核；</w:t>
      </w:r>
    </w:p>
    <w:p w14:paraId="2674781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3. 必要时对乙方进行培训和业务指导；</w:t>
      </w:r>
    </w:p>
    <w:p w14:paraId="5A79430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4.协调相关部门及时提供必要资料、数据信息等，保证 委托工作正常开展；</w:t>
      </w:r>
    </w:p>
    <w:p w14:paraId="5BDEBAD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5.对乙方工作开展情况进行跟踪记录和监督；</w:t>
      </w:r>
    </w:p>
    <w:p w14:paraId="54C4332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6. 明确验收要求，对乙方提交的工作成果及相关资料进行验收；</w:t>
      </w:r>
    </w:p>
    <w:p w14:paraId="5E62D8CF">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7.对乙方合同履行情况开展质量控制；</w:t>
      </w:r>
    </w:p>
    <w:p w14:paraId="5DA48B7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8.按照合同约定向乙方支付绩效</w:t>
      </w:r>
      <w:r>
        <w:rPr>
          <w:rFonts w:hint="eastAsia" w:ascii="仿宋" w:hAnsi="仿宋" w:eastAsia="仿宋" w:cs="Times New Roman"/>
          <w:sz w:val="32"/>
          <w:szCs w:val="32"/>
          <w:lang w:val="en-US" w:eastAsia="zh-CN"/>
        </w:rPr>
        <w:t>管理服务</w:t>
      </w:r>
      <w:r>
        <w:rPr>
          <w:rFonts w:hint="eastAsia" w:ascii="仿宋" w:hAnsi="仿宋" w:eastAsia="仿宋" w:cs="Times New Roman"/>
          <w:sz w:val="32"/>
          <w:szCs w:val="32"/>
        </w:rPr>
        <w:t xml:space="preserve">费用； </w:t>
      </w:r>
    </w:p>
    <w:p w14:paraId="0BAB3B04">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9.其他合同未尽列的权利义务。</w:t>
      </w:r>
    </w:p>
    <w:p w14:paraId="15B8EE4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（二）乙方的权利义务如下：</w:t>
      </w:r>
    </w:p>
    <w:p w14:paraId="2E4B50C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1.按照有关规定和甲方要求开展绩效管理服务工作，并积极配合甲方的指导、跟踪和监督等工作；</w:t>
      </w:r>
    </w:p>
    <w:p w14:paraId="5B1466C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2.配备与委托事项工作要求相适应、结构合理、相对稳定的工作组，项目负责人（主评人）须事先征得甲方同意；</w:t>
      </w:r>
    </w:p>
    <w:p w14:paraId="348EC37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3.参加甲方组织的相关业务培训；</w:t>
      </w:r>
    </w:p>
    <w:p w14:paraId="2092EA4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4.在合同约定的时间内完成相关工作，提交符合要求的工作成果及相关资料；</w:t>
      </w:r>
    </w:p>
    <w:p w14:paraId="65BBD0C6">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5.对绩效</w:t>
      </w:r>
      <w:r>
        <w:rPr>
          <w:rFonts w:hint="eastAsia" w:ascii="仿宋" w:hAnsi="仿宋" w:eastAsia="仿宋" w:cs="Times New Roman"/>
          <w:sz w:val="32"/>
          <w:szCs w:val="32"/>
          <w:lang w:val="en-US" w:eastAsia="zh-CN"/>
        </w:rPr>
        <w:t>管理服务</w:t>
      </w:r>
      <w:r>
        <w:rPr>
          <w:rFonts w:hint="eastAsia" w:ascii="仿宋" w:hAnsi="仿宋" w:eastAsia="仿宋" w:cs="Times New Roman"/>
          <w:sz w:val="32"/>
          <w:szCs w:val="32"/>
        </w:rPr>
        <w:t>工作成果和相关资料的客观性、真实性、 完整性、准确性负责；</w:t>
      </w:r>
    </w:p>
    <w:p w14:paraId="03CDA77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6.按照甲方要求做好绩效管理服务信息资料档案管理工作以及保密工作；</w:t>
      </w:r>
    </w:p>
    <w:p w14:paraId="1B47F55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7.按照合同约定收取绩效管理服务费用；</w:t>
      </w:r>
    </w:p>
    <w:p w14:paraId="0924A303">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Times New Roman"/>
          <w:sz w:val="32"/>
          <w:szCs w:val="32"/>
        </w:rPr>
      </w:pPr>
      <w:r>
        <w:rPr>
          <w:rFonts w:hint="eastAsia" w:ascii="仿宋" w:hAnsi="仿宋" w:eastAsia="仿宋" w:cs="Times New Roman"/>
          <w:sz w:val="32"/>
          <w:szCs w:val="32"/>
        </w:rPr>
        <w:t xml:space="preserve">    8.其他合同未尽列的权利义务。</w:t>
      </w:r>
    </w:p>
    <w:p w14:paraId="79F96763">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五、服务质量的考核</w:t>
      </w:r>
    </w:p>
    <w:p w14:paraId="79E7C23E">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Times New Roman"/>
          <w:sz w:val="32"/>
          <w:szCs w:val="32"/>
          <w:lang w:val="en-US" w:eastAsia="zh-CN"/>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一</w:t>
      </w:r>
      <w:r>
        <w:rPr>
          <w:rFonts w:hint="eastAsia" w:ascii="仿宋" w:hAnsi="仿宋" w:eastAsia="仿宋" w:cs="Times New Roman"/>
          <w:sz w:val="32"/>
          <w:szCs w:val="32"/>
          <w:lang w:eastAsia="zh-CN"/>
        </w:rPr>
        <w:t>）</w:t>
      </w:r>
      <w:r>
        <w:rPr>
          <w:rFonts w:hint="eastAsia" w:ascii="仿宋" w:hAnsi="仿宋" w:eastAsia="仿宋" w:cs="Times New Roman"/>
          <w:sz w:val="32"/>
          <w:szCs w:val="32"/>
        </w:rPr>
        <w:t>单个项目完成后，</w:t>
      </w:r>
      <w:r>
        <w:rPr>
          <w:rFonts w:hint="eastAsia" w:ascii="仿宋" w:hAnsi="仿宋" w:eastAsia="仿宋" w:cs="Times New Roman"/>
          <w:sz w:val="32"/>
          <w:szCs w:val="32"/>
          <w:lang w:val="en-US" w:eastAsia="zh-CN"/>
        </w:rPr>
        <w:t>甲方</w:t>
      </w:r>
      <w:r>
        <w:rPr>
          <w:rFonts w:hint="eastAsia" w:ascii="仿宋" w:hAnsi="仿宋" w:eastAsia="仿宋" w:cs="Times New Roman"/>
          <w:sz w:val="32"/>
          <w:szCs w:val="32"/>
        </w:rPr>
        <w:t>根据《南阳市市级部门委托第三方机构参与预算绩效管理工作办法》对中介机构工作情况和业务质量进行</w:t>
      </w:r>
      <w:r>
        <w:rPr>
          <w:rFonts w:hint="eastAsia" w:ascii="仿宋" w:hAnsi="仿宋" w:eastAsia="仿宋" w:cs="Times New Roman"/>
          <w:sz w:val="32"/>
          <w:szCs w:val="32"/>
          <w:lang w:val="en-US" w:eastAsia="zh-CN"/>
        </w:rPr>
        <w:t>综合考评</w:t>
      </w:r>
      <w:r>
        <w:rPr>
          <w:rFonts w:hint="eastAsia" w:ascii="仿宋" w:hAnsi="仿宋" w:eastAsia="仿宋" w:cs="Times New Roman"/>
          <w:sz w:val="32"/>
          <w:szCs w:val="32"/>
        </w:rPr>
        <w:t>。考评结果分为“优”（得分≥90分）、“良”(90分&gt;得分≥80分)、“中”(80分&gt;得分≥60分)和“差”（得分＜60 分）四个等级</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考评结果要与付费比例挂钩。</w:t>
      </w:r>
    </w:p>
    <w:p w14:paraId="64FE672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二</w:t>
      </w:r>
      <w:r>
        <w:rPr>
          <w:rFonts w:hint="eastAsia" w:ascii="仿宋" w:hAnsi="仿宋" w:eastAsia="仿宋" w:cs="Times New Roman"/>
          <w:sz w:val="32"/>
          <w:szCs w:val="32"/>
          <w:lang w:eastAsia="zh-CN"/>
        </w:rPr>
        <w:t>）</w:t>
      </w:r>
      <w:r>
        <w:rPr>
          <w:rFonts w:hint="eastAsia" w:ascii="仿宋" w:hAnsi="仿宋" w:eastAsia="仿宋" w:cs="Times New Roman"/>
          <w:sz w:val="32"/>
          <w:szCs w:val="32"/>
        </w:rPr>
        <w:t>考核结果为“中“、”差”等级的</w:t>
      </w:r>
      <w:r>
        <w:rPr>
          <w:rFonts w:hint="eastAsia" w:ascii="仿宋" w:hAnsi="仿宋" w:eastAsia="仿宋" w:cs="Times New Roman"/>
          <w:sz w:val="32"/>
          <w:szCs w:val="32"/>
          <w:lang w:val="en-US" w:eastAsia="zh-CN"/>
        </w:rPr>
        <w:t>第三方机构</w:t>
      </w:r>
      <w:r>
        <w:rPr>
          <w:rFonts w:hint="eastAsia" w:ascii="仿宋" w:hAnsi="仿宋" w:eastAsia="仿宋" w:cs="Times New Roman"/>
          <w:sz w:val="32"/>
          <w:szCs w:val="32"/>
        </w:rPr>
        <w:t>不再参与下一轮抽签，并取消框架协议后续服务期服务资格，同时将其执业质量情况通报其所在的行业协会及监管部门。</w:t>
      </w:r>
    </w:p>
    <w:p w14:paraId="767BEEA5">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lang w:val="en-US" w:eastAsia="zh-CN"/>
        </w:rPr>
      </w:pPr>
      <w:r>
        <w:rPr>
          <w:rFonts w:hint="eastAsia" w:ascii="仿宋" w:hAnsi="仿宋" w:eastAsia="仿宋" w:cs="Times New Roman"/>
          <w:b/>
          <w:bCs/>
          <w:sz w:val="32"/>
          <w:szCs w:val="32"/>
        </w:rPr>
        <w:t>六、合同价款及支付</w:t>
      </w:r>
      <w:r>
        <w:rPr>
          <w:rFonts w:hint="eastAsia" w:ascii="仿宋" w:hAnsi="仿宋" w:eastAsia="仿宋" w:cs="Times New Roman"/>
          <w:b/>
          <w:bCs/>
          <w:sz w:val="32"/>
          <w:szCs w:val="32"/>
          <w:lang w:val="en-US" w:eastAsia="zh-CN"/>
        </w:rPr>
        <w:t>条件</w:t>
      </w:r>
    </w:p>
    <w:p w14:paraId="1831CEB2">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（一）合同价款：双方约定绩效</w:t>
      </w:r>
      <w:r>
        <w:rPr>
          <w:rFonts w:hint="eastAsia" w:ascii="仿宋" w:hAnsi="仿宋" w:eastAsia="仿宋" w:cs="Times New Roman"/>
          <w:sz w:val="32"/>
          <w:szCs w:val="32"/>
          <w:lang w:val="en-US" w:eastAsia="zh-CN"/>
        </w:rPr>
        <w:t>管理服务</w:t>
      </w:r>
      <w:r>
        <w:rPr>
          <w:rFonts w:hint="eastAsia" w:ascii="仿宋" w:hAnsi="仿宋" w:eastAsia="仿宋" w:cs="Times New Roman"/>
          <w:sz w:val="32"/>
          <w:szCs w:val="32"/>
        </w:rPr>
        <w:t>费用为人民币________元，即_______________________（大写）（其中双方可约定合同价款的一定比例作为评价质量挂钩费用）。</w:t>
      </w:r>
    </w:p>
    <w:p w14:paraId="19030013">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甲方付款前，乙方需向甲方提供合法等额税务票据，否则甲方有权顺延付款期限。</w:t>
      </w:r>
    </w:p>
    <w:p w14:paraId="407AEB05">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（二）支付</w:t>
      </w:r>
      <w:r>
        <w:rPr>
          <w:rFonts w:hint="eastAsia" w:ascii="仿宋" w:hAnsi="仿宋" w:eastAsia="仿宋" w:cs="Times New Roman"/>
          <w:sz w:val="32"/>
          <w:szCs w:val="32"/>
          <w:lang w:val="en-US" w:eastAsia="zh-CN"/>
        </w:rPr>
        <w:t>条件</w:t>
      </w:r>
      <w:r>
        <w:rPr>
          <w:rFonts w:hint="eastAsia" w:ascii="仿宋" w:hAnsi="仿宋" w:eastAsia="仿宋" w:cs="Times New Roman"/>
          <w:sz w:val="32"/>
          <w:szCs w:val="32"/>
        </w:rPr>
        <w:t>：服务项目完成后，委托方根据</w:t>
      </w:r>
      <w:r>
        <w:rPr>
          <w:rFonts w:hint="eastAsia" w:ascii="仿宋" w:hAnsi="仿宋" w:eastAsia="仿宋" w:cs="Times New Roman"/>
          <w:sz w:val="32"/>
          <w:szCs w:val="32"/>
          <w:lang w:val="en-US" w:eastAsia="zh-CN"/>
        </w:rPr>
        <w:t>上述综合</w:t>
      </w:r>
      <w:r>
        <w:rPr>
          <w:rFonts w:hint="eastAsia" w:ascii="仿宋" w:hAnsi="仿宋" w:eastAsia="仿宋" w:cs="Times New Roman"/>
          <w:sz w:val="32"/>
          <w:szCs w:val="32"/>
        </w:rPr>
        <w:t>考评结果调整实际支付费用，并一次性付清。考评结果为优（得分≥90分）的，支付合同额的100%；考评结果为良(90分&gt;得分≥80分)的，支付合同额的85%；考评结果为中(80分&gt;得分≥60分)的，支付合同额的70%；考评结果为差（得分＜60 分）的，支付合同额的50%。</w:t>
      </w:r>
    </w:p>
    <w:p w14:paraId="1851A31B">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七、合同变更</w:t>
      </w:r>
    </w:p>
    <w:p w14:paraId="3E9F8CB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合同履行过程中，因客观情况发生变化，确需变更合同实质性条款的，包括合同履行主体、委托事项、履行期限、合同价款等，经双方协商一致，通过书面形式变更合同。如果由于甲方工作计划调整、任务变化等原因造成项目成本增加或者减少并进而需对合同价款予以调整的，双方应签订补充协议。</w:t>
      </w:r>
    </w:p>
    <w:p w14:paraId="6671BF11">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八、合同解除</w:t>
      </w:r>
    </w:p>
    <w:p w14:paraId="173B56FD">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出现下列情形之一，可能影响合同正常履行的，经双方协商后，可以签署合同书面解除协议：</w:t>
      </w:r>
    </w:p>
    <w:p w14:paraId="0432225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（一）委托合同确定的评价任务取消；</w:t>
      </w:r>
    </w:p>
    <w:p w14:paraId="7F7A4E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（二）乙方人员配备发生变化导致丧失履约能力；</w:t>
      </w:r>
    </w:p>
    <w:p w14:paraId="07B6D25A">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（三）合同一方出现重大违约或预期违约；</w:t>
      </w:r>
    </w:p>
    <w:p w14:paraId="52B975A8">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（四）不可抗力等其他导致合同无法正常履行的情形；</w:t>
      </w:r>
    </w:p>
    <w:p w14:paraId="71ED109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（五）合同约定的其他情况。</w:t>
      </w:r>
    </w:p>
    <w:p w14:paraId="64A6B387">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九、档案管理</w:t>
      </w:r>
    </w:p>
    <w:p w14:paraId="10F61DB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绩效</w:t>
      </w:r>
      <w:r>
        <w:rPr>
          <w:rFonts w:hint="eastAsia" w:ascii="仿宋" w:hAnsi="仿宋" w:eastAsia="仿宋" w:cs="Times New Roman"/>
          <w:sz w:val="32"/>
          <w:szCs w:val="32"/>
          <w:lang w:val="en-US" w:eastAsia="zh-CN"/>
        </w:rPr>
        <w:t>管理服务工作</w:t>
      </w:r>
      <w:r>
        <w:rPr>
          <w:rFonts w:hint="eastAsia" w:ascii="仿宋" w:hAnsi="仿宋" w:eastAsia="仿宋" w:cs="Times New Roman"/>
          <w:sz w:val="32"/>
          <w:szCs w:val="32"/>
        </w:rPr>
        <w:t>相关档案由乙方管理（另有约定的除外），不得擅自对外提供。归档资料主要包括立项性材料、证明性材料和结论性材料等。档案至少应保存___年（甲乙双方根据需要协商约定），在保存期内甲方有权进行查阅、复制和检查。乙方因合并、撤销、解散、破产或者其他原因而终止的，预算绩效评价档案由存续方继续管理或移交甲方管理。</w:t>
      </w:r>
    </w:p>
    <w:p w14:paraId="2C81271F">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十、违约责任</w:t>
      </w:r>
    </w:p>
    <w:p w14:paraId="78FB505C">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一）甲乙任何一方因不可抗力而无法履行本合同约定义务的，应在该事由发生后_____日内书面通知对方，并及时向对方提供遭遇不可抗力的证明文件。因此导致合同履行延期的，履行期限顺延；因此产生的经济损失由双方协商处理；因此导致合同无法继续履行的，双方共同协商处理合同终止事宜。</w:t>
      </w:r>
    </w:p>
    <w:p w14:paraId="4D57624B">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（二）甲乙任何一方因自身原因违反合同约定的，应向另一方赔偿由此造成的直接经济损失以及另一方因此产生的必要费用。</w:t>
      </w:r>
    </w:p>
    <w:p w14:paraId="797D2157">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（三）甲乙任何一方因违反合同条款而导致合同无法履行的，另一方可以解除合同，并要求对方承担违约责任。</w:t>
      </w:r>
    </w:p>
    <w:p w14:paraId="2446D64C">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十一、争议解决办法</w:t>
      </w:r>
    </w:p>
    <w:p w14:paraId="6983FDA0">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甲乙双方在履约中发生纠纷，双方应本着友善的态度协商解决。协商解决不成的，双方均有权向甲方所在地有管辖权的法院提起诉讼。</w:t>
      </w:r>
    </w:p>
    <w:p w14:paraId="4DDD43D1">
      <w:pPr>
        <w:keepNext w:val="0"/>
        <w:keepLines w:val="0"/>
        <w:pageBreakBefore w:val="0"/>
        <w:widowControl w:val="0"/>
        <w:kinsoku/>
        <w:wordWrap/>
        <w:overflowPunct/>
        <w:topLinePunct w:val="0"/>
        <w:autoSpaceDE/>
        <w:autoSpaceDN/>
        <w:bidi w:val="0"/>
        <w:adjustRightInd/>
        <w:snapToGrid/>
        <w:spacing w:line="480" w:lineRule="exact"/>
        <w:ind w:firstLine="643" w:firstLineChars="200"/>
        <w:textAlignment w:val="auto"/>
        <w:rPr>
          <w:rFonts w:hint="eastAsia" w:ascii="仿宋" w:hAnsi="仿宋" w:eastAsia="仿宋" w:cs="Times New Roman"/>
          <w:b/>
          <w:bCs/>
          <w:sz w:val="32"/>
          <w:szCs w:val="32"/>
        </w:rPr>
      </w:pPr>
      <w:r>
        <w:rPr>
          <w:rFonts w:hint="eastAsia" w:ascii="仿宋" w:hAnsi="仿宋" w:eastAsia="仿宋" w:cs="Times New Roman"/>
          <w:b/>
          <w:bCs/>
          <w:sz w:val="32"/>
          <w:szCs w:val="32"/>
        </w:rPr>
        <w:t>十二、其他</w:t>
      </w:r>
    </w:p>
    <w:p w14:paraId="5EF918F1">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本合同一式_____份，由甲方、乙方各执_____份。本合同自双方法定代表人或授权代表签字盖章之日起生效，合同规定事项完成后双方委托关系终止。</w:t>
      </w:r>
    </w:p>
    <w:p w14:paraId="50932B89">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 w:hAnsi="仿宋" w:eastAsia="仿宋" w:cs="Times New Roman"/>
          <w:sz w:val="32"/>
          <w:szCs w:val="32"/>
        </w:rPr>
      </w:pPr>
      <w:r>
        <w:rPr>
          <w:rFonts w:hint="eastAsia" w:ascii="仿宋" w:hAnsi="仿宋" w:eastAsia="仿宋" w:cs="Times New Roman"/>
          <w:sz w:val="32"/>
          <w:szCs w:val="32"/>
        </w:rPr>
        <w:t>如有未尽事项，由双方协商后订立补充合同。补充合同为本合同不可分割之组成部分，与本合同具有同等法律效力。</w:t>
      </w:r>
    </w:p>
    <w:p w14:paraId="0DCD5E66">
      <w:pPr>
        <w:ind w:firstLine="640" w:firstLineChars="200"/>
        <w:rPr>
          <w:rFonts w:hint="eastAsia" w:ascii="仿宋" w:hAnsi="仿宋" w:eastAsia="仿宋" w:cs="Times New Roman"/>
          <w:sz w:val="32"/>
          <w:szCs w:val="32"/>
        </w:rPr>
      </w:pPr>
    </w:p>
    <w:p w14:paraId="615D2B24">
      <w:pPr>
        <w:ind w:firstLine="640" w:firstLineChars="200"/>
        <w:rPr>
          <w:rFonts w:hint="eastAsia" w:ascii="仿宋" w:hAnsi="仿宋" w:eastAsia="仿宋" w:cs="Times New Roman"/>
          <w:sz w:val="32"/>
          <w:szCs w:val="32"/>
        </w:rPr>
      </w:pPr>
    </w:p>
    <w:p w14:paraId="124B74E5">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甲方</w:t>
      </w:r>
      <w:r>
        <w:rPr>
          <w:rFonts w:hint="eastAsia" w:ascii="仿宋" w:hAnsi="仿宋" w:eastAsia="仿宋" w:cs="Times New Roman"/>
          <w:sz w:val="32"/>
          <w:szCs w:val="32"/>
          <w:lang w:eastAsia="zh-CN"/>
        </w:rPr>
        <w:t>：</w:t>
      </w:r>
      <w:r>
        <w:rPr>
          <w:rFonts w:hint="eastAsia" w:ascii="仿宋" w:hAnsi="仿宋" w:eastAsia="仿宋" w:cs="Times New Roman"/>
          <w:sz w:val="32"/>
          <w:szCs w:val="32"/>
        </w:rPr>
        <w:t>（公章）                 乙方</w:t>
      </w:r>
      <w:r>
        <w:rPr>
          <w:rFonts w:hint="eastAsia" w:ascii="仿宋" w:hAnsi="仿宋" w:eastAsia="仿宋" w:cs="Times New Roman"/>
          <w:sz w:val="32"/>
          <w:szCs w:val="32"/>
          <w:lang w:eastAsia="zh-CN"/>
        </w:rPr>
        <w:t>：</w:t>
      </w:r>
      <w:r>
        <w:rPr>
          <w:rFonts w:hint="eastAsia" w:ascii="仿宋" w:hAnsi="仿宋" w:eastAsia="仿宋" w:cs="Times New Roman"/>
          <w:sz w:val="32"/>
          <w:szCs w:val="32"/>
        </w:rPr>
        <w:t>（公章）</w:t>
      </w:r>
    </w:p>
    <w:p w14:paraId="5E79FFE0">
      <w:pPr>
        <w:rPr>
          <w:rFonts w:hint="eastAsia" w:ascii="仿宋" w:hAnsi="仿宋" w:eastAsia="仿宋" w:cs="Times New Roman"/>
          <w:sz w:val="32"/>
          <w:szCs w:val="32"/>
        </w:rPr>
      </w:pPr>
      <w:r>
        <w:rPr>
          <w:rFonts w:hint="eastAsia" w:ascii="仿宋" w:hAnsi="仿宋" w:eastAsia="仿宋" w:cs="Times New Roman"/>
          <w:sz w:val="32"/>
          <w:szCs w:val="32"/>
        </w:rPr>
        <w:t xml:space="preserve">                                                                                                                                                                                               </w:t>
      </w:r>
    </w:p>
    <w:p w14:paraId="019ADF4C">
      <w:pPr>
        <w:rPr>
          <w:rFonts w:hint="eastAsia" w:ascii="仿宋" w:hAnsi="仿宋" w:eastAsia="仿宋" w:cs="Times New Roman"/>
          <w:sz w:val="32"/>
          <w:szCs w:val="32"/>
          <w:lang w:eastAsia="zh-CN"/>
        </w:rPr>
      </w:pPr>
      <w:r>
        <w:rPr>
          <w:rFonts w:hint="eastAsia" w:ascii="仿宋" w:hAnsi="仿宋" w:eastAsia="仿宋" w:cs="Times New Roman"/>
          <w:sz w:val="32"/>
          <w:szCs w:val="32"/>
        </w:rPr>
        <w:t>法人代表或授权代表</w:t>
      </w:r>
      <w:r>
        <w:rPr>
          <w:rFonts w:hint="eastAsia" w:ascii="仿宋" w:hAnsi="仿宋" w:eastAsia="仿宋" w:cs="Times New Roman"/>
          <w:sz w:val="32"/>
          <w:szCs w:val="32"/>
          <w:lang w:eastAsia="zh-CN"/>
        </w:rPr>
        <w:t>：</w:t>
      </w:r>
      <w:r>
        <w:rPr>
          <w:rFonts w:hint="eastAsia" w:ascii="仿宋" w:hAnsi="仿宋" w:eastAsia="仿宋" w:cs="Times New Roman"/>
          <w:sz w:val="32"/>
          <w:szCs w:val="32"/>
        </w:rPr>
        <w:t xml:space="preserve">          法人代表或授权代表</w:t>
      </w:r>
      <w:r>
        <w:rPr>
          <w:rFonts w:hint="eastAsia" w:ascii="仿宋" w:hAnsi="仿宋" w:eastAsia="仿宋" w:cs="Times New Roman"/>
          <w:sz w:val="32"/>
          <w:szCs w:val="32"/>
          <w:lang w:eastAsia="zh-CN"/>
        </w:rPr>
        <w:t>：</w:t>
      </w:r>
    </w:p>
    <w:p w14:paraId="1A14193B">
      <w:pPr>
        <w:ind w:firstLine="960" w:firstLineChars="300"/>
        <w:rPr>
          <w:rFonts w:hint="eastAsia" w:ascii="仿宋" w:hAnsi="仿宋" w:eastAsia="仿宋" w:cs="Times New Roman"/>
          <w:sz w:val="32"/>
          <w:szCs w:val="32"/>
        </w:rPr>
      </w:pPr>
      <w:r>
        <w:rPr>
          <w:rFonts w:hint="eastAsia" w:ascii="仿宋" w:hAnsi="仿宋" w:eastAsia="仿宋" w:cs="Times New Roman"/>
          <w:sz w:val="32"/>
          <w:szCs w:val="32"/>
        </w:rPr>
        <w:t xml:space="preserve">（签章）                     </w:t>
      </w:r>
      <w:r>
        <w:rPr>
          <w:rFonts w:hint="eastAsia" w:ascii="仿宋" w:hAnsi="仿宋" w:eastAsia="仿宋" w:cs="Times New Roman"/>
          <w:sz w:val="32"/>
          <w:szCs w:val="32"/>
          <w:lang w:val="en-US" w:eastAsia="zh-CN"/>
        </w:rPr>
        <w:t xml:space="preserve">  </w:t>
      </w:r>
      <w:r>
        <w:rPr>
          <w:rFonts w:hint="eastAsia" w:ascii="仿宋" w:hAnsi="仿宋" w:eastAsia="仿宋" w:cs="Times New Roman"/>
          <w:sz w:val="32"/>
          <w:szCs w:val="32"/>
        </w:rPr>
        <w:t>（签章）</w:t>
      </w:r>
    </w:p>
    <w:p w14:paraId="39903A2E">
      <w:pPr>
        <w:ind w:firstLine="640" w:firstLineChars="200"/>
        <w:rPr>
          <w:rFonts w:ascii="仿宋" w:hAnsi="仿宋" w:eastAsia="仿宋" w:cs="Times New Roman"/>
          <w:sz w:val="32"/>
          <w:szCs w:val="32"/>
        </w:rPr>
      </w:pPr>
    </w:p>
    <w:p w14:paraId="051D15CE">
      <w:pPr>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年   月   日                   年   月   日</w:t>
      </w:r>
    </w:p>
    <w:p w14:paraId="7DEB34D3">
      <w:pPr>
        <w:numPr>
          <w:ilvl w:val="0"/>
          <w:numId w:val="0"/>
        </w:numPr>
        <w:rPr>
          <w:rFonts w:hint="default" w:ascii="宋体" w:hAnsi="宋体" w:eastAsia="宋体" w:cs="宋体"/>
          <w:sz w:val="24"/>
          <w:szCs w:val="24"/>
          <w:lang w:val="en-US" w:eastAsia="zh-CN"/>
        </w:rPr>
      </w:pPr>
    </w:p>
    <w:p w14:paraId="7B1B3B94">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95918C4">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DE5F6B2">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2A2CD1FD">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1D27A115">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5767A37">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5B263AF">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0790AF6">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77D8FF15">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38B08F3">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6C93B160">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04FF05CE">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4FCEAD18">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14:paraId="5293D7D5">
      <w:pPr>
        <w:pStyle w:val="5"/>
        <w:keepNext w:val="0"/>
        <w:keepLines w:val="0"/>
        <w:pageBreakBefore w:val="0"/>
        <w:kinsoku/>
        <w:wordWrap w:val="0"/>
        <w:overflowPunct/>
        <w:topLinePunct w:val="0"/>
        <w:bidi w:val="0"/>
        <w:spacing w:before="353" w:line="219" w:lineRule="auto"/>
        <w:ind w:left="2654"/>
        <w:jc w:val="both"/>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六</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lang w:eastAsia="zh-CN"/>
          <w14:textOutline w14:w="2306" w14:cap="flat" w14:cmpd="sng">
            <w14:solidFill>
              <w14:srgbClr w14:val="000000"/>
            </w14:solidFill>
            <w14:prstDash w14:val="solid"/>
            <w14:miter w14:val="0"/>
          </w14:textOutline>
        </w:rPr>
        <w:t>响应文件</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格式</w:t>
      </w:r>
    </w:p>
    <w:p w14:paraId="70C8F98E">
      <w:pPr>
        <w:keepNext w:val="0"/>
        <w:keepLines w:val="0"/>
        <w:pageBreakBefore w:val="0"/>
        <w:kinsoku/>
        <w:wordWrap w:val="0"/>
        <w:overflowPunct/>
        <w:topLinePunct w:val="0"/>
        <w:bidi w:val="0"/>
        <w:spacing w:line="253" w:lineRule="auto"/>
        <w:jc w:val="both"/>
        <w:rPr>
          <w:rFonts w:hint="eastAsia" w:asciiTheme="minorEastAsia" w:hAnsiTheme="minorEastAsia" w:eastAsiaTheme="minorEastAsia" w:cstheme="minorEastAsia"/>
          <w:sz w:val="21"/>
        </w:rPr>
      </w:pPr>
    </w:p>
    <w:p w14:paraId="78E5E366">
      <w:pPr>
        <w:pStyle w:val="5"/>
        <w:keepNext w:val="0"/>
        <w:keepLines w:val="0"/>
        <w:pageBreakBefore w:val="0"/>
        <w:widowControl/>
        <w:kinsoku/>
        <w:wordWrap w:val="0"/>
        <w:overflowPunct/>
        <w:topLinePunct w:val="0"/>
        <w:autoSpaceDE w:val="0"/>
        <w:autoSpaceDN w:val="0"/>
        <w:bidi w:val="0"/>
        <w:adjustRightInd w:val="0"/>
        <w:snapToGrid w:val="0"/>
        <w:spacing w:before="78" w:line="360" w:lineRule="auto"/>
        <w:ind w:left="154"/>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14:textOutline w14:w="1537" w14:cap="flat" w14:cmpd="sng">
            <w14:solidFill>
              <w14:srgbClr w14:val="000000"/>
            </w14:solidFill>
            <w14:prstDash w14:val="solid"/>
            <w14:miter w14:val="0"/>
          </w14:textOutline>
        </w:rPr>
        <w:t>供应商</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编制文件须知</w:t>
      </w:r>
    </w:p>
    <w:p w14:paraId="34A3342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w:t>
      </w:r>
      <w:r>
        <w:rPr>
          <w:rFonts w:hint="eastAsia" w:asciiTheme="minorEastAsia" w:hAnsiTheme="minorEastAsia" w:eastAsiaTheme="minorEastAsia" w:cstheme="minorEastAsia"/>
          <w:spacing w:val="-3"/>
          <w:sz w:val="24"/>
          <w:szCs w:val="24"/>
          <w:lang w:eastAsia="zh-CN"/>
        </w:rPr>
        <w:t>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3"/>
          <w:sz w:val="24"/>
          <w:szCs w:val="24"/>
        </w:rPr>
        <w:t>（资格证明文件）、</w:t>
      </w:r>
      <w:r>
        <w:rPr>
          <w:rFonts w:hint="eastAsia" w:asciiTheme="minorEastAsia" w:hAnsiTheme="minorEastAsia" w:eastAsiaTheme="minorEastAsia" w:cstheme="minorEastAsia"/>
          <w:spacing w:val="-3"/>
          <w:sz w:val="24"/>
          <w:szCs w:val="24"/>
          <w:lang w:eastAsia="zh-CN"/>
        </w:rPr>
        <w:t>响应文件</w:t>
      </w:r>
      <w:r>
        <w:rPr>
          <w:rFonts w:hint="eastAsia" w:asciiTheme="minorEastAsia" w:hAnsiTheme="minorEastAsia" w:eastAsiaTheme="minorEastAsia" w:cstheme="minorEastAsia"/>
          <w:spacing w:val="-4"/>
          <w:sz w:val="24"/>
          <w:szCs w:val="24"/>
        </w:rPr>
        <w:t>（商务技术文</w:t>
      </w:r>
      <w:r>
        <w:rPr>
          <w:rFonts w:hint="eastAsia" w:asciiTheme="minorEastAsia" w:hAnsiTheme="minorEastAsia" w:eastAsiaTheme="minorEastAsia" w:cstheme="minorEastAsia"/>
          <w:spacing w:val="-8"/>
          <w:sz w:val="24"/>
          <w:szCs w:val="24"/>
        </w:rPr>
        <w:t>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14:paraId="15FE265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2.</w:t>
      </w:r>
      <w:r>
        <w:rPr>
          <w:rFonts w:hint="eastAsia" w:asciiTheme="minorEastAsia" w:hAnsiTheme="minorEastAsia" w:eastAsiaTheme="minorEastAsia" w:cstheme="minorEastAsia"/>
          <w:spacing w:val="-1"/>
          <w:sz w:val="24"/>
          <w:szCs w:val="24"/>
        </w:rPr>
        <w:t>全部声明和问题的回答及所附材料必须是真实的、准确的和完整</w:t>
      </w:r>
      <w:r>
        <w:rPr>
          <w:rFonts w:hint="eastAsia" w:asciiTheme="minorEastAsia" w:hAnsiTheme="minorEastAsia" w:eastAsiaTheme="minorEastAsia" w:cstheme="minorEastAsia"/>
          <w:spacing w:val="-2"/>
          <w:sz w:val="24"/>
          <w:szCs w:val="24"/>
        </w:rPr>
        <w:t>的。</w:t>
      </w:r>
    </w:p>
    <w:p w14:paraId="61AF0115">
      <w:pPr>
        <w:keepNext w:val="0"/>
        <w:keepLines w:val="0"/>
        <w:pageBreakBefore w:val="0"/>
        <w:kinsoku/>
        <w:wordWrap w:val="0"/>
        <w:overflowPunct/>
        <w:topLinePunct w:val="0"/>
        <w:bidi w:val="0"/>
        <w:spacing w:line="219" w:lineRule="auto"/>
        <w:jc w:val="both"/>
        <w:rPr>
          <w:rFonts w:hint="eastAsia" w:asciiTheme="minorEastAsia" w:hAnsiTheme="minorEastAsia" w:eastAsiaTheme="minorEastAsia" w:cstheme="minorEastAsia"/>
          <w:sz w:val="24"/>
          <w:szCs w:val="24"/>
        </w:rPr>
        <w:sectPr>
          <w:headerReference r:id="rId10" w:type="default"/>
          <w:footerReference r:id="rId11" w:type="default"/>
          <w:pgSz w:w="11907" w:h="16840"/>
          <w:pgMar w:top="1440" w:right="1800" w:bottom="1440" w:left="1800" w:header="878" w:footer="886" w:gutter="0"/>
          <w:pgNumType w:fmt="decimal"/>
          <w:cols w:space="720" w:num="1"/>
        </w:sectPr>
      </w:pPr>
    </w:p>
    <w:p w14:paraId="27F2A298">
      <w:pPr>
        <w:pStyle w:val="5"/>
        <w:keepNext w:val="0"/>
        <w:keepLines w:val="0"/>
        <w:pageBreakBefore w:val="0"/>
        <w:kinsoku/>
        <w:wordWrap w:val="0"/>
        <w:overflowPunct/>
        <w:topLinePunct w:val="0"/>
        <w:bidi w:val="0"/>
        <w:spacing w:before="78" w:line="360" w:lineRule="auto"/>
        <w:ind w:left="13"/>
        <w:jc w:val="both"/>
        <w:outlineLvl w:val="2"/>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一、资格证明文件格式</w:t>
      </w:r>
    </w:p>
    <w:p w14:paraId="6CC75035">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1.开标一览表</w:t>
      </w:r>
    </w:p>
    <w:p w14:paraId="15ED7CB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2E86DAC5">
      <w:pPr>
        <w:keepNext w:val="0"/>
        <w:keepLines w:val="0"/>
        <w:pageBreakBefore w:val="0"/>
        <w:kinsoku/>
        <w:wordWrap w:val="0"/>
        <w:overflowPunct/>
        <w:topLinePunct w:val="0"/>
        <w:bidi w:val="0"/>
        <w:spacing w:line="360" w:lineRule="auto"/>
        <w:ind w:firstLine="576" w:firstLineChars="200"/>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开标一览表</w:t>
      </w:r>
    </w:p>
    <w:tbl>
      <w:tblPr>
        <w:tblStyle w:val="16"/>
        <w:tblW w:w="8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8"/>
        <w:gridCol w:w="6807"/>
      </w:tblGrid>
      <w:tr w14:paraId="70FE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7" w:hRule="atLeast"/>
        </w:trPr>
        <w:tc>
          <w:tcPr>
            <w:tcW w:w="1998" w:type="dxa"/>
            <w:noWrap w:val="0"/>
            <w:vAlign w:val="center"/>
          </w:tcPr>
          <w:p w14:paraId="74D4CBF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6807" w:type="dxa"/>
            <w:noWrap w:val="0"/>
            <w:vAlign w:val="center"/>
          </w:tcPr>
          <w:p w14:paraId="11AB7C0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6BD8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1" w:hRule="atLeast"/>
        </w:trPr>
        <w:tc>
          <w:tcPr>
            <w:tcW w:w="1998" w:type="dxa"/>
            <w:noWrap w:val="0"/>
            <w:vAlign w:val="center"/>
          </w:tcPr>
          <w:p w14:paraId="3EB95B6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6807" w:type="dxa"/>
            <w:noWrap w:val="0"/>
            <w:vAlign w:val="center"/>
          </w:tcPr>
          <w:p w14:paraId="2A4CBF9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3A760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5" w:hRule="atLeast"/>
        </w:trPr>
        <w:tc>
          <w:tcPr>
            <w:tcW w:w="1998" w:type="dxa"/>
            <w:noWrap w:val="0"/>
            <w:vAlign w:val="center"/>
          </w:tcPr>
          <w:p w14:paraId="36F0FF5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6807" w:type="dxa"/>
            <w:noWrap w:val="0"/>
            <w:vAlign w:val="center"/>
          </w:tcPr>
          <w:p w14:paraId="73B21F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7A42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0" w:hRule="atLeast"/>
        </w:trPr>
        <w:tc>
          <w:tcPr>
            <w:tcW w:w="1998" w:type="dxa"/>
            <w:noWrap w:val="0"/>
            <w:vAlign w:val="center"/>
          </w:tcPr>
          <w:p w14:paraId="625EF2A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响应报价</w:t>
            </w:r>
          </w:p>
        </w:tc>
        <w:tc>
          <w:tcPr>
            <w:tcW w:w="6807" w:type="dxa"/>
            <w:noWrap w:val="0"/>
            <w:vAlign w:val="center"/>
          </w:tcPr>
          <w:p w14:paraId="463F86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采购需求中所规定“计费标准”的    %</w:t>
            </w:r>
          </w:p>
        </w:tc>
      </w:tr>
      <w:tr w14:paraId="48E15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2" w:hRule="atLeast"/>
        </w:trPr>
        <w:tc>
          <w:tcPr>
            <w:tcW w:w="1998" w:type="dxa"/>
            <w:noWrap w:val="0"/>
            <w:vAlign w:val="center"/>
          </w:tcPr>
          <w:p w14:paraId="2BA7C1B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6807" w:type="dxa"/>
            <w:noWrap w:val="0"/>
            <w:vAlign w:val="center"/>
          </w:tcPr>
          <w:p w14:paraId="5F94F41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75B26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trPr>
        <w:tc>
          <w:tcPr>
            <w:tcW w:w="1998" w:type="dxa"/>
            <w:noWrap w:val="0"/>
            <w:vAlign w:val="center"/>
          </w:tcPr>
          <w:p w14:paraId="527ECA6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6807" w:type="dxa"/>
            <w:noWrap w:val="0"/>
            <w:vAlign w:val="center"/>
          </w:tcPr>
          <w:p w14:paraId="7EBEDE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14:paraId="64DD1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1998" w:type="dxa"/>
            <w:noWrap w:val="0"/>
            <w:vAlign w:val="center"/>
          </w:tcPr>
          <w:p w14:paraId="03E84CE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备注</w:t>
            </w:r>
          </w:p>
        </w:tc>
        <w:tc>
          <w:tcPr>
            <w:tcW w:w="6807" w:type="dxa"/>
            <w:noWrap w:val="0"/>
            <w:vAlign w:val="center"/>
          </w:tcPr>
          <w:p w14:paraId="5ED9451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14:paraId="0C3C7362">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注：本项目响应一览表中响应总报价指费率报价，例如按照计费标准的90%收取，响应总报价即为90%。</w:t>
      </w:r>
    </w:p>
    <w:p w14:paraId="43276B3E">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1FDDC496">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供应商（公章）：法定代表人（负责人）或授权代表（签字）：</w:t>
      </w:r>
    </w:p>
    <w:p w14:paraId="4D853D18">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p>
    <w:p w14:paraId="407F020C">
      <w:pPr>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58FB0B6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1F8B70E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sectPr>
          <w:pgSz w:w="11907" w:h="16840"/>
          <w:pgMar w:top="1440" w:right="1800" w:bottom="1440" w:left="1800" w:header="851" w:footer="992" w:gutter="0"/>
          <w:pgNumType w:fmt="decimal"/>
          <w:cols w:space="720" w:num="1"/>
        </w:sectPr>
      </w:pPr>
    </w:p>
    <w:p w14:paraId="3CE76AF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2.</w:t>
      </w:r>
      <w:r>
        <w:rPr>
          <w:rFonts w:hint="eastAsia" w:asciiTheme="minorEastAsia" w:hAnsiTheme="minorEastAsia" w:eastAsiaTheme="minorEastAsia" w:cstheme="minorEastAsia"/>
          <w:b/>
          <w:sz w:val="24"/>
          <w:szCs w:val="24"/>
          <w:lang w:eastAsia="zh-CN"/>
        </w:rPr>
        <w:t>授权书格式</w:t>
      </w:r>
    </w:p>
    <w:p w14:paraId="0180FF6B">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b/>
          <w:sz w:val="24"/>
          <w:szCs w:val="24"/>
          <w:lang w:eastAsia="zh-CN"/>
        </w:rPr>
      </w:pPr>
    </w:p>
    <w:p w14:paraId="550E1842">
      <w:pPr>
        <w:keepNext w:val="0"/>
        <w:keepLines w:val="0"/>
        <w:pageBreakBefore w:val="0"/>
        <w:kinsoku/>
        <w:wordWrap w:val="0"/>
        <w:overflowPunct/>
        <w:topLinePunct w:val="0"/>
        <w:bidi w:val="0"/>
        <w:spacing w:line="360" w:lineRule="auto"/>
        <w:ind w:firstLine="567"/>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法定代表人（负责人）授权委托书</w:t>
      </w:r>
    </w:p>
    <w:p w14:paraId="099B8C8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E8342A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w:t>
      </w:r>
    </w:p>
    <w:p w14:paraId="1D8FE6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地址：法定代表人（负责人）：</w:t>
      </w:r>
    </w:p>
    <w:p w14:paraId="37EEA11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授权代表姓名：性别：出生日期：年月日</w:t>
      </w:r>
    </w:p>
    <w:p w14:paraId="6233DCE1">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所在单位：职务：</w:t>
      </w:r>
    </w:p>
    <w:p w14:paraId="56B48CD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身份证：现住：</w:t>
      </w:r>
    </w:p>
    <w:p w14:paraId="78D6A407">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兹委托参加项目事宜，并授权其全权办理以下事宜：</w:t>
      </w:r>
    </w:p>
    <w:p w14:paraId="0153245D">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1、参加投标活动；</w:t>
      </w:r>
    </w:p>
    <w:p w14:paraId="128BA984">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2、签订与</w:t>
      </w:r>
      <w:r>
        <w:rPr>
          <w:rFonts w:hint="eastAsia" w:asciiTheme="minorEastAsia" w:hAnsiTheme="minorEastAsia" w:eastAsiaTheme="minorEastAsia" w:cstheme="minorEastAsia"/>
          <w:sz w:val="24"/>
          <w:szCs w:val="24"/>
          <w:lang w:val="en-US" w:eastAsia="zh-CN"/>
        </w:rPr>
        <w:t>中标</w:t>
      </w:r>
      <w:r>
        <w:rPr>
          <w:rFonts w:hint="eastAsia" w:asciiTheme="minorEastAsia" w:hAnsiTheme="minorEastAsia" w:eastAsiaTheme="minorEastAsia" w:cstheme="minorEastAsia"/>
          <w:sz w:val="24"/>
          <w:szCs w:val="24"/>
          <w:lang w:eastAsia="zh-CN"/>
        </w:rPr>
        <w:t>事宜有关的合同。</w:t>
      </w:r>
    </w:p>
    <w:p w14:paraId="532D5A8B">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授权代表在办理上述事宜过程中以其自己的名义所签署的所有文件我均予以承认。</w:t>
      </w:r>
    </w:p>
    <w:p w14:paraId="3A1FBA26">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授权代表无转委权。</w:t>
      </w:r>
    </w:p>
    <w:p w14:paraId="30C933C7">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委托期限：至上述事宜处理完毕止。</w:t>
      </w:r>
    </w:p>
    <w:p w14:paraId="72F3F656">
      <w:pPr>
        <w:pStyle w:val="15"/>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lang w:eastAsia="zh-CN"/>
        </w:rPr>
      </w:pPr>
    </w:p>
    <w:p w14:paraId="774E110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委托单位（公章）：</w:t>
      </w:r>
    </w:p>
    <w:p w14:paraId="4F304D6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法定代表人（负责人）（签字）：</w:t>
      </w:r>
    </w:p>
    <w:p w14:paraId="1392FAFE">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授权代表（签字）：</w:t>
      </w:r>
    </w:p>
    <w:p w14:paraId="6BE3FF7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5606020">
      <w:pPr>
        <w:keepNext w:val="0"/>
        <w:keepLines w:val="0"/>
        <w:pageBreakBefore w:val="0"/>
        <w:kinsoku/>
        <w:wordWrap w:val="0"/>
        <w:overflowPunct/>
        <w:topLinePunct w:val="0"/>
        <w:bidi w:val="0"/>
        <w:spacing w:line="360" w:lineRule="auto"/>
        <w:ind w:firstLine="567"/>
        <w:jc w:val="both"/>
        <w:rPr>
          <w:rFonts w:hint="eastAsia" w:asciiTheme="minorEastAsia" w:hAnsiTheme="minorEastAsia" w:eastAsiaTheme="minorEastAsia" w:cstheme="minorEastAsia"/>
          <w:sz w:val="24"/>
          <w:szCs w:val="24"/>
          <w:lang w:eastAsia="zh-CN"/>
        </w:rPr>
      </w:pPr>
    </w:p>
    <w:p w14:paraId="0FAD13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附：法定代表人（负责人）的身份证及授权代表的身份证</w:t>
      </w:r>
    </w:p>
    <w:p w14:paraId="15426A2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35D6449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10BBDEEC">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3BF17B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D8F8D3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56E2E6E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087E6DF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7BB635F1">
      <w:pPr>
        <w:keepNext w:val="0"/>
        <w:keepLines w:val="0"/>
        <w:pageBreakBefore w:val="0"/>
        <w:kinsoku/>
        <w:wordWrap w:val="0"/>
        <w:overflowPunct/>
        <w:topLinePunct w:val="0"/>
        <w:bidi w:val="0"/>
        <w:spacing w:line="360" w:lineRule="auto"/>
        <w:jc w:val="both"/>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资格声明函格式</w:t>
      </w:r>
    </w:p>
    <w:p w14:paraId="6246A1CB">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sz w:val="24"/>
          <w:szCs w:val="24"/>
          <w:lang w:eastAsia="zh-CN"/>
        </w:rPr>
      </w:pPr>
    </w:p>
    <w:p w14:paraId="15FF6C9B">
      <w:pPr>
        <w:keepNext w:val="0"/>
        <w:keepLines w:val="0"/>
        <w:pageBreakBefore w:val="0"/>
        <w:kinsoku/>
        <w:wordWrap w:val="0"/>
        <w:overflowPunct/>
        <w:topLinePunct w:val="0"/>
        <w:bidi w:val="0"/>
        <w:spacing w:line="360" w:lineRule="auto"/>
        <w:jc w:val="center"/>
        <w:rPr>
          <w:rFonts w:hint="eastAsia" w:ascii="仿宋_GB2312" w:hAnsi="宋体" w:eastAsia="仿宋_GB2312"/>
          <w:sz w:val="28"/>
          <w:szCs w:val="28"/>
          <w:lang w:eastAsia="zh-CN"/>
        </w:rPr>
      </w:pPr>
      <w:r>
        <w:rPr>
          <w:rFonts w:hint="eastAsia" w:asciiTheme="minorEastAsia" w:hAnsiTheme="minorEastAsia" w:eastAsiaTheme="minorEastAsia" w:cstheme="minorEastAsia"/>
          <w:b/>
          <w:sz w:val="24"/>
          <w:szCs w:val="24"/>
          <w:lang w:eastAsia="zh-CN"/>
        </w:rPr>
        <w:t>关于资格的声明函</w:t>
      </w:r>
    </w:p>
    <w:p w14:paraId="3DF5ED6D">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4013179C">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征集人或代理机构名称</w:t>
      </w:r>
      <w:r>
        <w:rPr>
          <w:rFonts w:hint="eastAsia" w:asciiTheme="minorEastAsia" w:hAnsiTheme="minorEastAsia" w:eastAsiaTheme="minorEastAsia" w:cstheme="minorEastAsia"/>
          <w:spacing w:val="-3"/>
          <w:sz w:val="24"/>
          <w:szCs w:val="24"/>
          <w:lang w:eastAsia="zh-CN"/>
        </w:rPr>
        <w:t>：</w:t>
      </w:r>
    </w:p>
    <w:p w14:paraId="13B0757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关于贵方编号为公开招标，本签字人愿意参加投标，提供“采购内容及要求”中规定的服务，并证明提交的下列文件和说明是准确的真实的。</w:t>
      </w:r>
    </w:p>
    <w:p w14:paraId="7B71AAC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1、由市场监管局签发的我方工商营业执照副本。</w:t>
      </w:r>
    </w:p>
    <w:p w14:paraId="59EABF9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2、法定代表人（负责人）授权书。</w:t>
      </w:r>
    </w:p>
    <w:p w14:paraId="27F3D2E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3、法定代表人（负责人）或授权代表身份证（答疑时出示原件）。</w:t>
      </w:r>
    </w:p>
    <w:p w14:paraId="2F3C7E9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4、公司地址、联系电话、传真等。</w:t>
      </w:r>
    </w:p>
    <w:p w14:paraId="16F7795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5、法定代表人（负责人）或授权代表的联系电话。</w:t>
      </w:r>
    </w:p>
    <w:p w14:paraId="1065AEE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6、招标项目要求的其他文件。</w:t>
      </w:r>
    </w:p>
    <w:p w14:paraId="5A898CD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7、本签字人确认资格文件中的说明是真实的、准确的。</w:t>
      </w:r>
    </w:p>
    <w:p w14:paraId="7334D500">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60ED65F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3F6385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供应商（公章）：法定代表人（负责人）或授权代表（签字）：</w:t>
      </w:r>
    </w:p>
    <w:p w14:paraId="47FCF99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p>
    <w:p w14:paraId="086032CC">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日期</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380614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68" w:firstLineChars="200"/>
        <w:jc w:val="both"/>
        <w:textAlignment w:val="baseline"/>
        <w:rPr>
          <w:rFonts w:hint="eastAsia" w:asciiTheme="minorEastAsia" w:hAnsiTheme="minorEastAsia" w:eastAsiaTheme="minorEastAsia" w:cstheme="minorEastAsia"/>
          <w:spacing w:val="-3"/>
          <w:sz w:val="24"/>
          <w:szCs w:val="24"/>
        </w:rPr>
      </w:pPr>
    </w:p>
    <w:p w14:paraId="0149648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70" w:firstLineChars="200"/>
        <w:jc w:val="both"/>
        <w:textAlignment w:val="baseline"/>
        <w:rPr>
          <w:rFonts w:hint="eastAsia" w:asciiTheme="minorEastAsia" w:hAnsiTheme="minorEastAsia" w:eastAsiaTheme="minorEastAsia" w:cstheme="minorEastAsia"/>
          <w:sz w:val="24"/>
          <w:szCs w:val="24"/>
          <w:lang w:val="en-US" w:eastAsia="zh-CN"/>
        </w:rPr>
        <w:sectPr>
          <w:headerReference r:id="rId12" w:type="default"/>
          <w:footerReference r:id="rId13" w:type="default"/>
          <w:pgSz w:w="11907" w:h="16840"/>
          <w:pgMar w:top="1440" w:right="1800" w:bottom="1440" w:left="1800" w:header="878" w:footer="886" w:gutter="0"/>
          <w:pgNumType w:fmt="decimal"/>
          <w:cols w:space="720" w:num="1"/>
        </w:sectPr>
      </w:pPr>
      <w:r>
        <w:rPr>
          <w:rFonts w:hint="eastAsia" w:asciiTheme="minorEastAsia" w:hAnsiTheme="minorEastAsia" w:eastAsiaTheme="minorEastAsia" w:cstheme="minorEastAsia"/>
          <w:b/>
          <w:bCs/>
          <w:spacing w:val="-3"/>
          <w:sz w:val="24"/>
          <w:szCs w:val="24"/>
        </w:rPr>
        <w:t>说明：供应商承诺不实的，依据《</w:t>
      </w:r>
      <w:r>
        <w:rPr>
          <w:rFonts w:hint="eastAsia" w:asciiTheme="minorEastAsia" w:hAnsiTheme="minorEastAsia" w:eastAsiaTheme="minorEastAsia" w:cstheme="minorEastAsia"/>
          <w:b/>
          <w:bCs/>
          <w:spacing w:val="-3"/>
          <w:sz w:val="24"/>
          <w:szCs w:val="24"/>
          <w:lang w:val="en-US" w:eastAsia="zh-CN"/>
        </w:rPr>
        <w:t>中华人民共和国</w:t>
      </w:r>
      <w:r>
        <w:rPr>
          <w:rFonts w:hint="eastAsia" w:asciiTheme="minorEastAsia" w:hAnsiTheme="minorEastAsia" w:eastAsiaTheme="minorEastAsia" w:cstheme="minorEastAsia"/>
          <w:b/>
          <w:bCs/>
          <w:spacing w:val="-3"/>
          <w:sz w:val="24"/>
          <w:szCs w:val="24"/>
        </w:rPr>
        <w:t>政府采购法》第七十七条</w:t>
      </w:r>
      <w:r>
        <w:rPr>
          <w:rFonts w:hint="eastAsia" w:asciiTheme="minorEastAsia" w:hAnsiTheme="minorEastAsia" w:eastAsiaTheme="minorEastAsia" w:cstheme="minorEastAsia"/>
          <w:b/>
          <w:bCs/>
          <w:spacing w:val="-3"/>
          <w:sz w:val="24"/>
          <w:szCs w:val="24"/>
          <w:lang w:val="en-US" w:eastAsia="zh-CN"/>
        </w:rPr>
        <w:t>提</w:t>
      </w:r>
      <w:r>
        <w:rPr>
          <w:rFonts w:hint="eastAsia" w:asciiTheme="minorEastAsia" w:hAnsiTheme="minorEastAsia" w:eastAsiaTheme="minorEastAsia" w:cstheme="minorEastAsia"/>
          <w:b/>
          <w:bCs/>
          <w:spacing w:val="8"/>
          <w:sz w:val="24"/>
          <w:szCs w:val="24"/>
        </w:rPr>
        <w:t>供虚假材料谋取中标、</w:t>
      </w:r>
      <w:r>
        <w:rPr>
          <w:rFonts w:hint="eastAsia" w:asciiTheme="minorEastAsia" w:hAnsiTheme="minorEastAsia" w:eastAsiaTheme="minorEastAsia" w:cstheme="minorEastAsia"/>
          <w:b/>
          <w:bCs/>
          <w:spacing w:val="-4"/>
          <w:sz w:val="24"/>
          <w:szCs w:val="24"/>
        </w:rPr>
        <w:t>成交的</w:t>
      </w:r>
      <w:r>
        <w:rPr>
          <w:rFonts w:hint="eastAsia" w:asciiTheme="minorEastAsia" w:hAnsiTheme="minorEastAsia" w:eastAsiaTheme="minorEastAsia" w:cstheme="minorEastAsia"/>
          <w:b/>
          <w:bCs/>
          <w:position w:val="11"/>
          <w:sz w:val="24"/>
          <w:szCs w:val="24"/>
        </w:rPr>
        <w:drawing>
          <wp:inline distT="0" distB="0" distL="0" distR="0">
            <wp:extent cx="65405" cy="38100"/>
            <wp:effectExtent l="0" t="0" r="0" b="0"/>
            <wp:docPr id="144" name="IM 144"/>
            <wp:cNvGraphicFramePr/>
            <a:graphic xmlns:a="http://schemas.openxmlformats.org/drawingml/2006/main">
              <a:graphicData uri="http://schemas.openxmlformats.org/drawingml/2006/picture">
                <pic:pic xmlns:pic="http://schemas.openxmlformats.org/drawingml/2006/picture">
                  <pic:nvPicPr>
                    <pic:cNvPr id="144" name="IM 144"/>
                    <pic:cNvPicPr/>
                  </pic:nvPicPr>
                  <pic:blipFill>
                    <a:blip r:embed="rId19"/>
                    <a:stretch>
                      <a:fillRect/>
                    </a:stretch>
                  </pic:blipFill>
                  <pic:spPr>
                    <a:xfrm>
                      <a:off x="0" y="0"/>
                      <a:ext cx="65992" cy="38254"/>
                    </a:xfrm>
                    <a:prstGeom prst="rect">
                      <a:avLst/>
                    </a:prstGeom>
                  </pic:spPr>
                </pic:pic>
              </a:graphicData>
            </a:graphic>
          </wp:inline>
        </w:drawing>
      </w:r>
      <w:r>
        <w:rPr>
          <w:rFonts w:hint="eastAsia" w:asciiTheme="minorEastAsia" w:hAnsiTheme="minorEastAsia" w:eastAsiaTheme="minorEastAsia" w:cstheme="minorEastAsia"/>
          <w:b/>
          <w:bCs/>
          <w:spacing w:val="-4"/>
          <w:sz w:val="24"/>
          <w:szCs w:val="24"/>
        </w:rPr>
        <w:t>有关规定予以</w:t>
      </w:r>
      <w:r>
        <w:rPr>
          <w:rFonts w:hint="eastAsia" w:asciiTheme="minorEastAsia" w:hAnsiTheme="minorEastAsia" w:eastAsiaTheme="minorEastAsia" w:cstheme="minorEastAsia"/>
          <w:b/>
          <w:bCs/>
          <w:spacing w:val="-4"/>
          <w:sz w:val="24"/>
          <w:szCs w:val="24"/>
          <w:lang w:val="en-US" w:eastAsia="zh-CN"/>
        </w:rPr>
        <w:t>处理。</w:t>
      </w:r>
    </w:p>
    <w:p w14:paraId="4E46E13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9996BB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4.</w:t>
      </w:r>
      <w:r>
        <w:rPr>
          <w:rFonts w:hint="eastAsia" w:asciiTheme="minorEastAsia" w:hAnsiTheme="minorEastAsia" w:eastAsiaTheme="minorEastAsia" w:cstheme="minorEastAsia"/>
          <w:b/>
          <w:bCs/>
          <w:sz w:val="24"/>
          <w:szCs w:val="24"/>
          <w:lang w:eastAsia="zh-CN"/>
        </w:rPr>
        <w:t>承诺函格式</w:t>
      </w:r>
    </w:p>
    <w:p w14:paraId="55705DA0">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val="en-US" w:eastAsia="zh-CN"/>
        </w:rPr>
      </w:pPr>
    </w:p>
    <w:p w14:paraId="7E5BA252">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eastAsia="zh-CN"/>
        </w:rPr>
        <w:t>承诺函</w:t>
      </w:r>
    </w:p>
    <w:p w14:paraId="44D33DBA">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val="en-US" w:eastAsia="zh-CN"/>
        </w:rPr>
      </w:pPr>
    </w:p>
    <w:p w14:paraId="051D58F9">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jc w:val="both"/>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val="en-US" w:eastAsia="zh-CN"/>
        </w:rPr>
        <w:t>征集人或代理机构名称</w:t>
      </w:r>
      <w:r>
        <w:rPr>
          <w:rFonts w:hint="eastAsia" w:asciiTheme="minorEastAsia" w:hAnsiTheme="minorEastAsia" w:eastAsiaTheme="minorEastAsia" w:cstheme="minorEastAsia"/>
          <w:spacing w:val="-3"/>
          <w:sz w:val="24"/>
          <w:szCs w:val="24"/>
          <w:lang w:eastAsia="zh-CN"/>
        </w:rPr>
        <w:t>：</w:t>
      </w:r>
    </w:p>
    <w:p w14:paraId="3D014ED3">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很荣幸能参与项目编号为项目的投标。</w:t>
      </w:r>
    </w:p>
    <w:p w14:paraId="03B24B6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我代表（供应商名称），在此作如下承诺：</w:t>
      </w:r>
    </w:p>
    <w:p w14:paraId="0B1C68E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1、完全理解和接受本项目征集文件的一切规定和要求；</w:t>
      </w:r>
    </w:p>
    <w:p w14:paraId="302A314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2、我方递交的响应文件中所有的资料均为真实的、准确的，无任何虚假内容。若存在有虚假内容，我方愿意承担法律责任。</w:t>
      </w:r>
    </w:p>
    <w:p w14:paraId="7AB607D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3、若中标，我方将按照征集文件的具体规定与征集人签订供货安装调试</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服务合同，并且严格按合同履行义务，按时交付使用，保证设备</w:t>
      </w:r>
      <w:r>
        <w:rPr>
          <w:rFonts w:hint="eastAsia" w:asciiTheme="minorEastAsia" w:hAnsiTheme="minorEastAsia" w:eastAsiaTheme="minorEastAsia" w:cstheme="minorEastAsia"/>
          <w:sz w:val="24"/>
          <w:szCs w:val="24"/>
          <w:lang w:val="en-US" w:eastAsia="zh-CN"/>
        </w:rPr>
        <w:t>或服务</w:t>
      </w:r>
      <w:r>
        <w:rPr>
          <w:rFonts w:hint="eastAsia" w:asciiTheme="minorEastAsia" w:hAnsiTheme="minorEastAsia" w:eastAsiaTheme="minorEastAsia" w:cstheme="minorEastAsia"/>
          <w:sz w:val="24"/>
          <w:szCs w:val="24"/>
          <w:lang w:eastAsia="zh-CN"/>
        </w:rPr>
        <w:t>质量符合征集文件要求，并提供优质服务。如果在合同执行过程中，发现问题，我方一定尽快对其进行调整，并承担相应的经济责任；</w:t>
      </w:r>
    </w:p>
    <w:p w14:paraId="1BF6FA1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4、若中标，本承诺将成为合同不可分割的一部分，与合同具有同等的法律效力。</w:t>
      </w:r>
    </w:p>
    <w:p w14:paraId="086549E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5、我方同意征集文件所附的合同文本作为与采购方签约的合同文本，非经双方一致同意，不得改变原合同文本的条款。</w:t>
      </w:r>
    </w:p>
    <w:p w14:paraId="1B67AFD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6、我方保证，严格遵守《</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政府采购法实施条例》《政府采购货物和服务招标投标管理办法》及其他相关法律法规的规定，若有违反上述法律法规的行为，愿意接受处罚并承担相应的法律责任。</w:t>
      </w:r>
    </w:p>
    <w:p w14:paraId="19FCC08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p>
    <w:p w14:paraId="64F819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供应商（公章）：法定代表人（负责人）或授权代表（签字）：</w:t>
      </w:r>
    </w:p>
    <w:p w14:paraId="08A7F17E">
      <w:pPr>
        <w:keepNext w:val="0"/>
        <w:keepLines w:val="0"/>
        <w:pageBreakBefore w:val="0"/>
        <w:kinsoku/>
        <w:wordWrap w:val="0"/>
        <w:overflowPunct/>
        <w:topLinePunct w:val="0"/>
        <w:bidi w:val="0"/>
        <w:spacing w:line="360" w:lineRule="auto"/>
        <w:ind w:firstLine="720" w:firstLineChars="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179C59B9">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59EB7F4C">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4A315BA8">
      <w:pPr>
        <w:keepNext w:val="0"/>
        <w:keepLines w:val="0"/>
        <w:pageBreakBefore w:val="0"/>
        <w:kinsoku/>
        <w:wordWrap w:val="0"/>
        <w:overflowPunct/>
        <w:topLinePunct w:val="0"/>
        <w:bidi w:val="0"/>
        <w:spacing w:line="256" w:lineRule="auto"/>
        <w:jc w:val="both"/>
        <w:rPr>
          <w:rFonts w:hint="eastAsia" w:asciiTheme="minorEastAsia" w:hAnsiTheme="minorEastAsia" w:eastAsiaTheme="minorEastAsia" w:cstheme="minorEastAsia"/>
          <w:sz w:val="21"/>
        </w:rPr>
      </w:pPr>
    </w:p>
    <w:p w14:paraId="35AAB97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365B0A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817A1B3">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营业执照副本</w:t>
      </w:r>
      <w:r>
        <w:rPr>
          <w:rFonts w:hint="eastAsia" w:asciiTheme="minorEastAsia" w:hAnsiTheme="minorEastAsia" w:eastAsiaTheme="minorEastAsia" w:cstheme="minorEastAsia"/>
          <w:b/>
          <w:bCs/>
          <w:sz w:val="24"/>
          <w:szCs w:val="24"/>
          <w:lang w:val="en-US" w:eastAsia="zh-CN"/>
        </w:rPr>
        <w:t>或其他资格证明文件</w:t>
      </w:r>
    </w:p>
    <w:p w14:paraId="6A8A8E1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6.</w:t>
      </w:r>
      <w:r>
        <w:rPr>
          <w:rFonts w:hint="eastAsia" w:asciiTheme="minorEastAsia" w:hAnsiTheme="minorEastAsia" w:eastAsiaTheme="minorEastAsia" w:cstheme="minorEastAsia"/>
          <w:b/>
          <w:bCs/>
          <w:sz w:val="24"/>
          <w:szCs w:val="24"/>
          <w:lang w:eastAsia="zh-CN"/>
        </w:rPr>
        <w:t>具有履行合同所必需的设备和专业技术能力的承诺</w:t>
      </w:r>
    </w:p>
    <w:p w14:paraId="56FFA2C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7.</w:t>
      </w:r>
      <w:r>
        <w:rPr>
          <w:rFonts w:hint="eastAsia" w:asciiTheme="minorEastAsia" w:hAnsiTheme="minorEastAsia" w:eastAsiaTheme="minorEastAsia" w:cstheme="minorEastAsia"/>
          <w:b/>
          <w:bCs/>
          <w:sz w:val="24"/>
          <w:szCs w:val="24"/>
          <w:lang w:eastAsia="zh-CN"/>
        </w:rPr>
        <w:t>依法缴纳税收和社会保障资金的缴费凭证</w:t>
      </w:r>
    </w:p>
    <w:p w14:paraId="5C129D8E">
      <w:pPr>
        <w:keepNext w:val="0"/>
        <w:keepLines w:val="0"/>
        <w:pageBreakBefore w:val="0"/>
        <w:kinsoku/>
        <w:wordWrap w:val="0"/>
        <w:overflowPunct/>
        <w:topLinePunct w:val="0"/>
        <w:bidi w:val="0"/>
        <w:spacing w:line="360" w:lineRule="auto"/>
        <w:ind w:firstLine="480" w:firstLineChars="2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说明：</w:t>
      </w:r>
      <w:r>
        <w:rPr>
          <w:rFonts w:hint="eastAsia" w:asciiTheme="minorEastAsia" w:hAnsiTheme="minorEastAsia" w:eastAsiaTheme="minorEastAsia" w:cstheme="minorEastAsia"/>
          <w:b w:val="0"/>
          <w:bCs w:val="0"/>
          <w:sz w:val="24"/>
          <w:szCs w:val="24"/>
          <w:lang w:eastAsia="zh-CN"/>
        </w:rPr>
        <w:t>提供2024年6月1日以来任意一个月依法缴纳税收和社会保障资金的证明资料。依法免税或不需要缴纳社会保障资金的供应商，应提供相应行政部门出具的证明文件，证明其依法免税或依法不需要缴纳社会保障资金。</w:t>
      </w:r>
    </w:p>
    <w:p w14:paraId="2BE6CC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8.</w:t>
      </w:r>
      <w:r>
        <w:rPr>
          <w:rFonts w:hint="eastAsia" w:asciiTheme="minorEastAsia" w:hAnsiTheme="minorEastAsia" w:eastAsiaTheme="minorEastAsia" w:cstheme="minorEastAsia"/>
          <w:b/>
          <w:bCs/>
          <w:sz w:val="24"/>
          <w:szCs w:val="24"/>
          <w:lang w:eastAsia="zh-CN"/>
        </w:rPr>
        <w:t>良好的商业信誉和健全的财务会计制度的证明文件</w:t>
      </w:r>
    </w:p>
    <w:p w14:paraId="323013F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说明：</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供应商是企业法人的须提供2023年度或2024年度经审计的财务状况报告（成立不足一年的提供公司成立以来的财务报表，即：资产负债表、利润表、现金流量表)；其他组织和自然人，没有经审计的财务报告，可以提供银行出具的资信证明。（</w:t>
      </w:r>
      <w:r>
        <w:rPr>
          <w:rFonts w:hint="eastAsia" w:asciiTheme="minorEastAsia" w:hAnsiTheme="minorEastAsia" w:eastAsiaTheme="minorEastAsia" w:cstheme="minorEastAsia"/>
          <w:b w:val="0"/>
          <w:bCs w:val="0"/>
          <w:sz w:val="24"/>
          <w:szCs w:val="24"/>
          <w:lang w:val="en-US" w:eastAsia="zh-CN"/>
        </w:rPr>
        <w:t>2</w:t>
      </w:r>
      <w:r>
        <w:rPr>
          <w:rFonts w:hint="eastAsia" w:asciiTheme="minorEastAsia" w:hAnsiTheme="minorEastAsia" w:eastAsiaTheme="minorEastAsia" w:cstheme="minorEastAsia"/>
          <w:b w:val="0"/>
          <w:bCs w:val="0"/>
          <w:sz w:val="24"/>
          <w:szCs w:val="24"/>
          <w:lang w:eastAsia="zh-CN"/>
        </w:rPr>
        <w:t>）供应商提供企业有关财务会计制度。</w:t>
      </w:r>
    </w:p>
    <w:p w14:paraId="7362D730">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供应商出具参加政府采购活动前三年内，</w:t>
      </w:r>
      <w:r>
        <w:rPr>
          <w:rFonts w:hint="eastAsia" w:asciiTheme="minorEastAsia" w:hAnsiTheme="minorEastAsia" w:eastAsiaTheme="minorEastAsia" w:cstheme="minorEastAsia"/>
          <w:b/>
          <w:bCs/>
          <w:snapToGrid w:val="0"/>
          <w:color w:val="000000"/>
          <w:kern w:val="0"/>
          <w:sz w:val="24"/>
          <w:szCs w:val="24"/>
          <w:lang w:val="en-US" w:eastAsia="zh-CN" w:bidi="ar-SA"/>
        </w:rPr>
        <w:t>在经营活动中没有重大违法记录</w:t>
      </w:r>
      <w:r>
        <w:rPr>
          <w:rFonts w:hint="eastAsia" w:asciiTheme="minorEastAsia" w:hAnsiTheme="minorEastAsia" w:eastAsiaTheme="minorEastAsia" w:cstheme="minorEastAsia"/>
          <w:b/>
          <w:bCs/>
          <w:sz w:val="24"/>
          <w:szCs w:val="24"/>
          <w:lang w:eastAsia="zh-CN"/>
        </w:rPr>
        <w:t>的书面声明（加盖单位公章）</w:t>
      </w:r>
    </w:p>
    <w:p w14:paraId="06676A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CD0515E">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D5C2C5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2085D0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67AEF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B6D4F6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1CC7893">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06AFE6B4">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76D7DA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FD399FA">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4B630B7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7953D8A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1FF20C3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6E04C73D">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85B3A7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2B267F67">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10.</w:t>
      </w:r>
      <w:r>
        <w:rPr>
          <w:rFonts w:hint="eastAsia" w:asciiTheme="minorEastAsia" w:hAnsiTheme="minorEastAsia" w:eastAsiaTheme="minorEastAsia" w:cstheme="minorEastAsia"/>
          <w:b/>
          <w:bCs/>
          <w:sz w:val="24"/>
          <w:szCs w:val="24"/>
          <w:lang w:eastAsia="zh-CN"/>
        </w:rPr>
        <w:t>供应商诚信承诺书</w:t>
      </w:r>
    </w:p>
    <w:p w14:paraId="08913D31">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p>
    <w:p w14:paraId="24EC9686">
      <w:pPr>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诚信承诺书</w:t>
      </w:r>
    </w:p>
    <w:p w14:paraId="202733E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0EF1F5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14:paraId="0E1819F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投标在电子响应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14:paraId="7FE372B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14:paraId="6FC389D9">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5BE025E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承诺人法定名称（盖章）：</w:t>
      </w:r>
    </w:p>
    <w:p w14:paraId="132F2B7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承诺人法定地址：</w:t>
      </w:r>
    </w:p>
    <w:p w14:paraId="3EE5F99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授权代表（签字或盖章）：</w:t>
      </w:r>
    </w:p>
    <w:p w14:paraId="0E057198">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w:t>
      </w:r>
    </w:p>
    <w:p w14:paraId="567F20D2">
      <w:pPr>
        <w:keepNext w:val="0"/>
        <w:keepLines w:val="0"/>
        <w:pageBreakBefore w:val="0"/>
        <w:kinsoku/>
        <w:wordWrap w:val="0"/>
        <w:overflowPunct/>
        <w:topLinePunct w:val="0"/>
        <w:bidi w:val="0"/>
        <w:spacing w:line="360" w:lineRule="auto"/>
        <w:ind w:firstLine="672" w:firstLineChars="300"/>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38AA6C34">
      <w:pPr>
        <w:keepNext w:val="0"/>
        <w:keepLines w:val="0"/>
        <w:pageBreakBefore w:val="0"/>
        <w:kinsoku/>
        <w:wordWrap w:val="0"/>
        <w:overflowPunct/>
        <w:topLinePunct w:val="0"/>
        <w:bidi w:val="0"/>
        <w:spacing w:line="360" w:lineRule="auto"/>
        <w:ind w:firstLine="607" w:firstLineChars="252"/>
        <w:jc w:val="both"/>
        <w:rPr>
          <w:rFonts w:hint="eastAsia" w:asciiTheme="minorEastAsia" w:hAnsiTheme="minorEastAsia" w:eastAsiaTheme="minorEastAsia" w:cstheme="minorEastAsia"/>
          <w:b/>
          <w:bCs/>
          <w:sz w:val="24"/>
          <w:szCs w:val="24"/>
          <w:lang w:eastAsia="zh-CN"/>
        </w:rPr>
      </w:pPr>
    </w:p>
    <w:p w14:paraId="3755BF1F">
      <w:pPr>
        <w:keepNext w:val="0"/>
        <w:keepLines w:val="0"/>
        <w:pageBreakBefore w:val="0"/>
        <w:numPr>
          <w:ilvl w:val="0"/>
          <w:numId w:val="8"/>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符合《第三方机构预算绩效评价业务监督管理暂行办法》</w:t>
      </w:r>
      <w:r>
        <w:rPr>
          <w:rFonts w:hint="eastAsia" w:asciiTheme="minorEastAsia" w:hAnsiTheme="minorEastAsia" w:eastAsiaTheme="minorEastAsia" w:cstheme="minorEastAsia"/>
          <w:b/>
          <w:bCs/>
          <w:snapToGrid w:val="0"/>
          <w:color w:val="000000"/>
          <w:spacing w:val="-14"/>
          <w:kern w:val="0"/>
          <w:sz w:val="24"/>
          <w:szCs w:val="24"/>
          <w:lang w:val="en-US" w:eastAsia="zh-CN" w:bidi="ar-SA"/>
        </w:rPr>
        <w:t>（财监[2021]4号）</w:t>
      </w:r>
      <w:r>
        <w:rPr>
          <w:rFonts w:hint="eastAsia" w:asciiTheme="minorEastAsia" w:hAnsiTheme="minorEastAsia" w:eastAsiaTheme="minorEastAsia" w:cstheme="minorEastAsia"/>
          <w:b/>
          <w:bCs/>
          <w:sz w:val="24"/>
          <w:szCs w:val="24"/>
          <w:lang w:val="en-US" w:eastAsia="zh-CN"/>
        </w:rPr>
        <w:t>第二条、第七条规定，提供相应的资格证明材料及承诺函，格式自拟。</w:t>
      </w:r>
    </w:p>
    <w:p w14:paraId="08FAF0E5">
      <w:pPr>
        <w:keepNext w:val="0"/>
        <w:keepLines w:val="0"/>
        <w:pageBreakBefore w:val="0"/>
        <w:numPr>
          <w:ilvl w:val="0"/>
          <w:numId w:val="8"/>
        </w:numPr>
        <w:kinsoku/>
        <w:wordWrap w:val="0"/>
        <w:overflowPunct/>
        <w:topLinePunct w:val="0"/>
        <w:bidi w:val="0"/>
        <w:spacing w:line="360" w:lineRule="auto"/>
        <w:jc w:val="both"/>
        <w:rPr>
          <w:rFonts w:hint="default" w:asciiTheme="minorEastAsia" w:hAnsiTheme="minorEastAsia" w:eastAsiaTheme="minorEastAsia" w:cstheme="minorEastAsia"/>
          <w:b/>
          <w:bCs/>
          <w:sz w:val="24"/>
          <w:szCs w:val="24"/>
          <w:lang w:val="en-US" w:eastAsia="zh-CN"/>
        </w:rPr>
      </w:pPr>
      <w:r>
        <w:rPr>
          <w:rFonts w:hint="default" w:asciiTheme="minorEastAsia" w:hAnsiTheme="minorEastAsia" w:eastAsiaTheme="minorEastAsia" w:cstheme="minorEastAsia"/>
          <w:b/>
          <w:bCs/>
          <w:sz w:val="24"/>
          <w:szCs w:val="24"/>
          <w:lang w:val="en-US" w:eastAsia="zh-CN"/>
        </w:rPr>
        <w:t>单位负责人为同一人或者存在直接控股、管理关系的不同供应商，不得参加同一合同项下的政府采购活动。提供承诺函，格式自拟；</w:t>
      </w:r>
    </w:p>
    <w:p w14:paraId="7AE848D8">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13.</w:t>
      </w:r>
      <w:r>
        <w:rPr>
          <w:rFonts w:hint="eastAsia" w:asciiTheme="minorEastAsia" w:hAnsiTheme="minorEastAsia" w:eastAsiaTheme="minorEastAsia" w:cstheme="minorEastAsia"/>
          <w:b/>
          <w:bCs/>
          <w:sz w:val="24"/>
          <w:szCs w:val="24"/>
          <w:lang w:eastAsia="zh-CN"/>
        </w:rPr>
        <w:t>供应商出具信用记录查询结果网页截图</w:t>
      </w:r>
    </w:p>
    <w:p w14:paraId="19D5E783">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val="en-US" w:eastAsia="zh-CN"/>
        </w:rPr>
        <w:t>14.其他资格证明</w:t>
      </w:r>
    </w:p>
    <w:p w14:paraId="75BC3FD1">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bCs/>
          <w:sz w:val="24"/>
          <w:szCs w:val="24"/>
          <w:lang w:val="en-US" w:eastAsia="zh-CN"/>
        </w:rPr>
      </w:pPr>
    </w:p>
    <w:p w14:paraId="5A24E57C">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z w:val="24"/>
          <w:szCs w:val="24"/>
          <w:lang w:eastAsia="zh-CN"/>
        </w:rPr>
      </w:pPr>
    </w:p>
    <w:p w14:paraId="06B9739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2" w:firstLineChars="200"/>
        <w:jc w:val="both"/>
        <w:textAlignment w:val="baseline"/>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在投标时，按照规定提供“南阳市政府采购供应商信用承诺函”（详见附件）的，无需再提交上述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入围</w:t>
      </w:r>
      <w:r>
        <w:rPr>
          <w:rFonts w:hint="eastAsia" w:asciiTheme="minorEastAsia" w:hAnsiTheme="minorEastAsia" w:eastAsiaTheme="minorEastAsia" w:cstheme="minorEastAsia"/>
          <w:b/>
          <w:bCs/>
          <w:sz w:val="24"/>
          <w:szCs w:val="24"/>
          <w:lang w:val="zh-CN" w:eastAsia="zh-CN"/>
        </w:rPr>
        <w:t>后，应将上述由信用承诺书替代的证明材料提交征集人或采购代理机构，证明材料将随公告一并公示。</w:t>
      </w:r>
    </w:p>
    <w:p w14:paraId="712E4720">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72633D2A">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p>
    <w:p w14:paraId="1B659B57">
      <w:pPr>
        <w:pStyle w:val="5"/>
        <w:keepNext w:val="0"/>
        <w:keepLines w:val="0"/>
        <w:pageBreakBefore w:val="0"/>
        <w:kinsoku/>
        <w:wordWrap w:val="0"/>
        <w:overflowPunct/>
        <w:topLinePunct w:val="0"/>
        <w:bidi w:val="0"/>
        <w:spacing w:line="360" w:lineRule="auto"/>
        <w:jc w:val="center"/>
        <w:rPr>
          <w:rFonts w:hint="eastAsia" w:asciiTheme="minorEastAsia" w:hAnsiTheme="minorEastAsia" w:eastAsiaTheme="minorEastAsia" w:cstheme="minorEastAsia"/>
          <w:b/>
          <w:bCs/>
          <w:snapToGrid w:val="0"/>
          <w:color w:val="000000"/>
          <w:kern w:val="0"/>
          <w:sz w:val="32"/>
          <w:szCs w:val="32"/>
          <w:lang w:val="zh-CN" w:eastAsia="zh-CN" w:bidi="ar-SA"/>
        </w:rPr>
      </w:pPr>
      <w:r>
        <w:rPr>
          <w:rFonts w:hint="eastAsia" w:asciiTheme="minorEastAsia" w:hAnsiTheme="minorEastAsia" w:eastAsiaTheme="minorEastAsia" w:cstheme="minorEastAsia"/>
          <w:b/>
          <w:bCs/>
          <w:snapToGrid w:val="0"/>
          <w:color w:val="000000"/>
          <w:kern w:val="0"/>
          <w:sz w:val="32"/>
          <w:szCs w:val="32"/>
          <w:lang w:val="zh-CN" w:eastAsia="zh-CN" w:bidi="ar-SA"/>
        </w:rPr>
        <w:t>南阳市政府采购供应商信用承诺函</w:t>
      </w:r>
    </w:p>
    <w:p w14:paraId="3F8A5FE1">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14:paraId="3DA84D5E">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致（征集人或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p>
    <w:p w14:paraId="1A61FB23">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p>
    <w:p w14:paraId="02134E8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p>
    <w:p w14:paraId="35CED6A7">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p>
    <w:p w14:paraId="52DD6DE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p>
    <w:p w14:paraId="725B8DEF">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14:paraId="1F143AE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14:paraId="729AFD11">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14:paraId="095B96F2">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14:paraId="77E9EFCB">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14:paraId="488CCE59">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14:paraId="7CAA2964">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14:paraId="457F442D">
      <w:pPr>
        <w:keepNext w:val="0"/>
        <w:keepLines w:val="0"/>
        <w:pageBreakBefore w:val="0"/>
        <w:widowControl w:val="0"/>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14:paraId="083D4303">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5702C640">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en-US" w:eastAsia="zh-CN" w:bidi="ar-SA"/>
        </w:rPr>
      </w:pPr>
    </w:p>
    <w:p w14:paraId="6E52B6F7">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供应商（企业电子章）：</w:t>
      </w:r>
    </w:p>
    <w:p w14:paraId="6089B4DA">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14:paraId="480239B6">
      <w:pPr>
        <w:keepNext w:val="0"/>
        <w:keepLines w:val="0"/>
        <w:pageBreakBefore w:val="0"/>
        <w:widowControl w:val="0"/>
        <w:kinsoku/>
        <w:wordWrap w:val="0"/>
        <w:overflowPunct/>
        <w:topLinePunct w:val="0"/>
        <w:autoSpaceDE w:val="0"/>
        <w:autoSpaceDN w:val="0"/>
        <w:bidi w:val="0"/>
        <w:adjustRightInd w:val="0"/>
        <w:spacing w:line="360" w:lineRule="auto"/>
        <w:ind w:firstLine="2160" w:firstLineChars="9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553C974">
      <w:pPr>
        <w:keepNext w:val="0"/>
        <w:keepLines w:val="0"/>
        <w:pageBreakBefore w:val="0"/>
        <w:widowControl w:val="0"/>
        <w:kinsoku/>
        <w:wordWrap w:val="0"/>
        <w:overflowPunct/>
        <w:topLinePunct w:val="0"/>
        <w:autoSpaceDE w:val="0"/>
        <w:autoSpaceDN w:val="0"/>
        <w:bidi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14:paraId="6583B126">
      <w:pPr>
        <w:keepNext w:val="0"/>
        <w:keepLines w:val="0"/>
        <w:pageBreakBefore w:val="0"/>
        <w:widowControl w:val="0"/>
        <w:kinsoku/>
        <w:wordWrap w:val="0"/>
        <w:overflowPunct/>
        <w:topLinePunct w:val="0"/>
        <w:autoSpaceDE w:val="0"/>
        <w:autoSpaceDN w:val="0"/>
        <w:bidi w:val="0"/>
        <w:adjustRightInd w:val="0"/>
        <w:spacing w:line="360" w:lineRule="auto"/>
        <w:ind w:firstLine="480" w:firstLineChars="2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1、供应商须在响应文件中按此模板提供承诺函，未提供视为未实质性响应征集文件要求，按无效响应处理。</w:t>
      </w:r>
    </w:p>
    <w:p w14:paraId="3C6CF6A4">
      <w:pPr>
        <w:keepNext w:val="0"/>
        <w:keepLines w:val="0"/>
        <w:pageBreakBefore w:val="0"/>
        <w:widowControl/>
        <w:numPr>
          <w:ilvl w:val="0"/>
          <w:numId w:val="0"/>
        </w:numPr>
        <w:kinsoku/>
        <w:wordWrap w:val="0"/>
        <w:overflowPunct/>
        <w:topLinePunct w:val="0"/>
        <w:autoSpaceDE w:val="0"/>
        <w:autoSpaceDN w:val="0"/>
        <w:bidi w:val="0"/>
        <w:adjustRightInd w:val="0"/>
        <w:snapToGrid w:val="0"/>
        <w:spacing w:line="360" w:lineRule="auto"/>
        <w:ind w:firstLine="480" w:firstLineChars="200"/>
        <w:jc w:val="both"/>
        <w:textAlignment w:val="baseline"/>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2、供应商的法定代表人或者授权代表的签字或盖章应真实、有效，如由授权代表签字或盖章的，应提供“法定代表人授权书”。</w:t>
      </w:r>
    </w:p>
    <w:p w14:paraId="4C25038F">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EF1E72F">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38A8B699">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4CE2911F">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3CC2296">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D191F74">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F465AEB">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7614E39">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77463BB8">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8ABC4A0">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6D58E215">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1ECF8363">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56DD5436">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046E796E">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F52FF81">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BDB487E">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2C1F2FE9">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二、技术文件格式</w:t>
      </w:r>
      <w:r>
        <w:rPr>
          <w:rFonts w:hint="eastAsia" w:asciiTheme="minorEastAsia" w:hAnsiTheme="minorEastAsia" w:eastAsiaTheme="minorEastAsia" w:cstheme="minorEastAsia"/>
          <w:spacing w:val="24"/>
          <w:sz w:val="24"/>
          <w:szCs w:val="24"/>
          <w:lang w:eastAsia="zh-CN"/>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暗标</w:t>
      </w:r>
      <w:r>
        <w:rPr>
          <w:rFonts w:hint="eastAsia" w:asciiTheme="minorEastAsia" w:hAnsiTheme="minorEastAsia" w:eastAsiaTheme="minorEastAsia" w:cstheme="minorEastAsia"/>
          <w:spacing w:val="24"/>
          <w:sz w:val="24"/>
          <w:szCs w:val="24"/>
          <w:lang w:eastAsia="zh-CN"/>
          <w14:textOutline w14:w="1537" w14:cap="flat" w14:cmpd="sng">
            <w14:solidFill>
              <w14:srgbClr w14:val="000000"/>
            </w14:solidFill>
            <w14:prstDash w14:val="solid"/>
            <w14:miter w14:val="0"/>
          </w14:textOutline>
        </w:rPr>
        <w:t>）</w:t>
      </w:r>
    </w:p>
    <w:p w14:paraId="58C88BEA">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服务方案（严格按照暗标制作要求编写，不得出现供应商的名称和其它可识别供应商身份的字符、徽标、人员信息以及其他特殊标记等）：</w:t>
      </w:r>
    </w:p>
    <w:p w14:paraId="286530BB">
      <w:pPr>
        <w:pStyle w:val="5"/>
        <w:keepNext w:val="0"/>
        <w:keepLines w:val="0"/>
        <w:pageBreakBefore w:val="0"/>
        <w:numPr>
          <w:ilvl w:val="0"/>
          <w:numId w:val="0"/>
        </w:numPr>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napToGrid w:val="0"/>
          <w:color w:val="000000"/>
          <w:kern w:val="0"/>
          <w:sz w:val="24"/>
          <w:szCs w:val="24"/>
          <w:lang w:val="en-US" w:eastAsia="zh-CN" w:bidi="ar-SA"/>
        </w:rPr>
        <w:t>1.</w:t>
      </w:r>
      <w:r>
        <w:rPr>
          <w:rFonts w:hint="eastAsia" w:asciiTheme="minorEastAsia" w:hAnsiTheme="minorEastAsia" w:eastAsiaTheme="minorEastAsia" w:cstheme="minorEastAsia"/>
          <w:b w:val="0"/>
          <w:bCs w:val="0"/>
          <w:sz w:val="24"/>
          <w:szCs w:val="24"/>
          <w:lang w:val="en-US" w:eastAsia="zh-CN"/>
        </w:rPr>
        <w:t>预算绩效管理服务的认识和理解</w:t>
      </w:r>
    </w:p>
    <w:p w14:paraId="25D8D878">
      <w:pPr>
        <w:pStyle w:val="5"/>
        <w:keepNext w:val="0"/>
        <w:keepLines w:val="0"/>
        <w:pageBreakBefore w:val="0"/>
        <w:numPr>
          <w:ilvl w:val="0"/>
          <w:numId w:val="0"/>
        </w:numPr>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2.服务实施方案</w:t>
      </w:r>
    </w:p>
    <w:p w14:paraId="22D2688A">
      <w:pPr>
        <w:pStyle w:val="5"/>
        <w:keepNext w:val="0"/>
        <w:keepLines w:val="0"/>
        <w:pageBreakBefore w:val="0"/>
        <w:numPr>
          <w:ilvl w:val="0"/>
          <w:numId w:val="0"/>
        </w:numPr>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3.服务质量保障措施</w:t>
      </w:r>
    </w:p>
    <w:p w14:paraId="381CE543">
      <w:pPr>
        <w:pStyle w:val="5"/>
        <w:keepNext w:val="0"/>
        <w:keepLines w:val="0"/>
        <w:pageBreakBefore w:val="0"/>
        <w:numPr>
          <w:ilvl w:val="0"/>
          <w:numId w:val="0"/>
        </w:numPr>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4.履约服务便利度保障措施</w:t>
      </w:r>
    </w:p>
    <w:p w14:paraId="0E9A0C18">
      <w:pPr>
        <w:pStyle w:val="5"/>
        <w:keepNext w:val="0"/>
        <w:keepLines w:val="0"/>
        <w:pageBreakBefore w:val="0"/>
        <w:numPr>
          <w:ilvl w:val="0"/>
          <w:numId w:val="0"/>
        </w:numPr>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5.内部管理制度</w:t>
      </w:r>
    </w:p>
    <w:p w14:paraId="67530FE4">
      <w:pPr>
        <w:pStyle w:val="5"/>
        <w:keepNext w:val="0"/>
        <w:keepLines w:val="0"/>
        <w:pageBreakBefore w:val="0"/>
        <w:numPr>
          <w:ilvl w:val="0"/>
          <w:numId w:val="0"/>
        </w:numPr>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6.进度保障措施</w:t>
      </w:r>
    </w:p>
    <w:p w14:paraId="6325CE49">
      <w:pPr>
        <w:pStyle w:val="5"/>
        <w:keepNext w:val="0"/>
        <w:keepLines w:val="0"/>
        <w:pageBreakBefore w:val="0"/>
        <w:numPr>
          <w:ilvl w:val="0"/>
          <w:numId w:val="0"/>
        </w:numPr>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7.业务操作流程</w:t>
      </w:r>
    </w:p>
    <w:p w14:paraId="5CAAF4F9">
      <w:pPr>
        <w:pStyle w:val="5"/>
        <w:keepNext w:val="0"/>
        <w:keepLines w:val="0"/>
        <w:pageBreakBefore w:val="0"/>
        <w:numPr>
          <w:ilvl w:val="0"/>
          <w:numId w:val="0"/>
        </w:numPr>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8.风险管控措施</w:t>
      </w:r>
    </w:p>
    <w:p w14:paraId="586FE557">
      <w:pPr>
        <w:pStyle w:val="5"/>
        <w:keepNext w:val="0"/>
        <w:keepLines w:val="0"/>
        <w:pageBreakBefore w:val="0"/>
        <w:numPr>
          <w:ilvl w:val="0"/>
          <w:numId w:val="0"/>
        </w:numPr>
        <w:kinsoku/>
        <w:wordWrap w:val="0"/>
        <w:overflowPunct/>
        <w:topLinePunct w:val="0"/>
        <w:bidi w:val="0"/>
        <w:spacing w:before="78" w:line="360" w:lineRule="auto"/>
        <w:jc w:val="both"/>
        <w:outlineLvl w:val="2"/>
        <w:rPr>
          <w:rFonts w:hint="default" w:asciiTheme="minorEastAsia" w:hAnsiTheme="minorEastAsia" w:eastAsiaTheme="minorEastAsia" w:cstheme="minorEastAsia"/>
          <w:spacing w:val="24"/>
          <w:sz w:val="24"/>
          <w:szCs w:val="24"/>
          <w:lang w:val="en-US"/>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b w:val="0"/>
          <w:bCs w:val="0"/>
          <w:sz w:val="24"/>
          <w:szCs w:val="24"/>
          <w:lang w:val="en-US" w:eastAsia="zh-CN"/>
        </w:rPr>
        <w:t>9.档案管理措施</w:t>
      </w:r>
    </w:p>
    <w:p w14:paraId="2197410C">
      <w:pPr>
        <w:pStyle w:val="5"/>
        <w:keepNext w:val="0"/>
        <w:keepLines w:val="0"/>
        <w:pageBreakBefore w:val="0"/>
        <w:kinsoku/>
        <w:wordWrap w:val="0"/>
        <w:overflowPunct/>
        <w:topLinePunct w:val="0"/>
        <w:bidi w:val="0"/>
        <w:spacing w:before="78" w:line="360" w:lineRule="auto"/>
        <w:jc w:val="both"/>
        <w:outlineLvl w:val="2"/>
        <w:rPr>
          <w:rFonts w:hint="default"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862B53D">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pPr>
    </w:p>
    <w:p w14:paraId="00DE50D6">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44695EC">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5C92CDE8">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1B2E9712">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4FE87FCC">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34A508AF">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09BAC7D3">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D049178">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61D5B201">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244E86F0">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81C201A">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pPr>
    </w:p>
    <w:p w14:paraId="7BC9AA49">
      <w:pPr>
        <w:pStyle w:val="5"/>
        <w:keepNext w:val="0"/>
        <w:keepLines w:val="0"/>
        <w:pageBreakBefore w:val="0"/>
        <w:kinsoku/>
        <w:wordWrap w:val="0"/>
        <w:overflowPunct/>
        <w:topLinePunct w:val="0"/>
        <w:bidi w:val="0"/>
        <w:spacing w:before="78" w:line="360" w:lineRule="auto"/>
        <w:jc w:val="both"/>
        <w:outlineLvl w:val="2"/>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spacing w:val="24"/>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24"/>
          <w:sz w:val="24"/>
          <w:szCs w:val="24"/>
          <w14:textOutline w14:w="1537" w14:cap="flat" w14:cmpd="sng">
            <w14:solidFill>
              <w14:srgbClr w14:val="000000"/>
            </w14:solidFill>
            <w14:prstDash w14:val="solid"/>
            <w14:miter w14:val="0"/>
          </w14:textOutline>
        </w:rPr>
        <w:t>、商务文件格式</w:t>
      </w:r>
    </w:p>
    <w:p w14:paraId="68193D9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1.响应书格式</w:t>
      </w:r>
    </w:p>
    <w:p w14:paraId="31D06B0F">
      <w:pPr>
        <w:keepNext w:val="0"/>
        <w:keepLines w:val="0"/>
        <w:pageBreakBefore w:val="0"/>
        <w:kinsoku/>
        <w:wordWrap w:val="0"/>
        <w:overflowPunct/>
        <w:topLinePunct w:val="0"/>
        <w:bidi w:val="0"/>
        <w:spacing w:line="360" w:lineRule="auto"/>
        <w:ind w:firstLine="607" w:firstLineChars="252"/>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24"/>
          <w:szCs w:val="24"/>
          <w:lang w:eastAsia="zh-CN"/>
        </w:rPr>
        <w:t>响应书</w:t>
      </w:r>
    </w:p>
    <w:p w14:paraId="6B09B8B6">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p>
    <w:p w14:paraId="71B463F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致：征集人或采购代理机构</w:t>
      </w:r>
    </w:p>
    <w:p w14:paraId="3553A917">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根据贵方招标编号为（）的公开招标公告，签字代表（全名、职务）经正式授权并代表供应商（供应商名称、地址）提交电子响应文件一份，并对之负法律责任。</w:t>
      </w:r>
    </w:p>
    <w:p w14:paraId="0789E25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响应文件组成资格证明文件第1至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，商务技术文件第1</w:t>
      </w:r>
      <w:r>
        <w:rPr>
          <w:rFonts w:hint="eastAsia" w:asciiTheme="minorEastAsia" w:hAnsiTheme="minorEastAsia" w:eastAsiaTheme="minorEastAsia" w:cstheme="minorEastAsia"/>
          <w:b w:val="0"/>
          <w:bCs w:val="0"/>
          <w:color w:val="auto"/>
          <w:sz w:val="24"/>
          <w:szCs w:val="24"/>
          <w:lang w:eastAsia="zh-CN"/>
        </w:rPr>
        <w:t>至</w:t>
      </w:r>
      <w:r>
        <w:rPr>
          <w:rFonts w:hint="eastAsia" w:asciiTheme="minorEastAsia" w:hAnsiTheme="minorEastAsia" w:eastAsiaTheme="minorEastAsia" w:cstheme="minorEastAsia"/>
          <w:b w:val="0"/>
          <w:bCs w:val="0"/>
          <w:color w:val="auto"/>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lang w:eastAsia="zh-CN"/>
        </w:rPr>
        <w:t>项</w:t>
      </w:r>
      <w:r>
        <w:rPr>
          <w:rFonts w:hint="eastAsia" w:asciiTheme="minorEastAsia" w:hAnsiTheme="minorEastAsia" w:eastAsiaTheme="minorEastAsia" w:cstheme="minorEastAsia"/>
          <w:b w:val="0"/>
          <w:bCs w:val="0"/>
          <w:sz w:val="24"/>
          <w:szCs w:val="24"/>
          <w:lang w:eastAsia="zh-CN"/>
        </w:rPr>
        <w:t>。</w:t>
      </w:r>
    </w:p>
    <w:p w14:paraId="7340543B">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据此函，签字代表宣布同意如下：</w:t>
      </w:r>
    </w:p>
    <w:p w14:paraId="7BEA287F">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1、所附服务报价为以开标一览表为准。</w:t>
      </w:r>
    </w:p>
    <w:p w14:paraId="3B5ED6F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2、如果我们的响应书被接受，我们将履行征集文件中规定的每一项要求，按期、按质、按量履行合同。</w:t>
      </w:r>
    </w:p>
    <w:p w14:paraId="08F05B3D">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3、我方愿按《中华人民共和国政府采购法》和《中华人民共和国民法典》履行我方的全部责任。</w:t>
      </w:r>
    </w:p>
    <w:p w14:paraId="37E10380">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4、我方已详细审查全部征集文件，包括修改文件以及全部参考资料和有关附件。我们完全理解并同意放弃对这方面有不明白及误解的权力。</w:t>
      </w:r>
    </w:p>
    <w:p w14:paraId="4F4DCB1A">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5、本响应自开标之日起有效期为60天。</w:t>
      </w:r>
    </w:p>
    <w:p w14:paraId="44DE88E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地址：</w:t>
      </w:r>
    </w:p>
    <w:p w14:paraId="5C6F7381">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电话（传真）：</w:t>
      </w:r>
    </w:p>
    <w:p w14:paraId="0F7CE205">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法定代表人（负责人）或授权代表（签字）：</w:t>
      </w:r>
    </w:p>
    <w:p w14:paraId="0846F734">
      <w:pPr>
        <w:keepNext w:val="0"/>
        <w:keepLines w:val="0"/>
        <w:pageBreakBefore w:val="0"/>
        <w:kinsoku/>
        <w:wordWrap w:val="0"/>
        <w:overflowPunct/>
        <w:topLinePunct w:val="0"/>
        <w:bidi w:val="0"/>
        <w:spacing w:line="360" w:lineRule="auto"/>
        <w:ind w:firstLine="604" w:firstLineChars="252"/>
        <w:jc w:val="both"/>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供应商名称（公章）：</w:t>
      </w:r>
    </w:p>
    <w:p w14:paraId="49339262">
      <w:pPr>
        <w:keepNext w:val="0"/>
        <w:keepLines w:val="0"/>
        <w:pageBreakBefore w:val="0"/>
        <w:kinsoku/>
        <w:wordWrap w:val="0"/>
        <w:overflowPunct/>
        <w:topLinePunct w:val="0"/>
        <w:bidi w:val="0"/>
        <w:spacing w:line="360" w:lineRule="auto"/>
        <w:ind w:firstLine="604" w:firstLineChars="252"/>
        <w:jc w:val="both"/>
        <w:rPr>
          <w:rFonts w:hint="default" w:asciiTheme="minorEastAsia" w:hAnsiTheme="minorEastAsia" w:eastAsiaTheme="minorEastAsia" w:cstheme="minorEastAsia"/>
          <w:sz w:val="24"/>
          <w:szCs w:val="24"/>
          <w:lang w:val="en-US" w:eastAsia="zh-CN"/>
        </w:rPr>
        <w:sectPr>
          <w:headerReference r:id="rId14" w:type="default"/>
          <w:footerReference r:id="rId15" w:type="default"/>
          <w:pgSz w:w="11907" w:h="16840"/>
          <w:pgMar w:top="1800" w:right="1440" w:bottom="1800" w:left="1440" w:header="851" w:footer="992" w:gutter="0"/>
          <w:pgNumType w:fmt="decimal"/>
          <w:cols w:space="720" w:num="1"/>
          <w:docGrid w:linePitch="332" w:charSpace="0"/>
        </w:sectPr>
      </w:pPr>
      <w:r>
        <w:rPr>
          <w:rFonts w:hint="eastAsia" w:asciiTheme="minorEastAsia" w:hAnsiTheme="minorEastAsia" w:eastAsiaTheme="minorEastAsia" w:cstheme="minorEastAsia"/>
          <w:b w:val="0"/>
          <w:bCs w:val="0"/>
          <w:sz w:val="24"/>
          <w:szCs w:val="24"/>
          <w:lang w:eastAsia="zh-CN"/>
        </w:rPr>
        <w:t>日期：</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none"/>
          <w:lang w:val="en-US" w:eastAsia="zh-CN"/>
        </w:rPr>
        <w:t>日</w:t>
      </w:r>
    </w:p>
    <w:p w14:paraId="2E9D2EAD">
      <w:pPr>
        <w:keepNext w:val="0"/>
        <w:keepLines w:val="0"/>
        <w:pageBreakBefore w:val="0"/>
        <w:kinsoku/>
        <w:wordWrap w:val="0"/>
        <w:overflowPunct/>
        <w:topLinePunct w:val="0"/>
        <w:bidi w:val="0"/>
        <w:spacing w:line="360" w:lineRule="auto"/>
        <w:jc w:val="both"/>
        <w:rPr>
          <w:rFonts w:hint="default" w:asciiTheme="minorEastAsia" w:hAnsiTheme="minorEastAsia" w:eastAsiaTheme="minorEastAsia" w:cstheme="minorEastAsia"/>
          <w:b/>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val="0"/>
          <w:color w:val="000000" w:themeColor="text1"/>
          <w:sz w:val="24"/>
          <w:szCs w:val="24"/>
          <w:lang w:val="en-US" w:eastAsia="zh-CN"/>
          <w14:textFill>
            <w14:solidFill>
              <w14:schemeClr w14:val="tx1"/>
            </w14:solidFill>
          </w14:textFill>
        </w:rPr>
        <w:t>2.项目负责人（主评人）及拟派项目团队成员、具备的专业能力及证书等；（以上均须附相关证明材料）</w:t>
      </w:r>
    </w:p>
    <w:p w14:paraId="7410539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lang w:eastAsia="zh-CN"/>
        </w:rPr>
        <w:t>商务偏差表格式</w:t>
      </w:r>
    </w:p>
    <w:p w14:paraId="5D7201A9">
      <w:pPr>
        <w:keepNext w:val="0"/>
        <w:keepLines w:val="0"/>
        <w:pageBreakBefore w:val="0"/>
        <w:kinsoku/>
        <w:wordWrap w:val="0"/>
        <w:overflowPunct/>
        <w:topLinePunct w:val="0"/>
        <w:bidi w:val="0"/>
        <w:ind w:firstLine="482"/>
        <w:jc w:val="both"/>
        <w:rPr>
          <w:rFonts w:hint="eastAsia" w:asciiTheme="minorEastAsia" w:hAnsiTheme="minorEastAsia" w:eastAsiaTheme="minorEastAsia" w:cstheme="minorEastAsia"/>
          <w:b/>
          <w:sz w:val="24"/>
          <w:szCs w:val="24"/>
          <w:lang w:eastAsia="zh-CN"/>
        </w:rPr>
      </w:pPr>
    </w:p>
    <w:p w14:paraId="491043FF">
      <w:pPr>
        <w:keepNext w:val="0"/>
        <w:keepLines w:val="0"/>
        <w:pageBreakBefore w:val="0"/>
        <w:kinsoku/>
        <w:wordWrap w:val="0"/>
        <w:overflowPunct/>
        <w:topLinePunct w:val="0"/>
        <w:bidi w:val="0"/>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14:paraId="6B0FF521">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p>
    <w:p w14:paraId="429DD8C9">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项目名称：项目编号：</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14:paraId="73D4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14:paraId="496E785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14:paraId="6527AF36">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征集文件</w:t>
            </w:r>
          </w:p>
          <w:p w14:paraId="6E8AEF4F">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14:paraId="51030542">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响应文件商务条款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14:paraId="2155C77B">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14:paraId="254B44C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14:paraId="172A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13960E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375745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59D9DD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7E93B8A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35B6F8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11E2A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3B692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F5F6CE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4C64F1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1C0AB8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83421C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64CE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A4A374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AFFB3C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517F57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04A796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2466754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8F8F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1776A9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18297B4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48808C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073BA87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0E22B4E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B9B4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0AD3EBF">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0D1869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41E16664">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72B3C1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BAB2D2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070B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40FC5C1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682D53B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73A9F58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55DDE73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FCB85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5DFB2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3F63DC7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BA9088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7221B36">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2368C4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796ED4E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EF9B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7CC67BD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2E88062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3D324E5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1F8EBD2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37E65C8D">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0B54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056DE8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5FDDF57">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6DC53AFC">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62514FF1">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676F6FC3">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2170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2790F0C8">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081B9C0A">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0C71D709">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3994E7F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43E6BD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r w14:paraId="48154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14:paraId="5CDD7D5B">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14:paraId="4C497610">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14:paraId="57D656E5">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14:paraId="22A1B4CE">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14:paraId="1D486962">
            <w:pPr>
              <w:keepNext w:val="0"/>
              <w:keepLines w:val="0"/>
              <w:pageBreakBefore w:val="0"/>
              <w:kinsoku/>
              <w:wordWrap w:val="0"/>
              <w:overflowPunct/>
              <w:topLinePunct w:val="0"/>
              <w:bidi w:val="0"/>
              <w:jc w:val="both"/>
              <w:rPr>
                <w:rFonts w:hint="eastAsia" w:asciiTheme="minorEastAsia" w:hAnsiTheme="minorEastAsia" w:eastAsiaTheme="minorEastAsia" w:cstheme="minorEastAsia"/>
                <w:sz w:val="24"/>
                <w:szCs w:val="24"/>
              </w:rPr>
            </w:pPr>
          </w:p>
        </w:tc>
      </w:tr>
    </w:tbl>
    <w:p w14:paraId="3A581205">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供应商（公章）：法定代表人（负责人）或授权代表（签字）：</w:t>
      </w:r>
    </w:p>
    <w:p w14:paraId="0CA8525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日期</w:t>
      </w:r>
      <w:r>
        <w:rPr>
          <w:rFonts w:hint="eastAsia" w:asciiTheme="minorEastAsia" w:hAnsiTheme="minorEastAsia" w:eastAsiaTheme="minorEastAsia" w:cstheme="minorEastAsia"/>
          <w:b/>
          <w:sz w:val="24"/>
          <w:szCs w:val="24"/>
          <w:lang w:eastAsia="zh-CN"/>
        </w:rPr>
        <w:t>：</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14:paraId="79E641F0">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8958004">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4EBDDF8B">
      <w:pPr>
        <w:keepNext w:val="0"/>
        <w:keepLines w:val="0"/>
        <w:pageBreakBefore w:val="0"/>
        <w:numPr>
          <w:ilvl w:val="0"/>
          <w:numId w:val="0"/>
        </w:numPr>
        <w:kinsoku/>
        <w:wordWrap w:val="0"/>
        <w:overflowPunct/>
        <w:topLinePunct w:val="0"/>
        <w:bidi w:val="0"/>
        <w:spacing w:line="360" w:lineRule="auto"/>
        <w:jc w:val="both"/>
        <w:rPr>
          <w:rFonts w:hint="eastAsia" w:asciiTheme="minorEastAsia" w:hAnsiTheme="minorEastAsia" w:eastAsiaTheme="minorEastAsia" w:cstheme="minorEastAsia"/>
          <w:b/>
          <w:sz w:val="24"/>
          <w:szCs w:val="24"/>
          <w:lang w:val="en-US" w:eastAsia="zh-CN"/>
        </w:rPr>
      </w:pPr>
    </w:p>
    <w:p w14:paraId="32DC8608">
      <w:pPr>
        <w:keepNext w:val="0"/>
        <w:keepLines w:val="0"/>
        <w:pageBreakBefore w:val="0"/>
        <w:kinsoku/>
        <w:wordWrap w:val="0"/>
        <w:overflowPunct/>
        <w:topLinePunct w:val="0"/>
        <w:bidi w:val="0"/>
        <w:spacing w:line="360" w:lineRule="auto"/>
        <w:jc w:val="both"/>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lang w:eastAsia="zh-CN"/>
        </w:rPr>
        <w:t>供应商业绩</w:t>
      </w:r>
    </w:p>
    <w:p w14:paraId="56008522">
      <w:pPr>
        <w:pStyle w:val="5"/>
        <w:keepNext w:val="0"/>
        <w:keepLines w:val="0"/>
        <w:pageBreakBefore w:val="0"/>
        <w:widowControl/>
        <w:kinsoku/>
        <w:wordWrap w:val="0"/>
        <w:overflowPunct/>
        <w:topLinePunct w:val="0"/>
        <w:autoSpaceDE w:val="0"/>
        <w:autoSpaceDN w:val="0"/>
        <w:bidi w:val="0"/>
        <w:adjustRightInd w:val="0"/>
        <w:snapToGrid w:val="0"/>
        <w:spacing w:line="360" w:lineRule="auto"/>
        <w:jc w:val="both"/>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r>
        <w:rPr>
          <w:rFonts w:hint="eastAsia" w:eastAsia="Arial" w:cs="Arial"/>
          <w:b/>
          <w:snapToGrid w:val="0"/>
          <w:color w:val="000000"/>
          <w:kern w:val="0"/>
          <w:sz w:val="24"/>
          <w:szCs w:val="24"/>
          <w:lang w:val="en-US" w:eastAsia="zh-CN" w:bidi="ar-SA"/>
        </w:rPr>
        <w:t>5</w:t>
      </w:r>
      <w:r>
        <w:rPr>
          <w:rFonts w:hint="eastAsia" w:ascii="宋体" w:hAnsi="宋体" w:eastAsia="Arial" w:cs="Arial"/>
          <w:b/>
          <w:snapToGrid w:val="0"/>
          <w:color w:val="000000"/>
          <w:kern w:val="0"/>
          <w:sz w:val="24"/>
          <w:szCs w:val="24"/>
          <w:lang w:val="en-US" w:eastAsia="zh-CN" w:bidi="ar-SA"/>
        </w:rPr>
        <w:t>.中小企业、监狱企业或残疾人福利性单位声明函</w:t>
      </w:r>
      <w:r>
        <w:rPr>
          <w:rFonts w:hint="eastAsia" w:eastAsia="Arial" w:cs="Arial"/>
          <w:b/>
          <w:snapToGrid w:val="0"/>
          <w:color w:val="000000"/>
          <w:kern w:val="0"/>
          <w:sz w:val="24"/>
          <w:szCs w:val="24"/>
          <w:lang w:val="en-US" w:eastAsia="zh-CN" w:bidi="ar-SA"/>
        </w:rPr>
        <w:t>（对于专门面向中小企业采购的项目必须提供，不专门面向的项目可选择提供）</w:t>
      </w:r>
    </w:p>
    <w:p w14:paraId="5227B6CB">
      <w:pPr>
        <w:pStyle w:val="21"/>
        <w:jc w:val="center"/>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中小企业声明函（服务）格式</w:t>
      </w:r>
    </w:p>
    <w:p w14:paraId="415D0FC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83A226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 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14:paraId="6B2E7E1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14:paraId="6B15C511">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14:paraId="556EFE5D">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14:paraId="04C5ED8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06F73F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14:paraId="4AB2A9D4">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24" w:firstLineChars="200"/>
        <w:jc w:val="both"/>
        <w:textAlignment w:val="baseline"/>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w:t>
      </w:r>
      <w:r>
        <w:rPr>
          <w:rFonts w:hint="eastAsia" w:asciiTheme="minorEastAsia" w:hAnsiTheme="minorEastAsia" w:eastAsiaTheme="minorEastAsia" w:cstheme="minorEastAsia"/>
          <w:spacing w:val="10"/>
          <w:position w:val="17"/>
          <w:sz w:val="24"/>
          <w:szCs w:val="24"/>
          <w:lang w:val="en-US" w:eastAsia="zh-CN"/>
        </w:rPr>
        <w:t>不存在与大企业的负责让你为同一人的情形。</w:t>
      </w:r>
    </w:p>
    <w:p w14:paraId="4429CD85">
      <w:pPr>
        <w:pStyle w:val="5"/>
        <w:keepNext w:val="0"/>
        <w:keepLines w:val="0"/>
        <w:pageBreakBefore w:val="0"/>
        <w:widowControl/>
        <w:kinsoku/>
        <w:wordWrap w:val="0"/>
        <w:overflowPunct/>
        <w:topLinePunct w:val="0"/>
        <w:autoSpaceDE w:val="0"/>
        <w:autoSpaceDN w:val="0"/>
        <w:bidi w:val="0"/>
        <w:adjustRightInd w:val="0"/>
        <w:snapToGrid w:val="0"/>
        <w:spacing w:line="360" w:lineRule="auto"/>
        <w:ind w:right="0" w:firstLine="52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14:paraId="30C6B71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17358A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585FC70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50" w:firstLineChars="25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14:paraId="309FEB7E">
      <w:pPr>
        <w:keepNext w:val="0"/>
        <w:keepLines w:val="0"/>
        <w:pageBreakBefore w:val="0"/>
        <w:kinsoku/>
        <w:wordWrap w:val="0"/>
        <w:overflowPunct/>
        <w:topLinePunct w:val="0"/>
        <w:bidi w:val="0"/>
        <w:spacing w:line="360" w:lineRule="auto"/>
        <w:ind w:firstLine="5040" w:firstLineChars="21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578FD1A5">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pacing w:val="9"/>
          <w:position w:val="5"/>
          <w:sz w:val="24"/>
          <w:szCs w:val="24"/>
          <w:lang w:val="en-US" w:eastAsia="zh-CN"/>
        </w:rPr>
      </w:pPr>
    </w:p>
    <w:p w14:paraId="6A6C2038">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14:paraId="08A6ADAF">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0C589BE0">
      <w:pPr>
        <w:rPr>
          <w:rFonts w:hint="eastAsia"/>
        </w:rPr>
      </w:pPr>
    </w:p>
    <w:p w14:paraId="4DA5D733">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pPr>
    </w:p>
    <w:p w14:paraId="4999C46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14:textOutline w14:w="2306" w14:cap="flat" w14:cmpd="sng">
            <w14:solidFill>
              <w14:srgbClr w14:val="000000"/>
            </w14:solidFill>
            <w14:prstDash w14:val="solid"/>
            <w14:miter w14:val="0"/>
          </w14:textOutline>
        </w:rPr>
        <w:t>残疾人福利性单位声明函格式</w:t>
      </w:r>
    </w:p>
    <w:p w14:paraId="3A31DA5C">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347CF7D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本单位郑重声明，根据《财政部民政部中国残疾人联合会关于促进残疾人就</w:t>
      </w:r>
    </w:p>
    <w:p w14:paraId="2CDEFD39">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业政府采购政策的通知》（财库〔2017〕141号）的规定，本单位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14:paraId="7971A1B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84"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14:paraId="481EA6C7">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49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且本单位参加单位的项目</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14:paraId="2F64DB4A">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14:paraId="6302F65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0BA3685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1"/>
        </w:rPr>
      </w:pPr>
    </w:p>
    <w:p w14:paraId="6BD54C9E">
      <w:pPr>
        <w:pStyle w:val="5"/>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120" w:firstLineChars="20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14:paraId="1526BCA4">
      <w:pPr>
        <w:keepNext w:val="0"/>
        <w:keepLines w:val="0"/>
        <w:pageBreakBefore w:val="0"/>
        <w:widowControl w:val="0"/>
        <w:kinsoku/>
        <w:wordWrap w:val="0"/>
        <w:overflowPunct/>
        <w:topLinePunct w:val="0"/>
        <w:autoSpaceDE w:val="0"/>
        <w:autoSpaceDN w:val="0"/>
        <w:bidi w:val="0"/>
        <w:adjustRightInd w:val="0"/>
        <w:spacing w:line="360" w:lineRule="auto"/>
        <w:ind w:firstLine="5152" w:firstLineChars="2300"/>
        <w:jc w:val="both"/>
        <w:rPr>
          <w:rFonts w:hint="eastAsia" w:asciiTheme="minorEastAsia" w:hAnsiTheme="minorEastAsia" w:eastAsiaTheme="minorEastAsia" w:cstheme="minorEastAsia"/>
          <w:b w:val="0"/>
          <w:bCs w:val="0"/>
          <w:snapToGrid w:val="0"/>
          <w:color w:val="000000"/>
          <w:spacing w:val="-8"/>
          <w:kern w:val="0"/>
          <w:sz w:val="24"/>
          <w:szCs w:val="24"/>
          <w:lang w:val="zh-CN" w:eastAsia="zh-CN" w:bidi="ar-SA"/>
        </w:rPr>
      </w:pP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日期：</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napToGrid w:val="0"/>
          <w:color w:val="000000"/>
          <w:spacing w:val="-8"/>
          <w:kern w:val="0"/>
          <w:sz w:val="24"/>
          <w:szCs w:val="24"/>
          <w:u w:val="single"/>
          <w:lang w:val="en-US" w:eastAsia="zh-CN" w:bidi="ar-SA"/>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239969F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2F2E55E4">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z w:val="24"/>
          <w:szCs w:val="24"/>
        </w:rPr>
      </w:pPr>
    </w:p>
    <w:p w14:paraId="16C4E22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523D547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B3F3B82">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7C56DE3">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103D5EE5">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7455427">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05B6AE9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36B98AAE">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pPr>
    </w:p>
    <w:p w14:paraId="6D8E9B48">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14:paraId="752ED1BB">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宋体" w:hAnsi="宋体"/>
          <w:b/>
          <w:sz w:val="28"/>
          <w:szCs w:val="28"/>
          <w:lang w:eastAsia="zh-CN"/>
        </w:rPr>
      </w:pPr>
    </w:p>
    <w:p w14:paraId="18F8A4F1">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2014﹞68号），本企业______（是、不是）监狱企业。后附省级以上监狱管理局、戒毒管理局（含新疆生产建设兵团）出具的属于监狱企业证明文件。</w:t>
      </w:r>
    </w:p>
    <w:p w14:paraId="10A958EA">
      <w:pPr>
        <w:keepNext w:val="0"/>
        <w:keepLines w:val="0"/>
        <w:pageBreakBefore w:val="0"/>
        <w:widowControl/>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14:paraId="4F3EA9BE">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14:paraId="05C2CDBE">
      <w:pPr>
        <w:keepNext w:val="0"/>
        <w:keepLines w:val="0"/>
        <w:pageBreakBefore w:val="0"/>
        <w:widowControl/>
        <w:tabs>
          <w:tab w:val="left" w:pos="4860"/>
        </w:tabs>
        <w:kinsoku/>
        <w:wordWrap w:val="0"/>
        <w:overflowPunct/>
        <w:topLinePunct w:val="0"/>
        <w:autoSpaceDE w:val="0"/>
        <w:autoSpaceDN w:val="0"/>
        <w:bidi w:val="0"/>
        <w:adjustRightInd w:val="0"/>
        <w:snapToGrid w:val="0"/>
        <w:spacing w:line="360" w:lineRule="auto"/>
        <w:ind w:left="0" w:right="0" w:firstLine="508" w:firstLineChars="200"/>
        <w:jc w:val="both"/>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14:paraId="1A074632">
      <w:pPr>
        <w:keepNext w:val="0"/>
        <w:keepLines w:val="0"/>
        <w:pageBreakBefore w:val="0"/>
        <w:kinsoku/>
        <w:wordWrap w:val="0"/>
        <w:overflowPunct/>
        <w:topLinePunct w:val="0"/>
        <w:bidi w:val="0"/>
        <w:spacing w:line="360" w:lineRule="auto"/>
        <w:ind w:firstLine="4320" w:firstLineChars="1800"/>
        <w:jc w:val="both"/>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 w:val="0"/>
          <w:bCs/>
          <w:sz w:val="24"/>
          <w:szCs w:val="24"/>
          <w:u w:val="none"/>
          <w:lang w:val="en-US" w:eastAsia="zh-CN"/>
        </w:rPr>
        <w:t>日期：</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sz w:val="24"/>
          <w:szCs w:val="24"/>
          <w:u w:val="single"/>
          <w:lang w:val="en-US"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14:paraId="0ED26106">
      <w:pPr>
        <w:keepNext w:val="0"/>
        <w:keepLines w:val="0"/>
        <w:pageBreakBefore w:val="0"/>
        <w:widowControl/>
        <w:kinsoku/>
        <w:wordWrap w:val="0"/>
        <w:overflowPunct/>
        <w:topLinePunct w:val="0"/>
        <w:autoSpaceDE w:val="0"/>
        <w:autoSpaceDN w:val="0"/>
        <w:bidi w:val="0"/>
        <w:adjustRightInd w:val="0"/>
        <w:snapToGrid w:val="0"/>
        <w:spacing w:line="360" w:lineRule="auto"/>
        <w:ind w:left="0" w:right="0"/>
        <w:jc w:val="both"/>
        <w:textAlignment w:val="baseline"/>
        <w:rPr>
          <w:rFonts w:hint="eastAsia" w:asciiTheme="minorEastAsia" w:hAnsiTheme="minorEastAsia" w:eastAsiaTheme="minorEastAsia" w:cstheme="minorEastAsia"/>
          <w:b/>
          <w:bCs/>
          <w:snapToGrid w:val="0"/>
          <w:color w:val="000000"/>
          <w:spacing w:val="8"/>
          <w:kern w:val="0"/>
          <w:position w:val="26"/>
          <w:sz w:val="24"/>
          <w:szCs w:val="24"/>
          <w:lang w:val="en-US" w:eastAsia="en-US" w:bidi="ar-SA"/>
        </w:rPr>
      </w:pPr>
      <w:r>
        <w:rPr>
          <w:rFonts w:hint="eastAsia" w:asciiTheme="minorEastAsia" w:hAnsiTheme="minorEastAsia" w:eastAsiaTheme="minorEastAsia" w:cstheme="minorEastAsia"/>
          <w:b/>
          <w:bCs/>
          <w:snapToGrid w:val="0"/>
          <w:color w:val="000000"/>
          <w:spacing w:val="8"/>
          <w:kern w:val="0"/>
          <w:position w:val="26"/>
          <w:sz w:val="24"/>
          <w:szCs w:val="24"/>
          <w:lang w:val="en-US" w:eastAsia="zh-CN" w:bidi="ar-SA"/>
        </w:rPr>
        <w:t>6.征集文件要求的其它材料及供应商认为有必要提供的材料</w:t>
      </w:r>
    </w:p>
    <w:sectPr>
      <w:headerReference r:id="rId16" w:type="default"/>
      <w:footerReference r:id="rId17" w:type="default"/>
      <w:pgSz w:w="11907" w:h="16840"/>
      <w:pgMar w:top="1440" w:right="1800" w:bottom="1440" w:left="18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E4002EFF" w:usb1="C200247B" w:usb2="00000009" w:usb3="00000000" w:csb0="200001F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00000" w:usb3="00000000" w:csb0="00040000"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ACB36">
    <w:pPr>
      <w:spacing w:line="189" w:lineRule="auto"/>
      <w:rPr>
        <w:rFonts w:ascii="Arial" w:hAnsi="Arial" w:eastAsia="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3491C9">
    <w:pPr>
      <w:spacing w:line="189" w:lineRule="auto"/>
      <w:rPr>
        <w:rFonts w:ascii="Arial" w:hAnsi="Arial" w:eastAsia="Arial" w:cs="Arial"/>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3ABE4">
    <w:pPr>
      <w:spacing w:line="189" w:lineRule="auto"/>
      <w:ind w:left="4547"/>
      <w:rPr>
        <w:rFonts w:ascii="Arial" w:hAnsi="Arial" w:eastAsia="Arial" w:cs="Arial"/>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DE041D">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DE041D">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34A79">
    <w:pPr>
      <w:pStyle w:val="31"/>
      <w:jc w:val="right"/>
      <w:rPr>
        <w:rFonts w:ascii="宋体"/>
        <w:sz w:val="28"/>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47955"/>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4935" cy="147955"/>
                      </a:xfrm>
                      <a:prstGeom prst="rect">
                        <a:avLst/>
                      </a:prstGeom>
                      <a:noFill/>
                      <a:ln>
                        <a:noFill/>
                      </a:ln>
                    </wps:spPr>
                    <wps:txbx>
                      <w:txbxContent>
                        <w:p w14:paraId="1D45A857">
                          <w:pPr>
                            <w:pStyle w:val="31"/>
                            <w:jc w:val="right"/>
                            <w:rPr>
                              <w:rFonts w:hint="eastAsia" w:ascii="宋体" w:hAnsi="宋体" w:eastAsia="宋体" w:cs="宋体"/>
                              <w:szCs w:val="18"/>
                            </w:rPr>
                          </w:pPr>
                          <w:r>
                            <w:rPr>
                              <w:rFonts w:hint="eastAsia" w:ascii="宋体" w:hAnsi="宋体" w:eastAsia="宋体" w:cs="宋体"/>
                              <w:szCs w:val="18"/>
                            </w:rPr>
                            <w:fldChar w:fldCharType="begin"/>
                          </w:r>
                          <w:r>
                            <w:rPr>
                              <w:rFonts w:hint="eastAsia" w:ascii="宋体" w:hAnsi="宋体" w:eastAsia="宋体" w:cs="宋体"/>
                              <w:szCs w:val="18"/>
                            </w:rPr>
                            <w:instrText xml:space="preserve"> PAGE  \* MERGEFORMAT </w:instrText>
                          </w:r>
                          <w:r>
                            <w:rPr>
                              <w:rFonts w:hint="eastAsia" w:ascii="宋体" w:hAnsi="宋体" w:eastAsia="宋体" w:cs="宋体"/>
                              <w:szCs w:val="18"/>
                            </w:rPr>
                            <w:fldChar w:fldCharType="separate"/>
                          </w:r>
                          <w:r>
                            <w:rPr>
                              <w:rFonts w:ascii="宋体" w:hAnsi="宋体" w:eastAsia="宋体" w:cs="宋体"/>
                              <w:szCs w:val="18"/>
                            </w:rPr>
                            <w:t>8</w:t>
                          </w:r>
                          <w:r>
                            <w:rPr>
                              <w:rFonts w:hint="eastAsia" w:ascii="宋体" w:hAnsi="宋体" w:eastAsia="宋体" w:cs="宋体"/>
                              <w:szCs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65pt;width:9.05pt;mso-position-horizontal:center;mso-position-horizontal-relative:margin;mso-wrap-style:none;z-index:251660288;mso-width-relative:page;mso-height-relative:page;" filled="f" stroked="f" coordsize="21600,21600" o:gfxdata="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6W/D9EAAAADAQAADwAAAAAAAAABACAAAAAiAAAAZHJzL2Rv&#10;d25yZXYueG1sUEsBAhQAFAAAAAgAh07iQAsV1wDPAQAAlwMAAA4AAAAAAAAAAQAgAAAAIAEAAGRy&#10;cy9lMm9Eb2MueG1sUEsFBgAAAAAGAAYAWQEAAGEFAAAAAA==&#10;">
              <v:fill on="f" focussize="0,0"/>
              <v:stroke on="f"/>
              <v:imagedata o:title=""/>
              <o:lock v:ext="edit" aspectratio="f"/>
              <v:textbox inset="0mm,0mm,0mm,0mm" style="mso-fit-shape-to-text:t;">
                <w:txbxContent>
                  <w:p w14:paraId="1D45A857">
                    <w:pPr>
                      <w:pStyle w:val="31"/>
                      <w:jc w:val="right"/>
                      <w:rPr>
                        <w:rFonts w:hint="eastAsia" w:ascii="宋体" w:hAnsi="宋体" w:eastAsia="宋体" w:cs="宋体"/>
                        <w:szCs w:val="18"/>
                      </w:rPr>
                    </w:pPr>
                    <w:r>
                      <w:rPr>
                        <w:rFonts w:hint="eastAsia" w:ascii="宋体" w:hAnsi="宋体" w:eastAsia="宋体" w:cs="宋体"/>
                        <w:szCs w:val="18"/>
                      </w:rPr>
                      <w:fldChar w:fldCharType="begin"/>
                    </w:r>
                    <w:r>
                      <w:rPr>
                        <w:rFonts w:hint="eastAsia" w:ascii="宋体" w:hAnsi="宋体" w:eastAsia="宋体" w:cs="宋体"/>
                        <w:szCs w:val="18"/>
                      </w:rPr>
                      <w:instrText xml:space="preserve"> PAGE  \* MERGEFORMAT </w:instrText>
                    </w:r>
                    <w:r>
                      <w:rPr>
                        <w:rFonts w:hint="eastAsia" w:ascii="宋体" w:hAnsi="宋体" w:eastAsia="宋体" w:cs="宋体"/>
                        <w:szCs w:val="18"/>
                      </w:rPr>
                      <w:fldChar w:fldCharType="separate"/>
                    </w:r>
                    <w:r>
                      <w:rPr>
                        <w:rFonts w:ascii="宋体" w:hAnsi="宋体" w:eastAsia="宋体" w:cs="宋体"/>
                        <w:szCs w:val="18"/>
                      </w:rPr>
                      <w:t>8</w:t>
                    </w:r>
                    <w:r>
                      <w:rPr>
                        <w:rFonts w:hint="eastAsia" w:ascii="宋体" w:hAnsi="宋体" w:eastAsia="宋体" w:cs="宋体"/>
                        <w:szCs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F2B9E">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573A2D">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21573A2D">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C66AA7">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1FAF8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81FAF85">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29</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9161B3">
    <w:pPr>
      <w:spacing w:line="189" w:lineRule="auto"/>
      <w:ind w:left="4538"/>
      <w:rPr>
        <w:rFonts w:ascii="Arial" w:hAnsi="Arial" w:eastAsia="Arial" w:cs="Arial"/>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DAA2C0">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0DAA2C0">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E4185">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7424C">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1547424C">
                    <w:pPr>
                      <w:pStyle w:val="9"/>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42</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E27B1">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156FD">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22FE">
    <w:pPr>
      <w:pStyle w:val="1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D0288F">
    <w:pPr>
      <w:pStyle w:val="1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6E85F">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ED5771"/>
    <w:multiLevelType w:val="singleLevel"/>
    <w:tmpl w:val="B3ED5771"/>
    <w:lvl w:ilvl="0" w:tentative="0">
      <w:start w:val="1"/>
      <w:numFmt w:val="decimal"/>
      <w:suff w:val="nothing"/>
      <w:lvlText w:val="（%1）"/>
      <w:lvlJc w:val="left"/>
    </w:lvl>
  </w:abstractNum>
  <w:abstractNum w:abstractNumId="1">
    <w:nsid w:val="E8B0BC76"/>
    <w:multiLevelType w:val="singleLevel"/>
    <w:tmpl w:val="E8B0BC76"/>
    <w:lvl w:ilvl="0" w:tentative="0">
      <w:start w:val="4"/>
      <w:numFmt w:val="chineseCounting"/>
      <w:suff w:val="space"/>
      <w:lvlText w:val="第%1条"/>
      <w:lvlJc w:val="left"/>
      <w:rPr>
        <w:rFonts w:hint="eastAsia"/>
      </w:rPr>
    </w:lvl>
  </w:abstractNum>
  <w:abstractNum w:abstractNumId="2">
    <w:nsid w:val="36D0A5F3"/>
    <w:multiLevelType w:val="singleLevel"/>
    <w:tmpl w:val="36D0A5F3"/>
    <w:lvl w:ilvl="0" w:tentative="0">
      <w:start w:val="5"/>
      <w:numFmt w:val="chineseCounting"/>
      <w:suff w:val="space"/>
      <w:lvlText w:val="第%1章"/>
      <w:lvlJc w:val="left"/>
      <w:rPr>
        <w:rFonts w:hint="eastAsia"/>
      </w:rPr>
    </w:lvl>
  </w:abstractNum>
  <w:abstractNum w:abstractNumId="3">
    <w:nsid w:val="541836FF"/>
    <w:multiLevelType w:val="singleLevel"/>
    <w:tmpl w:val="541836FF"/>
    <w:lvl w:ilvl="0" w:tentative="0">
      <w:start w:val="11"/>
      <w:numFmt w:val="decimal"/>
      <w:lvlText w:val="%1."/>
      <w:lvlJc w:val="left"/>
      <w:pPr>
        <w:tabs>
          <w:tab w:val="left" w:pos="312"/>
        </w:tabs>
      </w:pPr>
    </w:lvl>
  </w:abstractNum>
  <w:abstractNum w:abstractNumId="4">
    <w:nsid w:val="5D7BE5FA"/>
    <w:multiLevelType w:val="singleLevel"/>
    <w:tmpl w:val="5D7BE5FA"/>
    <w:lvl w:ilvl="0" w:tentative="0">
      <w:start w:val="1"/>
      <w:numFmt w:val="decimal"/>
      <w:suff w:val="nothing"/>
      <w:lvlText w:val="%1、"/>
      <w:lvlJc w:val="left"/>
    </w:lvl>
  </w:abstractNum>
  <w:abstractNum w:abstractNumId="5">
    <w:nsid w:val="68B948D7"/>
    <w:multiLevelType w:val="singleLevel"/>
    <w:tmpl w:val="68B948D7"/>
    <w:lvl w:ilvl="0" w:tentative="0">
      <w:start w:val="1"/>
      <w:numFmt w:val="chineseCounting"/>
      <w:suff w:val="nothing"/>
      <w:lvlText w:val="%1、"/>
      <w:lvlJc w:val="left"/>
      <w:rPr>
        <w:rFonts w:hint="eastAsia"/>
      </w:rPr>
    </w:lvl>
  </w:abstractNum>
  <w:abstractNum w:abstractNumId="6">
    <w:nsid w:val="7159AD3A"/>
    <w:multiLevelType w:val="singleLevel"/>
    <w:tmpl w:val="7159AD3A"/>
    <w:lvl w:ilvl="0" w:tentative="0">
      <w:start w:val="2"/>
      <w:numFmt w:val="decimal"/>
      <w:suff w:val="nothing"/>
      <w:lvlText w:val="%1、"/>
      <w:lvlJc w:val="left"/>
    </w:lvl>
  </w:abstractNum>
  <w:abstractNum w:abstractNumId="7">
    <w:nsid w:val="77F29011"/>
    <w:multiLevelType w:val="singleLevel"/>
    <w:tmpl w:val="77F29011"/>
    <w:lvl w:ilvl="0" w:tentative="0">
      <w:start w:val="2"/>
      <w:numFmt w:val="chineseCounting"/>
      <w:suff w:val="nothing"/>
      <w:lvlText w:val="（%1）"/>
      <w:lvlJc w:val="left"/>
      <w:rPr>
        <w:rFonts w:hint="eastAsia"/>
      </w:rPr>
    </w:lvl>
  </w:abstractNum>
  <w:num w:numId="1">
    <w:abstractNumId w:val="7"/>
  </w:num>
  <w:num w:numId="2">
    <w:abstractNumId w:val="4"/>
  </w:num>
  <w:num w:numId="3">
    <w:abstractNumId w:val="0"/>
  </w:num>
  <w:num w:numId="4">
    <w:abstractNumId w:val="5"/>
  </w:num>
  <w:num w:numId="5">
    <w:abstractNumId w:val="2"/>
  </w:num>
  <w:num w:numId="6">
    <w:abstractNumId w:val="6"/>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ZDU5ODFjOGEyNWRlYTNkMjA0OTNkYmM2YTBlNjc3YTEifQ=="/>
  </w:docVars>
  <w:rsids>
    <w:rsidRoot w:val="00000000"/>
    <w:rsid w:val="0096273C"/>
    <w:rsid w:val="00D24FF0"/>
    <w:rsid w:val="014E35A1"/>
    <w:rsid w:val="023E759B"/>
    <w:rsid w:val="027730B6"/>
    <w:rsid w:val="02B11699"/>
    <w:rsid w:val="02FA03F5"/>
    <w:rsid w:val="03217B69"/>
    <w:rsid w:val="03A74512"/>
    <w:rsid w:val="03C26B83"/>
    <w:rsid w:val="03CC315E"/>
    <w:rsid w:val="03DF5A69"/>
    <w:rsid w:val="043020CF"/>
    <w:rsid w:val="044921B6"/>
    <w:rsid w:val="04685E24"/>
    <w:rsid w:val="046E59EF"/>
    <w:rsid w:val="050D556D"/>
    <w:rsid w:val="05234F67"/>
    <w:rsid w:val="05545C1C"/>
    <w:rsid w:val="055748A3"/>
    <w:rsid w:val="05751C1B"/>
    <w:rsid w:val="059A3EA8"/>
    <w:rsid w:val="06593C39"/>
    <w:rsid w:val="06787E06"/>
    <w:rsid w:val="06AF4861"/>
    <w:rsid w:val="06B0495B"/>
    <w:rsid w:val="06C93A28"/>
    <w:rsid w:val="06E37C8B"/>
    <w:rsid w:val="06FC4B75"/>
    <w:rsid w:val="072C2E4D"/>
    <w:rsid w:val="076721B4"/>
    <w:rsid w:val="08CB596A"/>
    <w:rsid w:val="092D385C"/>
    <w:rsid w:val="09684744"/>
    <w:rsid w:val="09A129E2"/>
    <w:rsid w:val="09CC6764"/>
    <w:rsid w:val="09E3271C"/>
    <w:rsid w:val="0A29644D"/>
    <w:rsid w:val="0A437032"/>
    <w:rsid w:val="0A633B33"/>
    <w:rsid w:val="0AB46C2A"/>
    <w:rsid w:val="0ABC7CF1"/>
    <w:rsid w:val="0ABE6FC5"/>
    <w:rsid w:val="0AD86A92"/>
    <w:rsid w:val="0B3B7AF5"/>
    <w:rsid w:val="0B3C24F6"/>
    <w:rsid w:val="0BC76E66"/>
    <w:rsid w:val="0BF0521B"/>
    <w:rsid w:val="0C2A5CE1"/>
    <w:rsid w:val="0CB101B0"/>
    <w:rsid w:val="0CBD4DA7"/>
    <w:rsid w:val="0CF900A3"/>
    <w:rsid w:val="0DA859D3"/>
    <w:rsid w:val="0DCD726B"/>
    <w:rsid w:val="0DD30B7C"/>
    <w:rsid w:val="0DF93BBD"/>
    <w:rsid w:val="0E307EEE"/>
    <w:rsid w:val="0EE83F9D"/>
    <w:rsid w:val="0F0D035A"/>
    <w:rsid w:val="0FB87AA7"/>
    <w:rsid w:val="0FE34B24"/>
    <w:rsid w:val="102C0845"/>
    <w:rsid w:val="104F3F68"/>
    <w:rsid w:val="10B145AD"/>
    <w:rsid w:val="115A7068"/>
    <w:rsid w:val="117D2D56"/>
    <w:rsid w:val="11B43A6A"/>
    <w:rsid w:val="11B5429E"/>
    <w:rsid w:val="122675E2"/>
    <w:rsid w:val="12417927"/>
    <w:rsid w:val="125C25AB"/>
    <w:rsid w:val="126E021D"/>
    <w:rsid w:val="12C549DA"/>
    <w:rsid w:val="12D9220E"/>
    <w:rsid w:val="12FD5FFB"/>
    <w:rsid w:val="1380268A"/>
    <w:rsid w:val="13C5707D"/>
    <w:rsid w:val="13F07810"/>
    <w:rsid w:val="140E658A"/>
    <w:rsid w:val="1446371A"/>
    <w:rsid w:val="146A5814"/>
    <w:rsid w:val="14EC3DCF"/>
    <w:rsid w:val="14F37C6D"/>
    <w:rsid w:val="15037E2D"/>
    <w:rsid w:val="156B2323"/>
    <w:rsid w:val="15803BE3"/>
    <w:rsid w:val="15AC3C0A"/>
    <w:rsid w:val="15B05882"/>
    <w:rsid w:val="15B8507C"/>
    <w:rsid w:val="15E04F64"/>
    <w:rsid w:val="164A7458"/>
    <w:rsid w:val="164E3CA4"/>
    <w:rsid w:val="16B163CA"/>
    <w:rsid w:val="16F45CE8"/>
    <w:rsid w:val="16FC049F"/>
    <w:rsid w:val="174C193E"/>
    <w:rsid w:val="179B0D80"/>
    <w:rsid w:val="17B27393"/>
    <w:rsid w:val="181B6E25"/>
    <w:rsid w:val="183D23CB"/>
    <w:rsid w:val="18510AEB"/>
    <w:rsid w:val="18610CDC"/>
    <w:rsid w:val="19161B44"/>
    <w:rsid w:val="19723E0D"/>
    <w:rsid w:val="19D46BD3"/>
    <w:rsid w:val="19E260C0"/>
    <w:rsid w:val="1A302F49"/>
    <w:rsid w:val="1A464AA0"/>
    <w:rsid w:val="1A6B22E0"/>
    <w:rsid w:val="1AAC0209"/>
    <w:rsid w:val="1AC47924"/>
    <w:rsid w:val="1AF57E02"/>
    <w:rsid w:val="1B4F168F"/>
    <w:rsid w:val="1B6F0841"/>
    <w:rsid w:val="1D391455"/>
    <w:rsid w:val="1D72498F"/>
    <w:rsid w:val="1D9D7C75"/>
    <w:rsid w:val="1DDB508D"/>
    <w:rsid w:val="1E0754FF"/>
    <w:rsid w:val="1E2712E1"/>
    <w:rsid w:val="1E7249AF"/>
    <w:rsid w:val="1F8737CC"/>
    <w:rsid w:val="1FE61854"/>
    <w:rsid w:val="1FF31541"/>
    <w:rsid w:val="20670E5A"/>
    <w:rsid w:val="20F10837"/>
    <w:rsid w:val="210939CE"/>
    <w:rsid w:val="212D6A29"/>
    <w:rsid w:val="217E2260"/>
    <w:rsid w:val="21DC7625"/>
    <w:rsid w:val="21E33D7D"/>
    <w:rsid w:val="21EF55AB"/>
    <w:rsid w:val="22937C80"/>
    <w:rsid w:val="22E737AC"/>
    <w:rsid w:val="23C6058D"/>
    <w:rsid w:val="23D34A58"/>
    <w:rsid w:val="24C8734D"/>
    <w:rsid w:val="24E94D19"/>
    <w:rsid w:val="25052271"/>
    <w:rsid w:val="255045B2"/>
    <w:rsid w:val="256253DA"/>
    <w:rsid w:val="25722260"/>
    <w:rsid w:val="257A4289"/>
    <w:rsid w:val="25A83616"/>
    <w:rsid w:val="25D07317"/>
    <w:rsid w:val="260373D2"/>
    <w:rsid w:val="263A5FE5"/>
    <w:rsid w:val="265713EE"/>
    <w:rsid w:val="266177F8"/>
    <w:rsid w:val="26734FA1"/>
    <w:rsid w:val="275A6F9B"/>
    <w:rsid w:val="27EF7E63"/>
    <w:rsid w:val="27F6032D"/>
    <w:rsid w:val="2944096C"/>
    <w:rsid w:val="29462E99"/>
    <w:rsid w:val="29C94933"/>
    <w:rsid w:val="29EF5E58"/>
    <w:rsid w:val="2A5E573D"/>
    <w:rsid w:val="2A870159"/>
    <w:rsid w:val="2ABA04F6"/>
    <w:rsid w:val="2AD7512C"/>
    <w:rsid w:val="2B296C36"/>
    <w:rsid w:val="2B32017A"/>
    <w:rsid w:val="2B4C1378"/>
    <w:rsid w:val="2B6A4948"/>
    <w:rsid w:val="2BD35370"/>
    <w:rsid w:val="2CB368C6"/>
    <w:rsid w:val="2CE542E8"/>
    <w:rsid w:val="2D4C797B"/>
    <w:rsid w:val="2D854259"/>
    <w:rsid w:val="2DB54B23"/>
    <w:rsid w:val="2DD5743D"/>
    <w:rsid w:val="2DF6291A"/>
    <w:rsid w:val="2E037ECE"/>
    <w:rsid w:val="2E123636"/>
    <w:rsid w:val="2EDE4089"/>
    <w:rsid w:val="2F01691D"/>
    <w:rsid w:val="2F795793"/>
    <w:rsid w:val="2F7E5B21"/>
    <w:rsid w:val="2FAF3423"/>
    <w:rsid w:val="305F18E8"/>
    <w:rsid w:val="311741D6"/>
    <w:rsid w:val="3119309A"/>
    <w:rsid w:val="312A5594"/>
    <w:rsid w:val="312C625F"/>
    <w:rsid w:val="31C81974"/>
    <w:rsid w:val="32230959"/>
    <w:rsid w:val="3322495F"/>
    <w:rsid w:val="337450B5"/>
    <w:rsid w:val="342E4350"/>
    <w:rsid w:val="344C700B"/>
    <w:rsid w:val="34C22FEC"/>
    <w:rsid w:val="34EB0670"/>
    <w:rsid w:val="34F86C33"/>
    <w:rsid w:val="357D65D2"/>
    <w:rsid w:val="36266C69"/>
    <w:rsid w:val="36B765C5"/>
    <w:rsid w:val="374E72FE"/>
    <w:rsid w:val="37512649"/>
    <w:rsid w:val="37C036A0"/>
    <w:rsid w:val="37D664EB"/>
    <w:rsid w:val="37E776C2"/>
    <w:rsid w:val="382A08F7"/>
    <w:rsid w:val="383C09C6"/>
    <w:rsid w:val="38704382"/>
    <w:rsid w:val="388B2F38"/>
    <w:rsid w:val="399D1B1E"/>
    <w:rsid w:val="3A046503"/>
    <w:rsid w:val="3B35724B"/>
    <w:rsid w:val="3BB63ADA"/>
    <w:rsid w:val="3BDC4EDA"/>
    <w:rsid w:val="3C050DB3"/>
    <w:rsid w:val="3C2C3D72"/>
    <w:rsid w:val="3C37498E"/>
    <w:rsid w:val="3C860462"/>
    <w:rsid w:val="3C94450B"/>
    <w:rsid w:val="3CD83A9C"/>
    <w:rsid w:val="3D051AB3"/>
    <w:rsid w:val="3D13022E"/>
    <w:rsid w:val="3D9C0E9C"/>
    <w:rsid w:val="3DCD44AD"/>
    <w:rsid w:val="3DDE7B24"/>
    <w:rsid w:val="3E1779D0"/>
    <w:rsid w:val="3E2733CF"/>
    <w:rsid w:val="3E353902"/>
    <w:rsid w:val="3E60285C"/>
    <w:rsid w:val="3E7A6E5F"/>
    <w:rsid w:val="3E807399"/>
    <w:rsid w:val="3E923BF9"/>
    <w:rsid w:val="3ED454B4"/>
    <w:rsid w:val="3F0A4EA1"/>
    <w:rsid w:val="3F487C50"/>
    <w:rsid w:val="3F814E1B"/>
    <w:rsid w:val="3FC65745"/>
    <w:rsid w:val="3FCE3BC4"/>
    <w:rsid w:val="40274071"/>
    <w:rsid w:val="405D1A2A"/>
    <w:rsid w:val="407F405E"/>
    <w:rsid w:val="409370B0"/>
    <w:rsid w:val="40D41902"/>
    <w:rsid w:val="40E446B9"/>
    <w:rsid w:val="41884B35"/>
    <w:rsid w:val="41BF6788"/>
    <w:rsid w:val="423849B8"/>
    <w:rsid w:val="435F746A"/>
    <w:rsid w:val="4372309F"/>
    <w:rsid w:val="44093E52"/>
    <w:rsid w:val="444E5D13"/>
    <w:rsid w:val="446F3136"/>
    <w:rsid w:val="44790C24"/>
    <w:rsid w:val="453A628D"/>
    <w:rsid w:val="45CF0C25"/>
    <w:rsid w:val="45D109A0"/>
    <w:rsid w:val="45DD7715"/>
    <w:rsid w:val="467852BF"/>
    <w:rsid w:val="468E6891"/>
    <w:rsid w:val="47503B46"/>
    <w:rsid w:val="475145CB"/>
    <w:rsid w:val="47C562E2"/>
    <w:rsid w:val="47C81344"/>
    <w:rsid w:val="483B0352"/>
    <w:rsid w:val="488A3088"/>
    <w:rsid w:val="48DF1625"/>
    <w:rsid w:val="48F078C5"/>
    <w:rsid w:val="49320965"/>
    <w:rsid w:val="49AC2E6D"/>
    <w:rsid w:val="49D70E7A"/>
    <w:rsid w:val="4A3F3154"/>
    <w:rsid w:val="4A4562D3"/>
    <w:rsid w:val="4A52328E"/>
    <w:rsid w:val="4B050440"/>
    <w:rsid w:val="4B227F62"/>
    <w:rsid w:val="4B6545C2"/>
    <w:rsid w:val="4B6F02A0"/>
    <w:rsid w:val="4BBC369E"/>
    <w:rsid w:val="4CEC4659"/>
    <w:rsid w:val="4D493511"/>
    <w:rsid w:val="4DF21FC2"/>
    <w:rsid w:val="4DF932EA"/>
    <w:rsid w:val="4E0E2265"/>
    <w:rsid w:val="4E201C1D"/>
    <w:rsid w:val="4E7A34EC"/>
    <w:rsid w:val="4E861641"/>
    <w:rsid w:val="4EAA305C"/>
    <w:rsid w:val="4EC562FF"/>
    <w:rsid w:val="4FAB04B3"/>
    <w:rsid w:val="4FB426AD"/>
    <w:rsid w:val="4FEE2DC9"/>
    <w:rsid w:val="50F27460"/>
    <w:rsid w:val="51346287"/>
    <w:rsid w:val="51850890"/>
    <w:rsid w:val="519F1DA4"/>
    <w:rsid w:val="525210BA"/>
    <w:rsid w:val="52A90328"/>
    <w:rsid w:val="52DC3333"/>
    <w:rsid w:val="53036690"/>
    <w:rsid w:val="53376A7B"/>
    <w:rsid w:val="537441A1"/>
    <w:rsid w:val="53B1020C"/>
    <w:rsid w:val="54065481"/>
    <w:rsid w:val="55204788"/>
    <w:rsid w:val="557169CF"/>
    <w:rsid w:val="557D5D2A"/>
    <w:rsid w:val="55A41C2D"/>
    <w:rsid w:val="56682D63"/>
    <w:rsid w:val="56905D0D"/>
    <w:rsid w:val="56FB4C08"/>
    <w:rsid w:val="574153BB"/>
    <w:rsid w:val="589A668A"/>
    <w:rsid w:val="58AC00F0"/>
    <w:rsid w:val="58C46E3D"/>
    <w:rsid w:val="58D971B2"/>
    <w:rsid w:val="59042C0B"/>
    <w:rsid w:val="59272568"/>
    <w:rsid w:val="59576FB6"/>
    <w:rsid w:val="59927FEE"/>
    <w:rsid w:val="59BC1D1A"/>
    <w:rsid w:val="59C142A0"/>
    <w:rsid w:val="59C641E6"/>
    <w:rsid w:val="59D65347"/>
    <w:rsid w:val="5A2D5C94"/>
    <w:rsid w:val="5A2E3043"/>
    <w:rsid w:val="5A89319F"/>
    <w:rsid w:val="5A9763C3"/>
    <w:rsid w:val="5A9920D7"/>
    <w:rsid w:val="5AEA63E6"/>
    <w:rsid w:val="5B2C7B17"/>
    <w:rsid w:val="5BCB0AF4"/>
    <w:rsid w:val="5C2D5181"/>
    <w:rsid w:val="5C9B1B86"/>
    <w:rsid w:val="5CA02E79"/>
    <w:rsid w:val="5CEA5B79"/>
    <w:rsid w:val="5D150553"/>
    <w:rsid w:val="5D3550FB"/>
    <w:rsid w:val="5D902A97"/>
    <w:rsid w:val="5E3606EF"/>
    <w:rsid w:val="5EAB402C"/>
    <w:rsid w:val="5ED90EDE"/>
    <w:rsid w:val="5EDA32DC"/>
    <w:rsid w:val="5F321771"/>
    <w:rsid w:val="5F3A0F0C"/>
    <w:rsid w:val="5F412CC2"/>
    <w:rsid w:val="5F5A15AE"/>
    <w:rsid w:val="5F9E76ED"/>
    <w:rsid w:val="5FE2771E"/>
    <w:rsid w:val="600E6D7C"/>
    <w:rsid w:val="607F1E09"/>
    <w:rsid w:val="60BD2923"/>
    <w:rsid w:val="60C26324"/>
    <w:rsid w:val="618C2692"/>
    <w:rsid w:val="622D31D4"/>
    <w:rsid w:val="62A74B0A"/>
    <w:rsid w:val="62E015B0"/>
    <w:rsid w:val="63510510"/>
    <w:rsid w:val="639D4CC6"/>
    <w:rsid w:val="642053CC"/>
    <w:rsid w:val="646A5DEF"/>
    <w:rsid w:val="646F5EF6"/>
    <w:rsid w:val="65785E0F"/>
    <w:rsid w:val="658A75F4"/>
    <w:rsid w:val="65CF7A95"/>
    <w:rsid w:val="66A23F66"/>
    <w:rsid w:val="672526A7"/>
    <w:rsid w:val="6805711E"/>
    <w:rsid w:val="680D3662"/>
    <w:rsid w:val="68222C97"/>
    <w:rsid w:val="68333F9A"/>
    <w:rsid w:val="683858D3"/>
    <w:rsid w:val="68645FE7"/>
    <w:rsid w:val="69391070"/>
    <w:rsid w:val="69413090"/>
    <w:rsid w:val="697332CA"/>
    <w:rsid w:val="69855FCD"/>
    <w:rsid w:val="69BC17E8"/>
    <w:rsid w:val="69DD77FF"/>
    <w:rsid w:val="6AE37CE3"/>
    <w:rsid w:val="6B0625EA"/>
    <w:rsid w:val="6B5442BA"/>
    <w:rsid w:val="6C593408"/>
    <w:rsid w:val="6C68544B"/>
    <w:rsid w:val="6C785167"/>
    <w:rsid w:val="6CA35BE0"/>
    <w:rsid w:val="6D0715D4"/>
    <w:rsid w:val="6DDB2C74"/>
    <w:rsid w:val="6E0E0C0F"/>
    <w:rsid w:val="6E7E1055"/>
    <w:rsid w:val="6E8E7670"/>
    <w:rsid w:val="6EEB0447"/>
    <w:rsid w:val="6F361AD3"/>
    <w:rsid w:val="6FAF3250"/>
    <w:rsid w:val="6FC71762"/>
    <w:rsid w:val="70312E6C"/>
    <w:rsid w:val="703F6560"/>
    <w:rsid w:val="70725ED5"/>
    <w:rsid w:val="70B362F9"/>
    <w:rsid w:val="71653340"/>
    <w:rsid w:val="71F347D3"/>
    <w:rsid w:val="71FC098F"/>
    <w:rsid w:val="72415D05"/>
    <w:rsid w:val="72603DC3"/>
    <w:rsid w:val="7296241B"/>
    <w:rsid w:val="732A300A"/>
    <w:rsid w:val="73803FEB"/>
    <w:rsid w:val="73AB4C27"/>
    <w:rsid w:val="73CE2CA8"/>
    <w:rsid w:val="743A4414"/>
    <w:rsid w:val="747F7695"/>
    <w:rsid w:val="748C5DD6"/>
    <w:rsid w:val="75157FF9"/>
    <w:rsid w:val="754937FF"/>
    <w:rsid w:val="754A398B"/>
    <w:rsid w:val="75622B13"/>
    <w:rsid w:val="75857AA3"/>
    <w:rsid w:val="758D5DE2"/>
    <w:rsid w:val="75943299"/>
    <w:rsid w:val="76017BAF"/>
    <w:rsid w:val="7635781D"/>
    <w:rsid w:val="767A5F36"/>
    <w:rsid w:val="76837B47"/>
    <w:rsid w:val="76B97261"/>
    <w:rsid w:val="772D4414"/>
    <w:rsid w:val="7744228A"/>
    <w:rsid w:val="781E668F"/>
    <w:rsid w:val="788C166D"/>
    <w:rsid w:val="78AC0934"/>
    <w:rsid w:val="78BD4DDD"/>
    <w:rsid w:val="78E700F4"/>
    <w:rsid w:val="78EE7B24"/>
    <w:rsid w:val="7907377A"/>
    <w:rsid w:val="792E7F96"/>
    <w:rsid w:val="793B1352"/>
    <w:rsid w:val="79AB21E7"/>
    <w:rsid w:val="79AD76AE"/>
    <w:rsid w:val="79CC501C"/>
    <w:rsid w:val="79F12DE4"/>
    <w:rsid w:val="7B0E17E2"/>
    <w:rsid w:val="7B3E48AE"/>
    <w:rsid w:val="7C6203C7"/>
    <w:rsid w:val="7CB47DAA"/>
    <w:rsid w:val="7CE24C65"/>
    <w:rsid w:val="7D076A17"/>
    <w:rsid w:val="7D462131"/>
    <w:rsid w:val="7DC26844"/>
    <w:rsid w:val="7DC974CD"/>
    <w:rsid w:val="7E4B00B1"/>
    <w:rsid w:val="7EA62275"/>
    <w:rsid w:val="7F005876"/>
    <w:rsid w:val="7F034C8E"/>
    <w:rsid w:val="7F235328"/>
    <w:rsid w:val="7F640382"/>
    <w:rsid w:val="7FB30C7B"/>
    <w:rsid w:val="7FB346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宋体" w:hAnsi="宋体" w:eastAsia="宋体" w:cs="宋体"/>
      <w:b/>
      <w:bCs/>
      <w:kern w:val="44"/>
      <w:sz w:val="33"/>
      <w:szCs w:val="33"/>
      <w:lang w:val="en-US" w:eastAsia="zh-CN" w:bidi="ar"/>
    </w:rPr>
  </w:style>
  <w:style w:type="paragraph" w:styleId="3">
    <w:name w:val="heading 3"/>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8">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annotation text"/>
    <w:basedOn w:val="1"/>
    <w:autoRedefine/>
    <w:qFormat/>
    <w:uiPriority w:val="0"/>
    <w:pPr>
      <w:jc w:val="left"/>
    </w:pPr>
  </w:style>
  <w:style w:type="paragraph" w:styleId="5">
    <w:name w:val="Body Text"/>
    <w:basedOn w:val="1"/>
    <w:next w:val="1"/>
    <w:autoRedefine/>
    <w:qFormat/>
    <w:uiPriority w:val="0"/>
    <w:rPr>
      <w:rFonts w:ascii="宋体" w:hAnsi="宋体" w:eastAsia="宋体" w:cs="宋体"/>
      <w:sz w:val="31"/>
      <w:szCs w:val="31"/>
      <w:lang w:val="en-US" w:eastAsia="en-US" w:bidi="ar-SA"/>
    </w:rPr>
  </w:style>
  <w:style w:type="paragraph" w:styleId="6">
    <w:name w:val="Body Text Indent"/>
    <w:basedOn w:val="1"/>
    <w:next w:val="7"/>
    <w:autoRedefine/>
    <w:qFormat/>
    <w:uiPriority w:val="99"/>
    <w:pPr>
      <w:spacing w:after="120" w:afterLines="0"/>
      <w:ind w:left="420" w:leftChars="200"/>
    </w:pPr>
    <w:rPr>
      <w:kern w:val="2"/>
      <w:sz w:val="21"/>
      <w:lang w:eastAsia="zh-CN" w:bidi="ar-SA"/>
    </w:rPr>
  </w:style>
  <w:style w:type="paragraph" w:styleId="7">
    <w:name w:val="envelope return"/>
    <w:basedOn w:val="1"/>
    <w:autoRedefine/>
    <w:qFormat/>
    <w:uiPriority w:val="0"/>
    <w:pPr>
      <w:snapToGrid w:val="0"/>
    </w:pPr>
    <w:rPr>
      <w:rFonts w:ascii="Arial" w:hAnsi="Arial"/>
    </w:rPr>
  </w:style>
  <w:style w:type="paragraph" w:styleId="8">
    <w:name w:val="Date"/>
    <w:basedOn w:val="1"/>
    <w:next w:val="1"/>
    <w:autoRedefine/>
    <w:qFormat/>
    <w:uiPriority w:val="0"/>
    <w:rPr>
      <w:kern w:val="2"/>
      <w:sz w:val="21"/>
      <w:lang w:eastAsia="zh-CN" w:bidi="ar-SA"/>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basedOn w:val="1"/>
    <w:qFormat/>
    <w:uiPriority w:val="0"/>
    <w:pPr>
      <w:snapToGrid w:val="0"/>
      <w:jc w:val="left"/>
    </w:pPr>
    <w:rPr>
      <w:sz w:val="18"/>
      <w:szCs w:val="18"/>
    </w:rPr>
  </w:style>
  <w:style w:type="paragraph" w:styleId="12">
    <w:name w:val="Body Text 2"/>
    <w:basedOn w:val="1"/>
    <w:autoRedefine/>
    <w:qFormat/>
    <w:uiPriority w:val="0"/>
    <w:pPr>
      <w:spacing w:after="120" w:line="480" w:lineRule="auto"/>
    </w:pPr>
    <w:rPr>
      <w:rFonts w:ascii="Tahoma" w:hAnsi="Tahoma"/>
    </w:rPr>
  </w:style>
  <w:style w:type="paragraph" w:styleId="13">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14">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6"/>
    <w:next w:val="1"/>
    <w:autoRedefine/>
    <w:qFormat/>
    <w:uiPriority w:val="0"/>
    <w:pPr>
      <w:ind w:firstLine="200" w:firstLineChars="200"/>
    </w:pPr>
    <w:rPr>
      <w:kern w:val="2"/>
      <w:sz w:val="28"/>
      <w:lang w:eastAsia="zh-CN" w:bidi="ar-SA"/>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autoRedefine/>
    <w:qFormat/>
    <w:uiPriority w:val="0"/>
    <w:rPr>
      <w:color w:val="444444"/>
      <w:sz w:val="16"/>
      <w:szCs w:val="16"/>
      <w:u w:val="none"/>
    </w:rPr>
  </w:style>
  <w:style w:type="character" w:styleId="20">
    <w:name w:val="Hyperlink"/>
    <w:basedOn w:val="18"/>
    <w:autoRedefine/>
    <w:qFormat/>
    <w:uiPriority w:val="0"/>
    <w:rPr>
      <w:color w:val="0000FF"/>
      <w:u w:val="single"/>
    </w:rPr>
  </w:style>
  <w:style w:type="paragraph" w:customStyle="1" w:styleId="21">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22">
    <w:name w:val="Table Normal"/>
    <w:autoRedefine/>
    <w:semiHidden/>
    <w:unhideWhenUsed/>
    <w:qFormat/>
    <w:uiPriority w:val="0"/>
    <w:tblPr>
      <w:tblCellMar>
        <w:top w:w="0" w:type="dxa"/>
        <w:left w:w="0" w:type="dxa"/>
        <w:bottom w:w="0" w:type="dxa"/>
        <w:right w:w="0" w:type="dxa"/>
      </w:tblCellMar>
    </w:tblPr>
  </w:style>
  <w:style w:type="paragraph" w:customStyle="1" w:styleId="23">
    <w:name w:val="Table Text"/>
    <w:basedOn w:val="1"/>
    <w:autoRedefine/>
    <w:semiHidden/>
    <w:qFormat/>
    <w:uiPriority w:val="0"/>
    <w:rPr>
      <w:rFonts w:ascii="Arial" w:hAnsi="Arial" w:eastAsia="Arial" w:cs="Arial"/>
      <w:sz w:val="21"/>
      <w:szCs w:val="21"/>
      <w:lang w:val="en-US" w:eastAsia="en-US" w:bidi="ar-SA"/>
    </w:rPr>
  </w:style>
  <w:style w:type="paragraph" w:customStyle="1" w:styleId="24">
    <w:name w:val="Default"/>
    <w:next w:val="25"/>
    <w:autoRedefine/>
    <w:qFormat/>
    <w:uiPriority w:val="0"/>
    <w:pPr>
      <w:widowControl w:val="0"/>
      <w:autoSpaceDE w:val="0"/>
      <w:autoSpaceDN w:val="0"/>
      <w:adjustRightInd w:val="0"/>
      <w:spacing w:after="200" w:line="276" w:lineRule="auto"/>
    </w:pPr>
    <w:rPr>
      <w:rFonts w:ascii="宋体" w:hAnsi="Times New Roman" w:eastAsia="宋体" w:cs="Times New Roman"/>
      <w:color w:val="000000"/>
      <w:sz w:val="24"/>
      <w:szCs w:val="24"/>
      <w:lang w:val="en-US" w:eastAsia="zh-CN" w:bidi="ar-SA"/>
    </w:rPr>
  </w:style>
  <w:style w:type="paragraph" w:customStyle="1" w:styleId="25">
    <w:name w:val="Char Char10 Char Char Char Char"/>
    <w:basedOn w:val="1"/>
    <w:next w:val="26"/>
    <w:autoRedefine/>
    <w:qFormat/>
    <w:uiPriority w:val="99"/>
    <w:pPr>
      <w:autoSpaceDE w:val="0"/>
      <w:autoSpaceDN w:val="0"/>
      <w:jc w:val="left"/>
    </w:pPr>
    <w:rPr>
      <w:rFonts w:ascii="宋体" w:hAnsi="宋体" w:cs="宋体"/>
      <w:lang w:val="zh-CN" w:bidi="zh-CN"/>
    </w:rPr>
  </w:style>
  <w:style w:type="paragraph" w:customStyle="1" w:styleId="26">
    <w:name w:val="xl87"/>
    <w:basedOn w:val="1"/>
    <w:next w:val="27"/>
    <w:autoRedefine/>
    <w:qFormat/>
    <w:uiPriority w:val="0"/>
    <w:pPr>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ˎ̥" w:hAnsi="ˎ̥" w:cs="宋体"/>
      <w:sz w:val="18"/>
      <w:szCs w:val="18"/>
      <w:lang w:eastAsia="zh-CN" w:bidi="ar-SA"/>
    </w:rPr>
  </w:style>
  <w:style w:type="paragraph" w:customStyle="1" w:styleId="27">
    <w:name w:val="xl72"/>
    <w:basedOn w:val="1"/>
    <w:next w:val="8"/>
    <w:autoRedefine/>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sz w:val="22"/>
      <w:szCs w:val="22"/>
      <w:lang w:eastAsia="zh-CN" w:bidi="ar-SA"/>
    </w:rPr>
  </w:style>
  <w:style w:type="paragraph" w:customStyle="1" w:styleId="28">
    <w:name w:val="MessageHeader"/>
    <w:basedOn w:val="1"/>
    <w:autoRedefine/>
    <w:qFormat/>
    <w:uiPriority w:val="0"/>
    <w:pPr>
      <w:pBdr>
        <w:top w:val="single" w:color="000000" w:sz="6" w:space="1"/>
        <w:left w:val="single" w:color="000000" w:sz="6" w:space="1"/>
        <w:bottom w:val="single" w:color="000000" w:sz="6" w:space="1"/>
        <w:right w:val="single" w:color="000000" w:sz="6" w:space="1"/>
      </w:pBdr>
      <w:ind w:left="1080" w:leftChars="500" w:hanging="1080" w:hangingChars="500"/>
      <w:jc w:val="both"/>
      <w:textAlignment w:val="baseline"/>
    </w:pPr>
    <w:rPr>
      <w:rFonts w:ascii="Calibri Light" w:hAnsi="Calibri Light" w:eastAsia="宋体"/>
      <w:kern w:val="2"/>
      <w:sz w:val="21"/>
      <w:szCs w:val="24"/>
      <w:lang w:val="en-US" w:eastAsia="zh-CN" w:bidi="ar-SA"/>
    </w:rPr>
  </w:style>
  <w:style w:type="character" w:customStyle="1" w:styleId="29">
    <w:name w:val="hover18"/>
    <w:basedOn w:val="18"/>
    <w:autoRedefine/>
    <w:qFormat/>
    <w:uiPriority w:val="0"/>
  </w:style>
  <w:style w:type="paragraph" w:customStyle="1" w:styleId="30">
    <w:name w:val="正文首行缩进 21"/>
    <w:basedOn w:val="6"/>
    <w:next w:val="1"/>
    <w:qFormat/>
    <w:uiPriority w:val="0"/>
    <w:pPr>
      <w:spacing w:before="100" w:beforeAutospacing="1"/>
      <w:ind w:firstLine="420" w:firstLineChars="200"/>
    </w:pPr>
    <w:rPr>
      <w:rFonts w:ascii="Times New Roman" w:hAnsi="Times New Roman" w:cs="Times New Roman"/>
      <w:szCs w:val="21"/>
    </w:rPr>
  </w:style>
  <w:style w:type="paragraph" w:customStyle="1" w:styleId="31">
    <w:name w:val="页脚1"/>
    <w:basedOn w:val="1"/>
    <w:qFormat/>
    <w:uiPriority w:val="0"/>
    <w:pPr>
      <w:tabs>
        <w:tab w:val="center" w:pos="4153"/>
        <w:tab w:val="right" w:pos="8306"/>
      </w:tabs>
      <w:snapToGrid w:val="0"/>
      <w:jc w:val="left"/>
    </w:pPr>
    <w:rPr>
      <w:rFonts w:eastAsia="等线" w:cs="Times New Roman"/>
      <w:sz w:val="18"/>
      <w:szCs w:val="22"/>
    </w:rPr>
  </w:style>
  <w:style w:type="paragraph" w:customStyle="1" w:styleId="32">
    <w:name w:val="样式1"/>
    <w:basedOn w:val="1"/>
    <w:qFormat/>
    <w:uiPriority w:val="0"/>
    <w:pPr>
      <w:spacing w:line="240" w:lineRule="auto"/>
      <w:jc w:val="both"/>
    </w:pPr>
    <w:rPr>
      <w:rFonts w:ascii="宋体"/>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1.png"/><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header" Target="header4.xml"/><Relationship Id="rId13" Type="http://schemas.openxmlformats.org/officeDocument/2006/relationships/footer" Target="footer6.xml"/><Relationship Id="rId12" Type="http://schemas.openxmlformats.org/officeDocument/2006/relationships/header" Target="header3.xml"/><Relationship Id="rId11" Type="http://schemas.openxmlformats.org/officeDocument/2006/relationships/footer" Target="footer5.xml"/><Relationship Id="rId10" Type="http://schemas.openxmlformats.org/officeDocument/2006/relationships/header" Target="header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85</Pages>
  <Words>4821</Words>
  <Characters>5419</Characters>
  <TotalTime>93</TotalTime>
  <ScaleCrop>false</ScaleCrop>
  <LinksUpToDate>false</LinksUpToDate>
  <CharactersWithSpaces>5560</CharactersWithSpaces>
  <Application>WPS Office_12.1.0.21915_F1E327BC-269C-435d-A152-05C5408002CA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2023-09-08T09:17:00Z</dcterms:created>
  <dc:creator>尹皓</dc:creator>
  <cp:lastModifiedBy>JJoey</cp:lastModifiedBy>
  <cp:lastPrinted>2024-08-01T01:08:00Z</cp:lastPrinted>
  <dcterms:modified xsi:type="dcterms:W3CDTF">2025-07-09T07:14:24Z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2052-12.1.0.21915</vt:lpwstr>
  </property>
  <property fmtid="{D5CDD505-2E9C-101B-9397-08002B2CF9AE}" pid="5" name="ICV">
    <vt:lpwstr>6C4F3D3BAD0D40F7B31F563D8D0C6934_13</vt:lpwstr>
  </property>
  <property fmtid="{D5CDD505-2E9C-101B-9397-08002B2CF9AE}" pid="6" name="KSOTemplateDocerSaveRecord">
    <vt:lpwstr>eyJoZGlkIjoiYTUyM2UwYjBmYzc3YmM3ZjI1ODg2NTk3ZGJhZGNiNGIiLCJ1c2VySWQiOiI0MTY3MTE2MDgifQ==</vt:lpwstr>
  </property>
</Properties>
</file>