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5266690" cy="6998970"/>
            <wp:effectExtent l="0" t="0" r="6350" b="11430"/>
            <wp:wrapNone/>
            <wp:docPr id="7" name="图片 7" descr="微信图片_2025072109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721094455"/>
                    <pic:cNvPicPr>
                      <a:picLocks noChangeAspect="1"/>
                    </pic:cNvPicPr>
                  </pic:nvPicPr>
                  <pic:blipFill>
                    <a:blip r:embed="rId18"/>
                    <a:stretch>
                      <a:fillRect/>
                    </a:stretch>
                  </pic:blipFill>
                  <pic:spPr>
                    <a:xfrm>
                      <a:off x="0" y="0"/>
                      <a:ext cx="5266690" cy="6998970"/>
                    </a:xfrm>
                    <a:prstGeom prst="rect">
                      <a:avLst/>
                    </a:prstGeom>
                  </pic:spPr>
                </pic:pic>
              </a:graphicData>
            </a:graphic>
          </wp:anchor>
        </w:drawing>
      </w:r>
    </w:p>
    <w:p w14:paraId="52136214">
      <w:pPr>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color w:val="auto"/>
          <w:spacing w:val="-2"/>
          <w:sz w:val="52"/>
          <w:szCs w:val="52"/>
          <w:highlight w:val="none"/>
          <w14:textOutline w14:w="3844" w14:cap="flat" w14:cmpd="sng">
            <w14:solidFill>
              <w14:srgbClr w14:val="000000"/>
            </w14:solidFill>
            <w14:prstDash w14:val="solid"/>
            <w14:miter w14:val="0"/>
          </w14:textOutline>
        </w:rPr>
        <w:t>政府采购项目</w:t>
      </w:r>
    </w:p>
    <w:p w14:paraId="6C914127">
      <w:pPr>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3"/>
          <w:sz w:val="52"/>
          <w:szCs w:val="52"/>
          <w:highlight w:val="none"/>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bidi w:val="0"/>
        <w:spacing w:line="316" w:lineRule="auto"/>
        <w:jc w:val="both"/>
        <w:rPr>
          <w:rFonts w:hint="eastAsia" w:asciiTheme="minorEastAsia" w:hAnsiTheme="minorEastAsia" w:eastAsiaTheme="minorEastAsia" w:cstheme="minorEastAsia"/>
          <w:color w:val="auto"/>
          <w:sz w:val="21"/>
          <w:highlight w:val="none"/>
        </w:rPr>
      </w:pPr>
    </w:p>
    <w:p w14:paraId="3AE82828">
      <w:pPr>
        <w:keepNext w:val="0"/>
        <w:keepLines w:val="0"/>
        <w:pageBreakBefore w:val="0"/>
        <w:kinsoku/>
        <w:wordWrap w:val="0"/>
        <w:overflowPunct/>
        <w:topLinePunct/>
        <w:bidi w:val="0"/>
        <w:spacing w:line="316" w:lineRule="auto"/>
        <w:jc w:val="both"/>
        <w:rPr>
          <w:rFonts w:hint="eastAsia" w:asciiTheme="minorEastAsia" w:hAnsiTheme="minorEastAsia" w:eastAsiaTheme="minorEastAsia" w:cstheme="minorEastAsia"/>
          <w:color w:val="auto"/>
          <w:sz w:val="21"/>
          <w:highlight w:val="none"/>
        </w:rPr>
      </w:pPr>
    </w:p>
    <w:p w14:paraId="7D255A26">
      <w:pPr>
        <w:keepNext w:val="0"/>
        <w:keepLines w:val="0"/>
        <w:pageBreakBefore w:val="0"/>
        <w:kinsoku/>
        <w:wordWrap w:val="0"/>
        <w:overflowPunct/>
        <w:topLinePunct/>
        <w:bidi w:val="0"/>
        <w:spacing w:line="317" w:lineRule="auto"/>
        <w:jc w:val="both"/>
        <w:rPr>
          <w:rFonts w:hint="eastAsia" w:asciiTheme="minorEastAsia" w:hAnsiTheme="minorEastAsia" w:eastAsiaTheme="minorEastAsia" w:cstheme="minorEastAsia"/>
          <w:color w:val="auto"/>
          <w:sz w:val="21"/>
          <w:highlight w:val="none"/>
        </w:rPr>
      </w:pPr>
    </w:p>
    <w:p w14:paraId="688A3B18">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3191F1FF">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13D29BDB">
      <w:pPr>
        <w:keepNext w:val="0"/>
        <w:keepLines w:val="0"/>
        <w:pageBreakBefore w:val="0"/>
        <w:widowControl/>
        <w:kinsoku/>
        <w:wordWrap w:val="0"/>
        <w:overflowPunct/>
        <w:topLinePunct/>
        <w:autoSpaceDE w:val="0"/>
        <w:autoSpaceDN w:val="0"/>
        <w:bidi w:val="0"/>
        <w:adjustRightInd w:val="0"/>
        <w:snapToGrid w:val="0"/>
        <w:spacing w:line="360" w:lineRule="auto"/>
        <w:ind w:left="0" w:firstLine="1149" w:firstLineChars="400"/>
        <w:jc w:val="center"/>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南阳市生态环境局内乡分局内乡县入河排污口规范化建设项目</w:t>
      </w:r>
    </w:p>
    <w:p w14:paraId="645900FE">
      <w:pPr>
        <w:keepNext w:val="0"/>
        <w:keepLines w:val="0"/>
        <w:pageBreakBefore w:val="0"/>
        <w:widowControl/>
        <w:kinsoku/>
        <w:wordWrap w:val="0"/>
        <w:overflowPunct/>
        <w:topLinePunct/>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lang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南阳政采公开-2025-37             </w:t>
      </w:r>
    </w:p>
    <w:p w14:paraId="55D28C44">
      <w:pPr>
        <w:keepNext w:val="0"/>
        <w:keepLines w:val="0"/>
        <w:pageBreakBefore w:val="0"/>
        <w:widowControl/>
        <w:kinsoku/>
        <w:wordWrap w:val="0"/>
        <w:overflowPunct/>
        <w:topLinePunct/>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南阳市生态环境局内乡分局     </w:t>
      </w:r>
    </w:p>
    <w:p w14:paraId="11845D17">
      <w:pPr>
        <w:keepNext w:val="0"/>
        <w:keepLines w:val="0"/>
        <w:pageBreakBefore w:val="0"/>
        <w:widowControl/>
        <w:kinsoku/>
        <w:wordWrap w:val="0"/>
        <w:overflowPunct/>
        <w:topLinePunct/>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河南以牧全过程工程咨询有限公司 </w:t>
      </w:r>
    </w:p>
    <w:p w14:paraId="430DCF45">
      <w:pPr>
        <w:keepNext w:val="0"/>
        <w:keepLines w:val="0"/>
        <w:pageBreakBefore w:val="0"/>
        <w:widowControl/>
        <w:kinsoku/>
        <w:wordWrap w:val="0"/>
        <w:overflowPunct/>
        <w:topLinePunct/>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49E9B1">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FA6EA12">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3EC39E2">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4C682676">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317807E6">
      <w:pPr>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2520568">
      <w:pPr>
        <w:keepNext w:val="0"/>
        <w:keepLines w:val="0"/>
        <w:pageBreakBefore w:val="0"/>
        <w:kinsoku/>
        <w:wordWrap w:val="0"/>
        <w:overflowPunct/>
        <w:topLinePunct/>
        <w:bidi w:val="0"/>
        <w:spacing w:line="274" w:lineRule="auto"/>
        <w:jc w:val="both"/>
        <w:rPr>
          <w:rFonts w:hint="eastAsia" w:asciiTheme="minorEastAsia" w:hAnsiTheme="minorEastAsia" w:eastAsiaTheme="minorEastAsia" w:cstheme="minorEastAsia"/>
          <w:color w:val="auto"/>
          <w:sz w:val="21"/>
          <w:highlight w:val="none"/>
        </w:rPr>
      </w:pPr>
    </w:p>
    <w:p w14:paraId="31C80C1A">
      <w:pPr>
        <w:keepNext w:val="0"/>
        <w:keepLines w:val="0"/>
        <w:pageBreakBefore w:val="0"/>
        <w:kinsoku/>
        <w:wordWrap w:val="0"/>
        <w:overflowPunct/>
        <w:topLinePunct/>
        <w:bidi w:val="0"/>
        <w:spacing w:line="274" w:lineRule="auto"/>
        <w:jc w:val="both"/>
        <w:rPr>
          <w:rFonts w:hint="eastAsia" w:asciiTheme="minorEastAsia" w:hAnsiTheme="minorEastAsia" w:eastAsiaTheme="minorEastAsia" w:cstheme="minorEastAsia"/>
          <w:color w:val="auto"/>
          <w:sz w:val="21"/>
          <w:highlight w:val="none"/>
        </w:rPr>
      </w:pPr>
    </w:p>
    <w:p w14:paraId="6E9847E0">
      <w:pPr>
        <w:keepNext w:val="0"/>
        <w:keepLines w:val="0"/>
        <w:pageBreakBefore w:val="0"/>
        <w:kinsoku/>
        <w:wordWrap w:val="0"/>
        <w:overflowPunct/>
        <w:topLinePunct/>
        <w:bidi w:val="0"/>
        <w:spacing w:line="274" w:lineRule="auto"/>
        <w:jc w:val="both"/>
        <w:rPr>
          <w:rFonts w:hint="eastAsia" w:asciiTheme="minorEastAsia" w:hAnsiTheme="minorEastAsia" w:eastAsiaTheme="minorEastAsia" w:cstheme="minorEastAsia"/>
          <w:color w:val="auto"/>
          <w:sz w:val="21"/>
          <w:highlight w:val="none"/>
        </w:rPr>
      </w:pPr>
    </w:p>
    <w:sdt>
      <w:sdtPr>
        <w:rPr>
          <w:rFonts w:hint="eastAsia" w:asciiTheme="minorEastAsia" w:hAnsiTheme="minorEastAsia" w:eastAsiaTheme="minorEastAsia" w:cstheme="minorEastAsia"/>
          <w:color w:val="auto"/>
          <w:sz w:val="21"/>
          <w:szCs w:val="21"/>
          <w:highlight w:val="none"/>
        </w:rPr>
        <w:id w:val="14747552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284C0A26">
          <w:pPr>
            <w:pStyle w:val="6"/>
            <w:keepNext w:val="0"/>
            <w:keepLines w:val="0"/>
            <w:pageBreakBefore w:val="0"/>
            <w:kinsoku/>
            <w:wordWrap w:val="0"/>
            <w:overflowPunct/>
            <w:topLinePunct/>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40EB54D9">
          <w:pPr>
            <w:pStyle w:val="6"/>
            <w:keepNext w:val="0"/>
            <w:keepLines w:val="0"/>
            <w:pageBreakBefore w:val="0"/>
            <w:kinsoku/>
            <w:wordWrap w:val="0"/>
            <w:overflowPunct/>
            <w:topLinePunct/>
            <w:bidi w:val="0"/>
            <w:jc w:val="both"/>
            <w:rPr>
              <w:rFonts w:hint="eastAsia"/>
              <w:color w:val="auto"/>
              <w:highlight w:val="none"/>
              <w:shd w:val="clear" w:color="FFFFFF" w:fill="D9D9D9"/>
            </w:rPr>
          </w:pPr>
        </w:p>
        <w:p w14:paraId="2C03F8FC">
          <w:pPr>
            <w:pStyle w:val="6"/>
            <w:keepNext w:val="0"/>
            <w:keepLines w:val="0"/>
            <w:pageBreakBefore w:val="0"/>
            <w:kinsoku/>
            <w:wordWrap w:val="0"/>
            <w:overflowPunct/>
            <w:topLinePunct/>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029C9EA7">
          <w:pPr>
            <w:pStyle w:val="6"/>
            <w:keepNext w:val="0"/>
            <w:keepLines w:val="0"/>
            <w:pageBreakBefore w:val="0"/>
            <w:kinsoku/>
            <w:wordWrap w:val="0"/>
            <w:overflowPunct/>
            <w:topLinePunct/>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33671136">
          <w:pPr>
            <w:pStyle w:val="6"/>
            <w:keepNext w:val="0"/>
            <w:keepLines w:val="0"/>
            <w:pageBreakBefore w:val="0"/>
            <w:kinsoku/>
            <w:wordWrap w:val="0"/>
            <w:overflowPunct/>
            <w:topLinePunct/>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31F24812">
          <w:pPr>
            <w:pStyle w:val="6"/>
            <w:keepNext w:val="0"/>
            <w:keepLines w:val="0"/>
            <w:pageBreakBefore w:val="0"/>
            <w:kinsoku/>
            <w:wordWrap w:val="0"/>
            <w:overflowPunct/>
            <w:topLinePunct/>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2047C79A">
          <w:pPr>
            <w:pStyle w:val="6"/>
            <w:keepNext w:val="0"/>
            <w:keepLines w:val="0"/>
            <w:pageBreakBefore w:val="0"/>
            <w:kinsoku/>
            <w:wordWrap w:val="0"/>
            <w:overflowPunct/>
            <w:topLinePunct/>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6B1BF2F8">
          <w:pPr>
            <w:pStyle w:val="6"/>
            <w:keepNext w:val="0"/>
            <w:keepLines w:val="0"/>
            <w:pageBreakBefore w:val="0"/>
            <w:kinsoku/>
            <w:wordWrap w:val="0"/>
            <w:overflowPunct/>
            <w:topLinePunct/>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4B6E8A9E">
      <w:pPr>
        <w:pStyle w:val="6"/>
        <w:keepNext w:val="0"/>
        <w:keepLines w:val="0"/>
        <w:pageBreakBefore w:val="0"/>
        <w:kinsoku/>
        <w:wordWrap w:val="0"/>
        <w:overflowPunct/>
        <w:topLinePunct/>
        <w:bidi w:val="0"/>
        <w:spacing w:before="117" w:line="220" w:lineRule="auto"/>
        <w:jc w:val="center"/>
        <w:rPr>
          <w:rFonts w:hint="eastAsia" w:asciiTheme="minorEastAsia" w:hAnsiTheme="minorEastAsia" w:eastAsiaTheme="minorEastAsia" w:cstheme="minorEastAsia"/>
          <w:color w:val="auto"/>
          <w:spacing w:val="-3"/>
          <w:sz w:val="44"/>
          <w:szCs w:val="44"/>
          <w:highlight w:val="none"/>
          <w14:textOutline w14:w="2306" w14:cap="flat" w14:cmpd="sng">
            <w14:solidFill>
              <w14:srgbClr w14:val="000000"/>
            </w14:solidFill>
            <w14:prstDash w14:val="solid"/>
            <w14:miter w14:val="0"/>
          </w14:textOutline>
        </w:rPr>
        <w:sectPr>
          <w:footerReference r:id="rId5"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p>
    <w:p w14:paraId="17434FB3">
      <w:pPr>
        <w:pStyle w:val="6"/>
        <w:keepNext w:val="0"/>
        <w:keepLines w:val="0"/>
        <w:pageBreakBefore w:val="0"/>
        <w:kinsoku/>
        <w:wordWrap w:val="0"/>
        <w:overflowPunct/>
        <w:topLinePunct/>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04F1D86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1666F10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公开</w:t>
      </w:r>
      <w:r>
        <w:rPr>
          <w:color w:val="auto"/>
          <w:spacing w:val="-6"/>
          <w:sz w:val="24"/>
          <w:szCs w:val="24"/>
          <w:highlight w:val="none"/>
        </w:rPr>
        <w:t>招标方式组织采购活动，</w:t>
      </w:r>
      <w:r>
        <w:rPr>
          <w:rFonts w:hint="eastAsia"/>
          <w:color w:val="auto"/>
          <w:spacing w:val="-6"/>
          <w:sz w:val="24"/>
          <w:szCs w:val="24"/>
          <w:highlight w:val="none"/>
          <w:lang w:eastAsia="zh-CN"/>
        </w:rPr>
        <w:t>欢迎潜在投标人</w:t>
      </w:r>
      <w:r>
        <w:rPr>
          <w:color w:val="auto"/>
          <w:spacing w:val="-6"/>
          <w:sz w:val="24"/>
          <w:szCs w:val="24"/>
          <w:highlight w:val="none"/>
        </w:rPr>
        <w:t>参与本项目投标。</w:t>
      </w:r>
    </w:p>
    <w:p w14:paraId="74E958A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一、项目基本情况</w:t>
      </w:r>
    </w:p>
    <w:p w14:paraId="78EEB323">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1.项目编号：</w:t>
      </w:r>
      <w:r>
        <w:rPr>
          <w:rFonts w:hint="eastAsia" w:asciiTheme="minorEastAsia" w:hAnsiTheme="minorEastAsia" w:eastAsiaTheme="minorEastAsia" w:cstheme="minorEastAsia"/>
          <w:color w:val="auto"/>
          <w:spacing w:val="-25"/>
          <w:sz w:val="24"/>
          <w:szCs w:val="24"/>
          <w:highlight w:val="none"/>
          <w:lang w:val="en-US" w:eastAsia="zh-CN"/>
        </w:rPr>
        <w:t>南阳政采公开-2025-37</w:t>
      </w:r>
    </w:p>
    <w:p w14:paraId="5CAB35DD">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4"/>
          <w:sz w:val="24"/>
          <w:szCs w:val="24"/>
          <w:highlight w:val="none"/>
        </w:rPr>
        <w:t>2.项目名称：</w:t>
      </w:r>
      <w:r>
        <w:rPr>
          <w:rFonts w:hint="eastAsia" w:asciiTheme="minorEastAsia" w:hAnsiTheme="minorEastAsia" w:eastAsiaTheme="minorEastAsia" w:cstheme="minorEastAsia"/>
          <w:color w:val="auto"/>
          <w:spacing w:val="-24"/>
          <w:sz w:val="24"/>
          <w:szCs w:val="24"/>
          <w:highlight w:val="none"/>
          <w:lang w:val="en-US" w:eastAsia="zh-CN"/>
        </w:rPr>
        <w:t>南阳市生态环境局内乡分局内乡县入河排污口规范化建设项目</w:t>
      </w:r>
    </w:p>
    <w:p w14:paraId="715A08F1">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rPr>
        <w:t>采购方式：公开招标</w:t>
      </w:r>
    </w:p>
    <w:p w14:paraId="2CBF268A">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val="en-US" w:eastAsia="zh-CN"/>
        </w:rPr>
        <w:t>4</w:t>
      </w:r>
      <w:r>
        <w:rPr>
          <w:rFonts w:hint="eastAsia" w:asciiTheme="minorEastAsia" w:hAnsiTheme="minorEastAsia" w:eastAsiaTheme="minorEastAsia" w:cstheme="minorEastAsia"/>
          <w:color w:val="auto"/>
          <w:spacing w:val="-14"/>
          <w:sz w:val="24"/>
          <w:szCs w:val="24"/>
          <w:highlight w:val="none"/>
        </w:rPr>
        <w:t>.项目预算金额：</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394.96 </w:t>
      </w:r>
      <w:r>
        <w:rPr>
          <w:rFonts w:hint="eastAsia" w:asciiTheme="minorEastAsia" w:hAnsiTheme="minorEastAsia" w:eastAsiaTheme="minorEastAsia" w:cstheme="minorEastAsia"/>
          <w:color w:val="auto"/>
          <w:spacing w:val="-14"/>
          <w:sz w:val="24"/>
          <w:szCs w:val="24"/>
          <w:highlight w:val="none"/>
        </w:rPr>
        <w:t>万元、项目最高限价（如有</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394.96 </w:t>
      </w:r>
      <w:r>
        <w:rPr>
          <w:rFonts w:hint="eastAsia" w:asciiTheme="minorEastAsia" w:hAnsiTheme="minorEastAsia" w:eastAsiaTheme="minorEastAsia" w:cstheme="minorEastAsia"/>
          <w:color w:val="auto"/>
          <w:spacing w:val="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4"/>
          <w:sz w:val="24"/>
          <w:szCs w:val="24"/>
          <w:highlight w:val="none"/>
        </w:rPr>
        <w:t>万元</w:t>
      </w:r>
    </w:p>
    <w:tbl>
      <w:tblPr>
        <w:tblStyle w:val="3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7736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7031F56">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15" w:type="dxa"/>
            <w:vAlign w:val="center"/>
          </w:tcPr>
          <w:p w14:paraId="42C6FBA7">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2321" w:type="dxa"/>
            <w:vAlign w:val="center"/>
          </w:tcPr>
          <w:p w14:paraId="3D2FE36F">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560" w:firstLineChars="200"/>
              <w:jc w:val="both"/>
              <w:textAlignment w:val="baseline"/>
              <w:rPr>
                <w:rFonts w:hint="eastAsia" w:eastAsia="宋体" w:asciiTheme="minorEastAsia" w:hAnsiTheme="minorEastAsia" w:cstheme="minorEastAsia"/>
                <w:snapToGrid w:val="0"/>
                <w:color w:val="auto"/>
                <w:kern w:val="0"/>
                <w:sz w:val="28"/>
                <w:szCs w:val="28"/>
                <w:highlight w:val="none"/>
                <w:u w:val="single"/>
                <w:lang w:val="en-US" w:eastAsia="zh-CN" w:bidi="ar-SA"/>
              </w:rPr>
            </w:pPr>
            <w:r>
              <w:rPr>
                <w:rFonts w:hint="eastAsia" w:eastAsia="宋体" w:asciiTheme="minorEastAsia" w:hAnsiTheme="minorEastAsia" w:cstheme="minorEastAsia"/>
                <w:snapToGrid w:val="0"/>
                <w:color w:val="auto"/>
                <w:kern w:val="0"/>
                <w:sz w:val="28"/>
                <w:szCs w:val="28"/>
                <w:highlight w:val="none"/>
                <w:u w:val="single"/>
                <w:lang w:val="en-US" w:eastAsia="zh-CN" w:bidi="ar-SA"/>
              </w:rPr>
              <w:t>包预算（元）</w:t>
            </w:r>
          </w:p>
        </w:tc>
      </w:tr>
      <w:tr w14:paraId="19578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08AE377E">
            <w:pPr>
              <w:pStyle w:val="33"/>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25"/>
                <w:sz w:val="24"/>
                <w:szCs w:val="24"/>
                <w:highlight w:val="none"/>
                <w:lang w:val="en-US" w:eastAsia="zh-CN"/>
              </w:rPr>
              <w:t>南阳政采公开-2025-37-1</w:t>
            </w:r>
          </w:p>
        </w:tc>
        <w:tc>
          <w:tcPr>
            <w:tcW w:w="4215" w:type="dxa"/>
            <w:vAlign w:val="center"/>
          </w:tcPr>
          <w:p w14:paraId="75A9E0CD">
            <w:pPr>
              <w:pageBreakBefore w:val="0"/>
              <w:kinsoku/>
              <w:overflowPunct/>
              <w:topLinePunct/>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内乡县入河排污口规范化建设项目</w:t>
            </w:r>
          </w:p>
        </w:tc>
        <w:tc>
          <w:tcPr>
            <w:tcW w:w="2321" w:type="dxa"/>
            <w:vAlign w:val="center"/>
          </w:tcPr>
          <w:p w14:paraId="156C2874">
            <w:pPr>
              <w:pageBreakBefore w:val="0"/>
              <w:kinsoku/>
              <w:overflowPunct/>
              <w:topLinePunct/>
              <w:bidi w:val="0"/>
              <w:jc w:val="center"/>
              <w:rPr>
                <w:rFonts w:hint="default" w:eastAsia="宋体" w:asciiTheme="minorEastAsia" w:hAnsiTheme="minorEastAsia" w:cstheme="minorEastAsia"/>
                <w:snapToGrid w:val="0"/>
                <w:color w:val="auto"/>
                <w:kern w:val="0"/>
                <w:sz w:val="28"/>
                <w:szCs w:val="28"/>
                <w:highlight w:val="none"/>
                <w:u w:val="single"/>
                <w:lang w:val="en-US" w:eastAsia="zh-CN" w:bidi="ar-SA"/>
              </w:rPr>
            </w:pPr>
            <w:r>
              <w:rPr>
                <w:rFonts w:hint="eastAsia" w:asciiTheme="minorEastAsia" w:hAnsiTheme="minorEastAsia" w:eastAsiaTheme="minorEastAsia" w:cstheme="minorEastAsia"/>
                <w:color w:val="auto"/>
                <w:spacing w:val="7"/>
                <w:sz w:val="24"/>
                <w:szCs w:val="24"/>
                <w:highlight w:val="none"/>
                <w:u w:val="none"/>
                <w:lang w:val="en-US" w:eastAsia="zh-CN"/>
              </w:rPr>
              <w:t>3949600</w:t>
            </w:r>
          </w:p>
        </w:tc>
      </w:tr>
    </w:tbl>
    <w:p w14:paraId="613D458D">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5</w:t>
      </w:r>
      <w:r>
        <w:rPr>
          <w:rFonts w:hint="eastAsia" w:asciiTheme="minorEastAsia" w:hAnsiTheme="minorEastAsia" w:eastAsiaTheme="minorEastAsia" w:cstheme="minorEastAsia"/>
          <w:color w:val="auto"/>
          <w:spacing w:val="-5"/>
          <w:sz w:val="24"/>
          <w:szCs w:val="24"/>
          <w:highlight w:val="none"/>
        </w:rPr>
        <w:t>.采购需求（包括但不限于标的的名称、数量、简要技术需求或服务要求等）：</w:t>
      </w:r>
      <w:r>
        <w:rPr>
          <w:rFonts w:hint="eastAsia" w:asciiTheme="minorEastAsia" w:hAnsiTheme="minorEastAsia" w:eastAsiaTheme="minorEastAsia" w:cstheme="minorEastAsia"/>
          <w:color w:val="auto"/>
          <w:spacing w:val="-5"/>
          <w:sz w:val="24"/>
          <w:szCs w:val="24"/>
          <w:highlight w:val="none"/>
          <w:lang w:val="en-US" w:eastAsia="zh-CN"/>
        </w:rPr>
        <w:t>详见</w:t>
      </w:r>
      <w:r>
        <w:rPr>
          <w:rFonts w:hint="eastAsia" w:asciiTheme="minorEastAsia" w:hAnsiTheme="minorEastAsia" w:eastAsiaTheme="minorEastAsia" w:cstheme="minorEastAsia"/>
          <w:color w:val="auto"/>
          <w:spacing w:val="-5"/>
          <w:sz w:val="24"/>
          <w:szCs w:val="24"/>
          <w:highlight w:val="none"/>
        </w:rPr>
        <w:t>第二章采购需求</w:t>
      </w:r>
    </w:p>
    <w:p w14:paraId="3FCAF314">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6.合同履行期限：270日历天。</w:t>
      </w:r>
      <w:bookmarkStart w:id="0" w:name="_GoBack"/>
      <w:bookmarkEnd w:id="0"/>
    </w:p>
    <w:p w14:paraId="63F8B4E5">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7.本项目是否接受联合体投标：否</w:t>
      </w:r>
    </w:p>
    <w:p w14:paraId="55B72C76">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8.是否接受进口产品：否</w:t>
      </w:r>
    </w:p>
    <w:p w14:paraId="6E8657D2">
      <w:pPr>
        <w:pStyle w:val="6"/>
        <w:keepNext w:val="0"/>
        <w:keepLines w:val="0"/>
        <w:pageBreakBefore w:val="0"/>
        <w:widowControl/>
        <w:kinsoku/>
        <w:wordWrap w:val="0"/>
        <w:overflowPunct/>
        <w:topLinePunct/>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r>
        <w:rPr>
          <w:rFonts w:hint="eastAsia" w:asciiTheme="minorEastAsia" w:hAnsiTheme="minorEastAsia" w:eastAsiaTheme="minorEastAsia" w:cstheme="minorEastAsia"/>
          <w:color w:val="auto"/>
          <w:spacing w:val="-5"/>
          <w:sz w:val="24"/>
          <w:szCs w:val="24"/>
          <w:highlight w:val="none"/>
        </w:rPr>
        <w:t>是否专门面向中小企业：否</w:t>
      </w:r>
    </w:p>
    <w:p w14:paraId="2418FFB4">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p w14:paraId="562FFE0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7B3AC017">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2E9582FE">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70A45806">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企业承接。预留份额通过以下措施进行：</w:t>
      </w:r>
      <w:r>
        <w:rPr>
          <w:rFonts w:hint="eastAsia" w:asciiTheme="minorEastAsia" w:hAnsiTheme="minorEastAsia" w:eastAsiaTheme="minorEastAsia" w:cstheme="minorEastAsia"/>
          <w:color w:val="auto"/>
          <w:spacing w:val="-2"/>
          <w:position w:val="17"/>
          <w:sz w:val="24"/>
          <w:szCs w:val="24"/>
          <w:highlight w:val="none"/>
          <w:lang w:val="en-US" w:eastAsia="zh-CN"/>
        </w:rPr>
        <w:t>预留金额</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万元或预留</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%份额</w:t>
      </w:r>
      <w:r>
        <w:rPr>
          <w:rFonts w:hint="eastAsia" w:asciiTheme="minorEastAsia" w:hAnsiTheme="minorEastAsia" w:eastAsiaTheme="minorEastAsia" w:cstheme="minorEastAsia"/>
          <w:color w:val="auto"/>
          <w:spacing w:val="-2"/>
          <w:position w:val="17"/>
          <w:sz w:val="24"/>
          <w:szCs w:val="24"/>
          <w:highlight w:val="none"/>
        </w:rPr>
        <w:t>。</w:t>
      </w:r>
    </w:p>
    <w:p w14:paraId="60729C31">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049BD76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4</w:t>
      </w:r>
      <w:r>
        <w:rPr>
          <w:rFonts w:hint="eastAsia" w:asciiTheme="minorEastAsia" w:hAnsiTheme="minorEastAsia" w:eastAsiaTheme="minorEastAsia" w:cstheme="minorEastAsia"/>
          <w:color w:val="auto"/>
          <w:spacing w:val="-5"/>
          <w:sz w:val="24"/>
          <w:szCs w:val="24"/>
          <w:highlight w:val="none"/>
        </w:rPr>
        <w:t>.本项目是否属于政府购买服务：</w:t>
      </w:r>
    </w:p>
    <w:p w14:paraId="4523E7D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eastAsia="zh-CN"/>
        </w:rPr>
        <w:t>□否</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7B3ABC2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是，公益一类事业单位、使用事业编制且由财政</w:t>
      </w:r>
      <w:r>
        <w:rPr>
          <w:rFonts w:hint="eastAsia" w:asciiTheme="minorEastAsia" w:hAnsiTheme="minorEastAsia" w:eastAsiaTheme="minorEastAsia" w:cstheme="minorEastAsia"/>
          <w:color w:val="auto"/>
          <w:spacing w:val="-3"/>
          <w:sz w:val="24"/>
          <w:szCs w:val="24"/>
          <w:highlight w:val="none"/>
        </w:rPr>
        <w:t>拨款保障的群团组织，不得</w:t>
      </w:r>
      <w:r>
        <w:rPr>
          <w:rFonts w:hint="eastAsia" w:asciiTheme="minorEastAsia" w:hAnsiTheme="minorEastAsia" w:eastAsiaTheme="minorEastAsia" w:cstheme="minorEastAsia"/>
          <w:color w:val="auto"/>
          <w:spacing w:val="-9"/>
          <w:sz w:val="24"/>
          <w:szCs w:val="24"/>
          <w:highlight w:val="none"/>
        </w:rPr>
        <w:t>作为承接主体</w:t>
      </w:r>
      <w:r>
        <w:rPr>
          <w:rFonts w:hint="eastAsia" w:asciiTheme="minorEastAsia" w:hAnsiTheme="minorEastAsia" w:eastAsiaTheme="minorEastAsia" w:cstheme="minorEastAsia"/>
          <w:color w:val="auto"/>
          <w:spacing w:val="-12"/>
          <w:sz w:val="24"/>
          <w:szCs w:val="24"/>
          <w:highlight w:val="none"/>
        </w:rPr>
        <w:t>。</w:t>
      </w:r>
    </w:p>
    <w:p w14:paraId="3DA56959">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28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2.地点：南阳市公共资源交易中心网站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https://ggzyjy.nanyang.gov.cn</w:t>
      </w:r>
      <w:r>
        <w:rPr>
          <w:rFonts w:hint="eastAsia" w:asciiTheme="minorEastAsia" w:hAnsiTheme="minorEastAsia" w:eastAsiaTheme="minorEastAsia" w:cstheme="minorEastAsia"/>
          <w:color w:val="auto"/>
          <w:sz w:val="24"/>
          <w:szCs w:val="24"/>
          <w:highlight w:val="none"/>
          <w:lang w:eastAsia="zh-CN"/>
        </w:rPr>
        <w:t>）</w:t>
      </w:r>
    </w:p>
    <w:p w14:paraId="1D56D14E">
      <w:pPr>
        <w:keepNext w:val="0"/>
        <w:keepLines w:val="0"/>
        <w:pageBreakBefore w:val="0"/>
        <w:kinsoku/>
        <w:wordWrap w:val="0"/>
        <w:overflowPunct/>
        <w:topLinePunct/>
        <w:bidi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rPr>
        <w:t>3.方式：</w:t>
      </w:r>
      <w:r>
        <w:rPr>
          <w:rFonts w:hint="eastAsia" w:asciiTheme="minorEastAsia" w:hAnsiTheme="minorEastAsia" w:eastAsiaTheme="minorEastAsia" w:cstheme="minorEastAsia"/>
          <w:color w:val="auto"/>
          <w:spacing w:val="30"/>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auto"/>
          <w:kern w:val="0"/>
          <w:sz w:val="24"/>
          <w:szCs w:val="24"/>
          <w:highlight w:val="none"/>
          <w:lang w:val="en-US" w:eastAsia="zh-CN" w:bidi="ar-SA"/>
        </w:rPr>
        <w:t>，电子交易系统技术支持电话：0512-58188538，</w:t>
      </w:r>
      <w:r>
        <w:rPr>
          <w:rFonts w:hint="eastAsia" w:asciiTheme="minorEastAsia" w:hAnsiTheme="minorEastAsia" w:eastAsiaTheme="minorEastAsia" w:cstheme="minorEastAsia"/>
          <w:color w:val="auto"/>
          <w:spacing w:val="-4"/>
          <w:sz w:val="24"/>
          <w:szCs w:val="24"/>
          <w:highlight w:val="none"/>
          <w:lang w:eastAsia="zh-CN"/>
        </w:rPr>
        <w:t>CA数字证书技术支持：https://ggzyjy.nanyang.gov.cn/ptdl/011009/single.html。</w:t>
      </w:r>
    </w:p>
    <w:p w14:paraId="0FFF5D1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4.售价：0元。</w:t>
      </w:r>
    </w:p>
    <w:p w14:paraId="003A6194">
      <w:pPr>
        <w:pStyle w:val="6"/>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bidi w:val="0"/>
        <w:spacing w:line="360" w:lineRule="auto"/>
        <w:ind w:firstLine="600"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30"/>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。投标人须</w:t>
      </w:r>
      <w:r>
        <w:rPr>
          <w:rFonts w:hint="eastAsia" w:asciiTheme="minorEastAsia" w:hAnsiTheme="minorEastAsia" w:eastAsiaTheme="minorEastAsia" w:cstheme="minorEastAsia"/>
          <w:color w:val="auto"/>
          <w:spacing w:val="-4"/>
          <w:sz w:val="24"/>
          <w:szCs w:val="24"/>
          <w:highlight w:val="none"/>
          <w:lang w:val="en-US" w:eastAsia="zh-CN"/>
        </w:rPr>
        <w:t>上传加密</w:t>
      </w:r>
      <w:r>
        <w:rPr>
          <w:rFonts w:hint="eastAsia" w:asciiTheme="minorEastAsia" w:hAnsiTheme="minorEastAsia" w:eastAsiaTheme="minorEastAsia" w:cstheme="minorEastAsia"/>
          <w:color w:val="auto"/>
          <w:spacing w:val="-4"/>
          <w:sz w:val="24"/>
          <w:szCs w:val="24"/>
          <w:highlight w:val="none"/>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color w:val="auto"/>
          <w:spacing w:val="-4"/>
          <w:sz w:val="24"/>
          <w:szCs w:val="24"/>
          <w:highlight w:val="none"/>
          <w:lang w:val="en-US" w:eastAsia="zh-CN"/>
        </w:rPr>
        <w:t>加密</w:t>
      </w:r>
      <w:r>
        <w:rPr>
          <w:rFonts w:hint="eastAsia" w:asciiTheme="minorEastAsia" w:hAnsiTheme="minorEastAsia" w:eastAsiaTheme="minorEastAsia" w:cstheme="minorEastAsia"/>
          <w:color w:val="auto"/>
          <w:spacing w:val="-4"/>
          <w:sz w:val="24"/>
          <w:szCs w:val="24"/>
          <w:highlight w:val="none"/>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bidi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color w:val="auto"/>
          <w:spacing w:val="-4"/>
          <w:sz w:val="24"/>
          <w:szCs w:val="24"/>
          <w:highlight w:val="none"/>
          <w:lang w:val="en-US" w:eastAsia="zh-CN"/>
        </w:rPr>
        <w:t>因</w:t>
      </w:r>
      <w:r>
        <w:rPr>
          <w:rFonts w:hint="eastAsia" w:asciiTheme="minorEastAsia" w:hAnsiTheme="minorEastAsia" w:eastAsiaTheme="minorEastAsia" w:cstheme="minorEastAsia"/>
          <w:color w:val="auto"/>
          <w:spacing w:val="-4"/>
          <w:sz w:val="24"/>
          <w:szCs w:val="24"/>
          <w:highlight w:val="none"/>
          <w:lang w:eastAsia="zh-CN"/>
        </w:rPr>
        <w:t>投标人准备不到位、网络问题等情况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（30分钟内）无法及时解密，</w:t>
      </w:r>
      <w:r>
        <w:rPr>
          <w:rFonts w:hint="eastAsia" w:asciiTheme="minorEastAsia" w:hAnsiTheme="minorEastAsia" w:eastAsiaTheme="minorEastAsia" w:cstheme="minorEastAsia"/>
          <w:color w:val="auto"/>
          <w:spacing w:val="-4"/>
          <w:sz w:val="24"/>
          <w:szCs w:val="24"/>
          <w:highlight w:val="none"/>
          <w:lang w:eastAsia="zh-CN"/>
        </w:rPr>
        <w:t>造成开标无法继续的，视为该投标人自动放弃投标，将被退回投标文件”。电子交易系统技术支持电话：0512-58188538。</w:t>
      </w:r>
    </w:p>
    <w:p w14:paraId="206AE4A1">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12</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4E589F19">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7"/>
          <w:sz w:val="24"/>
          <w:szCs w:val="24"/>
          <w:highlight w:val="none"/>
          <w:lang w:val="en-US" w:eastAsia="zh-CN"/>
        </w:rPr>
      </w:pPr>
      <w:r>
        <w:rPr>
          <w:rFonts w:hint="eastAsia" w:asciiTheme="minorEastAsia" w:hAnsiTheme="minorEastAsia" w:eastAsiaTheme="minorEastAsia" w:cstheme="minorEastAsia"/>
          <w:color w:val="auto"/>
          <w:spacing w:val="-17"/>
          <w:sz w:val="24"/>
          <w:szCs w:val="24"/>
          <w:highlight w:val="none"/>
          <w:lang w:val="en-US" w:eastAsia="zh-CN"/>
        </w:rPr>
        <w:t>开标方式：不见面开标</w:t>
      </w:r>
    </w:p>
    <w:p w14:paraId="2B66D3B3">
      <w:pPr>
        <w:pStyle w:val="6"/>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7"/>
          <w:sz w:val="24"/>
          <w:szCs w:val="24"/>
          <w:highlight w:val="none"/>
        </w:rPr>
        <w:t>地点：</w:t>
      </w:r>
      <w:r>
        <w:rPr>
          <w:rFonts w:hint="eastAsia"/>
          <w:color w:val="auto"/>
          <w:spacing w:val="-17"/>
          <w:sz w:val="24"/>
          <w:szCs w:val="24"/>
          <w:highlight w:val="none"/>
          <w:lang w:eastAsia="zh-CN"/>
        </w:rPr>
        <w:t>不见面开标大厅（</w:t>
      </w:r>
      <w:r>
        <w:rPr>
          <w:rFonts w:hint="eastAsia" w:ascii="微软雅黑" w:hAnsi="微软雅黑" w:eastAsia="微软雅黑" w:cs="微软雅黑"/>
          <w:color w:val="auto"/>
          <w:sz w:val="21"/>
          <w:szCs w:val="21"/>
          <w:highlight w:val="none"/>
          <w:u w:val="single"/>
          <w:lang w:eastAsia="zh-CN"/>
        </w:rPr>
        <w:t>https://ggzyjy.nanyang.gov.cn/BidOpening/bidopeninghallaction/hall/login</w:t>
      </w:r>
      <w:r>
        <w:rPr>
          <w:rFonts w:hint="eastAsia"/>
          <w:color w:val="auto"/>
          <w:sz w:val="24"/>
          <w:szCs w:val="24"/>
          <w:highlight w:val="none"/>
          <w:u w:val="single"/>
          <w:lang w:eastAsia="zh-CN"/>
        </w:rPr>
        <w:t>）</w:t>
      </w:r>
      <w:r>
        <w:rPr>
          <w:rFonts w:hint="eastAsia" w:asciiTheme="minorEastAsia" w:hAnsiTheme="minorEastAsia" w:eastAsiaTheme="minorEastAsia" w:cstheme="minorEastAsia"/>
          <w:color w:val="auto"/>
          <w:spacing w:val="-17"/>
          <w:sz w:val="24"/>
          <w:szCs w:val="24"/>
          <w:highlight w:val="none"/>
          <w:u w:val="single"/>
        </w:rPr>
        <w:t>。</w:t>
      </w:r>
    </w:p>
    <w:p w14:paraId="124DF452">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、公告期限</w:t>
      </w:r>
    </w:p>
    <w:p w14:paraId="6427458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28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7DE0DF5D">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、其他补充事宜</w:t>
      </w:r>
    </w:p>
    <w:p w14:paraId="3E493D7A">
      <w:pPr>
        <w:pStyle w:val="6"/>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本次本项目采用“暗标”评审。供应商应按照招标文件要求制作投标文件。</w:t>
      </w:r>
    </w:p>
    <w:p w14:paraId="2BF1EA31">
      <w:pPr>
        <w:pStyle w:val="6"/>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招标公告在河南省政府采购网、南阳市公共资源交易中心网发布。</w:t>
      </w:r>
    </w:p>
    <w:p w14:paraId="3F5BC482">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35982935">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名称：南阳市生态环境局内乡分局</w:t>
      </w:r>
    </w:p>
    <w:p w14:paraId="386737C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地址： 内乡县渚阳大道南7</w:t>
      </w:r>
      <w:r>
        <w:rPr>
          <w:rFonts w:hint="eastAsia" w:asciiTheme="minorEastAsia" w:hAnsiTheme="minorEastAsia" w:eastAsiaTheme="minorEastAsia" w:cstheme="minorEastAsia"/>
          <w:color w:val="auto"/>
          <w:spacing w:val="-15"/>
          <w:sz w:val="24"/>
          <w:szCs w:val="24"/>
          <w:highlight w:val="none"/>
          <w:lang w:val="en-US" w:eastAsia="zh-CN"/>
        </w:rPr>
        <w:t>2</w:t>
      </w:r>
      <w:r>
        <w:rPr>
          <w:rFonts w:hint="eastAsia" w:asciiTheme="minorEastAsia" w:hAnsiTheme="minorEastAsia" w:eastAsiaTheme="minorEastAsia" w:cstheme="minorEastAsia"/>
          <w:color w:val="auto"/>
          <w:spacing w:val="-15"/>
          <w:sz w:val="24"/>
          <w:szCs w:val="24"/>
          <w:highlight w:val="none"/>
        </w:rPr>
        <w:t>号</w:t>
      </w:r>
    </w:p>
    <w:p w14:paraId="59A9CEB9">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联系人：聂</w:t>
      </w:r>
      <w:r>
        <w:rPr>
          <w:rFonts w:hint="eastAsia" w:asciiTheme="minorEastAsia" w:hAnsiTheme="minorEastAsia" w:eastAsiaTheme="minorEastAsia" w:cstheme="minorEastAsia"/>
          <w:color w:val="auto"/>
          <w:spacing w:val="-15"/>
          <w:sz w:val="24"/>
          <w:szCs w:val="24"/>
          <w:highlight w:val="none"/>
          <w:lang w:val="en-US" w:eastAsia="zh-CN"/>
        </w:rPr>
        <w:t>小</w:t>
      </w:r>
      <w:r>
        <w:rPr>
          <w:rFonts w:hint="eastAsia" w:asciiTheme="minorEastAsia" w:hAnsiTheme="minorEastAsia" w:eastAsiaTheme="minorEastAsia" w:cstheme="minorEastAsia"/>
          <w:color w:val="auto"/>
          <w:spacing w:val="-15"/>
          <w:sz w:val="24"/>
          <w:szCs w:val="24"/>
          <w:highlight w:val="none"/>
        </w:rPr>
        <w:t>丽    联系电话：15839942593</w:t>
      </w:r>
    </w:p>
    <w:p w14:paraId="47BF6560">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p>
    <w:p w14:paraId="21D67B35">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2.采购代理机构：河南以牧全过程工程咨询有限公司</w:t>
      </w:r>
    </w:p>
    <w:p w14:paraId="01817EC7">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统一社会信用代码：91410105MA4839QG9D</w:t>
      </w:r>
    </w:p>
    <w:p w14:paraId="7B6F42E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w:t>
      </w:r>
      <w:r>
        <w:rPr>
          <w:rFonts w:hint="eastAsia" w:asciiTheme="minorEastAsia" w:hAnsiTheme="minorEastAsia" w:eastAsiaTheme="minorEastAsia" w:cstheme="minorEastAsia"/>
          <w:color w:val="auto"/>
          <w:spacing w:val="-15"/>
          <w:sz w:val="24"/>
          <w:szCs w:val="24"/>
          <w:highlight w:val="none"/>
        </w:rPr>
        <w:tab/>
      </w:r>
      <w:r>
        <w:rPr>
          <w:rFonts w:hint="eastAsia" w:asciiTheme="minorEastAsia" w:hAnsiTheme="minorEastAsia" w:eastAsiaTheme="minorEastAsia" w:cstheme="minorEastAsia"/>
          <w:color w:val="auto"/>
          <w:spacing w:val="-15"/>
          <w:sz w:val="24"/>
          <w:szCs w:val="24"/>
          <w:highlight w:val="none"/>
        </w:rPr>
        <w:t>址:河南省郑州市金水区林科路19号院3号楼16层1601室</w:t>
      </w:r>
    </w:p>
    <w:p w14:paraId="37D77DF3">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联系人：杨瑞、方俊</w:t>
      </w:r>
      <w:r>
        <w:rPr>
          <w:rFonts w:hint="eastAsia" w:asciiTheme="minorEastAsia" w:hAnsiTheme="minorEastAsia" w:eastAsiaTheme="minorEastAsia" w:cstheme="minorEastAsia"/>
          <w:color w:val="auto"/>
          <w:spacing w:val="-15"/>
          <w:sz w:val="24"/>
          <w:szCs w:val="24"/>
          <w:highlight w:val="none"/>
        </w:rPr>
        <w:tab/>
      </w:r>
      <w:r>
        <w:rPr>
          <w:rFonts w:hint="eastAsia" w:asciiTheme="minorEastAsia" w:hAnsiTheme="minorEastAsia" w:eastAsiaTheme="minorEastAsia" w:cstheme="minorEastAsia"/>
          <w:color w:val="auto"/>
          <w:spacing w:val="-15"/>
          <w:sz w:val="24"/>
          <w:szCs w:val="24"/>
          <w:highlight w:val="none"/>
        </w:rPr>
        <w:t xml:space="preserve">联系方式：17698811823 </w:t>
      </w:r>
    </w:p>
    <w:p w14:paraId="1B7D720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highlight w:val="none"/>
          <w:lang w:val="en-US" w:eastAsia="zh-CN"/>
        </w:rPr>
        <w:fldChar w:fldCharType="begin"/>
      </w:r>
      <w:r>
        <w:rPr>
          <w:rFonts w:hint="eastAsia" w:asciiTheme="minorEastAsia" w:hAnsiTheme="minorEastAsia" w:eastAsiaTheme="minorEastAsia" w:cstheme="minorEastAsia"/>
          <w:color w:val="auto"/>
          <w:spacing w:val="-15"/>
          <w:sz w:val="24"/>
          <w:szCs w:val="24"/>
          <w:highlight w:val="none"/>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highlight w:val="none"/>
          <w:lang w:val="en-US" w:eastAsia="zh-CN"/>
        </w:rPr>
        <w:fldChar w:fldCharType="separate"/>
      </w:r>
      <w:r>
        <w:rPr>
          <w:rStyle w:val="25"/>
          <w:rFonts w:hint="eastAsia" w:asciiTheme="minorEastAsia" w:hAnsiTheme="minorEastAsia" w:eastAsiaTheme="minorEastAsia" w:cstheme="minorEastAsia"/>
          <w:color w:val="auto"/>
          <w:spacing w:val="-15"/>
          <w:sz w:val="24"/>
          <w:szCs w:val="24"/>
          <w:highlight w:val="none"/>
          <w:lang w:val="en-US" w:eastAsia="zh-CN"/>
        </w:rPr>
        <w:t>https://ggzyjy.nanyang.gov.cn</w:t>
      </w:r>
      <w:r>
        <w:rPr>
          <w:rFonts w:hint="eastAsia" w:asciiTheme="minorEastAsia" w:hAnsiTheme="minorEastAsia" w:eastAsiaTheme="minorEastAsia" w:cstheme="minorEastAsia"/>
          <w:color w:val="auto"/>
          <w:spacing w:val="-15"/>
          <w:sz w:val="24"/>
          <w:szCs w:val="24"/>
          <w:highlight w:val="none"/>
          <w:lang w:val="en-US" w:eastAsia="zh-CN"/>
        </w:rPr>
        <w:fldChar w:fldCharType="end"/>
      </w:r>
      <w:r>
        <w:rPr>
          <w:rFonts w:hint="eastAsia" w:asciiTheme="minorEastAsia" w:hAnsiTheme="minorEastAsia" w:eastAsiaTheme="minorEastAsia" w:cstheme="minorEastAsia"/>
          <w:color w:val="auto"/>
          <w:spacing w:val="-15"/>
          <w:sz w:val="24"/>
          <w:szCs w:val="24"/>
          <w:highlight w:val="none"/>
          <w:lang w:val="en-US" w:eastAsia="zh-CN"/>
        </w:rPr>
        <w:t xml:space="preserve">   E-mail:nyszfcgzx@126.com</w:t>
      </w:r>
    </w:p>
    <w:p w14:paraId="3E9DD79E">
      <w:pPr>
        <w:pStyle w:val="6"/>
        <w:keepNext w:val="0"/>
        <w:keepLines w:val="0"/>
        <w:pageBreakBefore w:val="0"/>
        <w:numPr>
          <w:ilvl w:val="0"/>
          <w:numId w:val="0"/>
        </w:numPr>
        <w:kinsoku/>
        <w:wordWrap w:val="0"/>
        <w:overflowPunct/>
        <w:topLinePunct/>
        <w:bidi w:val="0"/>
        <w:spacing w:before="352" w:line="690" w:lineRule="exact"/>
        <w:jc w:val="both"/>
        <w:rPr>
          <w:rFonts w:hint="eastAsia" w:ascii="仿宋_GB2312" w:hAnsi="宋体" w:eastAsia="仿宋_GB2312"/>
          <w:color w:val="auto"/>
          <w:sz w:val="28"/>
          <w:szCs w:val="28"/>
          <w:highlight w:val="none"/>
          <w:lang w:val="en-US" w:eastAsia="zh-CN"/>
        </w:rPr>
      </w:pPr>
    </w:p>
    <w:p w14:paraId="793DF5F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河南以牧全过程工程咨询有限公司</w:t>
      </w:r>
    </w:p>
    <w:p w14:paraId="39181AC2">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21 </w:t>
      </w:r>
      <w:r>
        <w:rPr>
          <w:rFonts w:hint="eastAsia" w:asciiTheme="minorEastAsia" w:hAnsiTheme="minorEastAsia" w:eastAsiaTheme="minorEastAsia" w:cstheme="minorEastAsia"/>
          <w:color w:val="auto"/>
          <w:spacing w:val="-13"/>
          <w:sz w:val="24"/>
          <w:szCs w:val="24"/>
          <w:highlight w:val="none"/>
        </w:rPr>
        <w:t>日</w:t>
      </w:r>
    </w:p>
    <w:p w14:paraId="1EC3F2F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14FDAB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257263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A69EFA9">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77F8D7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B9F540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1BF65FA">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7C95433">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061F2E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1A1B28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8E29DE9">
      <w:pPr>
        <w:pStyle w:val="6"/>
        <w:keepNext w:val="0"/>
        <w:keepLines w:val="0"/>
        <w:pageBreakBefore w:val="0"/>
        <w:widowControl/>
        <w:numPr>
          <w:ilvl w:val="0"/>
          <w:numId w:val="1"/>
        </w:numPr>
        <w:kinsoku/>
        <w:wordWrap w:val="0"/>
        <w:overflowPunct/>
        <w:topLinePunct/>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1EB9FD2B">
      <w:pPr>
        <w:keepNext w:val="0"/>
        <w:keepLines w:val="0"/>
        <w:pageBreakBefore w:val="0"/>
        <w:widowControl w:val="0"/>
        <w:suppressLineNumbers w:val="0"/>
        <w:kinsoku/>
        <w:overflowPunct/>
        <w:topLinePunct/>
        <w:autoSpaceDE w:val="0"/>
        <w:autoSpaceDN w:val="0"/>
        <w:bidi w:val="0"/>
        <w:adjustRightInd w:val="0"/>
        <w:snapToGrid w:val="0"/>
        <w:spacing w:before="0" w:beforeAutospacing="0" w:after="0" w:afterAutospacing="0" w:line="360" w:lineRule="auto"/>
        <w:ind w:left="0" w:right="0"/>
        <w:jc w:val="center"/>
        <w:textAlignment w:val="baseline"/>
        <w:rPr>
          <w:rFonts w:hint="eastAsia" w:ascii="Arial" w:hAnsi="Arial" w:eastAsia="宋体" w:cs="Arial"/>
          <w:b/>
          <w:bCs/>
          <w:color w:val="auto"/>
          <w:kern w:val="0"/>
          <w:sz w:val="28"/>
          <w:szCs w:val="28"/>
          <w:highlight w:val="none"/>
        </w:rPr>
      </w:pPr>
      <w:r>
        <w:rPr>
          <w:rFonts w:hint="eastAsia" w:ascii="宋体" w:hAnsi="宋体" w:eastAsia="宋体" w:cs="宋体"/>
          <w:b/>
          <w:bCs/>
          <w:snapToGrid w:val="0"/>
          <w:color w:val="auto"/>
          <w:kern w:val="0"/>
          <w:sz w:val="28"/>
          <w:szCs w:val="28"/>
          <w:highlight w:val="none"/>
          <w:lang w:val="en-US" w:eastAsia="zh-CN" w:bidi="ar"/>
        </w:rPr>
        <w:t>采购需求</w:t>
      </w:r>
    </w:p>
    <w:p w14:paraId="45CDFA3A">
      <w:pPr>
        <w:pStyle w:val="2"/>
        <w:pageBreakBefore w:val="0"/>
        <w:widowControl/>
        <w:numPr>
          <w:ilvl w:val="0"/>
          <w:numId w:val="2"/>
        </w:numPr>
        <w:kinsoku/>
        <w:overflowPunct/>
        <w:topLinePunct/>
        <w:bidi w:val="0"/>
        <w:rPr>
          <w:rFonts w:hint="eastAsia" w:ascii="Calibri" w:hAnsi="Calibri" w:eastAsia="宋体" w:cs="Times New Roman"/>
          <w:b/>
          <w:bCs w:val="0"/>
          <w:color w:val="auto"/>
          <w:kern w:val="44"/>
          <w:sz w:val="28"/>
          <w:szCs w:val="28"/>
          <w:highlight w:val="none"/>
        </w:rPr>
      </w:pPr>
      <w:r>
        <w:rPr>
          <w:rFonts w:hint="eastAsia" w:ascii="宋体" w:hAnsi="宋体" w:eastAsia="宋体" w:cs="宋体"/>
          <w:b/>
          <w:bCs w:val="0"/>
          <w:color w:val="auto"/>
          <w:kern w:val="44"/>
          <w:sz w:val="28"/>
          <w:szCs w:val="28"/>
          <w:highlight w:val="none"/>
        </w:rPr>
        <w:t>采购清单</w:t>
      </w:r>
    </w:p>
    <w:tbl>
      <w:tblPr>
        <w:tblStyle w:val="21"/>
        <w:tblW w:w="934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1467"/>
        <w:gridCol w:w="5624"/>
        <w:gridCol w:w="789"/>
        <w:gridCol w:w="703"/>
      </w:tblGrid>
      <w:tr w14:paraId="3481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vAlign w:val="center"/>
          </w:tcPr>
          <w:p w14:paraId="16053D24">
            <w:pPr>
              <w:keepNext w:val="0"/>
              <w:keepLines w:val="0"/>
              <w:pageBreakBefore w:val="0"/>
              <w:widowControl w:val="0"/>
              <w:suppressLineNumbers w:val="0"/>
              <w:kinsoku/>
              <w:wordWrap w:val="0"/>
              <w:overflowPunct/>
              <w:topLinePunct/>
              <w:autoSpaceDE/>
              <w:autoSpaceDN/>
              <w:bidi w:val="0"/>
              <w:snapToGrid w:val="0"/>
              <w:spacing w:before="0" w:beforeAutospacing="0" w:after="0" w:afterAutospacing="0" w:line="360" w:lineRule="auto"/>
              <w:ind w:left="0" w:right="0" w:firstLine="560" w:firstLineChars="200"/>
              <w:jc w:val="left"/>
              <w:rPr>
                <w:rFonts w:hint="default" w:ascii="Arial" w:hAnsi="Arial" w:eastAsia="Arial"/>
                <w:color w:val="auto"/>
                <w:kern w:val="0"/>
                <w:sz w:val="28"/>
                <w:szCs w:val="28"/>
                <w:highlight w:val="none"/>
                <w:lang w:val="en-US" w:eastAsia="zh-CN" w:bidi="ar"/>
              </w:rPr>
            </w:pPr>
            <w:r>
              <w:rPr>
                <w:rFonts w:hint="default" w:ascii="Arial" w:hAnsi="Arial" w:eastAsia="Arial"/>
                <w:color w:val="auto"/>
                <w:kern w:val="0"/>
                <w:sz w:val="28"/>
                <w:szCs w:val="28"/>
                <w:highlight w:val="none"/>
                <w:lang w:val="en-US" w:eastAsia="zh-CN" w:bidi="ar"/>
              </w:rPr>
              <w:t xml:space="preserve"> </w:t>
            </w:r>
            <w:r>
              <w:rPr>
                <w:rFonts w:hint="eastAsia" w:ascii="宋体" w:hAnsi="宋体" w:eastAsia="宋体"/>
                <w:i w:val="0"/>
                <w:iCs w:val="0"/>
                <w:color w:val="auto"/>
                <w:kern w:val="0"/>
                <w:sz w:val="24"/>
                <w:szCs w:val="24"/>
                <w:highlight w:val="none"/>
                <w:u w:val="none"/>
                <w:lang w:val="en-US" w:eastAsia="zh-CN" w:bidi="ar"/>
              </w:rPr>
              <w:t>序号</w:t>
            </w:r>
          </w:p>
        </w:tc>
        <w:tc>
          <w:tcPr>
            <w:tcW w:w="1467" w:type="dxa"/>
            <w:vAlign w:val="center"/>
          </w:tcPr>
          <w:p w14:paraId="36E926D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名称</w:t>
            </w:r>
          </w:p>
        </w:tc>
        <w:tc>
          <w:tcPr>
            <w:tcW w:w="5624" w:type="dxa"/>
            <w:vAlign w:val="center"/>
          </w:tcPr>
          <w:p w14:paraId="7457807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参数</w:t>
            </w:r>
          </w:p>
        </w:tc>
        <w:tc>
          <w:tcPr>
            <w:tcW w:w="789" w:type="dxa"/>
            <w:vAlign w:val="center"/>
          </w:tcPr>
          <w:p w14:paraId="71EF953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数量</w:t>
            </w:r>
          </w:p>
        </w:tc>
        <w:tc>
          <w:tcPr>
            <w:tcW w:w="703" w:type="dxa"/>
            <w:vAlign w:val="center"/>
          </w:tcPr>
          <w:p w14:paraId="22F3058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单位</w:t>
            </w:r>
          </w:p>
        </w:tc>
      </w:tr>
      <w:tr w14:paraId="74EE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trPr>
        <w:tc>
          <w:tcPr>
            <w:tcW w:w="757" w:type="dxa"/>
            <w:noWrap/>
            <w:vAlign w:val="center"/>
          </w:tcPr>
          <w:p w14:paraId="7E1D8A4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1</w:t>
            </w:r>
          </w:p>
        </w:tc>
        <w:tc>
          <w:tcPr>
            <w:tcW w:w="1467" w:type="dxa"/>
            <w:vAlign w:val="center"/>
          </w:tcPr>
          <w:p w14:paraId="28DE11F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入河排污口标志牌建设</w:t>
            </w:r>
          </w:p>
        </w:tc>
        <w:tc>
          <w:tcPr>
            <w:tcW w:w="5624" w:type="dxa"/>
            <w:vAlign w:val="center"/>
          </w:tcPr>
          <w:p w14:paraId="3819801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基本要求如下：</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（1）入河排污口档案建设及命名。</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（2）标识牌设置在污水入河处或监测采样点等位置，便于公众监督。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（3）标识牌公示信息包含但不限于排污口名称、编码、类型、管理单位、责任主体、监督电话等，可根据实际需求采用文字或二维码等形式展示。标识牌可选用立柱式、平面式等。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（4）标识牌应具有耐候、耐腐蚀等理化性能，保证一定的使用寿命。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平面固定式标识牌外形尺寸为960mm×600mm。立式固定式标识牌外形尺寸为840mm×840mm，标识牌最上端距地面2m，地下0.3m。标识牌需采用1.5-2mm冷轧钢板，立柱采用38×4无缝钢管，表面采用搪瓷或者反光贴膜，标识牌的端面及立柱要经过防腐处理。</w:t>
            </w:r>
          </w:p>
        </w:tc>
        <w:tc>
          <w:tcPr>
            <w:tcW w:w="789" w:type="dxa"/>
            <w:noWrap/>
            <w:vAlign w:val="center"/>
          </w:tcPr>
          <w:p w14:paraId="3CF4106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12</w:t>
            </w:r>
          </w:p>
        </w:tc>
        <w:tc>
          <w:tcPr>
            <w:tcW w:w="703" w:type="dxa"/>
            <w:noWrap/>
            <w:vAlign w:val="center"/>
          </w:tcPr>
          <w:p w14:paraId="6773D03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个</w:t>
            </w:r>
          </w:p>
        </w:tc>
      </w:tr>
      <w:tr w14:paraId="1B40E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467A859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2</w:t>
            </w:r>
          </w:p>
        </w:tc>
        <w:tc>
          <w:tcPr>
            <w:tcW w:w="1467" w:type="dxa"/>
            <w:vAlign w:val="center"/>
          </w:tcPr>
          <w:p w14:paraId="2E9DC29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入河排污口更新维护等规范化建设</w:t>
            </w:r>
          </w:p>
        </w:tc>
        <w:tc>
          <w:tcPr>
            <w:tcW w:w="5624" w:type="dxa"/>
            <w:vAlign w:val="center"/>
          </w:tcPr>
          <w:p w14:paraId="67C2B47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sz w:val="24"/>
                <w:szCs w:val="24"/>
                <w:highlight w:val="none"/>
                <w:u w:val="none"/>
              </w:rPr>
            </w:pPr>
            <w:r>
              <w:rPr>
                <w:rFonts w:hint="eastAsia" w:ascii="宋体" w:hAnsi="宋体" w:eastAsia="宋体"/>
                <w:i w:val="0"/>
                <w:iCs w:val="0"/>
                <w:color w:val="auto"/>
                <w:sz w:val="24"/>
                <w:szCs w:val="24"/>
                <w:highlight w:val="none"/>
                <w:u w:val="none"/>
              </w:rPr>
              <w:t>入河排污口更新维护等规范化建设</w:t>
            </w:r>
            <w:r>
              <w:rPr>
                <w:rFonts w:hint="eastAsia" w:ascii="宋体" w:hAnsi="宋体" w:eastAsia="宋体"/>
                <w:i w:val="0"/>
                <w:iCs w:val="0"/>
                <w:color w:val="auto"/>
                <w:sz w:val="24"/>
                <w:szCs w:val="24"/>
                <w:highlight w:val="none"/>
                <w:u w:val="none"/>
                <w:lang w:eastAsia="zh-CN"/>
              </w:rPr>
              <w:t>：对现有排污口进行周边杂物清除及修补</w:t>
            </w:r>
          </w:p>
        </w:tc>
        <w:tc>
          <w:tcPr>
            <w:tcW w:w="789" w:type="dxa"/>
            <w:noWrap/>
            <w:vAlign w:val="center"/>
          </w:tcPr>
          <w:p w14:paraId="4E7FF03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6</w:t>
            </w:r>
          </w:p>
        </w:tc>
        <w:tc>
          <w:tcPr>
            <w:tcW w:w="703" w:type="dxa"/>
            <w:noWrap/>
            <w:vAlign w:val="center"/>
          </w:tcPr>
          <w:p w14:paraId="25892AB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个</w:t>
            </w:r>
          </w:p>
        </w:tc>
      </w:tr>
      <w:tr w14:paraId="4BB5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A2FA6D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3</w:t>
            </w:r>
          </w:p>
        </w:tc>
        <w:tc>
          <w:tcPr>
            <w:tcW w:w="1467" w:type="dxa"/>
            <w:vAlign w:val="center"/>
          </w:tcPr>
          <w:p w14:paraId="4260185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入河排污口人工监测费</w:t>
            </w:r>
          </w:p>
        </w:tc>
        <w:tc>
          <w:tcPr>
            <w:tcW w:w="5624" w:type="dxa"/>
            <w:vAlign w:val="center"/>
          </w:tcPr>
          <w:p w14:paraId="2899130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需针对内乡县7个城镇污水处理厂入河排污口每月开展一次人工监测，监测因子为：流量、水温、pH值、化学需氧量、五日生化需氧量、氨氮、挥发酚、总磷、总氮。</w:t>
            </w:r>
          </w:p>
        </w:tc>
        <w:tc>
          <w:tcPr>
            <w:tcW w:w="789" w:type="dxa"/>
            <w:noWrap/>
            <w:vAlign w:val="center"/>
          </w:tcPr>
          <w:p w14:paraId="1C80D6E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84</w:t>
            </w:r>
          </w:p>
        </w:tc>
        <w:tc>
          <w:tcPr>
            <w:tcW w:w="703" w:type="dxa"/>
            <w:noWrap/>
            <w:vAlign w:val="center"/>
          </w:tcPr>
          <w:p w14:paraId="623B621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次</w:t>
            </w:r>
          </w:p>
        </w:tc>
      </w:tr>
      <w:tr w14:paraId="3306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115E399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4</w:t>
            </w:r>
          </w:p>
        </w:tc>
        <w:tc>
          <w:tcPr>
            <w:tcW w:w="1467" w:type="dxa"/>
            <w:vAlign w:val="center"/>
          </w:tcPr>
          <w:p w14:paraId="0D7CEC5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入河排污口监测点设置</w:t>
            </w:r>
          </w:p>
        </w:tc>
        <w:tc>
          <w:tcPr>
            <w:tcW w:w="5624" w:type="dxa"/>
            <w:vAlign w:val="center"/>
          </w:tcPr>
          <w:p w14:paraId="3658A88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sz w:val="24"/>
                <w:szCs w:val="24"/>
                <w:highlight w:val="none"/>
                <w:u w:val="none"/>
              </w:rPr>
            </w:pPr>
            <w:r>
              <w:rPr>
                <w:rFonts w:hint="eastAsia" w:ascii="宋体" w:hAnsi="宋体" w:eastAsia="宋体"/>
                <w:i w:val="0"/>
                <w:iCs w:val="0"/>
                <w:color w:val="auto"/>
                <w:sz w:val="24"/>
                <w:szCs w:val="24"/>
                <w:highlight w:val="none"/>
                <w:u w:val="none"/>
              </w:rPr>
              <w:t>入河排污口监测点设置</w:t>
            </w:r>
          </w:p>
        </w:tc>
        <w:tc>
          <w:tcPr>
            <w:tcW w:w="789" w:type="dxa"/>
            <w:noWrap/>
            <w:vAlign w:val="center"/>
          </w:tcPr>
          <w:p w14:paraId="248134E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3</w:t>
            </w:r>
          </w:p>
        </w:tc>
        <w:tc>
          <w:tcPr>
            <w:tcW w:w="703" w:type="dxa"/>
            <w:noWrap/>
            <w:vAlign w:val="center"/>
          </w:tcPr>
          <w:p w14:paraId="09EF0A9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个</w:t>
            </w:r>
          </w:p>
        </w:tc>
      </w:tr>
      <w:tr w14:paraId="403C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BEAB65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5</w:t>
            </w:r>
          </w:p>
        </w:tc>
        <w:tc>
          <w:tcPr>
            <w:tcW w:w="1467" w:type="dxa"/>
            <w:vAlign w:val="center"/>
          </w:tcPr>
          <w:p w14:paraId="6062B2F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入河排污口流量监测系统</w:t>
            </w:r>
          </w:p>
        </w:tc>
        <w:tc>
          <w:tcPr>
            <w:tcW w:w="5624" w:type="dxa"/>
            <w:vAlign w:val="center"/>
          </w:tcPr>
          <w:p w14:paraId="7C4FF57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sz w:val="24"/>
                <w:szCs w:val="24"/>
                <w:highlight w:val="none"/>
                <w:u w:val="none"/>
              </w:rPr>
            </w:pPr>
            <w:r>
              <w:rPr>
                <w:rFonts w:hint="eastAsia" w:ascii="宋体" w:hAnsi="宋体" w:eastAsia="宋体"/>
                <w:i w:val="0"/>
                <w:iCs w:val="0"/>
                <w:color w:val="auto"/>
                <w:sz w:val="24"/>
                <w:szCs w:val="24"/>
                <w:highlight w:val="none"/>
                <w:u w:val="none"/>
              </w:rPr>
              <w:t>入河排污口流量监测系统</w:t>
            </w:r>
          </w:p>
        </w:tc>
        <w:tc>
          <w:tcPr>
            <w:tcW w:w="789" w:type="dxa"/>
            <w:vAlign w:val="center"/>
          </w:tcPr>
          <w:p w14:paraId="761342C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vAlign w:val="center"/>
          </w:tcPr>
          <w:p w14:paraId="4570EE7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1888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695903B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5.1</w:t>
            </w:r>
          </w:p>
        </w:tc>
        <w:tc>
          <w:tcPr>
            <w:tcW w:w="1467" w:type="dxa"/>
            <w:noWrap/>
            <w:vAlign w:val="center"/>
          </w:tcPr>
          <w:p w14:paraId="597252E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流量计</w:t>
            </w:r>
          </w:p>
        </w:tc>
        <w:tc>
          <w:tcPr>
            <w:tcW w:w="5624" w:type="dxa"/>
            <w:vAlign w:val="center"/>
          </w:tcPr>
          <w:p w14:paraId="5EACB62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流速测量范围 0.01m/s～5.00m/s 双向</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流速测量精度 ±1%FS</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水位测量范围 0.04m至5m</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水位测量精度 ±0.1%FS</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工作温度 －15℃～60℃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防护等级 IP68</w:t>
            </w:r>
          </w:p>
        </w:tc>
        <w:tc>
          <w:tcPr>
            <w:tcW w:w="789" w:type="dxa"/>
            <w:noWrap/>
            <w:vAlign w:val="center"/>
          </w:tcPr>
          <w:p w14:paraId="5598417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25A74EE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3D90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CB1068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5.2</w:t>
            </w:r>
          </w:p>
        </w:tc>
        <w:tc>
          <w:tcPr>
            <w:tcW w:w="1467" w:type="dxa"/>
            <w:noWrap/>
            <w:vAlign w:val="center"/>
          </w:tcPr>
          <w:p w14:paraId="27D9359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遥测终端</w:t>
            </w:r>
          </w:p>
        </w:tc>
        <w:tc>
          <w:tcPr>
            <w:tcW w:w="5624" w:type="dxa"/>
            <w:vAlign w:val="center"/>
          </w:tcPr>
          <w:p w14:paraId="4F73E5B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传输方式：以无线方式传输数据，支持2G、3G、4G或5G通信，同时实现双向传输，并能进行权限设置。</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控制功能：能通过USB、蓝牙及远程等多种方式进行采样时间、采样频率等参数设置，支持USB、蓝牙及远程等多种方式读取、查看、下载数据。</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工作模式：自报式、应答式、自报加应答式，可切换工作模式，以适应不同需要。</w:t>
            </w:r>
          </w:p>
        </w:tc>
        <w:tc>
          <w:tcPr>
            <w:tcW w:w="789" w:type="dxa"/>
            <w:noWrap/>
            <w:vAlign w:val="center"/>
          </w:tcPr>
          <w:p w14:paraId="54DF804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127BACE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1B0F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73EFAE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5.3</w:t>
            </w:r>
          </w:p>
        </w:tc>
        <w:tc>
          <w:tcPr>
            <w:tcW w:w="1467" w:type="dxa"/>
            <w:noWrap/>
            <w:vAlign w:val="center"/>
          </w:tcPr>
          <w:p w14:paraId="6C80F6A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附属设施及基础施工</w:t>
            </w:r>
          </w:p>
        </w:tc>
        <w:tc>
          <w:tcPr>
            <w:tcW w:w="5624" w:type="dxa"/>
            <w:vAlign w:val="center"/>
          </w:tcPr>
          <w:p w14:paraId="6A29FDBD">
            <w:pPr>
              <w:keepNext w:val="0"/>
              <w:keepLines w:val="0"/>
              <w:pageBreakBefore w:val="0"/>
              <w:widowControl/>
              <w:suppressLineNumbers w:val="0"/>
              <w:kinsoku/>
              <w:wordWrap/>
              <w:overflowPunct/>
              <w:topLinePunct/>
              <w:autoSpaceDE w:val="0"/>
              <w:autoSpaceDN w:val="0"/>
              <w:bidi w:val="0"/>
              <w:snapToGrid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p>
          <w:p w14:paraId="2EFD9A46">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（1）立杆：需采用热镀锌</w:t>
            </w:r>
            <w:r>
              <w:rPr>
                <w:rFonts w:hint="default"/>
                <w:color w:val="auto"/>
                <w:sz w:val="24"/>
                <w:szCs w:val="24"/>
                <w:highlight w:val="none"/>
                <w:lang w:val="en-US"/>
              </w:rPr>
              <w:t>材质</w:t>
            </w:r>
            <w:r>
              <w:rPr>
                <w:rFonts w:hint="eastAsia" w:eastAsia="宋体"/>
                <w:color w:val="auto"/>
                <w:sz w:val="24"/>
                <w:szCs w:val="24"/>
                <w:highlight w:val="none"/>
                <w:lang w:val="en-US" w:eastAsia="zh-CN"/>
              </w:rPr>
              <w:t>，表面白色喷塑，</w:t>
            </w:r>
            <w:r>
              <w:rPr>
                <w:rFonts w:hint="eastAsia" w:ascii="宋体" w:hAnsi="宋体" w:eastAsia="宋体"/>
                <w:i w:val="0"/>
                <w:iCs w:val="0"/>
                <w:color w:val="auto"/>
                <w:kern w:val="0"/>
                <w:sz w:val="24"/>
                <w:szCs w:val="24"/>
                <w:highlight w:val="none"/>
                <w:u w:val="none"/>
                <w:lang w:val="en-US" w:eastAsia="zh-CN" w:bidi="ar"/>
              </w:rPr>
              <w:t>高4m，直径不小于114mm</w:t>
            </w:r>
          </w:p>
          <w:p w14:paraId="1913B2AC">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eastAsia="宋体"/>
                <w:color w:val="auto"/>
                <w:sz w:val="24"/>
                <w:szCs w:val="24"/>
                <w:highlight w:val="none"/>
                <w:lang w:val="en-US" w:eastAsia="zh-CN"/>
              </w:rPr>
              <w:t>机箱：需采用3</w:t>
            </w:r>
            <w:r>
              <w:rPr>
                <w:rFonts w:hint="default"/>
                <w:color w:val="auto"/>
                <w:sz w:val="24"/>
                <w:szCs w:val="24"/>
                <w:highlight w:val="none"/>
                <w:lang w:val="en-US"/>
              </w:rPr>
              <w:t>04不锈钢材质，防湿防潮，内置隔板，外置锁具等。</w:t>
            </w:r>
          </w:p>
          <w:p w14:paraId="4249FB6B">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eastAsia="宋体"/>
                <w:color w:val="auto"/>
                <w:sz w:val="24"/>
                <w:szCs w:val="24"/>
                <w:highlight w:val="none"/>
                <w:lang w:val="en-US" w:eastAsia="zh-CN"/>
              </w:rPr>
              <w:t>供电系统</w:t>
            </w:r>
          </w:p>
          <w:p w14:paraId="3E10F201">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市电+太阳能双供电</w:t>
            </w:r>
          </w:p>
          <w:p w14:paraId="222EED48">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太阳能供电系统（需含支架）要求：</w:t>
            </w:r>
          </w:p>
          <w:p w14:paraId="26A9E7D2">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太阳能电池板：不低于40瓦；</w:t>
            </w:r>
          </w:p>
          <w:p w14:paraId="434C2C7C">
            <w:pPr>
              <w:pStyle w:val="42"/>
              <w:keepNext w:val="0"/>
              <w:keepLines w:val="0"/>
              <w:pageBreakBefore w:val="0"/>
              <w:widowControl/>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蓄电池：蓄铅酸可充电免维护蓄电池，标称电压:12V，容量：不小于38AH。</w:t>
            </w:r>
          </w:p>
          <w:p w14:paraId="26C8ABD9">
            <w:pPr>
              <w:pStyle w:val="42"/>
              <w:keepNext w:val="0"/>
              <w:keepLines w:val="0"/>
              <w:pageBreakBefore w:val="0"/>
              <w:widowControl/>
              <w:numPr>
                <w:ilvl w:val="0"/>
                <w:numId w:val="0"/>
              </w:numPr>
              <w:suppressLineNumbers w:val="0"/>
              <w:kinsoku/>
              <w:wordWrap/>
              <w:overflowPunct/>
              <w:topLinePunct/>
              <w:autoSpaceDE w:val="0"/>
              <w:autoSpaceDN w:val="0"/>
              <w:bidi w:val="0"/>
              <w:snapToGrid w:val="0"/>
              <w:spacing w:before="0" w:beforeAutospacing="0"/>
              <w:ind w:left="0" w:right="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（4）防雷系统</w:t>
            </w:r>
          </w:p>
          <w:p w14:paraId="2E1015DF">
            <w:pPr>
              <w:pStyle w:val="42"/>
              <w:keepNext w:val="0"/>
              <w:keepLines w:val="0"/>
              <w:pageBreakBefore w:val="0"/>
              <w:widowControl/>
              <w:numPr>
                <w:ilvl w:val="0"/>
                <w:numId w:val="0"/>
              </w:numPr>
              <w:suppressLineNumbers w:val="0"/>
              <w:wordWrap/>
              <w:overflowPunct/>
              <w:topLinePunct/>
              <w:autoSpaceDE w:val="0"/>
              <w:autoSpaceDN w:val="0"/>
              <w:bidi w:val="0"/>
              <w:snapToGrid w:val="0"/>
              <w:spacing w:before="0" w:beforeAutospacing="0"/>
              <w:ind w:left="0" w:right="0"/>
              <w:rPr>
                <w:rFonts w:hint="default" w:ascii="宋体" w:hAnsi="宋体" w:eastAsia="宋体"/>
                <w:color w:val="auto"/>
                <w:sz w:val="24"/>
                <w:highlight w:val="none"/>
                <w:lang w:val="en-US" w:eastAsia="zh-CN"/>
              </w:rPr>
            </w:pPr>
            <w:r>
              <w:rPr>
                <w:rFonts w:hint="default" w:ascii="宋体" w:hAnsi="宋体" w:eastAsia="宋体"/>
                <w:color w:val="auto"/>
                <w:sz w:val="24"/>
                <w:szCs w:val="24"/>
                <w:highlight w:val="none"/>
                <w:lang w:val="en-US" w:eastAsia="zh-CN"/>
              </w:rPr>
              <w:t>采用钢管或角钢并经过热镀锌工艺处理，以增加抗腐性和导电性能</w:t>
            </w:r>
            <w:r>
              <w:rPr>
                <w:rFonts w:hint="eastAsia" w:ascii="宋体" w:hAnsi="宋体" w:eastAsia="宋体"/>
                <w:color w:val="auto"/>
                <w:sz w:val="24"/>
                <w:szCs w:val="24"/>
                <w:highlight w:val="none"/>
                <w:lang w:val="en-US" w:eastAsia="zh-CN"/>
              </w:rPr>
              <w:t>。</w:t>
            </w:r>
          </w:p>
          <w:p w14:paraId="1C6B1380">
            <w:pPr>
              <w:pStyle w:val="42"/>
              <w:keepNext w:val="0"/>
              <w:keepLines w:val="0"/>
              <w:pageBreakBefore w:val="0"/>
              <w:widowControl/>
              <w:numPr>
                <w:ilvl w:val="0"/>
                <w:numId w:val="0"/>
              </w:numPr>
              <w:suppressLineNumbers w:val="0"/>
              <w:kinsoku/>
              <w:wordWrap/>
              <w:overflowPunct/>
              <w:topLinePunct/>
              <w:autoSpaceDE w:val="0"/>
              <w:autoSpaceDN w:val="0"/>
              <w:bidi w:val="0"/>
              <w:snapToGrid w:val="0"/>
              <w:spacing w:before="0" w:beforeAutospacing="0"/>
              <w:ind w:left="0" w:right="0"/>
              <w:rPr>
                <w:rFonts w:hint="default" w:ascii="宋体" w:hAnsi="宋体" w:eastAsia="宋体"/>
                <w:color w:val="auto"/>
                <w:sz w:val="24"/>
                <w:szCs w:val="24"/>
                <w:highlight w:val="none"/>
                <w:lang w:val="en-US" w:eastAsia="zh-CN"/>
              </w:rPr>
            </w:pPr>
            <w:r>
              <w:rPr>
                <w:rFonts w:hint="default" w:ascii="宋体" w:hAnsi="宋体" w:eastAsia="宋体"/>
                <w:color w:val="auto"/>
                <w:sz w:val="24"/>
                <w:highlight w:val="none"/>
                <w:lang w:val="en-US" w:eastAsia="zh-CN"/>
              </w:rPr>
              <w:t>（5）基础施工</w:t>
            </w:r>
          </w:p>
          <w:p w14:paraId="0A3B2C6F">
            <w:pPr>
              <w:pStyle w:val="42"/>
              <w:keepNext w:val="0"/>
              <w:keepLines w:val="0"/>
              <w:pageBreakBefore w:val="0"/>
              <w:widowControl/>
              <w:numPr>
                <w:ilvl w:val="0"/>
                <w:numId w:val="0"/>
              </w:numPr>
              <w:suppressLineNumbers w:val="0"/>
              <w:wordWrap/>
              <w:overflowPunct/>
              <w:topLinePunct/>
              <w:autoSpaceDE w:val="0"/>
              <w:autoSpaceDN w:val="0"/>
              <w:bidi w:val="0"/>
              <w:snapToGrid w:val="0"/>
              <w:spacing w:before="0" w:beforeAutospacing="0"/>
              <w:ind w:left="0" w:right="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基坑开挖600*600mm，混凝土基础600*600mm，混凝土强度C25</w:t>
            </w:r>
          </w:p>
        </w:tc>
        <w:tc>
          <w:tcPr>
            <w:tcW w:w="789" w:type="dxa"/>
            <w:noWrap/>
            <w:vAlign w:val="center"/>
          </w:tcPr>
          <w:p w14:paraId="2708D5A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4E53B82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D03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391A395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6</w:t>
            </w:r>
          </w:p>
        </w:tc>
        <w:tc>
          <w:tcPr>
            <w:tcW w:w="1467" w:type="dxa"/>
            <w:vAlign w:val="center"/>
          </w:tcPr>
          <w:p w14:paraId="23FDB78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入河排污口水质在线监测系统</w:t>
            </w:r>
          </w:p>
        </w:tc>
        <w:tc>
          <w:tcPr>
            <w:tcW w:w="5624" w:type="dxa"/>
            <w:vAlign w:val="center"/>
          </w:tcPr>
          <w:p w14:paraId="53BA0D9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sz w:val="24"/>
                <w:szCs w:val="24"/>
                <w:highlight w:val="none"/>
                <w:u w:val="none"/>
              </w:rPr>
            </w:pPr>
            <w:r>
              <w:rPr>
                <w:rFonts w:hint="eastAsia" w:ascii="宋体" w:hAnsi="宋体" w:eastAsia="宋体"/>
                <w:i w:val="0"/>
                <w:iCs w:val="0"/>
                <w:color w:val="auto"/>
                <w:sz w:val="24"/>
                <w:szCs w:val="24"/>
                <w:highlight w:val="none"/>
                <w:u w:val="none"/>
              </w:rPr>
              <w:t>入河排污口水质在线监测系统</w:t>
            </w:r>
          </w:p>
        </w:tc>
        <w:tc>
          <w:tcPr>
            <w:tcW w:w="789" w:type="dxa"/>
            <w:vAlign w:val="center"/>
          </w:tcPr>
          <w:p w14:paraId="429C18E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vAlign w:val="center"/>
          </w:tcPr>
          <w:p w14:paraId="72F50AE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22CD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7CC3FFB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6.1</w:t>
            </w:r>
          </w:p>
        </w:tc>
        <w:tc>
          <w:tcPr>
            <w:tcW w:w="1467" w:type="dxa"/>
            <w:noWrap/>
            <w:vAlign w:val="center"/>
          </w:tcPr>
          <w:p w14:paraId="3875F7A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常规五参数</w:t>
            </w:r>
          </w:p>
        </w:tc>
        <w:tc>
          <w:tcPr>
            <w:tcW w:w="5624" w:type="dxa"/>
            <w:vAlign w:val="center"/>
          </w:tcPr>
          <w:p w14:paraId="696EF8B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PH</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测定原理：玻璃电极法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量程：pH 0～14 （0～40 ℃），可调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漂移（pH=4、7、9）：±0.1 pH</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 ±0.1 pH</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响应时间： ≤0.5min</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温度补偿精度： ±0.1 pH</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 ≥720 h/次</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溶解氧</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测定原理： 荧光电极法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 0～20 mg/L，可调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零点漂移： ±0.3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量程漂移： ±0.3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 ±0.3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响应时间（T90）： ≤2.0min</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温度补偿精度：±0.3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MTBF：≥720 h/次</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电导率</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测定原理： 四极式电极法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最小检测范围： 0～500 mS/m（0～40℃），可调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重复性误差： ±1%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零点漂移： ±1%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量程漂移： ±1%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响应时间（T90）： ≤0.5min</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温度补偿精度： ±1%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 ≥720h/次</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浊度</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测定原理： 90°散射法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 0～1000NTU，可调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零点漂移： ±3%</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量程漂移：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线性误差：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 ≥720h/次</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水温</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测定原理： 热电阻或热电偶</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 ：0℃～55 ℃，可调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测量误差： 0.5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 ≥720 h/次</w:t>
            </w:r>
          </w:p>
        </w:tc>
        <w:tc>
          <w:tcPr>
            <w:tcW w:w="789" w:type="dxa"/>
            <w:noWrap/>
            <w:vAlign w:val="center"/>
          </w:tcPr>
          <w:p w14:paraId="0F1D795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6EBFFDA1">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8C2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6C10D68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6.2</w:t>
            </w:r>
          </w:p>
        </w:tc>
        <w:tc>
          <w:tcPr>
            <w:tcW w:w="1467" w:type="dxa"/>
            <w:noWrap/>
            <w:vAlign w:val="center"/>
          </w:tcPr>
          <w:p w14:paraId="1774198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化学需氧量</w:t>
            </w:r>
          </w:p>
        </w:tc>
        <w:tc>
          <w:tcPr>
            <w:tcW w:w="5624" w:type="dxa"/>
            <w:vAlign w:val="center"/>
          </w:tcPr>
          <w:p w14:paraId="5549F02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测定原理：重铬酸钾氧化 分光光度法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 0～100/200/500/1000/5000/10000 /20000mg/L；可扩展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24h低浓度漂移 ±5mg/L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24h高浓度漂移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示值误差：20%* ±10%、50%* ±8%、80%*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记忆效应：80%*→20%* ±5 mg/L、 20%*→80%* ±5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定量下限：≤15mg/L（示值误差±30%）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氯离子影响： ±10%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最小维护周期：≥168h/次</w:t>
            </w:r>
          </w:p>
        </w:tc>
        <w:tc>
          <w:tcPr>
            <w:tcW w:w="789" w:type="dxa"/>
            <w:noWrap/>
            <w:vAlign w:val="center"/>
          </w:tcPr>
          <w:p w14:paraId="487319F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492D0C2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4208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6258D0D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6.3</w:t>
            </w:r>
          </w:p>
        </w:tc>
        <w:tc>
          <w:tcPr>
            <w:tcW w:w="1467" w:type="dxa"/>
            <w:noWrap/>
            <w:vAlign w:val="center"/>
          </w:tcPr>
          <w:p w14:paraId="426232F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氨氮</w:t>
            </w:r>
          </w:p>
        </w:tc>
        <w:tc>
          <w:tcPr>
            <w:tcW w:w="5624" w:type="dxa"/>
            <w:vAlign w:val="center"/>
          </w:tcPr>
          <w:p w14:paraId="04E7D5A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测定原理：水杨酸分光光度法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量程：0～10 mg/L，可调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24h低浓度漂移 ：≤0.02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24h高浓度漂移 ：≤1%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示值误差：20%* ±8%、50%* ±5%、 80%* ±3%</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重复性：≤2%</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记忆效应：80%*→20%* ±0.3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 20%*→80%* ±0.2 mg/L</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定量下限：≤0.15mg/L（示值误差±30%）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pH影响：±6%</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最小维护周期：≥168h/次</w:t>
            </w:r>
          </w:p>
        </w:tc>
        <w:tc>
          <w:tcPr>
            <w:tcW w:w="789" w:type="dxa"/>
            <w:noWrap/>
            <w:vAlign w:val="center"/>
          </w:tcPr>
          <w:p w14:paraId="2905F2E1">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2B96F46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0DF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C7441C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6.4</w:t>
            </w:r>
          </w:p>
        </w:tc>
        <w:tc>
          <w:tcPr>
            <w:tcW w:w="1467" w:type="dxa"/>
            <w:noWrap/>
            <w:vAlign w:val="center"/>
          </w:tcPr>
          <w:p w14:paraId="0E6F634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总磷</w:t>
            </w:r>
          </w:p>
        </w:tc>
        <w:tc>
          <w:tcPr>
            <w:tcW w:w="5624" w:type="dxa"/>
            <w:vAlign w:val="center"/>
          </w:tcPr>
          <w:p w14:paraId="7D5F35F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测定原理：钼酸铵分光光度法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 0～2mg/L，可调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零点漂移： ±5%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量程漂移： ±10%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直线性： ±10%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重复性误差： ±10%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电压稳定性： 指示值变动在±10%之内</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MTBF：≥720h/次</w:t>
            </w:r>
          </w:p>
        </w:tc>
        <w:tc>
          <w:tcPr>
            <w:tcW w:w="789" w:type="dxa"/>
            <w:noWrap/>
            <w:vAlign w:val="center"/>
          </w:tcPr>
          <w:p w14:paraId="6289652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4A695AA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95D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A8FF32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6.5</w:t>
            </w:r>
          </w:p>
        </w:tc>
        <w:tc>
          <w:tcPr>
            <w:tcW w:w="1467" w:type="dxa"/>
            <w:noWrap/>
            <w:vAlign w:val="center"/>
          </w:tcPr>
          <w:p w14:paraId="2C91C5B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总氮</w:t>
            </w:r>
          </w:p>
        </w:tc>
        <w:tc>
          <w:tcPr>
            <w:tcW w:w="5624" w:type="dxa"/>
            <w:vAlign w:val="center"/>
          </w:tcPr>
          <w:p w14:paraId="70BC665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测定原理：过硫酸钾氧化-紫外分光光度法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量程：0～50mg/L，可调</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零点漂移：±5%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量程漂移：±10%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直线性：±10%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重复性误差： ±10%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MTBF ≥720h/次</w:t>
            </w:r>
          </w:p>
        </w:tc>
        <w:tc>
          <w:tcPr>
            <w:tcW w:w="789" w:type="dxa"/>
            <w:noWrap/>
            <w:vAlign w:val="center"/>
          </w:tcPr>
          <w:p w14:paraId="6C697C8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71DAA3A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0CC8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16C4A24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6.6</w:t>
            </w:r>
          </w:p>
        </w:tc>
        <w:tc>
          <w:tcPr>
            <w:tcW w:w="1467" w:type="dxa"/>
            <w:noWrap/>
            <w:vAlign w:val="center"/>
          </w:tcPr>
          <w:p w14:paraId="0CE99C0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采水单元</w:t>
            </w:r>
          </w:p>
        </w:tc>
        <w:tc>
          <w:tcPr>
            <w:tcW w:w="5624" w:type="dxa"/>
            <w:vAlign w:val="center"/>
          </w:tcPr>
          <w:p w14:paraId="68E2E50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采水单元的设置应因地制宜，针对不同情况采用最合适的采水方式，保证采样的代表性和科学性。需采用双泵、双管路、双缆线设计，互为为备用，保证采水单元的可靠性，满足实时不间断监测要求，具有采水故障自动诊断并自动切换备用采水泵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（1）采水方式</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①采水系统方便采样泵的提升与安装，以便进行人工日常清洗和维护。</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（2）采水泵</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①选择潜水泵或自吸泵，保证一体化机柜站房的进口压力和流速流量达到整个系统全部仪器的要求。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②采水泵具有停电后来电再启动的自动恢复功能。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（3）采水管路</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①采水管路安装保温套管进行绝热处理，并在外部套用 PVC 管材，减少环境温度等因素对水样造成的影响。</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②具备必要的防冻措施，保证冬季低温时采样管路不被冻裂。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③采水管采用胶管、UPVC 管等材质稳定的材料，避免对水样产生污染。</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④管道采用排空设计，使管道内不存水，以防藻类孳生。</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（4）工作方式</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①采水系统支持采用连续或间歇方式工作，并能够根据监测要求现场或远程设置监测频次。</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②保证停电后重新上电时，采水系统、控制系统、监控软件能自动恢复工作，达到无人值守的目的。</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（5）其他</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①采水系统中的所有部件均要选用可靠材料，保证采水系统工作的可靠性和使用寿命。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②采水系统的总水量可以满足所有仪器的用水要求。</w:t>
            </w:r>
          </w:p>
        </w:tc>
        <w:tc>
          <w:tcPr>
            <w:tcW w:w="789" w:type="dxa"/>
            <w:noWrap/>
            <w:vAlign w:val="center"/>
          </w:tcPr>
          <w:p w14:paraId="0296109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23B8448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E30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E8CDE6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6.7</w:t>
            </w:r>
          </w:p>
        </w:tc>
        <w:tc>
          <w:tcPr>
            <w:tcW w:w="1467" w:type="dxa"/>
            <w:noWrap/>
            <w:vAlign w:val="center"/>
          </w:tcPr>
          <w:p w14:paraId="1F159AE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配水及预处理单元</w:t>
            </w:r>
          </w:p>
        </w:tc>
        <w:tc>
          <w:tcPr>
            <w:tcW w:w="5624" w:type="dxa"/>
            <w:vAlign w:val="center"/>
          </w:tcPr>
          <w:p w14:paraId="50C9A38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配水及预处理单元由水样分配单元、预处理装置及管道等组成，实现对分析仪器配水的功能，预处理单元为不同分析仪器配备预处理装置，常规五参数水质自动分析仪器使用原水直接分析。</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（1）配水管路设计合理，流向清晰，便于维护；保证仪器分析测试的水样应能代表断面水质情况并满足仪器测试需求；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（2）配水单元具备自动反清（吹）洗功能，防止菌类和藻类等微生物对样品污染或对系统工作造成不良影响，设计中不使用对环境产生污染的清洗方法；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（3）能配合系统实现水样自动分配、自动预处理、故障自动报警、关键部件工作状态的显示和反控等功能；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（4）配水单元的所有操作均可通过控制单元实现，并接受平台端的远程控制；</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（5）所选管材机械强度及化学稳定性好、使用寿命长、便于安装维护，不会对水样水质造成影响；管路内径、压力、流量、流速满足仪器分析需要，并留有余量；</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（6）水样预处理既要消除干扰仪表分析的因素，又不能失去水样的代表性。</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（7）根据管网、水质、水位状况，支持可调节的采水方式；能合理地分离沉砂、过滤，确保仪器设备不受浊度与色度的干扰且不改变水样的代表性；</w:t>
            </w:r>
          </w:p>
        </w:tc>
        <w:tc>
          <w:tcPr>
            <w:tcW w:w="789" w:type="dxa"/>
            <w:noWrap/>
            <w:vAlign w:val="center"/>
          </w:tcPr>
          <w:p w14:paraId="0C689E8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6CBD09D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3DC3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F43E1B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6.8</w:t>
            </w:r>
          </w:p>
        </w:tc>
        <w:tc>
          <w:tcPr>
            <w:tcW w:w="1467" w:type="dxa"/>
            <w:noWrap/>
            <w:vAlign w:val="center"/>
          </w:tcPr>
          <w:p w14:paraId="6FD1860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控制单元</w:t>
            </w:r>
          </w:p>
        </w:tc>
        <w:tc>
          <w:tcPr>
            <w:tcW w:w="5624" w:type="dxa"/>
            <w:vAlign w:val="center"/>
          </w:tcPr>
          <w:p w14:paraId="063E5F9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控制单元对采水单元、配水及预处理单元、分析单元、辅助单元等进行控制，并实现数据采集与传输功能，保证系统连续、可靠和安全运行。</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（1）具有断电保护功能，能够在断电时保存系统参数和历史数据，在来电时自动恢复系统；</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（2）具备自动采集数据功能，包括自动采集水质自动分析仪器数据、集成控制数据等，采集的数据应自动添加数据标识，异常监测数据能自动识别，并主动上传至平台；</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（3）具备单点控制功能，能够对单一控制点（阀、泵等）进行调试；</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（4）具备对自动分析仪器的启停、校时、校准、质控测试等控制功能；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（5）能够兼容视频监控设备并能实现对视频设备进行校时、重新启动、参数设置、软件升级、远程维护等功能；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（6）具备参数设置功能，能够对小数位、单位、仪器测定上下限、报警（超标）上下限等参数进行设置；</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（7）具备各仪器监测结果、状态参数、运行流程、报警信息等显示的功能；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（8）具有监测数据查询、导出、自动备份功能，可分类查询水质周期数据、质控数据（空白测试数据、标样核查数据）及其对应的仪器、系统日志流程信息。</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（9）能够实现对分析设备参数水质自动分析仪器进行自动标样核查、平行样核查、远程标样核查等功能。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（10）系统支持手机应用功能，方便维护和管理人员进行运行管理和维护。</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（11）系统留有多种标准协议，可以和国标协议、各省市协议快速无缝衔接。</w:t>
            </w:r>
          </w:p>
        </w:tc>
        <w:tc>
          <w:tcPr>
            <w:tcW w:w="789" w:type="dxa"/>
            <w:noWrap/>
            <w:vAlign w:val="center"/>
          </w:tcPr>
          <w:p w14:paraId="0474740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2B7451E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0FA8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588C16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6.9</w:t>
            </w:r>
          </w:p>
        </w:tc>
        <w:tc>
          <w:tcPr>
            <w:tcW w:w="1467" w:type="dxa"/>
            <w:noWrap/>
            <w:vAlign w:val="center"/>
          </w:tcPr>
          <w:p w14:paraId="38635101">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数据采集单元</w:t>
            </w:r>
          </w:p>
        </w:tc>
        <w:tc>
          <w:tcPr>
            <w:tcW w:w="5624" w:type="dxa"/>
            <w:vAlign w:val="center"/>
          </w:tcPr>
          <w:p w14:paraId="4DE8898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 数据采集与存储</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1）采集自动分析仪器的监测数据，并分类保存；</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2）采集自动分析仪器和集成系统各单元的工作状态量，并以运行日志的形式记录保存；</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3）能够实时采集视频信息并传输至平台；</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4）断电后能自动保存历史数据和参数设置。</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5）系统能动态显示水站设备和监测仪器的运行状况和环境参数（水压、电压、水位、温湿度等）；仪器界面及上位机软件界面大方简洁美观，易于数据管理、查询与分析。</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 数据传输与通讯</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现场可动态显示系统的实时状态，实时数据，历史报表和历史报警。</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具有远程显示现场工作状态、仪器设备故障自动报警、异常值自动报警和参数超标（上、下限）报警、并能将报警信号自动发送至平台。</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测量数据及实时状态的查询功能，按需要进行各种方式的数据查询。</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支持储存至少 1 年的原始数据，同时保存相应时期发生的有关校准、断电及其他事件记录。</w:t>
            </w:r>
          </w:p>
        </w:tc>
        <w:tc>
          <w:tcPr>
            <w:tcW w:w="789" w:type="dxa"/>
            <w:noWrap/>
            <w:vAlign w:val="center"/>
          </w:tcPr>
          <w:p w14:paraId="1990AE8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200CDEB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3037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2D8480B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 xml:space="preserve">6.10 </w:t>
            </w:r>
          </w:p>
        </w:tc>
        <w:tc>
          <w:tcPr>
            <w:tcW w:w="1467" w:type="dxa"/>
            <w:noWrap/>
            <w:vAlign w:val="center"/>
          </w:tcPr>
          <w:p w14:paraId="584A12B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辅助单元</w:t>
            </w:r>
          </w:p>
        </w:tc>
        <w:tc>
          <w:tcPr>
            <w:tcW w:w="5624" w:type="dxa"/>
            <w:vAlign w:val="center"/>
          </w:tcPr>
          <w:p w14:paraId="792C52A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（1）采用抗电磁干扰、防雷设计，配备UPS稳压系统保障电力供应稳定，断电后至少能保证仪器完成一个测量周期和数据上传，且待机不少于 1 小时。</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（2）配备高清视频监控球机和前端 NVR 规格的摄像机1 台和 NVR1 台。</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（3）防雷装置有避雷器、接地线和接地装置组成。</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（4）通过配备一体化机柜站房内空调等，保障系统运行温度、湿度的稳定；具有废液收集单元，保证仪器所产生的废液不对环境产生二次污染。</w:t>
            </w:r>
          </w:p>
        </w:tc>
        <w:tc>
          <w:tcPr>
            <w:tcW w:w="789" w:type="dxa"/>
            <w:noWrap/>
            <w:vAlign w:val="center"/>
          </w:tcPr>
          <w:p w14:paraId="146151E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6AC1159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30A7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340E97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6.11</w:t>
            </w:r>
          </w:p>
        </w:tc>
        <w:tc>
          <w:tcPr>
            <w:tcW w:w="1467" w:type="dxa"/>
            <w:noWrap/>
            <w:vAlign w:val="center"/>
          </w:tcPr>
          <w:p w14:paraId="731236B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一体化机柜</w:t>
            </w:r>
          </w:p>
        </w:tc>
        <w:tc>
          <w:tcPr>
            <w:tcW w:w="5624" w:type="dxa"/>
            <w:vAlign w:val="center"/>
          </w:tcPr>
          <w:p w14:paraId="0DD8CDA2">
            <w:pPr>
              <w:pStyle w:val="42"/>
              <w:keepNext w:val="0"/>
              <w:keepLines w:val="0"/>
              <w:widowControl/>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户外机柜长</w:t>
            </w:r>
            <w:r>
              <w:rPr>
                <w:rFonts w:hint="eastAsia"/>
                <w:color w:val="auto"/>
                <w:sz w:val="24"/>
                <w:szCs w:val="24"/>
                <w:highlight w:val="none"/>
                <w:lang w:val="en-US" w:eastAsia="zh-CN"/>
              </w:rPr>
              <w:t>不小于</w:t>
            </w:r>
            <w:r>
              <w:rPr>
                <w:rFonts w:hint="eastAsia" w:ascii="宋体" w:hAnsi="宋体" w:eastAsia="宋体"/>
                <w:color w:val="auto"/>
                <w:sz w:val="24"/>
                <w:szCs w:val="24"/>
                <w:highlight w:val="none"/>
              </w:rPr>
              <w:t>1</w:t>
            </w:r>
            <w:r>
              <w:rPr>
                <w:rFonts w:hint="eastAsia"/>
                <w:color w:val="auto"/>
                <w:sz w:val="24"/>
                <w:szCs w:val="24"/>
                <w:highlight w:val="none"/>
                <w:lang w:val="en-US" w:eastAsia="zh-CN"/>
              </w:rPr>
              <w:t>4</w:t>
            </w:r>
            <w:r>
              <w:rPr>
                <w:rFonts w:hint="eastAsia" w:ascii="宋体" w:hAnsi="宋体" w:eastAsia="宋体"/>
                <w:color w:val="auto"/>
                <w:sz w:val="24"/>
                <w:szCs w:val="24"/>
                <w:highlight w:val="none"/>
              </w:rPr>
              <w:t>00mm，宽</w:t>
            </w:r>
            <w:r>
              <w:rPr>
                <w:rFonts w:hint="eastAsia"/>
                <w:color w:val="auto"/>
                <w:sz w:val="24"/>
                <w:szCs w:val="24"/>
                <w:highlight w:val="none"/>
                <w:lang w:val="en-US" w:eastAsia="zh-CN"/>
              </w:rPr>
              <w:t>不小于9</w:t>
            </w:r>
            <w:r>
              <w:rPr>
                <w:rFonts w:hint="eastAsia" w:ascii="宋体" w:hAnsi="宋体" w:eastAsia="宋体"/>
                <w:color w:val="auto"/>
                <w:sz w:val="24"/>
                <w:szCs w:val="24"/>
                <w:highlight w:val="none"/>
              </w:rPr>
              <w:t>00mm，高</w:t>
            </w:r>
            <w:r>
              <w:rPr>
                <w:rFonts w:hint="eastAsia"/>
                <w:color w:val="auto"/>
                <w:sz w:val="24"/>
                <w:szCs w:val="24"/>
                <w:highlight w:val="none"/>
                <w:lang w:val="en-US" w:eastAsia="zh-CN"/>
              </w:rPr>
              <w:t>不小于18</w:t>
            </w:r>
            <w:r>
              <w:rPr>
                <w:rFonts w:hint="eastAsia" w:ascii="宋体" w:hAnsi="宋体" w:eastAsia="宋体"/>
                <w:color w:val="auto"/>
                <w:sz w:val="24"/>
                <w:szCs w:val="24"/>
                <w:highlight w:val="none"/>
              </w:rPr>
              <w:t>00mm，占地面积</w:t>
            </w:r>
            <w:r>
              <w:rPr>
                <w:rFonts w:hint="eastAsia"/>
                <w:color w:val="auto"/>
                <w:sz w:val="24"/>
                <w:szCs w:val="24"/>
                <w:highlight w:val="none"/>
                <w:lang w:val="en-US" w:eastAsia="zh-CN"/>
              </w:rPr>
              <w:t>不小于</w:t>
            </w:r>
            <w:r>
              <w:rPr>
                <w:rFonts w:hint="eastAsia" w:ascii="宋体" w:hAnsi="宋体" w:eastAsia="宋体"/>
                <w:color w:val="auto"/>
                <w:sz w:val="24"/>
                <w:szCs w:val="24"/>
                <w:highlight w:val="none"/>
              </w:rPr>
              <w:t>1.</w:t>
            </w:r>
            <w:r>
              <w:rPr>
                <w:rFonts w:hint="eastAsia"/>
                <w:color w:val="auto"/>
                <w:sz w:val="24"/>
                <w:szCs w:val="24"/>
                <w:highlight w:val="none"/>
                <w:lang w:val="en-US" w:eastAsia="zh-CN"/>
              </w:rPr>
              <w:t>2</w:t>
            </w:r>
            <w:r>
              <w:rPr>
                <w:rFonts w:hint="eastAsia" w:ascii="宋体" w:hAnsi="宋体" w:eastAsia="宋体"/>
                <w:color w:val="auto"/>
                <w:sz w:val="24"/>
                <w:szCs w:val="24"/>
                <w:highlight w:val="none"/>
              </w:rPr>
              <w:t>m</w:t>
            </w:r>
            <w:r>
              <w:rPr>
                <w:rFonts w:hint="eastAsia" w:ascii="宋体" w:hAnsi="宋体" w:eastAsia="宋体"/>
                <w:color w:val="auto"/>
                <w:sz w:val="24"/>
                <w:szCs w:val="24"/>
                <w:highlight w:val="none"/>
                <w:vertAlign w:val="superscript"/>
              </w:rPr>
              <w:t>2</w:t>
            </w:r>
            <w:r>
              <w:rPr>
                <w:rFonts w:hint="eastAsia" w:ascii="宋体" w:hAnsi="宋体" w:eastAsia="宋体"/>
                <w:color w:val="auto"/>
                <w:sz w:val="24"/>
                <w:szCs w:val="24"/>
                <w:highlight w:val="none"/>
                <w:vertAlign w:val="superscript"/>
                <w:lang w:val="en-US" w:eastAsia="zh-CN"/>
              </w:rPr>
              <w:t xml:space="preserve"> </w:t>
            </w:r>
          </w:p>
          <w:p w14:paraId="0EA65CA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需采用</w:t>
            </w:r>
            <w:r>
              <w:rPr>
                <w:rFonts w:hint="eastAsia" w:ascii="宋体" w:hAnsi="宋体" w:eastAsia="宋体"/>
                <w:color w:val="auto"/>
                <w:sz w:val="24"/>
                <w:szCs w:val="24"/>
                <w:highlight w:val="none"/>
                <w:lang w:val="en-US" w:eastAsia="zh-CN"/>
              </w:rPr>
              <w:t>镀锌板，</w:t>
            </w:r>
            <w:r>
              <w:rPr>
                <w:rFonts w:hint="eastAsia"/>
                <w:color w:val="auto"/>
                <w:sz w:val="24"/>
                <w:szCs w:val="24"/>
                <w:highlight w:val="none"/>
                <w:lang w:val="en-US" w:eastAsia="zh-CN"/>
              </w:rPr>
              <w:t>外部</w:t>
            </w:r>
            <w:r>
              <w:rPr>
                <w:rFonts w:hint="eastAsia" w:ascii="宋体" w:hAnsi="宋体" w:eastAsia="宋体"/>
                <w:color w:val="auto"/>
                <w:sz w:val="24"/>
                <w:szCs w:val="24"/>
                <w:highlight w:val="none"/>
                <w:lang w:val="en-US" w:eastAsia="zh-CN"/>
              </w:rPr>
              <w:t>做防锈</w:t>
            </w:r>
            <w:r>
              <w:rPr>
                <w:rFonts w:hint="eastAsia"/>
                <w:color w:val="auto"/>
                <w:sz w:val="24"/>
                <w:szCs w:val="24"/>
                <w:highlight w:val="none"/>
                <w:lang w:val="en-US" w:eastAsia="zh-CN"/>
              </w:rPr>
              <w:t>处理</w:t>
            </w:r>
          </w:p>
          <w:p w14:paraId="38CC82A4">
            <w:pPr>
              <w:pStyle w:val="42"/>
              <w:keepNext w:val="0"/>
              <w:keepLines w:val="0"/>
              <w:widowControl/>
              <w:suppressLineNumbers w:val="0"/>
              <w:spacing w:before="0" w:beforeAutospacing="0"/>
              <w:ind w:left="0" w:right="0"/>
              <w:rPr>
                <w:rFonts w:hint="eastAsia"/>
                <w:color w:val="auto"/>
                <w:sz w:val="24"/>
                <w:szCs w:val="24"/>
                <w:highlight w:val="none"/>
                <w:lang w:val="en-US" w:eastAsia="zh-CN"/>
              </w:rPr>
            </w:pPr>
            <w:r>
              <w:rPr>
                <w:rFonts w:hint="eastAsia"/>
                <w:color w:val="auto"/>
                <w:sz w:val="24"/>
                <w:szCs w:val="24"/>
                <w:highlight w:val="none"/>
                <w:lang w:val="en-US" w:eastAsia="zh-CN"/>
              </w:rPr>
              <w:t>需具备防雨、防雷、防尘、防盗、防高温功能</w:t>
            </w:r>
          </w:p>
          <w:p w14:paraId="7A8D112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设备取电：电源引入户外一体化机柜站房。</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户外一体化机柜站房安装现场事先浇筑钢筋混凝土基座，以便吊装安放一体化机柜站房，基座预留上下水管布管坑道，门禁系统及防护围栏。</w:t>
            </w:r>
          </w:p>
        </w:tc>
        <w:tc>
          <w:tcPr>
            <w:tcW w:w="789" w:type="dxa"/>
            <w:noWrap/>
            <w:vAlign w:val="center"/>
          </w:tcPr>
          <w:p w14:paraId="4BA2DAD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w:t>
            </w:r>
          </w:p>
        </w:tc>
        <w:tc>
          <w:tcPr>
            <w:tcW w:w="703" w:type="dxa"/>
            <w:noWrap/>
            <w:vAlign w:val="center"/>
          </w:tcPr>
          <w:p w14:paraId="4CDE505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39F24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54A95B0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7</w:t>
            </w:r>
          </w:p>
        </w:tc>
        <w:tc>
          <w:tcPr>
            <w:tcW w:w="1467" w:type="dxa"/>
            <w:noWrap/>
            <w:vAlign w:val="center"/>
          </w:tcPr>
          <w:p w14:paraId="66F56FB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入河排污口视频监控系统</w:t>
            </w:r>
          </w:p>
        </w:tc>
        <w:tc>
          <w:tcPr>
            <w:tcW w:w="5624" w:type="dxa"/>
            <w:vAlign w:val="center"/>
          </w:tcPr>
          <w:p w14:paraId="5CD7E98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sz w:val="24"/>
                <w:szCs w:val="24"/>
                <w:highlight w:val="none"/>
                <w:u w:val="none"/>
              </w:rPr>
            </w:pPr>
            <w:r>
              <w:rPr>
                <w:rFonts w:hint="eastAsia" w:ascii="宋体" w:hAnsi="宋体" w:eastAsia="宋体"/>
                <w:i w:val="0"/>
                <w:iCs w:val="0"/>
                <w:color w:val="auto"/>
                <w:sz w:val="24"/>
                <w:szCs w:val="24"/>
                <w:highlight w:val="none"/>
                <w:u w:val="none"/>
              </w:rPr>
              <w:t>入河排污口视频监控系统</w:t>
            </w:r>
          </w:p>
        </w:tc>
        <w:tc>
          <w:tcPr>
            <w:tcW w:w="789" w:type="dxa"/>
            <w:noWrap/>
            <w:vAlign w:val="center"/>
          </w:tcPr>
          <w:p w14:paraId="7445F3E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3EC25D5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2788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2CA3022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7.1</w:t>
            </w:r>
          </w:p>
        </w:tc>
        <w:tc>
          <w:tcPr>
            <w:tcW w:w="1467" w:type="dxa"/>
            <w:noWrap/>
            <w:vAlign w:val="center"/>
          </w:tcPr>
          <w:p w14:paraId="4BE50CE1">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摄像头</w:t>
            </w:r>
          </w:p>
        </w:tc>
        <w:tc>
          <w:tcPr>
            <w:tcW w:w="5624" w:type="dxa"/>
            <w:vAlign w:val="center"/>
          </w:tcPr>
          <w:p w14:paraId="5580D00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高清数字摄像头，支持智能补光模式，设备默认为黑白夜视，检测到人形后自动切换为全彩画面。支持1/2.8" 400万23倍光学变焦镜头，采用高效补光阵列，低功耗，红外补光150 m，白光补光100 m，支持区域入侵侦测、越界侦测、进入区域侦测和离开区域侦等智能侦测并联动跟随。内置加热玻璃，有效除雾。支持最大2560×1440@30fps高清画面输出，支持超低照度，0.005 Lux @F1.6（彩色），0.001 Lux @F1.6（黑白），0 Lux with IR。</w:t>
            </w:r>
          </w:p>
        </w:tc>
        <w:tc>
          <w:tcPr>
            <w:tcW w:w="789" w:type="dxa"/>
            <w:noWrap/>
            <w:vAlign w:val="center"/>
          </w:tcPr>
          <w:p w14:paraId="156D34D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5D0F078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6548D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40AD948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7.2</w:t>
            </w:r>
          </w:p>
        </w:tc>
        <w:tc>
          <w:tcPr>
            <w:tcW w:w="1467" w:type="dxa"/>
            <w:noWrap/>
            <w:vAlign w:val="center"/>
          </w:tcPr>
          <w:p w14:paraId="62C8B5E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视频录像机</w:t>
            </w:r>
          </w:p>
        </w:tc>
        <w:tc>
          <w:tcPr>
            <w:tcW w:w="5624" w:type="dxa"/>
            <w:vAlign w:val="center"/>
          </w:tcPr>
          <w:p w14:paraId="1282D448">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网络视频录像机硬盘满足当前站点90天的视频存储容量要求；</w:t>
            </w:r>
          </w:p>
          <w:p w14:paraId="430F2261">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支持H.265高效视频编码码流，支持H.265、H.264IP设备混合接入</w:t>
            </w:r>
          </w:p>
          <w:p w14:paraId="6929BF5E">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存储满足4TB以上硬盘空间</w:t>
            </w:r>
          </w:p>
          <w:p w14:paraId="76B8512F">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视频接口包含：HDMI、VGA</w:t>
            </w:r>
          </w:p>
          <w:p w14:paraId="7C6B0342">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至少有一个网络接口，2个USB2.0接口</w:t>
            </w:r>
          </w:p>
          <w:p w14:paraId="2F25AAC3">
            <w:pPr>
              <w:pStyle w:val="42"/>
              <w:keepNext w:val="0"/>
              <w:keepLines w:val="0"/>
              <w:widowControl/>
              <w:suppressLineNumbers w:val="0"/>
              <w:spacing w:before="0" w:beforeAutospacing="0" w:after="0" w:afterAutospacing="0"/>
              <w:ind w:left="0" w:right="0"/>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输入带宽至少40Mbps，输出带宽至少60Mbps</w:t>
            </w:r>
          </w:p>
        </w:tc>
        <w:tc>
          <w:tcPr>
            <w:tcW w:w="789" w:type="dxa"/>
            <w:noWrap/>
            <w:vAlign w:val="center"/>
          </w:tcPr>
          <w:p w14:paraId="6B33675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0FCCA6C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1D91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2C7AC5A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7.3</w:t>
            </w:r>
          </w:p>
        </w:tc>
        <w:tc>
          <w:tcPr>
            <w:tcW w:w="1467" w:type="dxa"/>
            <w:noWrap/>
            <w:vAlign w:val="center"/>
          </w:tcPr>
          <w:p w14:paraId="5386328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路由器</w:t>
            </w:r>
          </w:p>
        </w:tc>
        <w:tc>
          <w:tcPr>
            <w:tcW w:w="5624" w:type="dxa"/>
            <w:vAlign w:val="center"/>
          </w:tcPr>
          <w:p w14:paraId="583F40B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 路由器应支持多种数据采集和视频监控设备，满足 4G 及以上通信要求，支持全网通信制式；</w:t>
            </w:r>
          </w:p>
        </w:tc>
        <w:tc>
          <w:tcPr>
            <w:tcW w:w="789" w:type="dxa"/>
            <w:noWrap/>
            <w:vAlign w:val="center"/>
          </w:tcPr>
          <w:p w14:paraId="68C784C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6769BD4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7E77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003B44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7.4</w:t>
            </w:r>
          </w:p>
        </w:tc>
        <w:tc>
          <w:tcPr>
            <w:tcW w:w="1467" w:type="dxa"/>
            <w:noWrap/>
            <w:vAlign w:val="center"/>
          </w:tcPr>
          <w:p w14:paraId="4F24B61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市电、太阳能双路供电</w:t>
            </w:r>
          </w:p>
        </w:tc>
        <w:tc>
          <w:tcPr>
            <w:tcW w:w="5624" w:type="dxa"/>
            <w:vAlign w:val="center"/>
          </w:tcPr>
          <w:p w14:paraId="218646F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优先采用市电供电，并配备蓄电池。</w:t>
            </w:r>
          </w:p>
        </w:tc>
        <w:tc>
          <w:tcPr>
            <w:tcW w:w="789" w:type="dxa"/>
            <w:noWrap/>
            <w:vAlign w:val="center"/>
          </w:tcPr>
          <w:p w14:paraId="7F39244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0F7E919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0476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0560BB3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7.5</w:t>
            </w:r>
          </w:p>
        </w:tc>
        <w:tc>
          <w:tcPr>
            <w:tcW w:w="1467" w:type="dxa"/>
            <w:noWrap/>
            <w:vAlign w:val="center"/>
          </w:tcPr>
          <w:p w14:paraId="33EF2B4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监控立杆</w:t>
            </w:r>
          </w:p>
        </w:tc>
        <w:tc>
          <w:tcPr>
            <w:tcW w:w="5624" w:type="dxa"/>
            <w:vAlign w:val="center"/>
          </w:tcPr>
          <w:p w14:paraId="5757E00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立杆高度满足前端视频监控器使用及检修需要，立杆表层应进行防腐防锈处理，底部与基座稳固连接，</w:t>
            </w:r>
          </w:p>
        </w:tc>
        <w:tc>
          <w:tcPr>
            <w:tcW w:w="789" w:type="dxa"/>
            <w:noWrap/>
            <w:vAlign w:val="center"/>
          </w:tcPr>
          <w:p w14:paraId="081EBB5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00730B8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根</w:t>
            </w:r>
          </w:p>
        </w:tc>
      </w:tr>
      <w:tr w14:paraId="4BDC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6331FC8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7.6</w:t>
            </w:r>
          </w:p>
        </w:tc>
        <w:tc>
          <w:tcPr>
            <w:tcW w:w="1467" w:type="dxa"/>
            <w:noWrap/>
            <w:vAlign w:val="center"/>
          </w:tcPr>
          <w:p w14:paraId="620D4AF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防雷接地施工</w:t>
            </w:r>
          </w:p>
        </w:tc>
        <w:tc>
          <w:tcPr>
            <w:tcW w:w="5624" w:type="dxa"/>
            <w:vAlign w:val="center"/>
          </w:tcPr>
          <w:p w14:paraId="6AFB2E1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设置防雷及接地系统；</w:t>
            </w:r>
          </w:p>
        </w:tc>
        <w:tc>
          <w:tcPr>
            <w:tcW w:w="789" w:type="dxa"/>
            <w:noWrap/>
            <w:vAlign w:val="center"/>
          </w:tcPr>
          <w:p w14:paraId="36747CF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4017AF8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92C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1C71D5E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7.7</w:t>
            </w:r>
          </w:p>
        </w:tc>
        <w:tc>
          <w:tcPr>
            <w:tcW w:w="1467" w:type="dxa"/>
            <w:noWrap/>
            <w:vAlign w:val="center"/>
          </w:tcPr>
          <w:p w14:paraId="5E01EE9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基础施工</w:t>
            </w:r>
          </w:p>
        </w:tc>
        <w:tc>
          <w:tcPr>
            <w:tcW w:w="5624" w:type="dxa"/>
            <w:vAlign w:val="center"/>
          </w:tcPr>
          <w:p w14:paraId="1D767EE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基座宜采用混凝土材质，基座的浇筑应满足后期线缆敷设需要，基座埋设在基坑内，基坑的开挖深度满足立杆抗风、抗震等稳定性要求；</w:t>
            </w:r>
          </w:p>
        </w:tc>
        <w:tc>
          <w:tcPr>
            <w:tcW w:w="789" w:type="dxa"/>
            <w:noWrap/>
            <w:vAlign w:val="center"/>
          </w:tcPr>
          <w:p w14:paraId="23D9A5A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w:t>
            </w:r>
          </w:p>
        </w:tc>
        <w:tc>
          <w:tcPr>
            <w:tcW w:w="703" w:type="dxa"/>
            <w:noWrap/>
            <w:vAlign w:val="center"/>
          </w:tcPr>
          <w:p w14:paraId="09BF171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套</w:t>
            </w:r>
          </w:p>
        </w:tc>
      </w:tr>
      <w:tr w14:paraId="5DD12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7F78E98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8</w:t>
            </w:r>
          </w:p>
        </w:tc>
        <w:tc>
          <w:tcPr>
            <w:tcW w:w="1467" w:type="dxa"/>
            <w:noWrap/>
            <w:vAlign w:val="center"/>
          </w:tcPr>
          <w:p w14:paraId="74F9D48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b/>
                <w:bCs/>
                <w:i w:val="0"/>
                <w:iCs w:val="0"/>
                <w:color w:val="auto"/>
                <w:kern w:val="0"/>
                <w:sz w:val="24"/>
                <w:szCs w:val="24"/>
                <w:highlight w:val="none"/>
                <w:u w:val="none"/>
                <w:lang w:val="en-US" w:eastAsia="zh-CN" w:bidi="ar"/>
              </w:rPr>
            </w:pPr>
            <w:r>
              <w:rPr>
                <w:rFonts w:hint="eastAsia" w:ascii="微软雅黑" w:hAnsi="微软雅黑" w:eastAsia="微软雅黑"/>
                <w:b/>
                <w:bCs/>
                <w:i w:val="0"/>
                <w:iCs w:val="0"/>
                <w:color w:val="auto"/>
                <w:kern w:val="0"/>
                <w:sz w:val="24"/>
                <w:szCs w:val="24"/>
                <w:highlight w:val="none"/>
                <w:u w:val="none"/>
                <w:lang w:val="en-US" w:eastAsia="zh-CN" w:bidi="ar"/>
              </w:rPr>
              <w:t>水质流量在线监测系统、视频监控系统运维</w:t>
            </w:r>
          </w:p>
        </w:tc>
        <w:tc>
          <w:tcPr>
            <w:tcW w:w="5624" w:type="dxa"/>
            <w:vAlign w:val="center"/>
          </w:tcPr>
          <w:p w14:paraId="121E1B5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为保证系统的数据连续准确可靠，委托供应商全面负责系统的日常运行维护、数据审核、完成季度运维报告等。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（1）运维期间，供应商必须遵守国家的有关法律、法规及其他规定，本着为采购人负责的精神，依照规范，科学管理，使水质自动监测系统发挥其效能和作用。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（2）运维期间发生的运维人员的相关费用以及采水、供水、供电、通讯、试剂耗材、仪器设备维修和改造升级和水站安全保障所发生的费用等均由供应商承担。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（3）供应商须参加采购人组织的技术培训以及运维质量的监督检查，接受采购人或其委托相关机构的监管和考核。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（4）运维期间，如遇采购人为水站更换或新增仪器，供应商须配合做好新仪器的安装、调试等工作，以及数据无缝对接到采购人指定的管理平台中。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5）运维期间，水站的全部资产（包括全部产权和建筑物、设备、软件、配套设施、水质自动站和配套监控系统产生的各类数据信息及相关文档资料）属采购人所有。未经采购人同意，供应商不得以任何方式对各类财产进行出售、抵押或转移。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（6）供应商对水站的监测数据负有保密的责任，不得以任何方式和渠道向外界提供或用于商业用途。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（7）运维期间，供应商有责任保证上述全部资产的完整、安全并处于良好状态，供应商须协助采购人做好水站固定资产登记管理等工作。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（8）供应商需建立必要的备品备件库。 </w:t>
            </w:r>
          </w:p>
        </w:tc>
        <w:tc>
          <w:tcPr>
            <w:tcW w:w="789" w:type="dxa"/>
            <w:noWrap/>
            <w:vAlign w:val="center"/>
          </w:tcPr>
          <w:p w14:paraId="2D00B8B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2</w:t>
            </w:r>
          </w:p>
        </w:tc>
        <w:tc>
          <w:tcPr>
            <w:tcW w:w="703" w:type="dxa"/>
            <w:noWrap/>
            <w:vAlign w:val="center"/>
          </w:tcPr>
          <w:p w14:paraId="455DD3D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年</w:t>
            </w:r>
          </w:p>
        </w:tc>
      </w:tr>
      <w:tr w14:paraId="0E29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453E635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8.1</w:t>
            </w:r>
          </w:p>
        </w:tc>
        <w:tc>
          <w:tcPr>
            <w:tcW w:w="1467" w:type="dxa"/>
            <w:noWrap/>
            <w:vAlign w:val="center"/>
          </w:tcPr>
          <w:p w14:paraId="083A55D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3处流量在线监测系统运维</w:t>
            </w:r>
          </w:p>
        </w:tc>
        <w:tc>
          <w:tcPr>
            <w:tcW w:w="5624" w:type="dxa"/>
            <w:vAlign w:val="center"/>
          </w:tcPr>
          <w:p w14:paraId="5A16732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（1）每周检查供电电压是否正常，蓄电池电压是否满足系统工作需求；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（2）每周检查蓄电池接线柱是否出现氧化情况，避免因接线柱氧化导致供电线路出现接触不良的情况。</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（3）每周检查流量监测设备固定的可靠性，设备供电线缆、通讯线缆连接的可靠性及线缆的整体情况。</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（4）每周检查流量监测设备的信号发射区域表面是否存在脏污遮挡，如有脏污遮挡需及时清理，确保设备正常工作。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（5）每周查流量计监测范围内是否存在杂物遮挡，如有杂物遮挡需进行清理，确保监测断面处无杂物堆积影响监测。</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（6）每周检查数据采集传输装置运行情况，确保监测数据的采集传输的实时性和准确性。</w:t>
            </w:r>
          </w:p>
        </w:tc>
        <w:tc>
          <w:tcPr>
            <w:tcW w:w="789" w:type="dxa"/>
            <w:noWrap/>
            <w:vAlign w:val="center"/>
          </w:tcPr>
          <w:p w14:paraId="6AEDA85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2</w:t>
            </w:r>
          </w:p>
        </w:tc>
        <w:tc>
          <w:tcPr>
            <w:tcW w:w="703" w:type="dxa"/>
            <w:noWrap/>
            <w:vAlign w:val="center"/>
          </w:tcPr>
          <w:p w14:paraId="453913C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年</w:t>
            </w:r>
          </w:p>
        </w:tc>
      </w:tr>
      <w:tr w14:paraId="4F10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32C06C8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8.2</w:t>
            </w:r>
          </w:p>
        </w:tc>
        <w:tc>
          <w:tcPr>
            <w:tcW w:w="1467" w:type="dxa"/>
            <w:noWrap/>
            <w:vAlign w:val="center"/>
          </w:tcPr>
          <w:p w14:paraId="325BD1E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3处水质在线监测系统运维</w:t>
            </w:r>
          </w:p>
        </w:tc>
        <w:tc>
          <w:tcPr>
            <w:tcW w:w="5624" w:type="dxa"/>
            <w:vAlign w:val="center"/>
          </w:tcPr>
          <w:p w14:paraId="046B4BD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2.6.3.1 运维目标要求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供应商定期对水质自动监测系统开展质量控制工作，保证监测数据有效率不低于80%。（参照地表水水质自动监测站安装验收技术规范HJ915.2—2024的6.3中的数据有效率相关要求）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质控实施要求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(1) 化学需氧量、氨氮、总磷、总氮质控措施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a)应每24小时至少进行1次零点核查和跨度核查；</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b)所有水站每月至少进行 1次多点线性核查；</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c) 针对Ⅲ～劣Ⅴ类水体，每季度至少进行1次实际水样比对，Ⅰ、Ⅱ类水体至少半年进行一次实际水样比对;</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（2）常规五参数（水温、pH、溶解氧、电导率、浊度）质控措施</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每周进行一次标样核查，每季度进行一次实际水样比对。</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（3）维护后质控核查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a) 更换试剂（清洗水除外）后，应进行校准；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b) 当监测仪器关键部件更换后，应进行多点线性核查；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c) 当监测仪器长时间停机恢复运行时应进行多点线性核查。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2.6.3.2 数据质量审核要求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（1）供应商负责对水站日常数据进行监控，并统计相关报表。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（2）供应商对水站运行状况及监测数据进行远程监视，运维人员每天上午查看平台水站数据。供应商在发现水质监测数据异常时立即通知采购人，并及时赶赴水站现场予以核实。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2.6.3.3 运维报告要求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供应商每季度提供运行维护报告（其中包括质控及校准情况、数据审核情况、仪器设备运行和故障情况等）。</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2.6.3.4 运行维护要求</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（1）运行维护总体要求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水质自动站站运行维护包括开展水站远程维护、现场维护和应急维护等工作，保证监测数据质量，并对维护过程进行详细记录。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（2）远程维护要求 </w:t>
            </w:r>
          </w:p>
          <w:p w14:paraId="116F125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（a）每日对水站监测数据和设备运行状况进行远程监视，确认监测数据和运行日志是否完整；</w:t>
            </w:r>
          </w:p>
          <w:p w14:paraId="5ECDD7E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（b）根据质量控制结果、运行日志等信息，判断水站运行情况及数据的可靠性；</w:t>
            </w:r>
          </w:p>
          <w:p w14:paraId="5FECE53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（c）对前一天监测数据进行审核，对异常数据标记，出现异常数据时，远程或自动对检测仪器开展校时、复位、水样/标样测试、校准等维护工作；</w:t>
            </w:r>
          </w:p>
          <w:p w14:paraId="38B4F67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（d）远程查看采水设施、水位及站房内外情况，如发现异常，应及时报告和处置，必要时调度运维人员前往现场确认和维护；</w:t>
            </w:r>
          </w:p>
          <w:p w14:paraId="61029C0E">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（e）根据测试结果综合判断数据有效性，确定水质发生重大变化或仪器设备故障，应及时报告和处置，必要时调度运维人员前往现场确认和维护。</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（3）现场维护要求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现场维护包括运维技术人员到水站现场完成的例行巡检、定期养护和现场质控工作。 </w:t>
            </w:r>
          </w:p>
          <w:p w14:paraId="16A2EE9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例行巡检 </w:t>
            </w:r>
          </w:p>
          <w:p w14:paraId="3AA9920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(a) 检查采水点周边环境，水体颜色、嗅味、水位变化等情况，及时清理漂浮物等杂物；当水位发生较大变化时应调整采水口位置以保障采水正常；在封冻期前做好采排水管路和站房保温</w:t>
            </w:r>
          </w:p>
          <w:p w14:paraId="610672B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等维护工作；</w:t>
            </w:r>
          </w:p>
          <w:p w14:paraId="5B482F0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(b) 通过回看视频确认采水设施、检查一体化机柜是否存在异常情况。查看内外运行环境，确认机柜内温度、湿度等条件是否满足要求，机柜内干净整洁，检查外部安防等设施是否正常；</w:t>
            </w:r>
          </w:p>
          <w:p w14:paraId="0AD9EB8C">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(c) 检查采配水单元是否正常；定期清洗采配水系统，包括采水、沉砂池、过滤头、水样杯、阀门、管路等，对于无法清洗干净的须及时更换；</w:t>
            </w:r>
          </w:p>
          <w:p w14:paraId="20FBD10B">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(d) 检查水站电路系统是否正常，接地线路是否可靠，检查采样和排液管路是否有漏液或堵塞现象，排水排气装置工作是否正常； </w:t>
            </w:r>
          </w:p>
          <w:p w14:paraId="4CAEED26">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(e) 检查空调及保温措施，检查水泵固定情况，避免仪器振动。检查不间断电源（UPS）等外部保障设施运行状态； </w:t>
            </w:r>
          </w:p>
          <w:p w14:paraId="7BB50584">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(f) 检查工控机运行状态，检查水质自动监测仪器、控制单元、中心平台三者监测数据是否一致，检查仪器与系统的通讯线路是否正常； </w:t>
            </w:r>
          </w:p>
          <w:p w14:paraId="17B01168">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(g) 查看分析仪器及辅助设备的运行状态和主要技术参数，判断运行是否正常。检查有无漏液，进样管路、试剂管路中是否有气泡存在，如有及时将气泡排出； </w:t>
            </w:r>
          </w:p>
          <w:p w14:paraId="128813E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(h) 检查试剂使用状况，及时添加或更换试剂，试剂使用时间最长不超过 90 d ； </w:t>
            </w:r>
          </w:p>
          <w:p w14:paraId="158A4EAA">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(i) 检查一体化机柜站房是否有漏水现象，一体化机柜站房外围的其他设施是否有损坏，如遇到以上问题及时处理，保证水站系统安全运行。在封冻期来临前做好采水管路和一体化机柜站房保温等维护工作； </w:t>
            </w:r>
          </w:p>
          <w:p w14:paraId="3189BA4F">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(j) 做好废液收集并按相关规定做好处置工作； </w:t>
            </w:r>
          </w:p>
          <w:p w14:paraId="72AA2180">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(k) 保持水站一体化机柜站房及各仪器干净整洁，避免日光直射各类分析仪器。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（4）定期养护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（a）一体化机柜站房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定期对一体化机柜站房进行全面的养护，保证一体化机柜站房内外环境整洁。</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定期对一体化机柜站房内灭火装置进行维护。</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每年需通过具有资质的专业机构对防雷设施进行检测、维护或更换，并出具报告。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（b）分析单元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应依据断面水质状况、水站环境条件和分析仪器的要求，制定易耗品（如泵管、滤膜、活性碳及干燥剂等）的更换周期，做到定期更换；对使用期限有规定的备品备件，必须严格按使用规定期限予以更换。</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水站仪器所用试剂的更换周期应根据试剂稳定性和保质期确定，室内温度较高时应缩短更换周期。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根据水站运行的环境状况，在规定的时间对仪器设备进行预防性检修。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每月至少进行一次多点线性核查，在自动分析仪器当前量程范围内均匀选择四个浓度的标准溶液（含零点、低、中、高四个浓度），基于最小二乘法进行线性拟合，并计算每个点测试的示值误差和拟合曲线的线性相关系数。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（c）采配水单元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检查采水、配水单元是否正常运行，清洗采水头。对于潜水泵，应定期清洗泵体、载体。取水管路应检查是否出现弯折现象，是否畅通，并清理采水头周边杂物，泥沙含量大或藻类密集的断面应视情况进行人工清洗。每月至少清洗一次采配水单元的取水管路、五参数池、沉淀池、过滤芯、配水管路和采样杯等部件。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（5）控制单元及通讯单元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定期对工控机进行断电重启，查看工控机是否可以自动启动，并运行操作系统、加载现场监控软件，查看串口通讯是否正常。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定期对网络通讯设备进行断电重启，查看启动后是否通讯正常。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每月检查开机过程中硬件自检过程是否有异常数据传输和报警。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每月对工控机进行杀毒，防止病毒损坏软件。</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定期检查稳压电源及 UPS 的输出是否符合技术要求，突发异常情况须及时排查处理。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定期检查摄像头是否破损，视频设备功能是否正常，包括摄像、视频存储、云台控制等。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（6）其它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每月对水站监测数据进行一次备份，备份数据单独存储；每月对备用仪器进行一次校准和标样核查。</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2.6.3.5 停运管理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（1）水站如遇以下情形，可申请停运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（a）因不可抗力导致水站无法正常运行的。包括台风、暴风雪、河流冰封等恶劣天气；地震、洪水、塌方等地质灾害；以及河道施工、自然断流等外部条件因素；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（b）因水站内部仪器设备更新改造等原因影响水站正常运行；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（c）因采水设施故障、采水点处水深不满足要求等原因导致采水系统不能正常运行。包括因枯水期河道水位降低，采水设施故障、采水管道冰冻等因素；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（d）因给水和供电故障导致系统无法正常运行的；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（e）因待测水体中的浊度太高采用现有的预处理方式确已无法满足仪器测定要求的。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水站满足停运申请条件时，运维人员须在24小时内向采购人提交停运申请，经采购人确认，并上传相关佐证材料。佐证材料应能充分印证停运条件，包括有关部门发出的避险或台风预警信息、道路封闭或采水设施损毁的照片资料、供电公司停电通知、采水点水位情况等资料。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（3）水站停运申请时长最长不超过一个自然月，次月仍不满足复站条件，运维单位须重新申请停运；水站停运期间运维人员负责做好仪器设备维护，并在具备运行条件时及时恢复水站运行。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（4）水站仪器停运时长小于 7 天，须进行标液核查合格后恢复运行；停运时长 7 天以上（含 7 天），须进行多点线性核查检查后恢复运行。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2.6.3.6 应急运维要求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针对异常数据、系统故障和数据缺失等情况，供应商必须建立一套完整的应急维护方案。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发生数据异常情况时应及时远程启动标样核查，通过核查结果初步判定仪表当前的状态是否正常；确系污染过程应启动水站加密测试模式，同时记录并上报；水站仪器发生故障时，供应商应及时响应，并在现场解决所有的故障，如故障不能排除，及时上报采购人并与采购人协商确认解决方案。 </w:t>
            </w:r>
          </w:p>
        </w:tc>
        <w:tc>
          <w:tcPr>
            <w:tcW w:w="789" w:type="dxa"/>
            <w:noWrap/>
            <w:vAlign w:val="center"/>
          </w:tcPr>
          <w:p w14:paraId="5B582CF7">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2</w:t>
            </w:r>
          </w:p>
        </w:tc>
        <w:tc>
          <w:tcPr>
            <w:tcW w:w="703" w:type="dxa"/>
            <w:noWrap/>
            <w:vAlign w:val="center"/>
          </w:tcPr>
          <w:p w14:paraId="16466273">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年</w:t>
            </w:r>
          </w:p>
        </w:tc>
      </w:tr>
      <w:tr w14:paraId="6CA3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57" w:type="dxa"/>
            <w:noWrap/>
            <w:vAlign w:val="center"/>
          </w:tcPr>
          <w:p w14:paraId="12AA7F49">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8.3</w:t>
            </w:r>
          </w:p>
        </w:tc>
        <w:tc>
          <w:tcPr>
            <w:tcW w:w="1467" w:type="dxa"/>
            <w:noWrap/>
            <w:vAlign w:val="center"/>
          </w:tcPr>
          <w:p w14:paraId="67C71D72">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10处视频监控系统运维</w:t>
            </w:r>
          </w:p>
        </w:tc>
        <w:tc>
          <w:tcPr>
            <w:tcW w:w="5624" w:type="dxa"/>
            <w:vAlign w:val="center"/>
          </w:tcPr>
          <w:p w14:paraId="5A73F63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设备检查：前端设备（摄像机、云台等）需季度检查安装牢固性、运行环境（如遮挡物清理）、电气参数及机械构件状态（如除锈防腐）。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传输设备：检查线缆破损、氧化情况。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定期清理摄像机镜头、防护罩及传输设备，防止灰尘影响监控效果。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雷雨季节前检查防雷设施，确保设备安全。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需保证视频监控系统的正常运行。</w:t>
            </w:r>
          </w:p>
        </w:tc>
        <w:tc>
          <w:tcPr>
            <w:tcW w:w="789" w:type="dxa"/>
            <w:noWrap/>
            <w:vAlign w:val="center"/>
          </w:tcPr>
          <w:p w14:paraId="0BB21565">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2</w:t>
            </w:r>
          </w:p>
        </w:tc>
        <w:tc>
          <w:tcPr>
            <w:tcW w:w="703" w:type="dxa"/>
            <w:noWrap/>
            <w:vAlign w:val="center"/>
          </w:tcPr>
          <w:p w14:paraId="7D0B1FFD">
            <w:pPr>
              <w:keepNext w:val="0"/>
              <w:keepLines w:val="0"/>
              <w:pageBreakBefore w:val="0"/>
              <w:widowControl/>
              <w:suppressLineNumbers w:val="0"/>
              <w:kinsoku/>
              <w:wordWrap/>
              <w:overflowPunct/>
              <w:topLinePunct/>
              <w:bidi w:val="0"/>
              <w:spacing w:before="0" w:beforeAutospacing="0" w:after="0" w:afterAutospacing="0" w:line="240" w:lineRule="auto"/>
              <w:ind w:left="0" w:right="0"/>
              <w:jc w:val="center"/>
              <w:rPr>
                <w:rFonts w:hint="eastAsia" w:ascii="微软雅黑" w:hAnsi="微软雅黑" w:eastAsia="微软雅黑"/>
                <w:i w:val="0"/>
                <w:iCs w:val="0"/>
                <w:color w:val="auto"/>
                <w:kern w:val="0"/>
                <w:sz w:val="24"/>
                <w:szCs w:val="24"/>
                <w:highlight w:val="none"/>
                <w:u w:val="none"/>
                <w:lang w:val="en-US" w:eastAsia="zh-CN" w:bidi="ar"/>
              </w:rPr>
            </w:pPr>
            <w:r>
              <w:rPr>
                <w:rFonts w:hint="eastAsia" w:ascii="微软雅黑" w:hAnsi="微软雅黑" w:eastAsia="微软雅黑"/>
                <w:i w:val="0"/>
                <w:iCs w:val="0"/>
                <w:color w:val="auto"/>
                <w:kern w:val="0"/>
                <w:sz w:val="24"/>
                <w:szCs w:val="24"/>
                <w:highlight w:val="none"/>
                <w:u w:val="none"/>
                <w:lang w:val="en-US" w:eastAsia="zh-CN" w:bidi="ar"/>
              </w:rPr>
              <w:t>年</w:t>
            </w:r>
          </w:p>
        </w:tc>
      </w:tr>
    </w:tbl>
    <w:p w14:paraId="1F9630F5">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4C42DF5D">
      <w:pPr>
        <w:pStyle w:val="42"/>
        <w:keepNext w:val="0"/>
        <w:keepLines w:val="0"/>
        <w:pageBreakBefore w:val="0"/>
        <w:widowControl w:val="0"/>
        <w:kinsoku/>
        <w:wordWrap w:val="0"/>
        <w:overflowPunct/>
        <w:topLinePunct/>
        <w:autoSpaceDE w:val="0"/>
        <w:autoSpaceDN w:val="0"/>
        <w:bidi w:val="0"/>
        <w:adjustRightInd w:val="0"/>
        <w:snapToGrid w:val="0"/>
        <w:spacing w:after="0" w:line="440" w:lineRule="exact"/>
        <w:ind w:right="0" w:firstLine="476" w:firstLineChars="200"/>
        <w:jc w:val="both"/>
        <w:textAlignment w:val="baseline"/>
        <w:outlineLvl w:val="9"/>
        <w:rPr>
          <w:rFonts w:hint="eastAsia"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1.</w:t>
      </w:r>
      <w:r>
        <w:rPr>
          <w:rFonts w:hint="eastAsia" w:ascii="宋体" w:hAnsi="宋体" w:eastAsia="宋体"/>
          <w:color w:val="auto"/>
          <w:spacing w:val="-1"/>
          <w:sz w:val="24"/>
          <w:szCs w:val="24"/>
          <w:highlight w:val="none"/>
          <w:lang w:val="en-US" w:eastAsia="zh-CN"/>
        </w:rPr>
        <w:t>交货安装</w:t>
      </w:r>
      <w:r>
        <w:rPr>
          <w:rFonts w:hint="eastAsia" w:ascii="宋体" w:hAnsi="宋体" w:eastAsia="宋体"/>
          <w:color w:val="auto"/>
          <w:spacing w:val="-1"/>
          <w:sz w:val="24"/>
          <w:szCs w:val="24"/>
          <w:highlight w:val="none"/>
        </w:rPr>
        <w:t>的时间</w:t>
      </w:r>
      <w:r>
        <w:rPr>
          <w:rFonts w:hint="eastAsia" w:ascii="宋体" w:hAnsi="宋体" w:eastAsia="宋体"/>
          <w:color w:val="auto"/>
          <w:spacing w:val="-1"/>
          <w:sz w:val="24"/>
          <w:szCs w:val="24"/>
          <w:highlight w:val="none"/>
          <w:lang w:eastAsia="zh-CN"/>
        </w:rPr>
        <w:t>：</w:t>
      </w:r>
      <w:r>
        <w:rPr>
          <w:rFonts w:hint="eastAsia" w:ascii="宋体" w:hAnsi="宋体" w:eastAsia="宋体"/>
          <w:color w:val="auto"/>
          <w:sz w:val="24"/>
          <w:szCs w:val="24"/>
          <w:highlight w:val="none"/>
        </w:rPr>
        <w:t>合同签订生效之日起</w:t>
      </w:r>
      <w:r>
        <w:rPr>
          <w:rFonts w:hint="eastAsia"/>
          <w:color w:val="auto"/>
          <w:sz w:val="24"/>
          <w:szCs w:val="24"/>
          <w:highlight w:val="none"/>
          <w:lang w:val="en-US" w:eastAsia="zh-CN"/>
        </w:rPr>
        <w:t>270</w:t>
      </w:r>
      <w:r>
        <w:rPr>
          <w:rFonts w:hint="eastAsia" w:ascii="宋体" w:hAnsi="宋体" w:eastAsia="宋体"/>
          <w:color w:val="auto"/>
          <w:sz w:val="24"/>
          <w:szCs w:val="24"/>
          <w:highlight w:val="none"/>
        </w:rPr>
        <w:t>日历天完成安装调试并经验收投运。</w:t>
      </w:r>
    </w:p>
    <w:p w14:paraId="661E0C5C">
      <w:pPr>
        <w:pStyle w:val="42"/>
        <w:keepNext w:val="0"/>
        <w:keepLines w:val="0"/>
        <w:pageBreakBefore w:val="0"/>
        <w:widowControl w:val="0"/>
        <w:numPr>
          <w:ilvl w:val="0"/>
          <w:numId w:val="0"/>
        </w:numPr>
        <w:kinsoku/>
        <w:wordWrap w:val="0"/>
        <w:overflowPunct/>
        <w:topLinePunct/>
        <w:autoSpaceDE w:val="0"/>
        <w:autoSpaceDN w:val="0"/>
        <w:bidi w:val="0"/>
        <w:adjustRightInd w:val="0"/>
        <w:snapToGrid w:val="0"/>
        <w:spacing w:after="0" w:line="440" w:lineRule="exact"/>
        <w:ind w:right="0" w:rightChars="0" w:firstLine="472" w:firstLineChars="200"/>
        <w:jc w:val="both"/>
        <w:textAlignment w:val="baseline"/>
        <w:outlineLvl w:val="9"/>
        <w:rPr>
          <w:rFonts w:hint="eastAsia" w:ascii="宋体" w:hAnsi="宋体" w:eastAsia="宋体"/>
          <w:color w:val="auto"/>
          <w:spacing w:val="-2"/>
          <w:sz w:val="24"/>
          <w:szCs w:val="24"/>
          <w:highlight w:val="none"/>
          <w:lang w:val="en-US" w:eastAsia="zh-CN"/>
        </w:rPr>
      </w:pPr>
      <w:r>
        <w:rPr>
          <w:rFonts w:hint="eastAsia" w:ascii="宋体" w:hAnsi="宋体" w:eastAsia="宋体"/>
          <w:color w:val="auto"/>
          <w:spacing w:val="-2"/>
          <w:sz w:val="24"/>
          <w:szCs w:val="24"/>
          <w:highlight w:val="none"/>
          <w:lang w:val="en-US" w:eastAsia="zh-CN"/>
        </w:rPr>
        <w:t>2.付款方式：银行转帐，合同签订后10日内，甲方向乙方支付合同总价款的50%；设备安装完成并经甲方验收通过后10日内，甲方向乙方支付合同剩余价款的50%。</w:t>
      </w:r>
    </w:p>
    <w:p w14:paraId="70A17747">
      <w:pPr>
        <w:pStyle w:val="42"/>
        <w:keepNext w:val="0"/>
        <w:keepLines w:val="0"/>
        <w:pageBreakBefore w:val="0"/>
        <w:widowControl w:val="0"/>
        <w:kinsoku/>
        <w:wordWrap w:val="0"/>
        <w:overflowPunct/>
        <w:topLinePunct/>
        <w:autoSpaceDE w:val="0"/>
        <w:autoSpaceDN w:val="0"/>
        <w:bidi w:val="0"/>
        <w:adjustRightInd w:val="0"/>
        <w:snapToGrid w:val="0"/>
        <w:spacing w:after="0" w:line="440" w:lineRule="exact"/>
        <w:ind w:right="0" w:firstLine="476" w:firstLineChars="200"/>
        <w:jc w:val="both"/>
        <w:textAlignment w:val="baseline"/>
        <w:outlineLvl w:val="9"/>
        <w:rPr>
          <w:rFonts w:hint="eastAsia" w:ascii="宋体" w:hAnsi="宋体" w:eastAsia="宋体" w:cs="Times New Roman"/>
          <w:color w:val="auto"/>
          <w:spacing w:val="-1"/>
          <w:sz w:val="24"/>
          <w:szCs w:val="24"/>
          <w:highlight w:val="none"/>
          <w:lang w:val="en-US" w:eastAsia="zh-CN"/>
        </w:rPr>
      </w:pPr>
      <w:r>
        <w:rPr>
          <w:rFonts w:hint="eastAsia" w:ascii="宋体" w:hAnsi="宋体" w:eastAsia="宋体" w:cs="Times New Roman"/>
          <w:color w:val="auto"/>
          <w:spacing w:val="-1"/>
          <w:sz w:val="24"/>
          <w:szCs w:val="24"/>
          <w:highlight w:val="none"/>
          <w:lang w:val="en-US" w:eastAsia="zh-CN"/>
        </w:rPr>
        <w:t>3.运维考核</w:t>
      </w:r>
    </w:p>
    <w:p w14:paraId="4EE5BB39">
      <w:pPr>
        <w:pStyle w:val="42"/>
        <w:keepNext w:val="0"/>
        <w:keepLines w:val="0"/>
        <w:pageBreakBefore w:val="0"/>
        <w:widowControl w:val="0"/>
        <w:kinsoku/>
        <w:wordWrap w:val="0"/>
        <w:overflowPunct/>
        <w:topLinePunct/>
        <w:autoSpaceDE w:val="0"/>
        <w:autoSpaceDN w:val="0"/>
        <w:bidi w:val="0"/>
        <w:adjustRightInd w:val="0"/>
        <w:snapToGrid w:val="0"/>
        <w:spacing w:after="0" w:line="440" w:lineRule="exact"/>
        <w:ind w:right="0" w:firstLine="476" w:firstLineChars="200"/>
        <w:jc w:val="both"/>
        <w:textAlignment w:val="baseline"/>
        <w:outlineLvl w:val="9"/>
        <w:rPr>
          <w:rFonts w:hint="eastAsia" w:ascii="宋体" w:hAnsi="宋体" w:eastAsia="宋体" w:cs="Times New Roman"/>
          <w:color w:val="auto"/>
          <w:spacing w:val="-1"/>
          <w:sz w:val="24"/>
          <w:szCs w:val="24"/>
          <w:highlight w:val="none"/>
          <w:lang w:val="en-US" w:eastAsia="zh-CN"/>
        </w:rPr>
      </w:pPr>
      <w:r>
        <w:rPr>
          <w:rFonts w:hint="eastAsia" w:ascii="宋体" w:hAnsi="宋体" w:eastAsia="宋体" w:cs="Times New Roman"/>
          <w:color w:val="auto"/>
          <w:spacing w:val="-1"/>
          <w:sz w:val="24"/>
          <w:szCs w:val="24"/>
          <w:highlight w:val="none"/>
          <w:lang w:val="en-US" w:eastAsia="zh-CN"/>
        </w:rPr>
        <w:t>采购人组织开展运维管理和质控考核，中标单位运维达不到要求的，退回相应的运维费。</w:t>
      </w:r>
    </w:p>
    <w:p w14:paraId="3B5FE135">
      <w:pPr>
        <w:pStyle w:val="42"/>
        <w:keepNext w:val="0"/>
        <w:keepLines w:val="0"/>
        <w:pageBreakBefore w:val="0"/>
        <w:widowControl w:val="0"/>
        <w:kinsoku/>
        <w:wordWrap w:val="0"/>
        <w:overflowPunct/>
        <w:topLinePunct/>
        <w:autoSpaceDE w:val="0"/>
        <w:autoSpaceDN w:val="0"/>
        <w:bidi w:val="0"/>
        <w:adjustRightInd w:val="0"/>
        <w:snapToGrid w:val="0"/>
        <w:spacing w:after="0" w:line="440" w:lineRule="exact"/>
        <w:ind w:right="0" w:firstLine="476" w:firstLineChars="200"/>
        <w:jc w:val="both"/>
        <w:textAlignment w:val="baseline"/>
        <w:outlineLvl w:val="9"/>
        <w:rPr>
          <w:rFonts w:hint="eastAsia" w:ascii="宋体" w:hAnsi="宋体" w:eastAsia="宋体" w:cs="Times New Roman"/>
          <w:color w:val="auto"/>
          <w:spacing w:val="-1"/>
          <w:sz w:val="24"/>
          <w:szCs w:val="24"/>
          <w:highlight w:val="none"/>
          <w:lang w:val="en-US" w:eastAsia="zh-CN"/>
        </w:rPr>
      </w:pPr>
      <w:r>
        <w:rPr>
          <w:rFonts w:hint="eastAsia" w:ascii="宋体" w:hAnsi="宋体" w:eastAsia="宋体" w:cs="Times New Roman"/>
          <w:color w:val="auto"/>
          <w:spacing w:val="-1"/>
          <w:sz w:val="24"/>
          <w:szCs w:val="24"/>
          <w:highlight w:val="none"/>
          <w:lang w:val="en-US" w:eastAsia="zh-CN"/>
        </w:rPr>
        <w:t>按季度对每个站点单独考核，其中：1.单站单次考核数据有效率在 70%（不含）-80%（含），退回当季度运维费 3%，并责令整改。2.单站单次考核数据有效率在 60%（含）-70%（含），退回当季度运维费 5%，并责令整改。3.单站单次考核数据有效率低于60%，退回当季度运维费。中标单位有下列情形之一的，退回当季运维费，并给予警告：1.监测数据传输中断，但未及时向采购人报告并说明原因的。2.拖延、阻碍、拒绝质量检查的。3.发现采样、分析、数据采集和传输等过程中，有人为干扰现象，未及时向采购人报告的。4.未按要求开展运行维护，导致水站非正常运行的。</w:t>
      </w:r>
    </w:p>
    <w:p w14:paraId="6DD174A0">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right="0" w:firstLine="476" w:firstLineChars="200"/>
        <w:jc w:val="both"/>
        <w:textAlignment w:val="baseline"/>
        <w:outlineLvl w:val="9"/>
        <w:rPr>
          <w:rFonts w:hint="eastAsia" w:ascii="宋体" w:hAnsi="宋体" w:eastAsia="宋体" w:cs="Times New Roman"/>
          <w:color w:val="auto"/>
          <w:spacing w:val="-1"/>
          <w:sz w:val="24"/>
          <w:szCs w:val="24"/>
          <w:highlight w:val="none"/>
          <w:lang w:val="en-US" w:eastAsia="zh-CN"/>
        </w:rPr>
      </w:pPr>
      <w:r>
        <w:rPr>
          <w:rFonts w:hint="eastAsia" w:ascii="宋体" w:hAnsi="宋体" w:eastAsia="宋体" w:cs="Times New Roman"/>
          <w:color w:val="auto"/>
          <w:spacing w:val="-1"/>
          <w:sz w:val="24"/>
          <w:szCs w:val="24"/>
          <w:highlight w:val="none"/>
          <w:lang w:val="en-US" w:eastAsia="zh-CN"/>
        </w:rPr>
        <w:t>4.包装和运输（如适用，须满足《关于印发〈商品包装政府采购需求标准（试行）〉、〈快递包装政府采购需求标准（试行）〉的通知》（财办库﹝2020﹞123号）</w:t>
      </w:r>
    </w:p>
    <w:p w14:paraId="7512073B">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left="0" w:right="0" w:firstLine="460" w:firstLineChars="200"/>
        <w:jc w:val="both"/>
        <w:textAlignment w:val="baseline"/>
        <w:outlineLvl w:val="9"/>
        <w:rPr>
          <w:rFonts w:hint="eastAsia" w:ascii="宋体" w:hAnsi="宋体" w:eastAsia="宋体"/>
          <w:color w:val="auto"/>
          <w:spacing w:val="-5"/>
          <w:sz w:val="24"/>
          <w:szCs w:val="24"/>
          <w:highlight w:val="none"/>
          <w:lang w:val="en-US" w:eastAsia="zh-CN"/>
        </w:rPr>
      </w:pPr>
      <w:r>
        <w:rPr>
          <w:rFonts w:hint="eastAsia" w:ascii="宋体" w:hAnsi="宋体" w:eastAsia="宋体"/>
          <w:color w:val="auto"/>
          <w:spacing w:val="-5"/>
          <w:sz w:val="24"/>
          <w:szCs w:val="24"/>
          <w:highlight w:val="none"/>
          <w:lang w:val="en-US" w:eastAsia="zh-CN"/>
        </w:rPr>
        <w:t>5</w:t>
      </w:r>
      <w:r>
        <w:rPr>
          <w:rFonts w:hint="eastAsia" w:ascii="宋体" w:hAnsi="宋体" w:eastAsia="宋体"/>
          <w:color w:val="auto"/>
          <w:spacing w:val="-5"/>
          <w:sz w:val="24"/>
          <w:szCs w:val="24"/>
          <w:highlight w:val="none"/>
          <w:lang w:eastAsia="zh-CN"/>
        </w:rPr>
        <w:t>.</w:t>
      </w:r>
      <w:r>
        <w:rPr>
          <w:rFonts w:hint="eastAsia" w:ascii="宋体" w:hAnsi="宋体" w:eastAsia="宋体"/>
          <w:color w:val="auto"/>
          <w:spacing w:val="-5"/>
          <w:sz w:val="24"/>
          <w:szCs w:val="24"/>
          <w:highlight w:val="none"/>
          <w:lang w:val="en-US" w:eastAsia="zh-CN"/>
        </w:rPr>
        <w:t>关于强制节能产品的要求：台式电脑、笔记本电脑、平板电脑、办公打印机、彩色打印机</w:t>
      </w:r>
      <w:r>
        <w:rPr>
          <w:rFonts w:hint="eastAsia" w:ascii="宋体" w:hAnsi="宋体" w:eastAsia="宋体"/>
          <w:color w:val="auto"/>
          <w:spacing w:val="-5"/>
          <w:sz w:val="24"/>
          <w:szCs w:val="24"/>
          <w:highlight w:val="none"/>
          <w:lang w:eastAsia="zh-CN"/>
        </w:rPr>
        <w:t>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(对于强制采购的节能产品交货时必须提供节能证明材料)</w:t>
      </w:r>
    </w:p>
    <w:p w14:paraId="0E4E65D9">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right="0" w:firstLine="480" w:firstLineChars="200"/>
        <w:jc w:val="both"/>
        <w:textAlignment w:val="baseline"/>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.验收标准</w:t>
      </w:r>
      <w:r>
        <w:rPr>
          <w:rFonts w:hint="eastAsia" w:ascii="宋体" w:hAnsi="宋体" w:eastAsia="宋体"/>
          <w:color w:val="auto"/>
          <w:sz w:val="24"/>
          <w:szCs w:val="24"/>
          <w:highlight w:val="none"/>
          <w:lang w:val="en-US" w:eastAsia="zh-CN"/>
        </w:rPr>
        <w:t>及方式：设备试运行后组织整体验收，由中标人准备好验收材料，向采购人提出验收申请，由采购人组织专家及有关人员按照水质自动监测站验收办法、本项目技术要求及合同内容进行验收。 货物若有国家标准按照国家标准验收，若无国家标准按行业标准验收，为原制造商制造的全新产品，整机无污染，无侵权行为、表面无划损、无任何缺陷隐患，在中国境内可依常规安全合法使用。 货物为原厂商未启封全新包装，具出厂合格证，序列号、包装箱号与出厂批号一致，并可追索查阅。所有随设备的附件必须齐全。 中标人应将关键主机设备的用户手册、保修手册、有关单证资料及配备件、随机工具等交付给采购人，使用操作及安全须知等重要资料应附有中文说明。 因货物质量问题发生争议时，由本地质量技术监督部门鉴定。鉴定费先由中标人垫付。货物符合质量技术标准的，鉴定费由采购人承担；否则鉴定费由中标人承担。</w:t>
      </w:r>
    </w:p>
    <w:p w14:paraId="29663DD7">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right="0"/>
        <w:jc w:val="both"/>
        <w:textAlignment w:val="baseline"/>
        <w:outlineLvl w:val="9"/>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7.质保期：两年。质保函：合同总额3%的质量保函。</w:t>
      </w:r>
    </w:p>
    <w:p w14:paraId="5854EA58">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right="0"/>
        <w:jc w:val="both"/>
        <w:textAlignment w:val="baseline"/>
        <w:outlineLvl w:val="9"/>
        <w:rPr>
          <w:rFonts w:hint="eastAsia" w:ascii="宋体" w:hAnsi="宋体" w:eastAsia="宋体"/>
          <w:color w:val="auto"/>
          <w:spacing w:val="30"/>
          <w:sz w:val="24"/>
          <w:szCs w:val="24"/>
          <w:highlight w:val="none"/>
          <w:lang w:val="en-US" w:eastAsia="zh-CN"/>
        </w:rPr>
      </w:pPr>
      <w:r>
        <w:rPr>
          <w:rFonts w:hint="eastAsia" w:ascii="宋体" w:hAnsi="宋体" w:eastAsia="宋体"/>
          <w:color w:val="auto"/>
          <w:spacing w:val="30"/>
          <w:sz w:val="24"/>
          <w:szCs w:val="24"/>
          <w:highlight w:val="none"/>
          <w:lang w:val="en-US" w:eastAsia="zh-CN"/>
        </w:rPr>
        <w:t>8.</w:t>
      </w:r>
      <w:r>
        <w:rPr>
          <w:rFonts w:hint="eastAsia" w:ascii="宋体" w:hAnsi="宋体" w:eastAsia="宋体"/>
          <w:color w:val="auto"/>
          <w:spacing w:val="30"/>
          <w:sz w:val="24"/>
          <w:szCs w:val="24"/>
          <w:highlight w:val="none"/>
          <w:lang w:eastAsia="zh-CN"/>
        </w:rPr>
        <w:t>□</w:t>
      </w:r>
      <w:r>
        <w:rPr>
          <w:rFonts w:hint="eastAsia" w:ascii="宋体" w:hAnsi="宋体" w:eastAsia="宋体"/>
          <w:color w:val="auto"/>
          <w:spacing w:val="30"/>
          <w:sz w:val="24"/>
          <w:szCs w:val="24"/>
          <w:highlight w:val="none"/>
          <w:lang w:val="en-US" w:eastAsia="zh-CN"/>
        </w:rPr>
        <w:t>有</w:t>
      </w:r>
      <w:r>
        <w:rPr>
          <w:rFonts w:hint="eastAsia" w:ascii="宋体" w:hAnsi="宋体" w:eastAsia="宋体"/>
          <w:color w:val="auto"/>
          <w:sz w:val="24"/>
          <w:szCs w:val="24"/>
          <w:highlight w:val="none"/>
          <w:lang w:val="en-US" w:eastAsia="zh-CN"/>
        </w:rPr>
        <w:t>样品，样品提供要求、方式、摆放时间及地点；</w:t>
      </w:r>
      <w:r>
        <w:rPr>
          <w:rFonts w:hint="eastAsia" w:ascii="宋体" w:hAnsi="宋体" w:eastAsia="宋体"/>
          <w:color w:val="auto"/>
          <w:spacing w:val="30"/>
          <w:sz w:val="24"/>
          <w:szCs w:val="24"/>
          <w:highlight w:val="none"/>
          <w:lang w:eastAsia="zh-CN"/>
        </w:rPr>
        <w:t>☑</w:t>
      </w:r>
      <w:r>
        <w:rPr>
          <w:rFonts w:hint="eastAsia" w:ascii="宋体" w:hAnsi="宋体" w:eastAsia="宋体"/>
          <w:color w:val="auto"/>
          <w:spacing w:val="30"/>
          <w:sz w:val="24"/>
          <w:szCs w:val="24"/>
          <w:highlight w:val="none"/>
          <w:lang w:val="en-US" w:eastAsia="zh-CN"/>
        </w:rPr>
        <w:t>无</w:t>
      </w:r>
      <w:r>
        <w:rPr>
          <w:rFonts w:hint="eastAsia" w:ascii="宋体" w:hAnsi="宋体" w:eastAsia="宋体"/>
          <w:color w:val="auto"/>
          <w:sz w:val="24"/>
          <w:szCs w:val="24"/>
          <w:highlight w:val="none"/>
          <w:lang w:val="en-US" w:eastAsia="zh-CN"/>
        </w:rPr>
        <w:t>样品。</w:t>
      </w:r>
    </w:p>
    <w:p w14:paraId="5B4DF1C9">
      <w:pPr>
        <w:pStyle w:val="42"/>
        <w:keepNext w:val="0"/>
        <w:keepLines w:val="0"/>
        <w:pageBreakBefore w:val="0"/>
        <w:widowControl w:val="0"/>
        <w:kinsoku/>
        <w:wordWrap w:val="0"/>
        <w:overflowPunct/>
        <w:topLinePunct/>
        <w:autoSpaceDE w:val="0"/>
        <w:autoSpaceDN w:val="0"/>
        <w:bidi w:val="0"/>
        <w:adjustRightInd w:val="0"/>
        <w:snapToGrid w:val="0"/>
        <w:spacing w:line="440" w:lineRule="exact"/>
        <w:ind w:right="0"/>
        <w:jc w:val="both"/>
        <w:textAlignment w:val="baseline"/>
        <w:outlineLvl w:val="9"/>
        <w:rPr>
          <w:rFonts w:hint="eastAsia" w:ascii="宋体" w:hAnsi="宋体" w:eastAsia="宋体"/>
          <w:color w:val="auto"/>
          <w:spacing w:val="30"/>
          <w:sz w:val="24"/>
          <w:szCs w:val="24"/>
          <w:highlight w:val="none"/>
          <w:lang w:val="en-US" w:eastAsia="zh-CN"/>
        </w:rPr>
      </w:pPr>
      <w:r>
        <w:rPr>
          <w:rFonts w:hint="eastAsia" w:ascii="宋体" w:hAnsi="宋体" w:eastAsia="宋体"/>
          <w:color w:val="auto"/>
          <w:spacing w:val="30"/>
          <w:sz w:val="24"/>
          <w:szCs w:val="24"/>
          <w:highlight w:val="none"/>
          <w:lang w:val="en-US" w:eastAsia="zh-CN"/>
        </w:rPr>
        <w:t>9.</w:t>
      </w:r>
      <w:r>
        <w:rPr>
          <w:rFonts w:hint="eastAsia" w:ascii="宋体" w:hAnsi="宋体" w:eastAsia="宋体"/>
          <w:color w:val="auto"/>
          <w:spacing w:val="30"/>
          <w:sz w:val="24"/>
          <w:szCs w:val="24"/>
          <w:highlight w:val="none"/>
          <w:lang w:eastAsia="zh-CN"/>
        </w:rPr>
        <w:t>□</w:t>
      </w:r>
      <w:r>
        <w:rPr>
          <w:rFonts w:hint="eastAsia" w:ascii="宋体" w:hAnsi="宋体" w:eastAsia="宋体"/>
          <w:color w:val="auto"/>
          <w:spacing w:val="30"/>
          <w:sz w:val="24"/>
          <w:szCs w:val="24"/>
          <w:highlight w:val="none"/>
          <w:lang w:val="en-US" w:eastAsia="zh-CN"/>
        </w:rPr>
        <w:t>有</w:t>
      </w:r>
      <w:r>
        <w:rPr>
          <w:rFonts w:hint="eastAsia" w:ascii="宋体" w:hAnsi="宋体" w:eastAsia="宋体"/>
          <w:color w:val="auto"/>
          <w:sz w:val="24"/>
          <w:szCs w:val="24"/>
          <w:highlight w:val="none"/>
          <w:lang w:val="en-US" w:eastAsia="zh-CN"/>
        </w:rPr>
        <w:t>演示，使用不见面演示；</w:t>
      </w:r>
      <w:r>
        <w:rPr>
          <w:rFonts w:hint="eastAsia" w:ascii="宋体" w:hAnsi="宋体" w:eastAsia="宋体"/>
          <w:color w:val="auto"/>
          <w:spacing w:val="30"/>
          <w:sz w:val="24"/>
          <w:szCs w:val="24"/>
          <w:highlight w:val="none"/>
          <w:lang w:eastAsia="zh-CN"/>
        </w:rPr>
        <w:t>☑</w:t>
      </w:r>
      <w:r>
        <w:rPr>
          <w:rFonts w:hint="eastAsia" w:ascii="宋体" w:hAnsi="宋体" w:eastAsia="宋体"/>
          <w:color w:val="auto"/>
          <w:spacing w:val="30"/>
          <w:sz w:val="24"/>
          <w:szCs w:val="24"/>
          <w:highlight w:val="none"/>
          <w:lang w:val="en-US" w:eastAsia="zh-CN"/>
        </w:rPr>
        <w:t>无</w:t>
      </w:r>
      <w:r>
        <w:rPr>
          <w:rFonts w:hint="eastAsia" w:ascii="宋体" w:hAnsi="宋体" w:eastAsia="宋体"/>
          <w:color w:val="auto"/>
          <w:sz w:val="24"/>
          <w:szCs w:val="24"/>
          <w:highlight w:val="none"/>
          <w:lang w:val="en-US" w:eastAsia="zh-CN"/>
        </w:rPr>
        <w:t>演示。</w:t>
      </w:r>
    </w:p>
    <w:p w14:paraId="499B1C22">
      <w:pPr>
        <w:pStyle w:val="6"/>
        <w:keepNext w:val="0"/>
        <w:keepLines w:val="0"/>
        <w:pageBreakBefore w:val="0"/>
        <w:numPr>
          <w:ilvl w:val="0"/>
          <w:numId w:val="0"/>
        </w:numPr>
        <w:kinsoku/>
        <w:wordWrap w:val="0"/>
        <w:overflowPunct/>
        <w:topLinePunct/>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7439B3C1">
      <w:pPr>
        <w:pStyle w:val="6"/>
        <w:keepNext w:val="0"/>
        <w:keepLines w:val="0"/>
        <w:pageBreakBefore w:val="0"/>
        <w:numPr>
          <w:ilvl w:val="0"/>
          <w:numId w:val="0"/>
        </w:numPr>
        <w:kinsoku/>
        <w:wordWrap w:val="0"/>
        <w:overflowPunct/>
        <w:topLinePunct/>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15C8B148">
      <w:pPr>
        <w:pStyle w:val="6"/>
        <w:keepNext w:val="0"/>
        <w:keepLines w:val="0"/>
        <w:pageBreakBefore w:val="0"/>
        <w:numPr>
          <w:ilvl w:val="0"/>
          <w:numId w:val="0"/>
        </w:numPr>
        <w:kinsoku/>
        <w:wordWrap w:val="0"/>
        <w:overflowPunct/>
        <w:topLinePunct/>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77F3D4D6">
      <w:pPr>
        <w:pStyle w:val="6"/>
        <w:keepNext w:val="0"/>
        <w:keepLines w:val="0"/>
        <w:pageBreakBefore w:val="0"/>
        <w:numPr>
          <w:ilvl w:val="0"/>
          <w:numId w:val="0"/>
        </w:numPr>
        <w:kinsoku/>
        <w:wordWrap w:val="0"/>
        <w:overflowPunct/>
        <w:topLinePunct/>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bidi w:val="0"/>
        <w:spacing w:before="352" w:line="690" w:lineRule="exact"/>
        <w:jc w:val="cente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widowControl/>
              <w:suppressLineNumbers w:val="0"/>
              <w:kinsoku/>
              <w:wordWrap w:val="0"/>
              <w:overflowPunct/>
              <w:topLinePunct/>
              <w:bidi w:val="0"/>
              <w:spacing w:before="78" w:beforeAutospacing="0" w:after="0" w:afterAutospacing="0" w:line="221"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3"/>
              <w:keepNext w:val="0"/>
              <w:keepLines w:val="0"/>
              <w:pageBreakBefore w:val="0"/>
              <w:widowControl/>
              <w:suppressLineNumbers w:val="0"/>
              <w:kinsoku/>
              <w:wordWrap w:val="0"/>
              <w:overflowPunct/>
              <w:topLinePunct/>
              <w:bidi w:val="0"/>
              <w:spacing w:before="0" w:beforeAutospacing="0" w:after="0" w:afterAutospacing="0" w:line="220" w:lineRule="auto"/>
              <w:ind w:left="126"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210F01BE">
            <w:pPr>
              <w:pStyle w:val="33"/>
              <w:keepNext w:val="0"/>
              <w:keepLines w:val="0"/>
              <w:pageBreakBefore w:val="0"/>
              <w:widowControl/>
              <w:suppressLineNumbers w:val="0"/>
              <w:kinsoku/>
              <w:wordWrap w:val="0"/>
              <w:overflowPunct/>
              <w:topLinePunct/>
              <w:bidi w:val="0"/>
              <w:spacing w:before="25" w:beforeAutospacing="0" w:after="0" w:afterAutospacing="0" w:line="207" w:lineRule="auto"/>
              <w:ind w:left="126" w:leftChars="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widowControl/>
              <w:suppressLineNumbers w:val="0"/>
              <w:kinsoku/>
              <w:wordWrap w:val="0"/>
              <w:overflowPunct/>
              <w:topLinePunct/>
              <w:bidi w:val="0"/>
              <w:spacing w:before="78" w:beforeAutospacing="0" w:after="0" w:afterAutospacing="0" w:line="219"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widowControl/>
              <w:suppressLineNumbers w:val="0"/>
              <w:kinsoku/>
              <w:wordWrap w:val="0"/>
              <w:overflowPunct/>
              <w:topLinePunct/>
              <w:bidi w:val="0"/>
              <w:spacing w:before="37" w:beforeAutospacing="0" w:after="0" w:afterAutospacing="0" w:line="238" w:lineRule="auto"/>
              <w:ind w:left="118"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5A5C5E5">
            <w:pPr>
              <w:pStyle w:val="33"/>
              <w:keepNext w:val="0"/>
              <w:keepLines w:val="0"/>
              <w:pageBreakBefore w:val="0"/>
              <w:widowControl/>
              <w:suppressLineNumbers w:val="0"/>
              <w:kinsoku/>
              <w:wordWrap w:val="0"/>
              <w:overflowPunct/>
              <w:topLinePunct/>
              <w:bidi w:val="0"/>
              <w:spacing w:before="0" w:beforeAutospacing="0" w:after="0" w:afterAutospacing="0" w:line="223" w:lineRule="auto"/>
              <w:ind w:left="126"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363229E5">
            <w:pPr>
              <w:pStyle w:val="33"/>
              <w:keepNext w:val="0"/>
              <w:keepLines w:val="0"/>
              <w:pageBreakBefore w:val="0"/>
              <w:widowControl/>
              <w:suppressLineNumbers w:val="0"/>
              <w:kinsoku/>
              <w:wordWrap w:val="0"/>
              <w:overflowPunct/>
              <w:topLinePunct/>
              <w:bidi w:val="0"/>
              <w:spacing w:before="21" w:beforeAutospacing="0" w:after="0" w:afterAutospacing="0" w:line="207" w:lineRule="auto"/>
              <w:ind w:left="126" w:leftChars="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3"/>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highlight w:val="none"/>
              </w:rPr>
            </w:pPr>
          </w:p>
          <w:p w14:paraId="625A12A3">
            <w:pPr>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leftChars="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3"/>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0B4AF448">
            <w:pPr>
              <w:pStyle w:val="33"/>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3D75A19A">
            <w:pPr>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leftChars="0" w:right="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leftChars="0" w:right="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3"/>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3894B16C">
            <w:pPr>
              <w:pStyle w:val="33"/>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5C646E2">
            <w:pPr>
              <w:keepNext w:val="0"/>
              <w:keepLines w:val="0"/>
              <w:pageBreakBefore w:val="0"/>
              <w:widowControl/>
              <w:suppressLineNumbers w:val="0"/>
              <w:kinsoku/>
              <w:wordWrap w:val="0"/>
              <w:overflowPunct/>
              <w:topLinePunct/>
              <w:autoSpaceDE w:val="0"/>
              <w:autoSpaceDN w:val="0"/>
              <w:bidi w:val="0"/>
              <w:adjustRightInd w:val="0"/>
              <w:snapToGrid w:val="0"/>
              <w:spacing w:before="0" w:beforeAutospacing="0" w:after="0" w:afterAutospacing="0" w:line="240" w:lineRule="auto"/>
              <w:ind w:left="0" w:leftChars="0" w:right="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467C04F">
            <w:pPr>
              <w:pStyle w:val="33"/>
              <w:keepNext w:val="0"/>
              <w:keepLines w:val="0"/>
              <w:pageBreakBefore w:val="0"/>
              <w:widowControl/>
              <w:numPr>
                <w:ilvl w:val="0"/>
                <w:numId w:val="0"/>
              </w:numPr>
              <w:suppressLineNumbers w:val="0"/>
              <w:kinsoku/>
              <w:wordWrap w:val="0"/>
              <w:overflowPunct/>
              <w:topLinePunct/>
              <w:autoSpaceDE w:val="0"/>
              <w:autoSpaceDN w:val="0"/>
              <w:bidi w:val="0"/>
              <w:adjustRightInd w:val="0"/>
              <w:snapToGrid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☑本项目不专门面向中小企业采购。</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3"/>
              <w:keepNext w:val="0"/>
              <w:keepLines w:val="0"/>
              <w:pageBreakBefore w:val="0"/>
              <w:widowControl/>
              <w:suppressLineNumbers w:val="0"/>
              <w:kinsoku/>
              <w:wordWrap w:val="0"/>
              <w:overflowPunct/>
              <w:topLinePunct/>
              <w:bidi w:val="0"/>
              <w:spacing w:before="0" w:beforeAutospacing="0" w:after="0" w:afterAutospacing="0" w:line="269" w:lineRule="auto"/>
              <w:ind w:left="0" w:right="0"/>
              <w:jc w:val="both"/>
              <w:rPr>
                <w:rFonts w:hint="eastAsia" w:asciiTheme="minorEastAsia" w:hAnsiTheme="minorEastAsia" w:eastAsiaTheme="minorEastAsia" w:cstheme="minorEastAsia"/>
                <w:color w:val="auto"/>
                <w:highlight w:val="none"/>
              </w:rPr>
            </w:pPr>
          </w:p>
          <w:p w14:paraId="0C2CBA0E">
            <w:pPr>
              <w:keepNext w:val="0"/>
              <w:keepLines w:val="0"/>
              <w:pageBreakBefore w:val="0"/>
              <w:widowControl/>
              <w:suppressLineNumbers w:val="0"/>
              <w:kinsoku/>
              <w:wordWrap w:val="0"/>
              <w:overflowPunct/>
              <w:topLinePunct/>
              <w:bidi w:val="0"/>
              <w:spacing w:before="78" w:beforeAutospacing="0" w:after="0" w:afterAutospacing="0" w:line="219"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widowControl/>
              <w:suppressLineNumbers w:val="0"/>
              <w:kinsoku/>
              <w:wordWrap w:val="0"/>
              <w:overflowPunct/>
              <w:topLinePunct/>
              <w:bidi w:val="0"/>
              <w:spacing w:before="40" w:beforeAutospacing="0" w:after="0" w:afterAutospacing="0"/>
              <w:ind w:left="117"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34EE804">
            <w:pPr>
              <w:pStyle w:val="33"/>
              <w:keepNext w:val="0"/>
              <w:keepLines w:val="0"/>
              <w:pageBreakBefore w:val="0"/>
              <w:widowControl/>
              <w:suppressLineNumbers w:val="0"/>
              <w:kinsoku/>
              <w:wordWrap w:val="0"/>
              <w:overflowPunct/>
              <w:topLinePunct/>
              <w:bidi w:val="0"/>
              <w:spacing w:before="1" w:beforeAutospacing="0" w:after="0" w:afterAutospacing="0" w:line="220" w:lineRule="auto"/>
              <w:ind w:left="126"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795D6E6B">
            <w:pPr>
              <w:pStyle w:val="33"/>
              <w:keepNext w:val="0"/>
              <w:keepLines w:val="0"/>
              <w:pageBreakBefore w:val="0"/>
              <w:widowControl/>
              <w:suppressLineNumbers w:val="0"/>
              <w:kinsoku/>
              <w:wordWrap w:val="0"/>
              <w:overflowPunct/>
              <w:topLinePunct/>
              <w:bidi w:val="0"/>
              <w:spacing w:before="23" w:beforeAutospacing="0" w:after="0" w:afterAutospacing="0" w:line="189" w:lineRule="auto"/>
              <w:ind w:left="126"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F22523C">
            <w:pPr>
              <w:pStyle w:val="33"/>
              <w:keepNext w:val="0"/>
              <w:keepLines w:val="0"/>
              <w:pageBreakBefore w:val="0"/>
              <w:widowControl/>
              <w:suppressLineNumbers w:val="0"/>
              <w:kinsoku/>
              <w:wordWrap w:val="0"/>
              <w:overflowPunct/>
              <w:topLinePunct/>
              <w:bidi w:val="0"/>
              <w:spacing w:before="0" w:beforeAutospacing="0" w:after="0" w:afterAutospacing="0" w:line="19" w:lineRule="exact"/>
              <w:ind w:left="2008" w:leftChars="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7"/>
                <w:sz w:val="24"/>
                <w:szCs w:val="24"/>
                <w:highlight w:val="none"/>
                <w:u w:val="none"/>
                <w:lang w:val="en-US" w:eastAsia="zh-CN"/>
              </w:rPr>
              <w:t>3949600.00元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最低评标价法</w:t>
            </w:r>
          </w:p>
        </w:tc>
      </w:tr>
      <w:tr w14:paraId="05425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BBB46AE">
            <w:pPr>
              <w:keepNext w:val="0"/>
              <w:keepLines w:val="0"/>
              <w:pageBreakBefore w:val="0"/>
              <w:widowControl/>
              <w:suppressLineNumbers w:val="0"/>
              <w:kinsoku/>
              <w:wordWrap w:val="0"/>
              <w:overflowPunct/>
              <w:topLinePunct w:val="0"/>
              <w:bidi w:val="0"/>
              <w:spacing w:before="0" w:beforeAutospacing="0" w:after="0" w:afterAutospacing="0" w:line="240" w:lineRule="atLeast"/>
              <w:ind w:left="0" w:right="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是否采用“暗标”评审</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9DAA8E2">
            <w:pPr>
              <w:pStyle w:val="33"/>
              <w:keepNext w:val="0"/>
              <w:keepLines w:val="0"/>
              <w:pageBreakBefore w:val="0"/>
              <w:widowControl/>
              <w:suppressLineNumbers w:val="0"/>
              <w:kinsoku/>
              <w:wordWrap w:val="0"/>
              <w:overflowPunct/>
              <w:topLinePunct w:val="0"/>
              <w:bidi w:val="0"/>
              <w:spacing w:before="0" w:beforeAutospacing="0" w:after="0" w:afterAutospacing="0" w:line="223" w:lineRule="auto"/>
              <w:ind w:left="126" w:leftChars="0" w:right="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sym w:font="Wingdings 2" w:char="0052"/>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pacing w:val="14"/>
                <w:sz w:val="24"/>
                <w:szCs w:val="24"/>
                <w:highlight w:val="none"/>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6F60F2F1">
            <w:pPr>
              <w:pStyle w:val="33"/>
              <w:keepNext w:val="0"/>
              <w:keepLines w:val="0"/>
              <w:pageBreakBefore w:val="0"/>
              <w:widowControl/>
              <w:suppressLineNumbers w:val="0"/>
              <w:kinsoku/>
              <w:overflowPunct/>
              <w:topLinePunct/>
              <w:bidi w:val="0"/>
              <w:spacing w:before="91" w:beforeAutospacing="0" w:after="0" w:afterAutospacing="0" w:line="219" w:lineRule="auto"/>
              <w:ind w:left="173" w:right="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集中采购机构不收费</w:t>
            </w:r>
          </w:p>
          <w:p w14:paraId="45F55B82">
            <w:pPr>
              <w:pStyle w:val="33"/>
              <w:keepNext w:val="0"/>
              <w:keepLines w:val="0"/>
              <w:pageBreakBefore w:val="0"/>
              <w:widowControl/>
              <w:suppressLineNumbers w:val="0"/>
              <w:kinsoku/>
              <w:overflowPunct/>
              <w:topLinePunct/>
              <w:bidi w:val="0"/>
              <w:spacing w:before="0" w:beforeAutospacing="0" w:after="0" w:afterAutospacing="0" w:line="219" w:lineRule="auto"/>
              <w:ind w:left="157" w:right="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收费对象： □ 采购人☑中标人</w:t>
            </w:r>
          </w:p>
          <w:p w14:paraId="50BBCE28">
            <w:pPr>
              <w:pStyle w:val="33"/>
              <w:keepNext w:val="0"/>
              <w:keepLines w:val="0"/>
              <w:pageBreakBefore w:val="0"/>
              <w:widowControl/>
              <w:suppressLineNumbers w:val="0"/>
              <w:kinsoku/>
              <w:wordWrap w:val="0"/>
              <w:overflowPunct/>
              <w:topLinePunct/>
              <w:bidi w:val="0"/>
              <w:spacing w:before="1" w:beforeAutospacing="0" w:after="0" w:afterAutospacing="0" w:line="220" w:lineRule="auto"/>
              <w:ind w:left="126" w:right="0"/>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收费标准：按照“豫招协〔2023〕002 号 ”文件规定收取。</w:t>
            </w:r>
          </w:p>
        </w:tc>
      </w:tr>
    </w:tbl>
    <w:p w14:paraId="77FBD6C2">
      <w:pPr>
        <w:pStyle w:val="6"/>
        <w:keepNext w:val="0"/>
        <w:keepLines w:val="0"/>
        <w:pageBreakBefore w:val="0"/>
        <w:kinsoku/>
        <w:wordWrap w:val="0"/>
        <w:overflowPunct/>
        <w:topLinePunct/>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29876AC4">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218A2734">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17044C05">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7FFC2831">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u w:val="none"/>
          <w:lang w:val="en-US" w:eastAsia="zh-CN"/>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394.96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50A9D36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1CBA6EF0">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FD391D5">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7A52BF8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C5A67C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72491282">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FD0FE6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7EC244CD">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6D7C3681">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0332BD4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7772AA1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6EA570B7">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E328B4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1F2A4CD4">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2A2666FE">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529AC96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26A1CF4">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724C4210">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61EDD5A1">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321530DA">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04B55924">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28F40E37">
      <w:pPr>
        <w:pStyle w:val="6"/>
        <w:keepNext w:val="0"/>
        <w:keepLines w:val="0"/>
        <w:pageBreakBefore w:val="0"/>
        <w:widowControl/>
        <w:kinsoku/>
        <w:wordWrap/>
        <w:overflowPunct/>
        <w:topLinePunct/>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063C9EF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1B558A6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4B841A50">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否则投标无效；</w:t>
      </w:r>
    </w:p>
    <w:p w14:paraId="5B14100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6A713D5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5FC4E9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50DD27D0">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p>
    <w:p w14:paraId="67867D8C">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35C8414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5 </w:t>
      </w:r>
      <w:r>
        <w:rPr>
          <w:rFonts w:hint="eastAsia" w:asciiTheme="minorEastAsia" w:hAnsiTheme="minorEastAsia" w:eastAsiaTheme="minorEastAsia" w:cstheme="minorEastAsia"/>
          <w:color w:val="auto"/>
          <w:spacing w:val="2"/>
          <w:sz w:val="24"/>
          <w:szCs w:val="24"/>
          <w:highlight w:val="none"/>
        </w:rPr>
        <w:t>采购需求标准</w:t>
      </w:r>
    </w:p>
    <w:p w14:paraId="1722BDF3">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39B3BA0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0BE43632">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527E7189">
      <w:pPr>
        <w:keepNext w:val="0"/>
        <w:keepLines w:val="0"/>
        <w:pageBreakBefore w:val="0"/>
        <w:kinsoku/>
        <w:wordWrap w:val="0"/>
        <w:overflowPunct/>
        <w:topLinePunct/>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5054DBC3">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南阳市生态环境局内乡分局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537E018C">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Theme="minorEastAsia" w:hAnsiTheme="minorEastAsia" w:cstheme="minorEastAsia"/>
          <w:color w:val="auto"/>
          <w:sz w:val="24"/>
          <w:highlight w:val="none"/>
          <w:u w:val="single"/>
        </w:rPr>
        <w:t>入河排污口规范化建设</w:t>
      </w:r>
      <w:r>
        <w:rPr>
          <w:rFonts w:hint="eastAsia" w:eastAsia="宋体" w:asciiTheme="minorEastAsia" w:hAnsiTheme="minorEastAsia" w:cstheme="minorEastAsia"/>
          <w:color w:val="auto"/>
          <w:sz w:val="24"/>
          <w:highlight w:val="none"/>
          <w:u w:val="single"/>
          <w:lang w:val="en-US" w:eastAsia="zh-CN"/>
        </w:rPr>
        <w:t>所投入设备</w:t>
      </w:r>
      <w:r>
        <w:rPr>
          <w:rFonts w:hint="eastAsia" w:eastAsia="宋体" w:asciiTheme="minorEastAsia" w:hAnsiTheme="minorEastAsia" w:cstheme="minorEastAsia"/>
          <w:color w:val="auto"/>
          <w:sz w:val="24"/>
          <w:highlight w:val="none"/>
          <w:lang w:eastAsia="zh-CN"/>
        </w:rPr>
        <w:t>。</w:t>
      </w:r>
    </w:p>
    <w:p w14:paraId="7D99C914">
      <w:pPr>
        <w:pStyle w:val="6"/>
        <w:keepNext w:val="0"/>
        <w:keepLines w:val="0"/>
        <w:pageBreakBefore w:val="0"/>
        <w:kinsoku/>
        <w:wordWrap w:val="0"/>
        <w:overflowPunct/>
        <w:topLinePunct/>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7698F387">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7C99C409">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6D05A809">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767EC704">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51F61C97">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597CF69F">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677513D0">
      <w:pPr>
        <w:keepNext w:val="0"/>
        <w:keepLines w:val="0"/>
        <w:pageBreakBefore w:val="0"/>
        <w:widowControl/>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16D5D67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3ADFB48D">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2A1BEE9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4FE889D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F1911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5BD7D027">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13971ECA">
      <w:pPr>
        <w:pStyle w:val="4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35FF7204">
      <w:pPr>
        <w:pStyle w:val="4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5EF75B72">
      <w:pPr>
        <w:pStyle w:val="4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505ED23B">
      <w:pPr>
        <w:pStyle w:val="4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w:t>
      </w:r>
    </w:p>
    <w:p w14:paraId="76A87D1E">
      <w:pPr>
        <w:pStyle w:val="4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.2颜色要求：所有文字、图表均为黑色。</w:t>
      </w:r>
    </w:p>
    <w:p w14:paraId="7890F537">
      <w:pPr>
        <w:pStyle w:val="4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6164201E">
      <w:pPr>
        <w:pStyle w:val="4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1F738431">
      <w:pPr>
        <w:pStyle w:val="4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35D4E469">
      <w:pPr>
        <w:pStyle w:val="4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0118A8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6530368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533BD6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C5E298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1E66A2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A221629">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605C563F">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3F29613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34AC192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6FFB29D0">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427B6649">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5A80E455">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0139C593">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4AD1A5D6">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6E3C227E">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7DC2E2DD">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3E4E934F">
      <w:pPr>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41B6154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557C001C">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6FD1295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4AB2483A">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17430D38">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898764E">
      <w:pPr>
        <w:pStyle w:val="6"/>
        <w:keepNext w:val="0"/>
        <w:keepLines w:val="0"/>
        <w:pageBreakBefore w:val="0"/>
        <w:widowControl/>
        <w:kinsoku/>
        <w:wordWrap w:val="0"/>
        <w:overflowPunct/>
        <w:topLinePunct/>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14D4B552">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299536B2">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4C1B8AC9">
      <w:pPr>
        <w:pStyle w:val="6"/>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009869BB">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4D1DB8CF">
      <w:pPr>
        <w:pStyle w:val="31"/>
        <w:pageBreakBefore w:val="0"/>
        <w:kinsoku/>
        <w:overflowPunct/>
        <w:topLinePunct/>
        <w:bidi w:val="0"/>
        <w:rPr>
          <w:rFonts w:hint="eastAsia"/>
          <w:color w:val="auto"/>
          <w:highlight w:val="none"/>
          <w:lang w:val="en-US" w:eastAsia="zh-CN"/>
        </w:rPr>
      </w:pPr>
    </w:p>
    <w:p w14:paraId="7E5A5912">
      <w:pP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br w:type="page"/>
      </w:r>
    </w:p>
    <w:p w14:paraId="27BCC665">
      <w:pPr>
        <w:pStyle w:val="6"/>
        <w:keepNext w:val="0"/>
        <w:keepLines w:val="0"/>
        <w:pageBreakBefore w:val="0"/>
        <w:kinsoku/>
        <w:wordWrap w:val="0"/>
        <w:overflowPunct/>
        <w:topLinePunct/>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bidi w:val="0"/>
        <w:spacing w:line="146" w:lineRule="exact"/>
        <w:jc w:val="both"/>
        <w:rPr>
          <w:rFonts w:hint="eastAsia" w:asciiTheme="minorEastAsia" w:hAnsiTheme="minorEastAsia" w:eastAsiaTheme="minorEastAsia" w:cstheme="minorEastAsia"/>
          <w:color w:val="auto"/>
          <w:highlight w:val="none"/>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3"/>
              <w:keepNext w:val="0"/>
              <w:keepLines w:val="0"/>
              <w:pageBreakBefore w:val="0"/>
              <w:kinsoku/>
              <w:wordWrap w:val="0"/>
              <w:overflowPunct/>
              <w:topLinePunct/>
              <w:bidi w:val="0"/>
              <w:spacing w:line="454" w:lineRule="auto"/>
              <w:jc w:val="both"/>
              <w:rPr>
                <w:rFonts w:hint="eastAsia" w:asciiTheme="minorEastAsia" w:hAnsiTheme="minorEastAsia" w:eastAsiaTheme="minorEastAsia" w:cstheme="minorEastAsia"/>
                <w:color w:val="auto"/>
                <w:highlight w:val="none"/>
              </w:rPr>
            </w:pPr>
          </w:p>
          <w:p w14:paraId="1E3621D3">
            <w:pPr>
              <w:pStyle w:val="33"/>
              <w:keepNext w:val="0"/>
              <w:keepLines w:val="0"/>
              <w:pageBreakBefore w:val="0"/>
              <w:kinsoku/>
              <w:wordWrap w:val="0"/>
              <w:overflowPunct/>
              <w:topLinePunct/>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21B78BBF">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w:t>
            </w:r>
            <w:r>
              <w:rPr>
                <w:rFonts w:hint="eastAsia" w:asciiTheme="minorEastAsia" w:hAnsiTheme="minorEastAsia" w:eastAsiaTheme="minorEastAsia" w:cstheme="minorEastAsia"/>
                <w:color w:val="auto"/>
                <w:spacing w:val="-2"/>
                <w:sz w:val="24"/>
                <w:szCs w:val="24"/>
                <w:highlight w:val="none"/>
                <w:lang w:val="en-US" w:eastAsia="zh-CN"/>
              </w:rPr>
              <w:t>标</w:t>
            </w:r>
            <w:r>
              <w:rPr>
                <w:rFonts w:hint="eastAsia" w:asciiTheme="minorEastAsia" w:hAnsiTheme="minorEastAsia" w:eastAsiaTheme="minorEastAsia" w:cstheme="minorEastAsia"/>
                <w:color w:val="auto"/>
                <w:spacing w:val="-2"/>
                <w:sz w:val="24"/>
                <w:szCs w:val="24"/>
                <w:highlight w:val="none"/>
                <w:lang w:eastAsia="zh-CN"/>
              </w:rPr>
              <w:t>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3CB619D9">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0E86817D">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0CCD8DFF">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71760106">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1BF3841A">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5AB522D0">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tc>
        <w:tc>
          <w:tcPr>
            <w:tcW w:w="2967" w:type="dxa"/>
            <w:vAlign w:val="top"/>
          </w:tcPr>
          <w:p w14:paraId="4F776756">
            <w:pPr>
              <w:keepNext w:val="0"/>
              <w:keepLines w:val="0"/>
              <w:pageBreakBefore w:val="0"/>
              <w:kinsoku/>
              <w:wordWrap w:val="0"/>
              <w:overflowPunct/>
              <w:topLinePunct/>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44724EBD">
            <w:pPr>
              <w:keepNext w:val="0"/>
              <w:keepLines w:val="0"/>
              <w:pageBreakBefore w:val="0"/>
              <w:kinsoku/>
              <w:wordWrap w:val="0"/>
              <w:overflowPunct/>
              <w:topLinePunct/>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6B81B4E9">
            <w:pPr>
              <w:keepNext w:val="0"/>
              <w:keepLines w:val="0"/>
              <w:pageBreakBefore w:val="0"/>
              <w:kinsoku/>
              <w:wordWrap w:val="0"/>
              <w:overflowPunct/>
              <w:topLinePunct/>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70B7593B">
            <w:pPr>
              <w:keepNext w:val="0"/>
              <w:keepLines w:val="0"/>
              <w:pageBreakBefore w:val="0"/>
              <w:kinsoku/>
              <w:wordWrap w:val="0"/>
              <w:overflowPunct/>
              <w:topLinePunct/>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1CA8150D">
            <w:pPr>
              <w:keepNext w:val="0"/>
              <w:keepLines w:val="0"/>
              <w:pageBreakBefore w:val="0"/>
              <w:kinsoku/>
              <w:wordWrap w:val="0"/>
              <w:overflowPunct/>
              <w:topLinePunct/>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3"/>
              <w:keepNext w:val="0"/>
              <w:keepLines w:val="0"/>
              <w:pageBreakBefore w:val="0"/>
              <w:kinsoku/>
              <w:wordWrap w:val="0"/>
              <w:overflowPunct/>
              <w:topLinePunct/>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61" w:type="dxa"/>
            <w:vAlign w:val="top"/>
          </w:tcPr>
          <w:p w14:paraId="26B03830">
            <w:pPr>
              <w:keepNext w:val="0"/>
              <w:keepLines w:val="0"/>
              <w:pageBreakBefore w:val="0"/>
              <w:kinsoku/>
              <w:wordWrap w:val="0"/>
              <w:overflowPunct/>
              <w:topLinePunct/>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vAlign w:val="top"/>
          </w:tcPr>
          <w:p w14:paraId="5AB63DB1">
            <w:pPr>
              <w:keepNext w:val="0"/>
              <w:keepLines w:val="0"/>
              <w:pageBreakBefore w:val="0"/>
              <w:kinsoku/>
              <w:wordWrap w:val="0"/>
              <w:overflowPunct/>
              <w:topLinePunct/>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62C5FBCB">
            <w:pPr>
              <w:pStyle w:val="33"/>
              <w:keepNext w:val="0"/>
              <w:keepLines w:val="0"/>
              <w:pageBreakBefore w:val="0"/>
              <w:kinsoku/>
              <w:wordWrap w:val="0"/>
              <w:overflowPunct/>
              <w:topLinePunct/>
              <w:bidi w:val="0"/>
              <w:jc w:val="both"/>
              <w:rPr>
                <w:rFonts w:hint="eastAsia" w:asciiTheme="minorEastAsia" w:hAnsiTheme="minorEastAsia" w:eastAsiaTheme="minorEastAsia" w:cstheme="minorEastAsia"/>
                <w:color w:val="auto"/>
                <w:highlight w:val="none"/>
              </w:rPr>
            </w:pPr>
          </w:p>
        </w:tc>
      </w:tr>
    </w:tbl>
    <w:p w14:paraId="0BC01EBF">
      <w:pPr>
        <w:keepNext w:val="0"/>
        <w:keepLines w:val="0"/>
        <w:pageBreakBefore w:val="0"/>
        <w:widowControl w:val="0"/>
        <w:kinsoku/>
        <w:wordWrap w:val="0"/>
        <w:overflowPunct/>
        <w:topLinePunct/>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013B96C2">
      <w:pPr>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484A768D">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3D528ED9">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12A108DD">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308B0F6F">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17059730">
      <w:pPr>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3CDB6976">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5C2EC655">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评标委员会对资格审查合格的投标人的投标文件进行符合性审查，以确定其</w:t>
      </w:r>
    </w:p>
    <w:p w14:paraId="048F0325">
      <w:pPr>
        <w:pStyle w:val="6"/>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227FC2C7">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bidi w:val="0"/>
        <w:spacing w:line="145" w:lineRule="exact"/>
        <w:jc w:val="both"/>
        <w:rPr>
          <w:rFonts w:hint="eastAsia" w:asciiTheme="minorEastAsia" w:hAnsiTheme="minorEastAsia" w:eastAsiaTheme="minorEastAsia" w:cstheme="minorEastAsia"/>
          <w:color w:val="auto"/>
          <w:highlight w:val="none"/>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3"/>
              <w:keepNext w:val="0"/>
              <w:keepLines w:val="0"/>
              <w:pageBreakBefore w:val="0"/>
              <w:kinsoku/>
              <w:wordWrap w:val="0"/>
              <w:overflowPunct/>
              <w:topLinePunct/>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4B6DFF64">
            <w:pPr>
              <w:keepNext w:val="0"/>
              <w:keepLines w:val="0"/>
              <w:pageBreakBefore w:val="0"/>
              <w:kinsoku/>
              <w:wordWrap w:val="0"/>
              <w:overflowPunct/>
              <w:topLinePunct/>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1F82B5C6">
            <w:pPr>
              <w:keepNext w:val="0"/>
              <w:keepLines w:val="0"/>
              <w:pageBreakBefore w:val="0"/>
              <w:kinsoku/>
              <w:wordWrap w:val="0"/>
              <w:overflowPunct/>
              <w:topLinePunct/>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3"/>
              <w:keepNext w:val="0"/>
              <w:keepLines w:val="0"/>
              <w:pageBreakBefore w:val="0"/>
              <w:kinsoku/>
              <w:wordWrap w:val="0"/>
              <w:overflowPunct/>
              <w:topLinePunct/>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48069772">
            <w:pPr>
              <w:keepNext w:val="0"/>
              <w:keepLines w:val="0"/>
              <w:pageBreakBefore w:val="0"/>
              <w:kinsoku/>
              <w:wordWrap w:val="0"/>
              <w:overflowPunct/>
              <w:topLinePunct/>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7874CFB6">
            <w:pPr>
              <w:keepNext w:val="0"/>
              <w:keepLines w:val="0"/>
              <w:pageBreakBefore w:val="0"/>
              <w:kinsoku/>
              <w:wordWrap w:val="0"/>
              <w:overflowPunct/>
              <w:topLinePunct/>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647B1C38">
            <w:pPr>
              <w:keepNext w:val="0"/>
              <w:keepLines w:val="0"/>
              <w:pageBreakBefore w:val="0"/>
              <w:kinsoku/>
              <w:wordWrap w:val="0"/>
              <w:overflowPunct/>
              <w:topLinePunct/>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3"/>
              <w:keepNext w:val="0"/>
              <w:keepLines w:val="0"/>
              <w:pageBreakBefore w:val="0"/>
              <w:kinsoku/>
              <w:wordWrap w:val="0"/>
              <w:overflowPunct/>
              <w:topLinePunct/>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162DFF7B">
            <w:pPr>
              <w:keepNext w:val="0"/>
              <w:keepLines w:val="0"/>
              <w:pageBreakBefore w:val="0"/>
              <w:kinsoku/>
              <w:wordWrap w:val="0"/>
              <w:overflowPunct/>
              <w:topLinePunct/>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2B723B37">
            <w:pPr>
              <w:pStyle w:val="33"/>
              <w:keepNext w:val="0"/>
              <w:keepLines w:val="0"/>
              <w:pageBreakBefore w:val="0"/>
              <w:kinsoku/>
              <w:wordWrap w:val="0"/>
              <w:overflowPunct/>
              <w:topLinePunct/>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3"/>
              <w:keepNext w:val="0"/>
              <w:keepLines w:val="0"/>
              <w:pageBreakBefore w:val="0"/>
              <w:kinsoku/>
              <w:wordWrap w:val="0"/>
              <w:overflowPunct/>
              <w:topLinePunct/>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5C67DC66">
            <w:pPr>
              <w:keepNext w:val="0"/>
              <w:keepLines w:val="0"/>
              <w:pageBreakBefore w:val="0"/>
              <w:kinsoku/>
              <w:wordWrap w:val="0"/>
              <w:overflowPunct/>
              <w:topLinePunct/>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320F8272">
            <w:pPr>
              <w:keepNext w:val="0"/>
              <w:keepLines w:val="0"/>
              <w:pageBreakBefore w:val="0"/>
              <w:kinsoku/>
              <w:wordWrap w:val="0"/>
              <w:overflowPunct/>
              <w:topLinePunct/>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3"/>
              <w:keepNext w:val="0"/>
              <w:keepLines w:val="0"/>
              <w:pageBreakBefore w:val="0"/>
              <w:kinsoku/>
              <w:wordWrap w:val="0"/>
              <w:overflowPunct/>
              <w:topLinePunct/>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15DE9A7C">
            <w:pPr>
              <w:keepNext w:val="0"/>
              <w:keepLines w:val="0"/>
              <w:pageBreakBefore w:val="0"/>
              <w:kinsoku/>
              <w:wordWrap w:val="0"/>
              <w:overflowPunct/>
              <w:topLinePunct/>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7428D941">
            <w:pPr>
              <w:keepNext w:val="0"/>
              <w:keepLines w:val="0"/>
              <w:pageBreakBefore w:val="0"/>
              <w:kinsoku/>
              <w:wordWrap w:val="0"/>
              <w:overflowPunct/>
              <w:topLinePunct/>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3"/>
              <w:keepNext w:val="0"/>
              <w:keepLines w:val="0"/>
              <w:pageBreakBefore w:val="0"/>
              <w:kinsoku/>
              <w:wordWrap w:val="0"/>
              <w:overflowPunct/>
              <w:topLinePunct/>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3A670216">
            <w:pPr>
              <w:keepNext w:val="0"/>
              <w:keepLines w:val="0"/>
              <w:pageBreakBefore w:val="0"/>
              <w:kinsoku/>
              <w:wordWrap w:val="0"/>
              <w:overflowPunct/>
              <w:topLinePunct/>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46C709B9">
            <w:pPr>
              <w:keepNext w:val="0"/>
              <w:keepLines w:val="0"/>
              <w:pageBreakBefore w:val="0"/>
              <w:kinsoku/>
              <w:wordWrap w:val="0"/>
              <w:overflowPunct/>
              <w:topLinePunct/>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3"/>
              <w:keepNext w:val="0"/>
              <w:keepLines w:val="0"/>
              <w:pageBreakBefore w:val="0"/>
              <w:kinsoku/>
              <w:wordWrap w:val="0"/>
              <w:overflowPunct/>
              <w:topLinePunct/>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766CCC69">
            <w:pPr>
              <w:keepNext w:val="0"/>
              <w:keepLines w:val="0"/>
              <w:pageBreakBefore w:val="0"/>
              <w:kinsoku/>
              <w:wordWrap w:val="0"/>
              <w:overflowPunct/>
              <w:topLinePunct/>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0A6D0427">
            <w:pPr>
              <w:keepNext w:val="0"/>
              <w:keepLines w:val="0"/>
              <w:pageBreakBefore w:val="0"/>
              <w:kinsoku/>
              <w:wordWrap w:val="0"/>
              <w:overflowPunct/>
              <w:topLinePunct/>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3"/>
              <w:keepNext w:val="0"/>
              <w:keepLines w:val="0"/>
              <w:pageBreakBefore w:val="0"/>
              <w:kinsoku/>
              <w:wordWrap w:val="0"/>
              <w:overflowPunct/>
              <w:topLinePunct/>
              <w:bidi w:val="0"/>
              <w:spacing w:line="304" w:lineRule="auto"/>
              <w:jc w:val="center"/>
              <w:rPr>
                <w:rFonts w:hint="eastAsia" w:asciiTheme="minorEastAsia" w:hAnsiTheme="minorEastAsia" w:eastAsiaTheme="minorEastAsia" w:cstheme="minorEastAsia"/>
                <w:color w:val="auto"/>
                <w:highlight w:val="none"/>
              </w:rPr>
            </w:pPr>
          </w:p>
          <w:p w14:paraId="1F119847">
            <w:pPr>
              <w:pStyle w:val="33"/>
              <w:keepNext w:val="0"/>
              <w:keepLines w:val="0"/>
              <w:pageBreakBefore w:val="0"/>
              <w:kinsoku/>
              <w:wordWrap w:val="0"/>
              <w:overflowPunct/>
              <w:topLinePunct/>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632FF2DD">
            <w:pPr>
              <w:pStyle w:val="33"/>
              <w:keepNext w:val="0"/>
              <w:keepLines w:val="0"/>
              <w:pageBreakBefore w:val="0"/>
              <w:kinsoku/>
              <w:wordWrap w:val="0"/>
              <w:overflowPunct/>
              <w:topLinePunct/>
              <w:bidi w:val="0"/>
              <w:spacing w:line="271" w:lineRule="auto"/>
              <w:jc w:val="both"/>
              <w:rPr>
                <w:rFonts w:hint="eastAsia" w:asciiTheme="minorEastAsia" w:hAnsiTheme="minorEastAsia" w:eastAsiaTheme="minorEastAsia" w:cstheme="minorEastAsia"/>
                <w:color w:val="auto"/>
                <w:highlight w:val="none"/>
              </w:rPr>
            </w:pPr>
          </w:p>
          <w:p w14:paraId="25C14A21">
            <w:pPr>
              <w:keepNext w:val="0"/>
              <w:keepLines w:val="0"/>
              <w:pageBreakBefore w:val="0"/>
              <w:kinsoku/>
              <w:wordWrap w:val="0"/>
              <w:overflowPunct/>
              <w:topLinePunct/>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59D75389">
            <w:pPr>
              <w:keepNext w:val="0"/>
              <w:keepLines w:val="0"/>
              <w:pageBreakBefore w:val="0"/>
              <w:kinsoku/>
              <w:wordWrap w:val="0"/>
              <w:overflowPunct/>
              <w:topLinePunct/>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3"/>
              <w:keepNext w:val="0"/>
              <w:keepLines w:val="0"/>
              <w:pageBreakBefore w:val="0"/>
              <w:kinsoku/>
              <w:wordWrap w:val="0"/>
              <w:overflowPunct/>
              <w:topLinePunct/>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4D65D5C9">
            <w:pPr>
              <w:keepNext w:val="0"/>
              <w:keepLines w:val="0"/>
              <w:pageBreakBefore w:val="0"/>
              <w:kinsoku/>
              <w:wordWrap w:val="0"/>
              <w:overflowPunct/>
              <w:topLinePunct/>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20BDE7E7">
            <w:pPr>
              <w:keepNext w:val="0"/>
              <w:keepLines w:val="0"/>
              <w:pageBreakBefore w:val="0"/>
              <w:kinsoku/>
              <w:wordWrap w:val="0"/>
              <w:overflowPunct/>
              <w:topLinePunct/>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2512D1CF">
            <w:pPr>
              <w:keepNext w:val="0"/>
              <w:keepLines w:val="0"/>
              <w:pageBreakBefore w:val="0"/>
              <w:kinsoku/>
              <w:wordWrap w:val="0"/>
              <w:overflowPunct/>
              <w:topLinePunct/>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3"/>
              <w:keepNext w:val="0"/>
              <w:keepLines w:val="0"/>
              <w:pageBreakBefore w:val="0"/>
              <w:kinsoku/>
              <w:wordWrap w:val="0"/>
              <w:overflowPunct/>
              <w:topLinePunct/>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29F5B41E">
            <w:pPr>
              <w:keepNext w:val="0"/>
              <w:keepLines w:val="0"/>
              <w:pageBreakBefore w:val="0"/>
              <w:kinsoku/>
              <w:wordWrap w:val="0"/>
              <w:overflowPunct/>
              <w:topLinePunct/>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6D621457">
            <w:pPr>
              <w:keepNext w:val="0"/>
              <w:keepLines w:val="0"/>
              <w:pageBreakBefore w:val="0"/>
              <w:kinsoku/>
              <w:wordWrap w:val="0"/>
              <w:overflowPunct/>
              <w:topLinePunct/>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62C9F2E7">
            <w:pPr>
              <w:keepNext w:val="0"/>
              <w:keepLines w:val="0"/>
              <w:pageBreakBefore w:val="0"/>
              <w:kinsoku/>
              <w:wordWrap w:val="0"/>
              <w:overflowPunct/>
              <w:topLinePunct/>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3"/>
              <w:keepNext w:val="0"/>
              <w:keepLines w:val="0"/>
              <w:pageBreakBefore w:val="0"/>
              <w:kinsoku/>
              <w:wordWrap w:val="0"/>
              <w:overflowPunct/>
              <w:topLinePunct/>
              <w:bidi w:val="0"/>
              <w:spacing w:line="301" w:lineRule="auto"/>
              <w:jc w:val="center"/>
              <w:rPr>
                <w:rFonts w:hint="eastAsia" w:asciiTheme="minorEastAsia" w:hAnsiTheme="minorEastAsia" w:eastAsiaTheme="minorEastAsia" w:cstheme="minorEastAsia"/>
                <w:color w:val="auto"/>
                <w:highlight w:val="none"/>
              </w:rPr>
            </w:pPr>
          </w:p>
          <w:p w14:paraId="4F1E8B33">
            <w:pPr>
              <w:pStyle w:val="33"/>
              <w:keepNext w:val="0"/>
              <w:keepLines w:val="0"/>
              <w:pageBreakBefore w:val="0"/>
              <w:kinsoku/>
              <w:wordWrap w:val="0"/>
              <w:overflowPunct/>
              <w:topLinePunct/>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0C75D6D8">
            <w:pPr>
              <w:pStyle w:val="33"/>
              <w:keepNext w:val="0"/>
              <w:keepLines w:val="0"/>
              <w:pageBreakBefore w:val="0"/>
              <w:kinsoku/>
              <w:wordWrap w:val="0"/>
              <w:overflowPunct/>
              <w:topLinePunct/>
              <w:bidi w:val="0"/>
              <w:spacing w:line="269" w:lineRule="auto"/>
              <w:jc w:val="both"/>
              <w:rPr>
                <w:rFonts w:hint="eastAsia" w:asciiTheme="minorEastAsia" w:hAnsiTheme="minorEastAsia" w:eastAsiaTheme="minorEastAsia" w:cstheme="minorEastAsia"/>
                <w:color w:val="auto"/>
                <w:highlight w:val="none"/>
              </w:rPr>
            </w:pPr>
          </w:p>
          <w:p w14:paraId="51BDD5F0">
            <w:pPr>
              <w:keepNext w:val="0"/>
              <w:keepLines w:val="0"/>
              <w:pageBreakBefore w:val="0"/>
              <w:kinsoku/>
              <w:wordWrap w:val="0"/>
              <w:overflowPunct/>
              <w:topLinePunct/>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1522C2A1">
            <w:pPr>
              <w:keepNext w:val="0"/>
              <w:keepLines w:val="0"/>
              <w:pageBreakBefore w:val="0"/>
              <w:kinsoku/>
              <w:wordWrap w:val="0"/>
              <w:overflowPunct/>
              <w:topLinePunct/>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3"/>
              <w:keepNext w:val="0"/>
              <w:keepLines w:val="0"/>
              <w:pageBreakBefore w:val="0"/>
              <w:kinsoku/>
              <w:wordWrap w:val="0"/>
              <w:overflowPunct/>
              <w:topLinePunct/>
              <w:bidi w:val="0"/>
              <w:spacing w:line="307" w:lineRule="auto"/>
              <w:jc w:val="center"/>
              <w:rPr>
                <w:rFonts w:hint="eastAsia" w:asciiTheme="minorEastAsia" w:hAnsiTheme="minorEastAsia" w:eastAsiaTheme="minorEastAsia" w:cstheme="minorEastAsia"/>
                <w:color w:val="auto"/>
                <w:highlight w:val="none"/>
              </w:rPr>
            </w:pPr>
          </w:p>
          <w:p w14:paraId="3D0892ED">
            <w:pPr>
              <w:pStyle w:val="33"/>
              <w:keepNext w:val="0"/>
              <w:keepLines w:val="0"/>
              <w:pageBreakBefore w:val="0"/>
              <w:kinsoku/>
              <w:wordWrap w:val="0"/>
              <w:overflowPunct/>
              <w:topLinePunct/>
              <w:bidi w:val="0"/>
              <w:spacing w:line="307" w:lineRule="auto"/>
              <w:jc w:val="center"/>
              <w:rPr>
                <w:rFonts w:hint="eastAsia" w:asciiTheme="minorEastAsia" w:hAnsiTheme="minorEastAsia" w:eastAsiaTheme="minorEastAsia" w:cstheme="minorEastAsia"/>
                <w:color w:val="auto"/>
                <w:highlight w:val="none"/>
              </w:rPr>
            </w:pPr>
          </w:p>
          <w:p w14:paraId="03C195C0">
            <w:pPr>
              <w:pStyle w:val="33"/>
              <w:keepNext w:val="0"/>
              <w:keepLines w:val="0"/>
              <w:pageBreakBefore w:val="0"/>
              <w:kinsoku/>
              <w:wordWrap w:val="0"/>
              <w:overflowPunct/>
              <w:topLinePunct/>
              <w:bidi w:val="0"/>
              <w:spacing w:line="307" w:lineRule="auto"/>
              <w:jc w:val="center"/>
              <w:rPr>
                <w:rFonts w:hint="eastAsia" w:asciiTheme="minorEastAsia" w:hAnsiTheme="minorEastAsia" w:eastAsiaTheme="minorEastAsia" w:cstheme="minorEastAsia"/>
                <w:color w:val="auto"/>
                <w:highlight w:val="none"/>
              </w:rPr>
            </w:pPr>
          </w:p>
          <w:p w14:paraId="71DEE443">
            <w:pPr>
              <w:pStyle w:val="33"/>
              <w:keepNext w:val="0"/>
              <w:keepLines w:val="0"/>
              <w:pageBreakBefore w:val="0"/>
              <w:kinsoku/>
              <w:wordWrap w:val="0"/>
              <w:overflowPunct/>
              <w:topLinePunct/>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4D8C2CDF">
            <w:pPr>
              <w:pStyle w:val="33"/>
              <w:keepNext w:val="0"/>
              <w:keepLines w:val="0"/>
              <w:pageBreakBefore w:val="0"/>
              <w:kinsoku/>
              <w:wordWrap w:val="0"/>
              <w:overflowPunct/>
              <w:topLinePunct/>
              <w:bidi w:val="0"/>
              <w:spacing w:line="296" w:lineRule="auto"/>
              <w:jc w:val="both"/>
              <w:rPr>
                <w:rFonts w:hint="eastAsia" w:asciiTheme="minorEastAsia" w:hAnsiTheme="minorEastAsia" w:eastAsiaTheme="minorEastAsia" w:cstheme="minorEastAsia"/>
                <w:color w:val="auto"/>
                <w:highlight w:val="none"/>
              </w:rPr>
            </w:pPr>
          </w:p>
          <w:p w14:paraId="17A63A4C">
            <w:pPr>
              <w:pStyle w:val="33"/>
              <w:keepNext w:val="0"/>
              <w:keepLines w:val="0"/>
              <w:pageBreakBefore w:val="0"/>
              <w:kinsoku/>
              <w:wordWrap w:val="0"/>
              <w:overflowPunct/>
              <w:topLinePunct/>
              <w:bidi w:val="0"/>
              <w:spacing w:line="296" w:lineRule="auto"/>
              <w:jc w:val="both"/>
              <w:rPr>
                <w:rFonts w:hint="eastAsia" w:asciiTheme="minorEastAsia" w:hAnsiTheme="minorEastAsia" w:eastAsiaTheme="minorEastAsia" w:cstheme="minorEastAsia"/>
                <w:color w:val="auto"/>
                <w:highlight w:val="none"/>
              </w:rPr>
            </w:pPr>
          </w:p>
          <w:p w14:paraId="5F75363B">
            <w:pPr>
              <w:pStyle w:val="33"/>
              <w:keepNext w:val="0"/>
              <w:keepLines w:val="0"/>
              <w:pageBreakBefore w:val="0"/>
              <w:kinsoku/>
              <w:wordWrap w:val="0"/>
              <w:overflowPunct/>
              <w:topLinePunct/>
              <w:bidi w:val="0"/>
              <w:spacing w:line="297" w:lineRule="auto"/>
              <w:jc w:val="both"/>
              <w:rPr>
                <w:rFonts w:hint="eastAsia" w:asciiTheme="minorEastAsia" w:hAnsiTheme="minorEastAsia" w:eastAsiaTheme="minorEastAsia" w:cstheme="minorEastAsia"/>
                <w:color w:val="auto"/>
                <w:highlight w:val="none"/>
              </w:rPr>
            </w:pPr>
          </w:p>
          <w:p w14:paraId="2AF5C095">
            <w:pPr>
              <w:keepNext w:val="0"/>
              <w:keepLines w:val="0"/>
              <w:pageBreakBefore w:val="0"/>
              <w:kinsoku/>
              <w:wordWrap w:val="0"/>
              <w:overflowPunct/>
              <w:topLinePunct/>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34E06A5E">
            <w:pPr>
              <w:keepNext w:val="0"/>
              <w:keepLines w:val="0"/>
              <w:pageBreakBefore w:val="0"/>
              <w:kinsoku/>
              <w:wordWrap w:val="0"/>
              <w:overflowPunct/>
              <w:topLinePunct/>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193D909">
            <w:pPr>
              <w:keepNext w:val="0"/>
              <w:keepLines w:val="0"/>
              <w:pageBreakBefore w:val="0"/>
              <w:widowControl/>
              <w:kinsoku/>
              <w:wordWrap w:val="0"/>
              <w:overflowPunct/>
              <w:topLinePunct/>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3"/>
              <w:keepNext w:val="0"/>
              <w:keepLines w:val="0"/>
              <w:pageBreakBefore w:val="0"/>
              <w:kinsoku/>
              <w:wordWrap w:val="0"/>
              <w:overflowPunct/>
              <w:topLinePunct/>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4B442EF2">
            <w:pPr>
              <w:keepNext w:val="0"/>
              <w:keepLines w:val="0"/>
              <w:pageBreakBefore w:val="0"/>
              <w:kinsoku/>
              <w:wordWrap w:val="0"/>
              <w:overflowPunct/>
              <w:topLinePunct/>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3"/>
              <w:keepNext w:val="0"/>
              <w:keepLines w:val="0"/>
              <w:pageBreakBefore w:val="0"/>
              <w:kinsoku/>
              <w:wordWrap w:val="0"/>
              <w:overflowPunct/>
              <w:topLinePunct/>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11D352C7">
            <w:pPr>
              <w:keepNext w:val="0"/>
              <w:keepLines w:val="0"/>
              <w:pageBreakBefore w:val="0"/>
              <w:kinsoku/>
              <w:wordWrap w:val="0"/>
              <w:overflowPunct/>
              <w:topLinePunct/>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7A65CD9F">
            <w:pPr>
              <w:keepNext w:val="0"/>
              <w:keepLines w:val="0"/>
              <w:pageBreakBefore w:val="0"/>
              <w:kinsoku/>
              <w:wordWrap w:val="0"/>
              <w:overflowPunct/>
              <w:topLinePunct/>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3"/>
              <w:keepNext w:val="0"/>
              <w:keepLines w:val="0"/>
              <w:pageBreakBefore w:val="0"/>
              <w:kinsoku/>
              <w:wordWrap w:val="0"/>
              <w:overflowPunct/>
              <w:topLinePunct/>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34019483">
            <w:pPr>
              <w:keepNext w:val="0"/>
              <w:keepLines w:val="0"/>
              <w:pageBreakBefore w:val="0"/>
              <w:kinsoku/>
              <w:wordWrap w:val="0"/>
              <w:overflowPunct/>
              <w:topLinePunct/>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07612F3F">
            <w:pPr>
              <w:keepNext w:val="0"/>
              <w:keepLines w:val="0"/>
              <w:pageBreakBefore w:val="0"/>
              <w:kinsoku/>
              <w:wordWrap w:val="0"/>
              <w:overflowPunct/>
              <w:topLinePunct/>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1803DC80">
      <w:pPr>
        <w:pStyle w:val="6"/>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p>
    <w:p w14:paraId="40826A13">
      <w:pPr>
        <w:pStyle w:val="6"/>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3C1215AE">
      <w:pPr>
        <w:pStyle w:val="6"/>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☑货物类，审查投标设备的技术指标、技术性能或产品技术说明、项目供货方案、售后服务方案、培训计划和强制节能产品证明文件等是否符合招标要求。</w:t>
      </w:r>
    </w:p>
    <w:p w14:paraId="1F307464">
      <w:pPr>
        <w:pStyle w:val="6"/>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□服务类，审查服务方案、人员配备方案及人员基本情况等是否符合招标要求。</w:t>
      </w:r>
    </w:p>
    <w:p w14:paraId="2B8A077E">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5A99B6D4">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3DDC55DC">
      <w:pPr>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6741698C">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4AE5B11E">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08088CDA">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w:t>
      </w:r>
    </w:p>
    <w:p w14:paraId="6B70B199">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4F8AB275">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5BE8585D">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5D0DD67E">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w:t>
      </w:r>
    </w:p>
    <w:p w14:paraId="3A0E32F6">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6977AE06">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3D189CC0">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435CA163">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20B188A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76E5082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7F58B9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5E38133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5042A88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3BBA2C0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4099366D">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5DD84D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64F7C92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5E3259B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643A223F">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1284905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78C9A64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EDDACC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3F42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61C9B2B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5C0E98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0233760B">
      <w:pPr>
        <w:pageBreakBefore w:val="0"/>
        <w:widowControl w:val="0"/>
        <w:kinsoku/>
        <w:overflowPunct/>
        <w:topLinePunct/>
        <w:bidi w:val="0"/>
        <w:jc w:val="center"/>
        <w:rPr>
          <w:rFonts w:hint="eastAsia"/>
          <w:color w:val="auto"/>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bidi w:val="0"/>
        <w:spacing w:before="39"/>
        <w:jc w:val="center"/>
        <w:rPr>
          <w:rFonts w:hint="eastAsia" w:asciiTheme="minorEastAsia" w:hAnsiTheme="minorEastAsia" w:eastAsiaTheme="minorEastAsia" w:cstheme="minorEastAsia"/>
          <w:color w:val="auto"/>
          <w:highlight w:val="none"/>
        </w:rPr>
      </w:pPr>
    </w:p>
    <w:tbl>
      <w:tblPr>
        <w:tblStyle w:val="22"/>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316"/>
        <w:gridCol w:w="6251"/>
      </w:tblGrid>
      <w:tr w14:paraId="3958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40" w:type="dxa"/>
            <w:vAlign w:val="center"/>
          </w:tcPr>
          <w:p w14:paraId="403E7CD1">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500" w:lineRule="exact"/>
              <w:ind w:left="0" w:right="0"/>
              <w:jc w:val="left"/>
              <w:rPr>
                <w:rFonts w:hint="default"/>
                <w:color w:val="auto"/>
                <w:highlight w:val="none"/>
                <w:vertAlign w:val="baseline"/>
              </w:rPr>
            </w:pPr>
            <w:r>
              <w:rPr>
                <w:rFonts w:hint="eastAsia" w:ascii="宋体" w:hAnsi="宋体" w:eastAsia="宋体" w:cs="宋体"/>
                <w:color w:val="auto"/>
                <w:sz w:val="24"/>
                <w:szCs w:val="24"/>
                <w:highlight w:val="none"/>
                <w:lang w:eastAsia="zh-CN"/>
              </w:rPr>
              <w:t>评审项</w:t>
            </w:r>
          </w:p>
        </w:tc>
        <w:tc>
          <w:tcPr>
            <w:tcW w:w="1316" w:type="dxa"/>
            <w:vAlign w:val="center"/>
          </w:tcPr>
          <w:p w14:paraId="44F7EB85">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500" w:lineRule="exact"/>
              <w:ind w:left="0" w:right="0"/>
              <w:jc w:val="both"/>
              <w:rPr>
                <w:rFonts w:hint="default"/>
                <w:color w:val="auto"/>
                <w:highlight w:val="none"/>
                <w:vertAlign w:val="baseline"/>
              </w:rPr>
            </w:pPr>
            <w:r>
              <w:rPr>
                <w:rFonts w:hint="eastAsia" w:ascii="宋体" w:hAnsi="宋体" w:eastAsia="宋体" w:cs="宋体"/>
                <w:color w:val="auto"/>
                <w:sz w:val="24"/>
                <w:szCs w:val="24"/>
                <w:highlight w:val="none"/>
                <w:lang w:eastAsia="zh-CN"/>
              </w:rPr>
              <w:t>分项名称</w:t>
            </w:r>
          </w:p>
        </w:tc>
        <w:tc>
          <w:tcPr>
            <w:tcW w:w="6251" w:type="dxa"/>
            <w:vAlign w:val="center"/>
          </w:tcPr>
          <w:p w14:paraId="40C66ED3">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500" w:lineRule="exact"/>
              <w:ind w:left="0" w:right="0" w:firstLine="480" w:firstLineChars="200"/>
              <w:jc w:val="both"/>
              <w:rPr>
                <w:rFonts w:hint="default"/>
                <w:color w:val="auto"/>
                <w:highlight w:val="none"/>
                <w:vertAlign w:val="baseline"/>
              </w:rPr>
            </w:pPr>
            <w:r>
              <w:rPr>
                <w:rFonts w:hint="eastAsia" w:ascii="宋体" w:hAnsi="宋体" w:eastAsia="宋体" w:cs="宋体"/>
                <w:color w:val="auto"/>
                <w:sz w:val="24"/>
                <w:szCs w:val="24"/>
                <w:highlight w:val="none"/>
                <w:lang w:eastAsia="zh-CN"/>
              </w:rPr>
              <w:t>评审因素</w:t>
            </w:r>
          </w:p>
        </w:tc>
      </w:tr>
      <w:tr w14:paraId="2A7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40" w:type="dxa"/>
            <w:shd w:val="clear" w:color="auto" w:fill="auto"/>
            <w:vAlign w:val="center"/>
          </w:tcPr>
          <w:p w14:paraId="49F03ED0">
            <w:pPr>
              <w:pStyle w:val="41"/>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分值</w:t>
            </w:r>
          </w:p>
          <w:p w14:paraId="3FDBC8A1">
            <w:pPr>
              <w:pStyle w:val="41"/>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构成</w:t>
            </w:r>
          </w:p>
        </w:tc>
        <w:tc>
          <w:tcPr>
            <w:tcW w:w="7567" w:type="dxa"/>
            <w:gridSpan w:val="2"/>
            <w:shd w:val="clear" w:color="auto" w:fill="auto"/>
            <w:vAlign w:val="center"/>
          </w:tcPr>
          <w:p w14:paraId="5918C5C3">
            <w:pPr>
              <w:keepNext w:val="0"/>
              <w:keepLines w:val="0"/>
              <w:pageBreakBefore w:val="0"/>
              <w:widowControl w:val="0"/>
              <w:suppressLineNumbers w:val="0"/>
              <w:kinsoku/>
              <w:overflowPunct/>
              <w:topLinePunct/>
              <w:autoSpaceDE/>
              <w:autoSpaceDN/>
              <w:bidi w:val="0"/>
              <w:adjustRightInd/>
              <w:snapToGrid/>
              <w:spacing w:before="0" w:beforeAutospacing="0" w:after="0" w:afterAutospacing="0" w:line="500" w:lineRule="exact"/>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报价得分30.0分</w:t>
            </w:r>
          </w:p>
          <w:p w14:paraId="5AED9DC4">
            <w:pPr>
              <w:pStyle w:val="41"/>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技术部分50.0分</w:t>
            </w:r>
          </w:p>
          <w:p w14:paraId="477FA916">
            <w:pPr>
              <w:pStyle w:val="41"/>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综合部分20.0分</w:t>
            </w:r>
          </w:p>
          <w:p w14:paraId="6A9D4888">
            <w:pPr>
              <w:pStyle w:val="41"/>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color w:val="auto"/>
                <w:sz w:val="20"/>
                <w:szCs w:val="20"/>
                <w:highlight w:val="none"/>
                <w:lang w:val="en-US" w:eastAsia="zh-CN"/>
              </w:rPr>
            </w:pPr>
          </w:p>
        </w:tc>
      </w:tr>
      <w:tr w14:paraId="6F5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40" w:type="dxa"/>
            <w:vAlign w:val="center"/>
          </w:tcPr>
          <w:p w14:paraId="21F158F1">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报价</w:t>
            </w:r>
          </w:p>
          <w:p w14:paraId="3ABD56E6">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部分</w:t>
            </w:r>
          </w:p>
          <w:p w14:paraId="70B5FADE">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30分</w:t>
            </w:r>
          </w:p>
        </w:tc>
        <w:tc>
          <w:tcPr>
            <w:tcW w:w="1316" w:type="dxa"/>
            <w:vAlign w:val="center"/>
          </w:tcPr>
          <w:p w14:paraId="5606BB08">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投标报价（30分）</w:t>
            </w:r>
          </w:p>
        </w:tc>
        <w:tc>
          <w:tcPr>
            <w:tcW w:w="6251" w:type="dxa"/>
            <w:vAlign w:val="center"/>
          </w:tcPr>
          <w:p w14:paraId="46A38E77">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满足招标文件要求且投标价格最低的投标报价为评标基准价，其价格分为满分30分，其他投标人的价格分按照下列公式计算： </w:t>
            </w:r>
          </w:p>
          <w:p w14:paraId="452FC7A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报价得分=（评标基准价/投标报价）×30%×100 </w:t>
            </w:r>
          </w:p>
          <w:p w14:paraId="027D5C45">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评标委员会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评标委员会应当将其作为无效投标处理。</w:t>
            </w:r>
          </w:p>
          <w:p w14:paraId="043C7A57">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color w:val="auto"/>
                <w:highlight w:val="none"/>
              </w:rPr>
            </w:pPr>
          </w:p>
        </w:tc>
      </w:tr>
      <w:tr w14:paraId="7724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40" w:type="dxa"/>
            <w:vMerge w:val="restart"/>
            <w:vAlign w:val="center"/>
          </w:tcPr>
          <w:p w14:paraId="03A7D456">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p w14:paraId="20D39D09">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lang w:val="en-US" w:eastAsia="en-US"/>
              </w:rPr>
            </w:pPr>
          </w:p>
          <w:p w14:paraId="3E61CD31">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en-US" w:bidi="ar-SA"/>
              </w:rPr>
            </w:pPr>
          </w:p>
          <w:p w14:paraId="4C3FE259">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技术</w:t>
            </w:r>
          </w:p>
          <w:p w14:paraId="37FCBA77">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部分</w:t>
            </w:r>
          </w:p>
          <w:p w14:paraId="3460EC65">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50分</w:t>
            </w:r>
          </w:p>
          <w:p w14:paraId="254C3B59">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eastAsia="宋体"/>
                <w:color w:val="auto"/>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此项暗标评审，暗标编制要求格式详见“第三章投标人须知 10.4技术标文件制作要求”</w:t>
            </w:r>
          </w:p>
        </w:tc>
        <w:tc>
          <w:tcPr>
            <w:tcW w:w="1316" w:type="dxa"/>
            <w:vAlign w:val="center"/>
          </w:tcPr>
          <w:p w14:paraId="0657CDCA">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r>
              <w:rPr>
                <w:rFonts w:hint="eastAsia" w:ascii="宋体" w:hAnsi="宋体" w:eastAsia="宋体" w:cs="宋体"/>
                <w:b w:val="0"/>
                <w:bCs w:val="0"/>
                <w:snapToGrid w:val="0"/>
                <w:color w:val="auto"/>
                <w:kern w:val="2"/>
                <w:sz w:val="24"/>
                <w:szCs w:val="24"/>
                <w:highlight w:val="none"/>
                <w:lang w:val="en-US" w:eastAsia="zh-CN" w:bidi="ar-SA"/>
              </w:rPr>
              <w:t>投标产品技术响应（5分）</w:t>
            </w:r>
          </w:p>
        </w:tc>
        <w:tc>
          <w:tcPr>
            <w:tcW w:w="6251" w:type="dxa"/>
            <w:vAlign w:val="center"/>
          </w:tcPr>
          <w:p w14:paraId="13E432E8">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投标货物对照采购需求中所列的技术要求，完全满足技术要求的，得5分。每有一项响应指标不满足或负偏离的扣0.5分，扣完为止。最高得5分，最低得0分。</w:t>
            </w:r>
          </w:p>
        </w:tc>
      </w:tr>
      <w:tr w14:paraId="592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040" w:type="dxa"/>
            <w:vMerge w:val="continue"/>
            <w:vAlign w:val="center"/>
          </w:tcPr>
          <w:p w14:paraId="0AE1F78C">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7503059F">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r>
              <w:rPr>
                <w:rFonts w:hint="eastAsia" w:ascii="宋体" w:hAnsi="宋体" w:cs="宋体"/>
                <w:b w:val="0"/>
                <w:bCs w:val="0"/>
                <w:snapToGrid w:val="0"/>
                <w:color w:val="auto"/>
                <w:kern w:val="2"/>
                <w:sz w:val="24"/>
                <w:szCs w:val="24"/>
                <w:highlight w:val="none"/>
                <w:lang w:val="en-US" w:eastAsia="zh-CN" w:bidi="ar-SA"/>
              </w:rPr>
              <w:t>供货方案（9分）</w:t>
            </w:r>
          </w:p>
        </w:tc>
        <w:tc>
          <w:tcPr>
            <w:tcW w:w="6251" w:type="dxa"/>
            <w:vAlign w:val="center"/>
          </w:tcPr>
          <w:p w14:paraId="1D6FF916">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供货方案内容包括产品选型、详细的供货、组织协调计划、人员配备、供货保证措施等方面。</w:t>
            </w:r>
          </w:p>
          <w:p w14:paraId="6EE86DA7">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第一档：根据采购人实际需求，产品选型为主流产品，有详细的供货、组织协调计划，人员配备充足，供货保证措施明确具体的，得9分；</w:t>
            </w:r>
          </w:p>
          <w:p w14:paraId="0380621B">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第二档：根据采购人实际需求，产品选型能满足需求，供货、组织协调计划基本合理，人员配备能满足供货要求，供货保证措施基本可行，但供货方案部分内容表述不详细具体的，得6分；</w:t>
            </w:r>
          </w:p>
          <w:p w14:paraId="666103F5">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第三档：产品选型能满足使用要求，但方案有缺陷或总体针对性不强的，得3分；</w:t>
            </w:r>
          </w:p>
          <w:p w14:paraId="6A778BD8">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第四档：供货方案部分内容有缺项的，得1分；</w:t>
            </w:r>
          </w:p>
          <w:p w14:paraId="11F5720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第五档：没有不得分。</w:t>
            </w:r>
          </w:p>
        </w:tc>
      </w:tr>
      <w:tr w14:paraId="1F81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1040" w:type="dxa"/>
            <w:vMerge w:val="continue"/>
            <w:vAlign w:val="center"/>
          </w:tcPr>
          <w:p w14:paraId="2AC78094">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794F4D48">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实施方案</w:t>
            </w:r>
            <w:r>
              <w:rPr>
                <w:rFonts w:hint="eastAsia" w:ascii="宋体" w:hAnsi="宋体" w:eastAsia="宋体" w:cs="宋体"/>
                <w:b w:val="0"/>
                <w:bCs w:val="0"/>
                <w:snapToGrid w:val="0"/>
                <w:color w:val="auto"/>
                <w:kern w:val="2"/>
                <w:sz w:val="24"/>
                <w:szCs w:val="24"/>
                <w:highlight w:val="none"/>
                <w:lang w:val="en-US" w:eastAsia="zh-CN" w:bidi="ar-SA"/>
              </w:rPr>
              <w:t>（10分）</w:t>
            </w:r>
          </w:p>
        </w:tc>
        <w:tc>
          <w:tcPr>
            <w:tcW w:w="6251" w:type="dxa"/>
            <w:vAlign w:val="center"/>
          </w:tcPr>
          <w:p w14:paraId="1D6A8DE2">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投标人针对采购需求并结合地域、人员、仪器设备等情况提供完整的实施方案。</w:t>
            </w:r>
          </w:p>
          <w:p w14:paraId="1CD3AE83">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第一档：实施方案按照采购需求响应，方案明确、细致、合理，安排明确的，得10分。 </w:t>
            </w:r>
          </w:p>
          <w:p w14:paraId="0865BFF1">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第二档：实施方案按照采购需求响应，方案较为明确、细致、合理，安排明确的，得7分。 </w:t>
            </w:r>
          </w:p>
          <w:p w14:paraId="157B3C4E">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第三档：实施方案按照采购需求响应，方案不明确、细致、合理，安排不明确的，得4分。</w:t>
            </w:r>
          </w:p>
          <w:p w14:paraId="168A491B">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w:t>
            </w:r>
            <w:r>
              <w:rPr>
                <w:rFonts w:hint="eastAsia" w:ascii="宋体" w:hAnsi="宋体" w:eastAsia="宋体" w:cs="宋体"/>
                <w:b w:val="0"/>
                <w:bCs w:val="0"/>
                <w:color w:val="auto"/>
                <w:sz w:val="24"/>
                <w:szCs w:val="24"/>
                <w:highlight w:val="none"/>
                <w:lang w:val="en-US" w:eastAsia="zh-CN"/>
              </w:rPr>
              <w:t>实施方案</w:t>
            </w:r>
            <w:r>
              <w:rPr>
                <w:rFonts w:hint="eastAsia" w:ascii="宋体" w:hAnsi="宋体" w:eastAsia="宋体" w:cs="宋体"/>
                <w:b w:val="0"/>
                <w:bCs w:val="0"/>
                <w:snapToGrid w:val="0"/>
                <w:color w:val="auto"/>
                <w:kern w:val="2"/>
                <w:sz w:val="24"/>
                <w:szCs w:val="24"/>
                <w:highlight w:val="none"/>
                <w:lang w:val="en-US" w:eastAsia="zh-CN" w:bidi="ar-SA"/>
              </w:rPr>
              <w:t>部分内容有缺项的，得1分；</w:t>
            </w:r>
          </w:p>
          <w:p w14:paraId="710CB80D">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第五档：没有不得分。</w:t>
            </w:r>
          </w:p>
        </w:tc>
      </w:tr>
      <w:tr w14:paraId="6415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40" w:type="dxa"/>
            <w:vMerge w:val="continue"/>
            <w:vAlign w:val="center"/>
          </w:tcPr>
          <w:p w14:paraId="5EDB1CFC">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004592DA">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运维方案（9分）</w:t>
            </w:r>
          </w:p>
        </w:tc>
        <w:tc>
          <w:tcPr>
            <w:tcW w:w="6251" w:type="dxa"/>
            <w:vAlign w:val="center"/>
          </w:tcPr>
          <w:p w14:paraId="75AE99DB">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投标人针对采购需求并结合地域、人员、仪器设备等情况提供完整的运维方案，包括但不限于：</w:t>
            </w:r>
          </w:p>
          <w:p w14:paraId="5571799C">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第一档：运维方案按照采购需求响应，方案明确、细致、合理，安排明确的，得9分。</w:t>
            </w:r>
          </w:p>
          <w:p w14:paraId="4AE5C4C7">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第二档：运维方案按照采购需求响应，方案较为明确、细致、合理，安排明确的，得6分。</w:t>
            </w:r>
          </w:p>
          <w:p w14:paraId="62F86E3E">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第三档：运维方案按照采购需求响应，方案不明确、细致、合理，安排不明确的，得3分。</w:t>
            </w:r>
          </w:p>
          <w:p w14:paraId="79BF67D8">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w:t>
            </w:r>
            <w:r>
              <w:rPr>
                <w:rFonts w:hint="eastAsia" w:ascii="宋体" w:hAnsi="宋体" w:eastAsia="宋体" w:cs="宋体"/>
                <w:b w:val="0"/>
                <w:bCs w:val="0"/>
                <w:color w:val="auto"/>
                <w:sz w:val="24"/>
                <w:szCs w:val="24"/>
                <w:highlight w:val="none"/>
                <w:lang w:val="en-US" w:eastAsia="zh-CN"/>
              </w:rPr>
              <w:t>运维方案</w:t>
            </w:r>
            <w:r>
              <w:rPr>
                <w:rFonts w:hint="eastAsia" w:ascii="宋体" w:hAnsi="宋体" w:eastAsia="宋体" w:cs="宋体"/>
                <w:b w:val="0"/>
                <w:bCs w:val="0"/>
                <w:snapToGrid w:val="0"/>
                <w:color w:val="auto"/>
                <w:kern w:val="2"/>
                <w:sz w:val="24"/>
                <w:szCs w:val="24"/>
                <w:highlight w:val="none"/>
                <w:lang w:val="en-US" w:eastAsia="zh-CN" w:bidi="ar-SA"/>
              </w:rPr>
              <w:t>部分内容有缺项的，得1分；</w:t>
            </w:r>
          </w:p>
          <w:p w14:paraId="1C0059A2">
            <w:pPr>
              <w:pStyle w:val="6"/>
              <w:keepNext w:val="0"/>
              <w:keepLines w:val="0"/>
              <w:pageBreakBefore w:val="0"/>
              <w:widowControl w:val="0"/>
              <w:suppressLineNumbers w:val="0"/>
              <w:kinsoku/>
              <w:overflowPunct/>
              <w:topLinePunct/>
              <w:bidi w:val="0"/>
              <w:spacing w:before="0" w:beforeAutospacing="0" w:after="0" w:afterAutospacing="0"/>
              <w:ind w:left="0" w:right="0"/>
              <w:rPr>
                <w:rFonts w:hint="eastAsia"/>
                <w:color w:val="auto"/>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第五档：没有不得分。</w:t>
            </w:r>
          </w:p>
        </w:tc>
      </w:tr>
      <w:tr w14:paraId="5EC5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dxa"/>
            <w:vMerge w:val="continue"/>
            <w:vAlign w:val="center"/>
          </w:tcPr>
          <w:p w14:paraId="77B98323">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shd w:val="clear" w:color="auto" w:fill="auto"/>
            <w:vAlign w:val="center"/>
          </w:tcPr>
          <w:p w14:paraId="309589F8">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售后服务方案</w:t>
            </w:r>
            <w:r>
              <w:rPr>
                <w:rFonts w:hint="eastAsia" w:ascii="宋体" w:hAnsi="宋体" w:eastAsia="宋体" w:cs="宋体"/>
                <w:b w:val="0"/>
                <w:bCs w:val="0"/>
                <w:snapToGrid w:val="0"/>
                <w:color w:val="auto"/>
                <w:kern w:val="2"/>
                <w:sz w:val="24"/>
                <w:szCs w:val="24"/>
                <w:highlight w:val="none"/>
                <w:lang w:val="en-US" w:eastAsia="zh-CN" w:bidi="ar-SA"/>
              </w:rPr>
              <w:t>（9分）</w:t>
            </w:r>
          </w:p>
        </w:tc>
        <w:tc>
          <w:tcPr>
            <w:tcW w:w="6251" w:type="dxa"/>
            <w:shd w:val="clear" w:color="auto" w:fill="auto"/>
            <w:vAlign w:val="center"/>
          </w:tcPr>
          <w:p w14:paraId="6B9A7BE3">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售后服务内容（包括常见性故障提供解决方案、维修保养服务体系、质保期内及质保期外所能提供的免费服务及收费服务内容，产品调试退换货的方案及措施等方面）</w:t>
            </w:r>
          </w:p>
          <w:p w14:paraId="00D689A0">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第一档：售后服务方案、措施及承诺全面，可实施性强，日常维修响应时间和承诺合理，有合理、详细的设备退换货方案及措施，能较好的满足本项目要求的，得9分； </w:t>
            </w:r>
          </w:p>
          <w:p w14:paraId="1D7D18F3">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第二档：售后服务方案、措施及承诺合理，但总体不够详细具体的，得6分；</w:t>
            </w:r>
          </w:p>
          <w:p w14:paraId="3B9204A1">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第三档：售后服务方案一般，内容有缺陷或针对性不强的，得3分；</w:t>
            </w:r>
          </w:p>
          <w:p w14:paraId="4E20079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第四档：售后服务方案内容有缺项的，得1分；</w:t>
            </w:r>
          </w:p>
          <w:p w14:paraId="10CB3453">
            <w:pPr>
              <w:keepNext w:val="0"/>
              <w:keepLines w:val="0"/>
              <w:pageBreakBefore w:val="0"/>
              <w:widowControl w:val="0"/>
              <w:suppressLineNumbers w:val="0"/>
              <w:kinsoku/>
              <w:overflowPunct/>
              <w:topLinePunct/>
              <w:bidi w:val="0"/>
              <w:spacing w:before="0" w:beforeAutospacing="0" w:after="0" w:afterAutospacing="0"/>
              <w:ind w:left="0" w:leftChars="0" w:right="0" w:rightChars="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第五档：没有不得分。</w:t>
            </w:r>
          </w:p>
        </w:tc>
      </w:tr>
      <w:tr w14:paraId="57FE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040" w:type="dxa"/>
            <w:vMerge w:val="continue"/>
            <w:vAlign w:val="center"/>
          </w:tcPr>
          <w:p w14:paraId="3573705E">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shd w:val="clear" w:color="auto" w:fill="auto"/>
            <w:vAlign w:val="center"/>
          </w:tcPr>
          <w:p w14:paraId="5B2C8298">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应急方案（5分）</w:t>
            </w:r>
          </w:p>
        </w:tc>
        <w:tc>
          <w:tcPr>
            <w:tcW w:w="6251" w:type="dxa"/>
            <w:shd w:val="clear" w:color="auto" w:fill="auto"/>
            <w:vAlign w:val="center"/>
          </w:tcPr>
          <w:p w14:paraId="79754C8B">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投标人应针对天气、降水量、河流（湖库）水位等情况制定应急方案。应急方案应包含遇到不同情况下的处理流程、措施、应对方法等内容。</w:t>
            </w:r>
          </w:p>
          <w:p w14:paraId="1C29943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第一档：方案编制完整，切实有效可行的，得5分；</w:t>
            </w:r>
          </w:p>
          <w:p w14:paraId="1731761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第二档：方案编制基本完整，有效可行的，得3分；</w:t>
            </w:r>
          </w:p>
          <w:p w14:paraId="2DF47039">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第三档：方案编制不完整，流程步骤不明确，得1分；</w:t>
            </w:r>
          </w:p>
          <w:p w14:paraId="2BD2B6BC">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第四档：没有不得分。</w:t>
            </w:r>
          </w:p>
        </w:tc>
      </w:tr>
      <w:tr w14:paraId="58C1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040" w:type="dxa"/>
            <w:vMerge w:val="continue"/>
            <w:vAlign w:val="center"/>
          </w:tcPr>
          <w:p w14:paraId="3909EDDD">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shd w:val="clear" w:color="auto" w:fill="auto"/>
            <w:vAlign w:val="center"/>
          </w:tcPr>
          <w:p w14:paraId="09F239F9">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培训方案（3分）</w:t>
            </w:r>
          </w:p>
        </w:tc>
        <w:tc>
          <w:tcPr>
            <w:tcW w:w="6251" w:type="dxa"/>
            <w:shd w:val="clear" w:color="auto" w:fill="auto"/>
            <w:vAlign w:val="center"/>
          </w:tcPr>
          <w:p w14:paraId="5BE6D640">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根据本项目情况提供培训方案。</w:t>
            </w:r>
          </w:p>
          <w:p w14:paraId="3095EC16">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第一档：方案科学、可行性强、针对性强得3分；</w:t>
            </w:r>
          </w:p>
          <w:p w14:paraId="18412E0C">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第二档：方案基本科学、可行，针对性一般得1分；</w:t>
            </w:r>
          </w:p>
          <w:p w14:paraId="4C880AAE">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color w:val="auto"/>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第三档：没有不得分。</w:t>
            </w:r>
          </w:p>
        </w:tc>
      </w:tr>
      <w:tr w14:paraId="1C05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040" w:type="dxa"/>
            <w:vMerge w:val="restart"/>
            <w:vAlign w:val="center"/>
          </w:tcPr>
          <w:p w14:paraId="464EBF3B">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综合</w:t>
            </w:r>
          </w:p>
          <w:p w14:paraId="28452F75">
            <w:pPr>
              <w:keepNext w:val="0"/>
              <w:keepLines w:val="0"/>
              <w:pageBreakBefore w:val="0"/>
              <w:widowControl w:val="0"/>
              <w:suppressLineNumbers w:val="0"/>
              <w:kinsoku/>
              <w:overflowPunct/>
              <w:topLinePunct/>
              <w:bidi w:val="0"/>
              <w:spacing w:before="0" w:beforeAutospacing="0" w:after="0" w:afterAutospacing="0"/>
              <w:ind w:left="0" w:right="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实力</w:t>
            </w:r>
          </w:p>
          <w:p w14:paraId="7317A7B9">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eastAsia="宋体"/>
                <w:color w:val="auto"/>
                <w:highlight w:val="none"/>
                <w:vertAlign w:val="baseli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20分</w:t>
            </w:r>
          </w:p>
        </w:tc>
        <w:tc>
          <w:tcPr>
            <w:tcW w:w="1316" w:type="dxa"/>
            <w:vAlign w:val="center"/>
          </w:tcPr>
          <w:p w14:paraId="1F66B9D2">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信用评价（2分）</w:t>
            </w:r>
          </w:p>
        </w:tc>
        <w:tc>
          <w:tcPr>
            <w:tcW w:w="6251" w:type="dxa"/>
            <w:vAlign w:val="center"/>
          </w:tcPr>
          <w:p w14:paraId="7585B80E">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根据《南阳市政府采购信用评价实施办法》，投标人登录“南阳市政府采购信用管理系统”打印并提交《南阳市政府采购供应商信用记录表》，诚信评价为三星级的加 1 分，四星级的加 2 分，其他不得分；</w:t>
            </w:r>
          </w:p>
        </w:tc>
      </w:tr>
      <w:tr w14:paraId="7B8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040" w:type="dxa"/>
            <w:vMerge w:val="continue"/>
            <w:vAlign w:val="center"/>
          </w:tcPr>
          <w:p w14:paraId="03B5C321">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2244A058">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企业业绩（4分）</w:t>
            </w:r>
          </w:p>
        </w:tc>
        <w:tc>
          <w:tcPr>
            <w:tcW w:w="6251" w:type="dxa"/>
            <w:vAlign w:val="center"/>
          </w:tcPr>
          <w:p w14:paraId="64D77708">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投标人提供自2021年1月1日以来（以合同签署日期为准）具有市级以上（含市级）水质自动监测类似业绩的，每提供1份业绩得2分，本项最高得4分。</w:t>
            </w:r>
          </w:p>
          <w:p w14:paraId="2B4E378A">
            <w:pPr>
              <w:keepNext w:val="0"/>
              <w:keepLines w:val="0"/>
              <w:pageBreakBefore w:val="0"/>
              <w:widowControl w:val="0"/>
              <w:numPr>
                <w:ilvl w:val="0"/>
                <w:numId w:val="0"/>
              </w:numPr>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注：需提供中标通知书、合同原件扫描件、中标公示公告页截图；单个合同需同时包含建设和运维。提供证明材料复印件并加盖公章，其他不得分。</w:t>
            </w:r>
          </w:p>
        </w:tc>
      </w:tr>
      <w:tr w14:paraId="6935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trPr>
        <w:tc>
          <w:tcPr>
            <w:tcW w:w="1040" w:type="dxa"/>
            <w:vMerge w:val="continue"/>
            <w:vAlign w:val="center"/>
          </w:tcPr>
          <w:p w14:paraId="4903E8AF">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52FB8F7C">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人员配备（5分）</w:t>
            </w:r>
          </w:p>
        </w:tc>
        <w:tc>
          <w:tcPr>
            <w:tcW w:w="6251" w:type="dxa"/>
            <w:vAlign w:val="center"/>
          </w:tcPr>
          <w:p w14:paraId="6ECA4CAB">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（1）拟安排的项目负责人具有高级技术职称的得2分；项目负责人具有中级技术职称的得1分；其他得0分，本项最高得2分。 </w:t>
            </w:r>
          </w:p>
          <w:p w14:paraId="661BA0B4">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（2）运维人员须具备环境或化学类相关专业，且具备“国家地表水环境质量监测技术与运维管理培训合格证”，提供1名得1.5分，本项最高得3分。</w:t>
            </w:r>
          </w:p>
          <w:p w14:paraId="257ACE6F">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注：提供投标人为其缴纳的社保缴费证明、有效期内职称证书、培训合格证、毕业证或学历证证明材料。新成立企业距响应文件提交截止日期不足30日的，可提供劳动合同，不提供缴纳社保的证明（以新办企业营业执照发放日期为准）</w:t>
            </w:r>
          </w:p>
        </w:tc>
      </w:tr>
      <w:tr w14:paraId="1607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040" w:type="dxa"/>
            <w:vMerge w:val="continue"/>
            <w:vAlign w:val="center"/>
          </w:tcPr>
          <w:p w14:paraId="10515719">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3C3EA9E5">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履约能力（3分）</w:t>
            </w:r>
          </w:p>
        </w:tc>
        <w:tc>
          <w:tcPr>
            <w:tcW w:w="6251" w:type="dxa"/>
            <w:vAlign w:val="center"/>
          </w:tcPr>
          <w:p w14:paraId="1B5410AE">
            <w:pPr>
              <w:keepNext w:val="0"/>
              <w:keepLines w:val="0"/>
              <w:pageBreakBefore w:val="0"/>
              <w:widowControl w:val="0"/>
              <w:suppressLineNumbers w:val="0"/>
              <w:kinsoku/>
              <w:overflowPunct/>
              <w:topLinePunct/>
              <w:bidi w:val="0"/>
              <w:spacing w:before="0" w:beforeAutospacing="0" w:after="0" w:afterAutospacing="0"/>
              <w:ind w:left="0" w:right="0"/>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具有有效期内的质量管理体系认证证书、环境管理体系认证证书、职业健康安全管理体系认证证书、信息安全管理体系认证证书、信息技术服务管理体系认证证书，本项最高得3分，每缺少一个证书扣1分，扣完为止。最高得3分，最低得0分。 提供证书复印件和全国认证认可信息公共服务平台网上查询截图并加盖公章，证书须在有效期内，不提供则相应项不得分。</w:t>
            </w:r>
          </w:p>
        </w:tc>
      </w:tr>
      <w:tr w14:paraId="6857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040" w:type="dxa"/>
            <w:vAlign w:val="center"/>
          </w:tcPr>
          <w:p w14:paraId="3C377D7E">
            <w:pPr>
              <w:keepNext w:val="0"/>
              <w:keepLines w:val="0"/>
              <w:pageBreakBefore w:val="0"/>
              <w:widowControl w:val="0"/>
              <w:suppressLineNumbers w:val="0"/>
              <w:kinsoku/>
              <w:overflowPunct/>
              <w:topLinePunct/>
              <w:bidi w:val="0"/>
              <w:spacing w:before="0" w:beforeAutospacing="0" w:after="0" w:afterAutospacing="0"/>
              <w:ind w:left="0" w:right="0"/>
              <w:jc w:val="left"/>
              <w:rPr>
                <w:rFonts w:hint="default"/>
                <w:color w:val="auto"/>
                <w:highlight w:val="none"/>
                <w:vertAlign w:val="baseline"/>
              </w:rPr>
            </w:pPr>
          </w:p>
        </w:tc>
        <w:tc>
          <w:tcPr>
            <w:tcW w:w="1316" w:type="dxa"/>
            <w:vAlign w:val="center"/>
          </w:tcPr>
          <w:p w14:paraId="051D7302">
            <w:pPr>
              <w:keepNext w:val="0"/>
              <w:keepLines w:val="0"/>
              <w:pageBreakBefore w:val="0"/>
              <w:widowControl w:val="0"/>
              <w:suppressLineNumbers w:val="0"/>
              <w:kinsoku/>
              <w:overflowPunct/>
              <w:topLinePunct/>
              <w:bidi w:val="0"/>
              <w:spacing w:before="0" w:beforeAutospacing="0" w:after="0" w:afterAutospacing="0"/>
              <w:ind w:left="0" w:right="0"/>
              <w:jc w:val="both"/>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优惠服务承诺（6分）</w:t>
            </w:r>
          </w:p>
        </w:tc>
        <w:tc>
          <w:tcPr>
            <w:tcW w:w="6251" w:type="dxa"/>
            <w:vAlign w:val="center"/>
          </w:tcPr>
          <w:p w14:paraId="7294E6E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0" w:right="0"/>
              <w:jc w:val="both"/>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投标人提出的优惠条件和承诺情况，及其可实现程度等。</w:t>
            </w:r>
          </w:p>
          <w:p w14:paraId="120F46C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0" w:right="0"/>
              <w:jc w:val="both"/>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第一档：内容详实，科学、合理，针对性强，得6分；</w:t>
            </w:r>
          </w:p>
          <w:p w14:paraId="4112C79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0" w:right="0"/>
              <w:jc w:val="both"/>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第二档：内容完整，较科学、合理，针对较强，得4分；</w:t>
            </w:r>
          </w:p>
          <w:p w14:paraId="4345C2C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0" w:right="0"/>
              <w:jc w:val="both"/>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第三档：内容基本完整，针对性一般，得2分；</w:t>
            </w:r>
          </w:p>
          <w:p w14:paraId="59944F0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0" w:right="0"/>
              <w:jc w:val="both"/>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第四档：没有不得分。</w:t>
            </w:r>
          </w:p>
        </w:tc>
      </w:tr>
    </w:tbl>
    <w:p w14:paraId="5A9836C5">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11C874C3">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1A0DBBA4">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506D05EB">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1CCE1BB7">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0ED0A623">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50046CB2">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118046B5">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0528BF6D">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290C6CC5">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77DA04E4">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CB4567E">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22ABA222">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4E51F846">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73B5C10">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7DB0AE5E">
      <w:pPr>
        <w:pStyle w:val="31"/>
        <w:keepNext w:val="0"/>
        <w:keepLines w:val="0"/>
        <w:pageBreakBefore w:val="0"/>
        <w:kinsoku/>
        <w:wordWrap w:val="0"/>
        <w:overflowPunct/>
        <w:topLinePunct/>
        <w:bidi w:val="0"/>
        <w:jc w:val="both"/>
        <w:rPr>
          <w:rFonts w:hint="eastAsia"/>
          <w:color w:val="auto"/>
          <w:highlight w:val="none"/>
          <w:lang w:val="en-US" w:eastAsia="zh-CN"/>
        </w:rPr>
        <w:sectPr>
          <w:footerReference r:id="rId6" w:type="default"/>
          <w:pgSz w:w="11907" w:h="16840"/>
          <w:pgMar w:top="1440" w:right="1800" w:bottom="1440" w:left="1800" w:header="878" w:footer="886" w:gutter="0"/>
          <w:pgBorders>
            <w:top w:val="none" w:sz="0" w:space="0"/>
            <w:left w:val="none" w:sz="0" w:space="0"/>
            <w:bottom w:val="none" w:sz="0" w:space="0"/>
            <w:right w:val="none" w:sz="0" w:space="0"/>
          </w:pgBorders>
          <w:pgNumType w:fmt="decimal" w:start="1"/>
          <w:cols w:space="720" w:num="1"/>
        </w:sectPr>
      </w:pPr>
    </w:p>
    <w:p w14:paraId="1667603F">
      <w:pPr>
        <w:pStyle w:val="6"/>
        <w:keepNext w:val="0"/>
        <w:keepLines w:val="0"/>
        <w:pageBreakBefore w:val="0"/>
        <w:kinsoku/>
        <w:wordWrap w:val="0"/>
        <w:overflowPunct/>
        <w:topLinePunct/>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76C2CE67">
      <w:pPr>
        <w:pStyle w:val="31"/>
        <w:pageBreakBefore w:val="0"/>
        <w:kinsoku/>
        <w:overflowPunct/>
        <w:topLinePunct/>
        <w:bidi w:val="0"/>
        <w:jc w:val="both"/>
        <w:rPr>
          <w:rFonts w:hint="eastAsia"/>
          <w:color w:val="auto"/>
          <w:highlight w:val="none"/>
        </w:rPr>
      </w:pPr>
    </w:p>
    <w:p w14:paraId="197CAC55">
      <w:pPr>
        <w:pStyle w:val="6"/>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说明：</w:t>
      </w:r>
    </w:p>
    <w:p w14:paraId="08E1189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1.合同类型按照</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2</w:t>
      </w:r>
      <w:r>
        <w:rPr>
          <w:rFonts w:hint="eastAsia" w:asciiTheme="minorEastAsia" w:hAnsiTheme="minorEastAsia" w:eastAsiaTheme="minorEastAsia" w:cstheme="minorEastAsia"/>
          <w:color w:val="auto"/>
          <w:spacing w:val="-13"/>
          <w:sz w:val="24"/>
          <w:szCs w:val="24"/>
          <w:highlight w:val="none"/>
        </w:rPr>
        <w:t>.合同条款中应规定，乙方完全遵守《中华人民共和国妇女权益保障法》中关于劳动和社会保障权益的有关要求。</w:t>
      </w:r>
    </w:p>
    <w:p w14:paraId="42247854">
      <w:pPr>
        <w:pStyle w:val="6"/>
        <w:keepNext w:val="0"/>
        <w:keepLines w:val="0"/>
        <w:pageBreakBefore w:val="0"/>
        <w:widowControl/>
        <w:kinsoku/>
        <w:wordWrap w:val="0"/>
        <w:overflowPunct/>
        <w:topLinePunct/>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rPr>
        <w:t>.对于通过预留采购项目、预留专门采购包等措施签订的采购合同，应当明确标注本合同为中小企业预留合同。</w:t>
      </w:r>
    </w:p>
    <w:p w14:paraId="2E72DA84">
      <w:pPr>
        <w:pStyle w:val="6"/>
        <w:keepNext w:val="0"/>
        <w:keepLines w:val="0"/>
        <w:pageBreakBefore w:val="0"/>
        <w:widowControl/>
        <w:kinsoku/>
        <w:wordWrap/>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4</w:t>
      </w:r>
      <w:r>
        <w:rPr>
          <w:rFonts w:hint="eastAsia" w:asciiTheme="minorEastAsia" w:hAnsiTheme="minorEastAsia" w:eastAsiaTheme="minorEastAsia" w:cstheme="minorEastAsia"/>
          <w:color w:val="auto"/>
          <w:spacing w:val="-13"/>
          <w:sz w:val="24"/>
          <w:szCs w:val="24"/>
          <w:highlight w:val="none"/>
        </w:rPr>
        <w:t>.政府采购合同设定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付款支付方式的，</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0%；对于中小企业，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0%。</w:t>
      </w:r>
    </w:p>
    <w:p w14:paraId="7BC3D1FD">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color w:val="auto"/>
          <w:spacing w:val="-13"/>
          <w:sz w:val="24"/>
          <w:szCs w:val="24"/>
          <w:highlight w:val="none"/>
          <w:lang w:val="en-US" w:eastAsia="zh-CN"/>
        </w:rPr>
        <w:t>1</w:t>
      </w:r>
      <w:r>
        <w:rPr>
          <w:rFonts w:hint="eastAsia" w:asciiTheme="minorEastAsia" w:hAnsiTheme="minorEastAsia" w:eastAsiaTheme="minorEastAsia" w:cstheme="minorEastAsia"/>
          <w:color w:val="auto"/>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16F0538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6</w:t>
      </w:r>
      <w:r>
        <w:rPr>
          <w:rFonts w:hint="eastAsia" w:asciiTheme="minorEastAsia" w:hAnsiTheme="minorEastAsia" w:eastAsiaTheme="minorEastAsia" w:cstheme="minorEastAsia"/>
          <w:color w:val="auto"/>
          <w:spacing w:val="-13"/>
          <w:sz w:val="24"/>
          <w:szCs w:val="24"/>
          <w:highlight w:val="none"/>
        </w:rPr>
        <w:t>.采购文件对商品包装和快递包装</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出具体要求的，政府采购合同应当载明对政府采购供应商</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供产品及相关快递服务的具体包装要求和履约验收相关条款，必要时要求中标、成交供应商在履约验收环节出具检测报告。</w:t>
      </w:r>
    </w:p>
    <w:p w14:paraId="12D6D6C9">
      <w:pPr>
        <w:pStyle w:val="6"/>
        <w:keepNext w:val="0"/>
        <w:keepLines w:val="0"/>
        <w:pageBreakBefore w:val="0"/>
        <w:widowControl/>
        <w:kinsoku/>
        <w:wordWrap w:val="0"/>
        <w:overflowPunct/>
        <w:topLinePunct/>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.当采购项目涉及数据中心相关设备、运维服务时，采购需求应当符合《绿色数据中</w:t>
      </w:r>
    </w:p>
    <w:p w14:paraId="46489EF9">
      <w:pPr>
        <w:pStyle w:val="6"/>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pPr>
    </w:p>
    <w:p w14:paraId="4B466FB7">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pPr>
    </w:p>
    <w:p w14:paraId="1697CA59">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pPr>
    </w:p>
    <w:p w14:paraId="2B6729BB">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pPr>
    </w:p>
    <w:p w14:paraId="23D58E20">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pPr>
    </w:p>
    <w:p w14:paraId="7DD32B51">
      <w:pPr>
        <w:pageBreakBefore w:val="0"/>
        <w:kinsoku/>
        <w:overflowPunct/>
        <w:topLinePunct/>
        <w:bidi w:val="0"/>
        <w:rPr>
          <w:color w:val="auto"/>
          <w:highlight w:val="none"/>
        </w:rPr>
      </w:pPr>
    </w:p>
    <w:p w14:paraId="4CBC535F">
      <w:pPr>
        <w:keepNext w:val="0"/>
        <w:keepLines w:val="0"/>
        <w:pageBreakBefore w:val="0"/>
        <w:kinsoku/>
        <w:wordWrap w:val="0"/>
        <w:overflowPunct/>
        <w:topLinePunct/>
        <w:bidi w:val="0"/>
        <w:spacing w:line="220" w:lineRule="auto"/>
        <w:jc w:val="both"/>
        <w:rPr>
          <w:rFonts w:hint="eastAsia"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p>
    <w:p w14:paraId="39661171">
      <w:pPr>
        <w:pStyle w:val="6"/>
        <w:keepNext w:val="0"/>
        <w:keepLines w:val="0"/>
        <w:pageBreakBefore w:val="0"/>
        <w:kinsoku/>
        <w:wordWrap w:val="0"/>
        <w:overflowPunct/>
        <w:topLinePunct/>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bidi w:val="0"/>
        <w:spacing w:line="253" w:lineRule="auto"/>
        <w:jc w:val="both"/>
        <w:rPr>
          <w:rFonts w:hint="eastAsia" w:asciiTheme="minorEastAsia" w:hAnsiTheme="minorEastAsia" w:eastAsiaTheme="minorEastAsia" w:cstheme="minorEastAsia"/>
          <w:color w:val="auto"/>
          <w:sz w:val="21"/>
          <w:highlight w:val="none"/>
        </w:rPr>
      </w:pPr>
    </w:p>
    <w:p w14:paraId="4FB6C7F4">
      <w:pPr>
        <w:pStyle w:val="6"/>
        <w:keepNext w:val="0"/>
        <w:keepLines w:val="0"/>
        <w:pageBreakBefore w:val="0"/>
        <w:widowControl/>
        <w:kinsoku/>
        <w:wordWrap w:val="0"/>
        <w:overflowPunct/>
        <w:topLinePunct/>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45407C6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p>
    <w:p w14:paraId="282336EE">
      <w:pPr>
        <w:keepNext w:val="0"/>
        <w:keepLines w:val="0"/>
        <w:pageBreakBefore w:val="0"/>
        <w:widowControl/>
        <w:kinsoku/>
        <w:wordWrap w:val="0"/>
        <w:overflowPunct/>
        <w:topLinePunct/>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049149CC">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52AFED17">
      <w:pPr>
        <w:keepNext w:val="0"/>
        <w:keepLines w:val="0"/>
        <w:pageBreakBefore w:val="0"/>
        <w:kinsoku/>
        <w:wordWrap w:val="0"/>
        <w:overflowPunct/>
        <w:topLinePunct/>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9" w:type="default"/>
          <w:footerReference r:id="rId10"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p>
    <w:p w14:paraId="75A26C50">
      <w:pPr>
        <w:pStyle w:val="6"/>
        <w:keepNext w:val="0"/>
        <w:keepLines w:val="0"/>
        <w:pageBreakBefore w:val="0"/>
        <w:kinsoku/>
        <w:wordWrap w:val="0"/>
        <w:overflowPunct/>
        <w:topLinePunct/>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w:t>
      </w:r>
    </w:p>
    <w:p w14:paraId="75B5A214">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p w14:paraId="49ABCCF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bl>
    <w:p w14:paraId="4EE1DB7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0D5ABD6F">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2CADFF4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sectPr>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8F53C85">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0082FF5C">
      <w:pPr>
        <w:keepNext w:val="0"/>
        <w:keepLines w:val="0"/>
        <w:pageBreakBefore w:val="0"/>
        <w:kinsoku/>
        <w:wordWrap w:val="0"/>
        <w:overflowPunct/>
        <w:topLinePunct/>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5D571A02">
      <w:pPr>
        <w:keepNext w:val="0"/>
        <w:keepLines w:val="0"/>
        <w:pageBreakBefore w:val="0"/>
        <w:kinsoku/>
        <w:wordWrap w:val="0"/>
        <w:overflowPunct/>
        <w:topLinePunct/>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59A2D7BD">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4C1C2E8E">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42FF4501">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04924E8E">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0D4851CF">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216579C1">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71F9534F">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03724886">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3A0C1900">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6C8311EA">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314CDE8A">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051D5078">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0D9A4609">
      <w:pPr>
        <w:pStyle w:val="20"/>
        <w:keepNext w:val="0"/>
        <w:keepLines w:val="0"/>
        <w:pageBreakBefore w:val="0"/>
        <w:kinsoku/>
        <w:wordWrap w:val="0"/>
        <w:overflowPunct/>
        <w:topLinePunct/>
        <w:bidi w:val="0"/>
        <w:jc w:val="both"/>
        <w:rPr>
          <w:rFonts w:hint="eastAsia" w:asciiTheme="minorEastAsia" w:hAnsiTheme="minorEastAsia" w:eastAsiaTheme="minorEastAsia" w:cstheme="minorEastAsia"/>
          <w:color w:val="auto"/>
          <w:sz w:val="24"/>
          <w:szCs w:val="24"/>
          <w:highlight w:val="none"/>
          <w:lang w:eastAsia="zh-CN"/>
        </w:rPr>
      </w:pPr>
    </w:p>
    <w:p w14:paraId="792C4303">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A676CE2">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27FC4FA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42AF934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C7B14EC">
      <w:pPr>
        <w:keepNext w:val="0"/>
        <w:keepLines w:val="0"/>
        <w:pageBreakBefore w:val="0"/>
        <w:kinsoku/>
        <w:wordWrap w:val="0"/>
        <w:overflowPunct/>
        <w:topLinePunct/>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D06D17A">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2C90DE78">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47AFDA9">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63CAE90">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16E107B">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FF77F8F">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E9B4485">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E3F916B">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000C13C">
      <w:pPr>
        <w:keepNext w:val="0"/>
        <w:keepLines w:val="0"/>
        <w:pageBreakBefore w:val="0"/>
        <w:kinsoku/>
        <w:wordWrap w:val="0"/>
        <w:overflowPunct/>
        <w:topLinePunct/>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2AE2B118">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6F2DABF">
      <w:pPr>
        <w:keepNext w:val="0"/>
        <w:keepLines w:val="0"/>
        <w:pageBreakBefore w:val="0"/>
        <w:kinsoku/>
        <w:wordWrap w:val="0"/>
        <w:overflowPunct/>
        <w:topLinePunct/>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98069D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92834D8">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5C977AFC">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7388DF7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62664599">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1895AA2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7398271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6A84F5B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74C432A3">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0FE92042">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383CC6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70A90AC9">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5E1991C2">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06E5DA7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500D30F">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78B84671">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1" w:type="default"/>
          <w:footerReference r:id="rId12"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0A18AEA5">
      <w:pPr>
        <w:keepNext w:val="0"/>
        <w:keepLines w:val="0"/>
        <w:pageBreakBefore w:val="0"/>
        <w:kinsoku/>
        <w:wordWrap w:val="0"/>
        <w:overflowPunct/>
        <w:topLinePunct/>
        <w:bidi w:val="0"/>
        <w:spacing w:line="256" w:lineRule="auto"/>
        <w:jc w:val="both"/>
        <w:rPr>
          <w:rFonts w:hint="eastAsia" w:asciiTheme="minorEastAsia" w:hAnsiTheme="minorEastAsia" w:eastAsiaTheme="minorEastAsia" w:cstheme="minorEastAsia"/>
          <w:color w:val="auto"/>
          <w:sz w:val="21"/>
          <w:highlight w:val="none"/>
        </w:rPr>
      </w:pPr>
    </w:p>
    <w:p w14:paraId="55B81714">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4C3BECF3">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505CB22">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54B3C7BC">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FF05AC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15DC6221">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264B113C">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78D663B5">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076261F">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3B46F269">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087C220">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4E1EEE21">
      <w:pPr>
        <w:keepNext w:val="0"/>
        <w:keepLines w:val="0"/>
        <w:pageBreakBefore w:val="0"/>
        <w:kinsoku/>
        <w:wordWrap w:val="0"/>
        <w:overflowPunct/>
        <w:topLinePunct/>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9D120C0">
      <w:pPr>
        <w:keepNext w:val="0"/>
        <w:keepLines w:val="0"/>
        <w:pageBreakBefore w:val="0"/>
        <w:kinsoku/>
        <w:wordWrap w:val="0"/>
        <w:overflowPunct/>
        <w:topLinePunct/>
        <w:bidi w:val="0"/>
        <w:spacing w:line="256" w:lineRule="auto"/>
        <w:jc w:val="both"/>
        <w:rPr>
          <w:rFonts w:hint="eastAsia" w:asciiTheme="minorEastAsia" w:hAnsiTheme="minorEastAsia" w:eastAsiaTheme="minorEastAsia" w:cstheme="minorEastAsia"/>
          <w:color w:val="auto"/>
          <w:sz w:val="21"/>
          <w:highlight w:val="none"/>
        </w:rPr>
      </w:pPr>
    </w:p>
    <w:p w14:paraId="60A8558F">
      <w:pPr>
        <w:keepNext w:val="0"/>
        <w:keepLines w:val="0"/>
        <w:pageBreakBefore w:val="0"/>
        <w:kinsoku/>
        <w:wordWrap w:val="0"/>
        <w:overflowPunct/>
        <w:topLinePunct/>
        <w:bidi w:val="0"/>
        <w:spacing w:line="256" w:lineRule="auto"/>
        <w:jc w:val="both"/>
        <w:rPr>
          <w:rFonts w:hint="eastAsia" w:asciiTheme="minorEastAsia" w:hAnsiTheme="minorEastAsia" w:eastAsiaTheme="minorEastAsia" w:cstheme="minorEastAsia"/>
          <w:color w:val="auto"/>
          <w:sz w:val="21"/>
          <w:highlight w:val="none"/>
        </w:rPr>
      </w:pPr>
    </w:p>
    <w:p w14:paraId="6EE28283">
      <w:pPr>
        <w:keepNext w:val="0"/>
        <w:keepLines w:val="0"/>
        <w:pageBreakBefore w:val="0"/>
        <w:kinsoku/>
        <w:wordWrap w:val="0"/>
        <w:overflowPunct/>
        <w:topLinePunct/>
        <w:bidi w:val="0"/>
        <w:spacing w:line="256" w:lineRule="auto"/>
        <w:jc w:val="both"/>
        <w:rPr>
          <w:rFonts w:hint="eastAsia" w:asciiTheme="minorEastAsia" w:hAnsiTheme="minorEastAsia" w:eastAsiaTheme="minorEastAsia" w:cstheme="minorEastAsia"/>
          <w:color w:val="auto"/>
          <w:sz w:val="21"/>
          <w:highlight w:val="none"/>
        </w:rPr>
      </w:pPr>
    </w:p>
    <w:p w14:paraId="70965BC4">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84600F4">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ADA5394">
      <w:pPr>
        <w:keepNext w:val="0"/>
        <w:keepLines w:val="0"/>
        <w:pageBreakBefore w:val="0"/>
        <w:kinsoku/>
        <w:wordWrap w:val="0"/>
        <w:overflowPunct/>
        <w:topLinePunct/>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1A298FF0">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53ADF98C">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49A07963">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358AAEAB">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说明：</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）投标人提供企业有关财务会计制度。</w:t>
      </w:r>
    </w:p>
    <w:p w14:paraId="107C211B">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4D7F5B4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3D98CE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C56F3F5">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2FF0E8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857B230">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EA27DE0">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7C4F872">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009B5A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41FD8C9">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91D57D2">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F4CEF3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DB3FF6B">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5F40BD3">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186C719">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6D2A09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704BA7C">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52FB615">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C2279D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D4F9BE4">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EABFA80">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709A9B2">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0E15DFAB">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434B7023">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52FB5A1">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66EA37A6">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B520D1A">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2AB147C8">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6D36AE99">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5CD61013">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04FAA890">
      <w:pPr>
        <w:keepNext w:val="0"/>
        <w:keepLines w:val="0"/>
        <w:pageBreakBefore w:val="0"/>
        <w:kinsoku/>
        <w:wordWrap w:val="0"/>
        <w:overflowPunct/>
        <w:topLinePunct/>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60DA653">
      <w:pPr>
        <w:keepNext w:val="0"/>
        <w:keepLines w:val="0"/>
        <w:pageBreakBefore w:val="0"/>
        <w:kinsoku/>
        <w:wordWrap w:val="0"/>
        <w:overflowPunct/>
        <w:topLinePunct/>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B763C61">
      <w:pPr>
        <w:keepNext w:val="0"/>
        <w:keepLines w:val="0"/>
        <w:pageBreakBefore w:val="0"/>
        <w:kinsoku/>
        <w:wordWrap w:val="0"/>
        <w:overflowPunct/>
        <w:topLinePunct/>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2890AA0F">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4503D44D">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549AD9E3">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C7D007E">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对于市本级政府采购项目，全部实施供应商资格信用承诺，投标人</w:t>
      </w:r>
      <w:r>
        <w:rPr>
          <w:rFonts w:hint="eastAsia" w:asciiTheme="minorEastAsia" w:hAnsiTheme="minorEastAsia" w:eastAsiaTheme="minorEastAsia" w:cstheme="minorEastAsia"/>
          <w:b/>
          <w:bCs/>
          <w:color w:val="auto"/>
          <w:sz w:val="24"/>
          <w:szCs w:val="24"/>
          <w:highlight w:val="none"/>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66F29638">
      <w:pPr>
        <w:keepNext w:val="0"/>
        <w:keepLines w:val="0"/>
        <w:pageBreakBefore w:val="0"/>
        <w:widowControl w:val="0"/>
        <w:kinsoku/>
        <w:wordWrap w:val="0"/>
        <w:overflowPunct/>
        <w:topLinePunct/>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67561326">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7723835C">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6E0D02B3">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14F2EFE8">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3C05B65F">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103B12B2">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17E19FC6">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736AF109">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3C30BBB6">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2312C0EE">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10FA7546">
      <w:pPr>
        <w:keepNext w:val="0"/>
        <w:keepLines w:val="0"/>
        <w:pageBreakBefore w:val="0"/>
        <w:widowControl w:val="0"/>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452C255C">
      <w:pPr>
        <w:keepNext w:val="0"/>
        <w:keepLines w:val="0"/>
        <w:pageBreakBefore w:val="0"/>
        <w:widowControl w:val="0"/>
        <w:kinsoku/>
        <w:wordWrap w:val="0"/>
        <w:overflowPunct/>
        <w:topLinePunct/>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62185210">
      <w:pPr>
        <w:keepNext w:val="0"/>
        <w:keepLines w:val="0"/>
        <w:pageBreakBefore w:val="0"/>
        <w:widowControl w:val="0"/>
        <w:kinsoku/>
        <w:wordWrap w:val="0"/>
        <w:overflowPunct/>
        <w:topLinePunct/>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3D5B05C5">
      <w:pPr>
        <w:keepNext w:val="0"/>
        <w:keepLines w:val="0"/>
        <w:pageBreakBefore w:val="0"/>
        <w:widowControl w:val="0"/>
        <w:kinsoku/>
        <w:wordWrap w:val="0"/>
        <w:overflowPunct/>
        <w:topLinePunct/>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74BDF7A7">
      <w:pPr>
        <w:keepNext w:val="0"/>
        <w:keepLines w:val="0"/>
        <w:pageBreakBefore w:val="0"/>
        <w:widowControl w:val="0"/>
        <w:kinsoku/>
        <w:wordWrap w:val="0"/>
        <w:overflowPunct/>
        <w:topLinePunct/>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04ABC55">
      <w:pPr>
        <w:keepNext w:val="0"/>
        <w:keepLines w:val="0"/>
        <w:pageBreakBefore w:val="0"/>
        <w:widowControl w:val="0"/>
        <w:kinsoku/>
        <w:wordWrap w:val="0"/>
        <w:overflowPunct/>
        <w:topLinePunct/>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7CD72B9D">
      <w:pPr>
        <w:keepNext w:val="0"/>
        <w:keepLines w:val="0"/>
        <w:pageBreakBefore w:val="0"/>
        <w:widowControl w:val="0"/>
        <w:kinsoku/>
        <w:wordWrap w:val="0"/>
        <w:overflowPunct/>
        <w:topLinePunct/>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1322F580">
      <w:pPr>
        <w:keepNext w:val="0"/>
        <w:keepLines w:val="0"/>
        <w:pageBreakBefore w:val="0"/>
        <w:widowControl/>
        <w:numPr>
          <w:ilvl w:val="0"/>
          <w:numId w:val="0"/>
        </w:numPr>
        <w:kinsoku/>
        <w:wordWrap w:val="0"/>
        <w:overflowPunct/>
        <w:topLinePunct/>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52FE58CD">
      <w:pPr>
        <w:pStyle w:val="6"/>
        <w:keepNext w:val="0"/>
        <w:keepLines w:val="0"/>
        <w:pageBreakBefore w:val="0"/>
        <w:kinsoku/>
        <w:wordWrap w:val="0"/>
        <w:overflowPunct/>
        <w:topLinePunct/>
        <w:bidi w:val="0"/>
        <w:spacing w:before="78" w:line="360" w:lineRule="auto"/>
        <w:jc w:val="both"/>
        <w:outlineLvl w:val="2"/>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二、技术文件格式</w:t>
      </w:r>
    </w:p>
    <w:p w14:paraId="3AA29432">
      <w:pPr>
        <w:pStyle w:val="6"/>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outlineLvl w:val="2"/>
        <w:rPr>
          <w:rFonts w:hint="default" w:asciiTheme="minorEastAsia" w:hAnsiTheme="minorEastAsia" w:eastAsiaTheme="minorEastAsia" w:cstheme="minorEastAsia"/>
          <w:color w:val="000000" w:themeColor="text1"/>
          <w:spacing w:val="24"/>
          <w:sz w:val="24"/>
          <w:szCs w:val="24"/>
          <w:highlight w:val="none"/>
          <w:lang w:val="en-US" w:eastAsia="zh-CN"/>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highlight w:val="none"/>
          <w:lang w:val="en-US" w:eastAsia="zh-CN"/>
          <w14:textOutline w14:w="1537" w14:cap="flat" w14:cmpd="sng">
            <w14:solidFill>
              <w14:srgbClr w14:val="000000"/>
            </w14:solidFill>
            <w14:prstDash w14:val="solid"/>
            <w14:miter w14:val="0"/>
          </w14:textOutline>
          <w14:textFill>
            <w14:solidFill>
              <w14:schemeClr w14:val="tx1"/>
            </w14:solidFill>
          </w14:textFill>
        </w:rPr>
        <w:t>技术方案“暗标”要求（需单独上传）</w:t>
      </w:r>
    </w:p>
    <w:p w14:paraId="1FD2FFA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632C2DC6">
      <w:pPr>
        <w:pStyle w:val="14"/>
        <w:numPr>
          <w:ilvl w:val="0"/>
          <w:numId w:val="3"/>
        </w:numP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商务文件格式</w:t>
      </w:r>
    </w:p>
    <w:p w14:paraId="3B19CD9D">
      <w:pPr>
        <w:pStyle w:val="14"/>
        <w:numPr>
          <w:ilvl w:val="0"/>
          <w:numId w:val="0"/>
        </w:numPr>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CA0663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751465B5">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F61114E">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1AE6F61A">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项，商务技术文件第1至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4AE97A15">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39BBF512">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19059F4A">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16B2DE4B">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4EDE714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4D74FFCB">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69B585B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18DB9BD4">
      <w:pPr>
        <w:keepNext w:val="0"/>
        <w:keepLines w:val="0"/>
        <w:pageBreakBefore w:val="0"/>
        <w:kinsoku/>
        <w:wordWrap w:val="0"/>
        <w:overflowPunct/>
        <w:topLinePunct/>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headerReference r:id="rId13" w:type="default"/>
          <w:footerReference r:id="rId14"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4C14C98">
      <w:pPr>
        <w:keepNext w:val="0"/>
        <w:keepLines w:val="0"/>
        <w:pageBreakBefore w:val="0"/>
        <w:kinsoku/>
        <w:wordWrap w:val="0"/>
        <w:overflowPunct/>
        <w:topLinePunct/>
        <w:bidi w:val="0"/>
        <w:jc w:val="both"/>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lang w:eastAsia="zh-CN"/>
        </w:rPr>
        <w:t>、投标分项报价一览表</w:t>
      </w:r>
    </w:p>
    <w:p w14:paraId="107720DD">
      <w:pPr>
        <w:keepNext w:val="0"/>
        <w:keepLines w:val="0"/>
        <w:pageBreakBefore w:val="0"/>
        <w:kinsoku/>
        <w:wordWrap w:val="0"/>
        <w:overflowPunct/>
        <w:topLinePunct/>
        <w:bidi w:val="0"/>
        <w:jc w:val="both"/>
        <w:rPr>
          <w:rFonts w:hint="eastAsia" w:ascii="宋体" w:hAnsi="宋体"/>
          <w:b/>
          <w:color w:val="auto"/>
          <w:sz w:val="24"/>
          <w:szCs w:val="24"/>
          <w:highlight w:val="none"/>
        </w:rPr>
      </w:pPr>
    </w:p>
    <w:p w14:paraId="50B71DD6">
      <w:pPr>
        <w:keepNext w:val="0"/>
        <w:keepLines w:val="0"/>
        <w:pageBreakBefore w:val="0"/>
        <w:kinsoku/>
        <w:wordWrap w:val="0"/>
        <w:overflowPunct/>
        <w:topLinePunct/>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21"/>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CFF20F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00D1EA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4536" w:type="dxa"/>
            <w:gridSpan w:val="2"/>
            <w:tcBorders>
              <w:top w:val="nil"/>
              <w:left w:val="nil"/>
              <w:bottom w:val="single" w:color="auto" w:sz="4" w:space="0"/>
              <w:right w:val="nil"/>
            </w:tcBorders>
            <w:noWrap w:val="0"/>
            <w:vAlign w:val="center"/>
          </w:tcPr>
          <w:p w14:paraId="67BF4A4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4"/>
                <w:szCs w:val="24"/>
                <w:highlight w:val="none"/>
                <w:lang w:eastAsia="zh-CN"/>
              </w:rPr>
            </w:pPr>
          </w:p>
        </w:tc>
        <w:tc>
          <w:tcPr>
            <w:tcW w:w="850" w:type="dxa"/>
            <w:tcBorders>
              <w:top w:val="nil"/>
              <w:left w:val="nil"/>
              <w:bottom w:val="single" w:color="auto" w:sz="4" w:space="0"/>
              <w:right w:val="nil"/>
            </w:tcBorders>
            <w:noWrap w:val="0"/>
            <w:vAlign w:val="center"/>
          </w:tcPr>
          <w:p w14:paraId="006E0BF9">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4"/>
                <w:szCs w:val="24"/>
                <w:highlight w:val="none"/>
                <w:lang w:eastAsia="zh-CN"/>
              </w:rPr>
            </w:pPr>
          </w:p>
        </w:tc>
        <w:tc>
          <w:tcPr>
            <w:tcW w:w="993" w:type="dxa"/>
            <w:tcBorders>
              <w:top w:val="nil"/>
              <w:left w:val="nil"/>
              <w:bottom w:val="single" w:color="auto" w:sz="4" w:space="0"/>
              <w:right w:val="nil"/>
            </w:tcBorders>
            <w:noWrap w:val="0"/>
            <w:vAlign w:val="center"/>
          </w:tcPr>
          <w:p w14:paraId="17EE7AD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4"/>
                <w:szCs w:val="24"/>
                <w:highlight w:val="none"/>
                <w:lang w:eastAsia="zh-CN"/>
              </w:rPr>
            </w:pPr>
          </w:p>
        </w:tc>
        <w:tc>
          <w:tcPr>
            <w:tcW w:w="2693" w:type="dxa"/>
            <w:gridSpan w:val="2"/>
            <w:tcBorders>
              <w:top w:val="nil"/>
              <w:left w:val="nil"/>
              <w:bottom w:val="single" w:color="auto" w:sz="4" w:space="0"/>
              <w:right w:val="nil"/>
            </w:tcBorders>
            <w:noWrap w:val="0"/>
            <w:vAlign w:val="center"/>
          </w:tcPr>
          <w:p w14:paraId="7EAF1A3C">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360" w:firstLineChars="1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843" w:type="dxa"/>
            <w:tcBorders>
              <w:top w:val="nil"/>
              <w:left w:val="nil"/>
              <w:bottom w:val="single" w:color="auto" w:sz="4" w:space="0"/>
              <w:right w:val="nil"/>
            </w:tcBorders>
            <w:noWrap w:val="0"/>
            <w:vAlign w:val="center"/>
          </w:tcPr>
          <w:p w14:paraId="473FCAD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p>
        </w:tc>
      </w:tr>
      <w:tr w14:paraId="45C87A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2DBD24">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6D07A93">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FB397B">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07C5D5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52E5F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2BBA9">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B87309">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18BAE">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00DD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1C9AB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2B72E0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8FB0A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5815278">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5DA2DA1">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F367ED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D58645E">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E4DC8B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2EB8745">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5E8116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409621">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FA8B024">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p w14:paraId="19D0C1B6">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1DAB219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EC4E0A">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18CD9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FDCCAF8">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DFF025F">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30605DD">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6859A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94E8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1AA32F6">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60AEF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781C22">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p w14:paraId="72858E24">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22F475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0C22C5F">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5C405">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6C98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BFBFE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2445BF">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37E7DC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8BBF">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0615280">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41F3E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C2563F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p w14:paraId="3E1BDADF">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3F8DB7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BE93D9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ACBABF8">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72B082">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0AF90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AAF804">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F308607">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E7BDFBC">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27D91">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E8553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1A7EA6">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p w14:paraId="18701645">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52FB5FF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1D5A16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ACDCD9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91C0286">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77D6C6">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72DD26C">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84811D">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A8017F4">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F578D6">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0785C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C573E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603D87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E9646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B304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236558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E9866F">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A3A82D">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4E079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0EF8724">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B2220E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F99363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30089D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p w14:paraId="3D0B4E13">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41B692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48C1A30">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312960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A67B8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B7C27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D253E8">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EEA45DC">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5A7BE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48880D1">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3451FB">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1FC7502">
            <w:pPr>
              <w:keepNext w:val="0"/>
              <w:keepLines w:val="0"/>
              <w:pageBreakBefore w:val="0"/>
              <w:widowControl/>
              <w:suppressLineNumbers w:val="0"/>
              <w:kinsoku/>
              <w:wordWrap w:val="0"/>
              <w:overflowPunct/>
              <w:topLinePunct/>
              <w:bidi w:val="0"/>
              <w:spacing w:before="0" w:beforeAutospacing="0" w:after="0" w:afterAutospacing="0" w:line="360" w:lineRule="auto"/>
              <w:ind w:left="0" w:right="0" w:firstLine="567"/>
              <w:jc w:val="both"/>
              <w:rPr>
                <w:rFonts w:hint="eastAsia" w:asciiTheme="minorEastAsia" w:hAnsiTheme="minorEastAsia" w:eastAsiaTheme="minorEastAsia" w:cstheme="minorEastAsia"/>
                <w:color w:val="auto"/>
                <w:sz w:val="28"/>
                <w:szCs w:val="28"/>
                <w:highlight w:val="none"/>
                <w:lang w:eastAsia="zh-CN"/>
              </w:rPr>
            </w:pPr>
          </w:p>
        </w:tc>
      </w:tr>
      <w:tr w14:paraId="28CE3C1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717AB37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2573A61F">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AE97E1B">
      <w:pPr>
        <w:keepNext w:val="0"/>
        <w:keepLines w:val="0"/>
        <w:pageBreakBefore w:val="0"/>
        <w:kinsoku/>
        <w:wordWrap w:val="0"/>
        <w:overflowPunct/>
        <w:topLinePunct/>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CF38880">
      <w:pPr>
        <w:keepNext w:val="0"/>
        <w:keepLines w:val="0"/>
        <w:pageBreakBefore w:val="0"/>
        <w:kinsoku/>
        <w:wordWrap w:val="0"/>
        <w:overflowPunct/>
        <w:topLinePunct/>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p>
    <w:p w14:paraId="18506126">
      <w:pPr>
        <w:keepNext w:val="0"/>
        <w:keepLines w:val="0"/>
        <w:pageBreakBefore w:val="0"/>
        <w:kinsoku/>
        <w:wordWrap w:val="0"/>
        <w:overflowPunct/>
        <w:topLinePunct/>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32" w:charSpace="0"/>
        </w:sectPr>
      </w:pPr>
    </w:p>
    <w:p w14:paraId="7B7243A7">
      <w:pPr>
        <w:keepNext w:val="0"/>
        <w:keepLines w:val="0"/>
        <w:pageBreakBefore w:val="0"/>
        <w:kinsoku/>
        <w:wordWrap w:val="0"/>
        <w:overflowPunct/>
        <w:topLinePunct/>
        <w:bidi w:val="0"/>
        <w:jc w:val="both"/>
        <w:rPr>
          <w:rFonts w:hint="eastAsia" w:asciiTheme="minorEastAsia" w:hAnsiTheme="minorEastAsia" w:eastAsiaTheme="minorEastAsia" w:cstheme="minorEastAsia"/>
          <w:b/>
          <w:bCs w:val="0"/>
          <w:color w:val="auto"/>
          <w:sz w:val="24"/>
          <w:szCs w:val="24"/>
          <w:highlight w:val="none"/>
          <w:lang w:val="en-US" w:eastAsia="zh-CN"/>
        </w:rPr>
      </w:pPr>
    </w:p>
    <w:p w14:paraId="63F02575">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eastAsia="zh-CN"/>
        </w:rPr>
        <w:t>主要设备技术指标及技术性能说明</w:t>
      </w:r>
    </w:p>
    <w:p w14:paraId="7F59DD2F">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lang w:eastAsia="zh-CN"/>
        </w:rPr>
        <w:t>技术偏差情况</w:t>
      </w:r>
    </w:p>
    <w:p w14:paraId="12B8F0B0">
      <w:pPr>
        <w:pStyle w:val="6"/>
        <w:keepNext w:val="0"/>
        <w:keepLines w:val="0"/>
        <w:pageBreakBefore w:val="0"/>
        <w:kinsoku/>
        <w:wordWrap w:val="0"/>
        <w:overflowPunct/>
        <w:topLinePunct/>
        <w:bidi w:val="0"/>
        <w:jc w:val="both"/>
        <w:rPr>
          <w:rFonts w:hint="eastAsia" w:asciiTheme="minorEastAsia" w:hAnsiTheme="minorEastAsia" w:eastAsiaTheme="minorEastAsia" w:cstheme="minorEastAsia"/>
          <w:color w:val="auto"/>
          <w:sz w:val="24"/>
          <w:szCs w:val="24"/>
          <w:highlight w:val="none"/>
          <w:lang w:bidi="en-US"/>
        </w:rPr>
      </w:pPr>
    </w:p>
    <w:p w14:paraId="05E84742">
      <w:pPr>
        <w:keepNext w:val="0"/>
        <w:keepLines w:val="0"/>
        <w:pageBreakBefore w:val="0"/>
        <w:kinsoku/>
        <w:wordWrap w:val="0"/>
        <w:overflowPunct/>
        <w:topLinePunct/>
        <w:bidi w:val="0"/>
        <w:spacing w:line="240" w:lineRule="atLeast"/>
        <w:jc w:val="both"/>
        <w:rPr>
          <w:rFonts w:hint="eastAsia" w:asciiTheme="minorEastAsia" w:hAnsiTheme="minorEastAsia" w:eastAsiaTheme="minorEastAsia" w:cstheme="minorEastAsia"/>
          <w:b/>
          <w:bCs/>
          <w:color w:val="auto"/>
          <w:sz w:val="24"/>
          <w:szCs w:val="24"/>
          <w:highlight w:val="none"/>
          <w:lang w:eastAsia="zh-CN"/>
        </w:rPr>
      </w:pPr>
    </w:p>
    <w:p w14:paraId="0E74D6A8">
      <w:pPr>
        <w:keepNext w:val="0"/>
        <w:keepLines w:val="0"/>
        <w:pageBreakBefore w:val="0"/>
        <w:kinsoku/>
        <w:wordWrap w:val="0"/>
        <w:overflowPunct/>
        <w:topLinePunct/>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7BA1F2B">
      <w:pPr>
        <w:keepNext w:val="0"/>
        <w:keepLines w:val="0"/>
        <w:pageBreakBefore w:val="0"/>
        <w:kinsoku/>
        <w:wordWrap w:val="0"/>
        <w:overflowPunct/>
        <w:topLinePunct/>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3047DC75">
      <w:pPr>
        <w:keepNext w:val="0"/>
        <w:keepLines w:val="0"/>
        <w:pageBreakBefore w:val="0"/>
        <w:kinsoku/>
        <w:wordWrap w:val="0"/>
        <w:overflowPunct/>
        <w:topLinePunct/>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98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FB6B583">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C4B790">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D8F9CB">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48907C">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8754">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299168">
            <w:pPr>
              <w:keepNext w:val="0"/>
              <w:keepLines w:val="0"/>
              <w:pageBreakBefore w:val="0"/>
              <w:widowControl/>
              <w:suppressLineNumbers w:val="0"/>
              <w:kinsoku/>
              <w:wordWrap w:val="0"/>
              <w:overflowPunct/>
              <w:topLinePunct/>
              <w:bidi w:val="0"/>
              <w:spacing w:before="0" w:beforeAutospacing="0" w:after="0" w:afterAutospacing="0" w:line="240" w:lineRule="atLeast"/>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26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7899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2A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C9DFB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213EA1">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14E76D">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99F9C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543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279E3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FEF39F">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54AE13">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374B9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41486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21DA3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196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75056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55D66">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1E24A8">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0E763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E247A">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5AA2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60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B698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9FB03E">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7270B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6267F9E">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3543E8">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BDAC16">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692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3A982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AFF360">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DE3D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134EA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2F932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E9CF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23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F98ABA">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FA2CC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ED9D2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A9A1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95540">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7FF4A8">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394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7CCE6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F85BB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3B3A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C1E1ED">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24F8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9223F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298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917EF1">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630DF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3FA9F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EC1D7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D1218A">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210EF1">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75F3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07BC3F">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D090E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D198F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541392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3169A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8D29A">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0DF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0EFB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93768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540">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1456DE">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6CC89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7755D">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615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6FC85">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BA183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901FF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951C88">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5A0F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4002F5">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742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F3F2A6">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A1FA4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25D143">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4118F35">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A783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BBFCD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024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9EF4A0">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55EFB3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2EC997">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1236DB">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F0D95E">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7F77A4">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739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A9851C">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2E8A92">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535C25">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C9035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4145BD">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3C4B5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r w14:paraId="356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F95B83">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D938A5">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287A1E">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F8AD401">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B7CF9">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7727FD">
            <w:pPr>
              <w:keepNext w:val="0"/>
              <w:keepLines w:val="0"/>
              <w:pageBreakBefore w:val="0"/>
              <w:widowControl/>
              <w:suppressLineNumbers w:val="0"/>
              <w:kinsoku/>
              <w:wordWrap w:val="0"/>
              <w:overflowPunct/>
              <w:topLinePunct/>
              <w:bidi w:val="0"/>
              <w:spacing w:before="0" w:beforeAutospacing="0" w:after="0" w:afterAutospacing="0" w:line="240" w:lineRule="atLeast"/>
              <w:ind w:left="1080" w:leftChars="257" w:right="0" w:hanging="540"/>
              <w:jc w:val="both"/>
              <w:rPr>
                <w:rFonts w:hint="eastAsia" w:asciiTheme="minorEastAsia" w:hAnsiTheme="minorEastAsia" w:eastAsiaTheme="minorEastAsia" w:cstheme="minorEastAsia"/>
                <w:color w:val="auto"/>
                <w:sz w:val="24"/>
                <w:szCs w:val="24"/>
                <w:highlight w:val="none"/>
                <w:lang w:eastAsia="zh-CN"/>
              </w:rPr>
            </w:pPr>
          </w:p>
        </w:tc>
      </w:tr>
    </w:tbl>
    <w:p w14:paraId="7BC918F4">
      <w:pPr>
        <w:keepNext w:val="0"/>
        <w:keepLines w:val="0"/>
        <w:pageBreakBefore w:val="0"/>
        <w:kinsoku/>
        <w:wordWrap w:val="0"/>
        <w:overflowPunct/>
        <w:topLinePunct/>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4709D4A9">
      <w:pPr>
        <w:keepNext w:val="0"/>
        <w:keepLines w:val="0"/>
        <w:pageBreakBefore w:val="0"/>
        <w:kinsoku/>
        <w:wordWrap w:val="0"/>
        <w:overflowPunct/>
        <w:topLinePunct/>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6EBD9333">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01EE2088">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FB66CB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2F3D8F1B">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商务偏差表格式</w:t>
      </w:r>
    </w:p>
    <w:p w14:paraId="1ED52C1A">
      <w:pPr>
        <w:keepNext w:val="0"/>
        <w:keepLines w:val="0"/>
        <w:pageBreakBefore w:val="0"/>
        <w:kinsoku/>
        <w:wordWrap w:val="0"/>
        <w:overflowPunct/>
        <w:topLinePunct/>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1E73E298">
      <w:pPr>
        <w:keepNext w:val="0"/>
        <w:keepLines w:val="0"/>
        <w:pageBreakBefore w:val="0"/>
        <w:kinsoku/>
        <w:wordWrap w:val="0"/>
        <w:overflowPunct/>
        <w:topLinePunct/>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354E50E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B78D9CA">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41969D6B">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widowControl/>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widowControl/>
              <w:suppressLineNumbers w:val="0"/>
              <w:kinsoku/>
              <w:wordWrap w:val="0"/>
              <w:overflowPunct/>
              <w:topLinePunct/>
              <w:bidi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rPr>
            </w:pPr>
          </w:p>
        </w:tc>
      </w:tr>
    </w:tbl>
    <w:p w14:paraId="0D3D7619">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1988B94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8A10DAE">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7F8BBEC">
      <w:pPr>
        <w:keepNext w:val="0"/>
        <w:keepLines w:val="0"/>
        <w:pageBreakBefore w:val="0"/>
        <w:numPr>
          <w:ilvl w:val="0"/>
          <w:numId w:val="0"/>
        </w:numPr>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A60054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投标人业绩</w:t>
      </w:r>
    </w:p>
    <w:p w14:paraId="6AC6E15C">
      <w:pPr>
        <w:keepNext w:val="0"/>
        <w:keepLines w:val="0"/>
        <w:pageBreakBefore w:val="0"/>
        <w:kinsoku/>
        <w:wordWrap w:val="0"/>
        <w:overflowPunct/>
        <w:topLinePunct/>
        <w:bidi w:val="0"/>
        <w:spacing w:after="120"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3361C11">
      <w:pPr>
        <w:keepNext w:val="0"/>
        <w:keepLines w:val="0"/>
        <w:pageBreakBefore w:val="0"/>
        <w:kinsoku/>
        <w:wordWrap w:val="0"/>
        <w:overflowPunct/>
        <w:topLinePunct/>
        <w:bidi w:val="0"/>
        <w:spacing w:after="120"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194844B0">
      <w:pPr>
        <w:keepNext w:val="0"/>
        <w:keepLines w:val="0"/>
        <w:pageBreakBefore w:val="0"/>
        <w:kinsoku/>
        <w:wordWrap w:val="0"/>
        <w:overflowPunct/>
        <w:topLinePunct/>
        <w:bidi w:val="0"/>
        <w:spacing w:after="120"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CE19972">
      <w:pPr>
        <w:keepNext w:val="0"/>
        <w:keepLines w:val="0"/>
        <w:pageBreakBefore w:val="0"/>
        <w:kinsoku/>
        <w:wordWrap w:val="0"/>
        <w:overflowPunct/>
        <w:topLinePunct/>
        <w:bidi w:val="0"/>
        <w:spacing w:after="120"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lang w:eastAsia="zh-CN"/>
        </w:rPr>
        <w:t>节能产品、环境标志产品明细表</w:t>
      </w:r>
    </w:p>
    <w:p w14:paraId="2F195AE1">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节能产品明细表</w:t>
      </w:r>
    </w:p>
    <w:p w14:paraId="779375E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7D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402C361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D326708">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5BE791">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309D98A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544665">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3B82DE40">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91E25B">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节字标</w:t>
            </w:r>
          </w:p>
          <w:p w14:paraId="3050233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志认证</w:t>
            </w:r>
          </w:p>
          <w:p w14:paraId="18EA63DA">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53DBDE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73362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BF0C74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2A2C85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2DB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0C84F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1176F18">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7BCAF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10C2217">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4BB888E">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11647">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67AE0A">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DCAC4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39D4515">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r w14:paraId="617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1E99F9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BD9225">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11F106C">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150368E">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BAEA7A">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52E61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E11BB2D">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6495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1F33B17">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r w14:paraId="684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1B5692">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D763F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0835140">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2D0DEE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1C8B91">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E402DD">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565E83E">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FAED7A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C4C9FA">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bl>
    <w:p w14:paraId="22F56E6A">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法定代表人（负责人）或被授权人（签字或盖章）：</w:t>
      </w:r>
    </w:p>
    <w:p w14:paraId="54FC60B7">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390A6FFD">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1E31CB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4A623157">
      <w:pPr>
        <w:keepNext w:val="0"/>
        <w:keepLines w:val="0"/>
        <w:pageBreakBefore w:val="0"/>
        <w:kinsoku/>
        <w:wordWrap w:val="0"/>
        <w:overflowPunct/>
        <w:topLinePunct/>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环境标志产品明细表</w:t>
      </w:r>
    </w:p>
    <w:p w14:paraId="0A4E7BE9">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12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46D54EE">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DF4700">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C91C0D5">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0A8BF91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40F464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0B6BF6B2">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5E7F1F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318CA4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2F6E361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B3374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199D25D">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703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3A3540C">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6337E8">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883E07">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DD32E">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A18390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CB2C527">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2C3DB3">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DC0BC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B67DB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r w14:paraId="5F1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6C6428F">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698E075">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CD9AE2C">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801F50">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B494668">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177B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85272B">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1384A7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B9F4D">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r w14:paraId="102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893904">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F1CDACB">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0FD696">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4B5291">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FFAF76A">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D240C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5632BC">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5A2C20">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2CAD9">
            <w:pPr>
              <w:keepNext w:val="0"/>
              <w:keepLines w:val="0"/>
              <w:pageBreakBefore w:val="0"/>
              <w:widowControl w:val="0"/>
              <w:suppressLineNumbers w:val="0"/>
              <w:kinsoku/>
              <w:wordWrap w:val="0"/>
              <w:overflowPunct/>
              <w:topLinePunct/>
              <w:bidi w:val="0"/>
              <w:spacing w:before="0" w:beforeAutospacing="0" w:after="0" w:afterAutospacing="0" w:line="360" w:lineRule="auto"/>
              <w:ind w:left="0" w:right="0"/>
              <w:jc w:val="both"/>
              <w:rPr>
                <w:rFonts w:hint="eastAsia" w:asciiTheme="minorEastAsia" w:hAnsiTheme="minorEastAsia" w:eastAsiaTheme="minorEastAsia" w:cstheme="minorEastAsia"/>
                <w:bCs/>
                <w:color w:val="auto"/>
                <w:sz w:val="24"/>
                <w:szCs w:val="24"/>
                <w:highlight w:val="none"/>
                <w:lang w:eastAsia="zh-CN"/>
              </w:rPr>
            </w:pPr>
          </w:p>
        </w:tc>
      </w:tr>
    </w:tbl>
    <w:p w14:paraId="2250E893">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法定代表人（负责人）或授权代表（签字）：</w:t>
      </w:r>
    </w:p>
    <w:p w14:paraId="60171281">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2C772FAF">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E14DE56">
      <w:pPr>
        <w:keepNext w:val="0"/>
        <w:keepLines w:val="0"/>
        <w:pageBreakBefore w:val="0"/>
        <w:kinsoku/>
        <w:wordWrap w:val="0"/>
        <w:overflowPunct/>
        <w:topLinePunct/>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填报要求：</w:t>
      </w:r>
    </w:p>
    <w:p w14:paraId="5E283DBF">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1.本表的设备名称、品牌型号、金额应与货物分项报价一览表一致。</w:t>
      </w:r>
    </w:p>
    <w:p w14:paraId="44CB51F0">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2.节能产品是指财政部和国家发展和改革委员会公布的《节能产品政府采购品目清单》中的产品。投标人须在投标文件中附该产品节能证书，否则评标委员会有权不予认可。</w:t>
      </w:r>
    </w:p>
    <w:p w14:paraId="196707E9">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3.环境标志产品是指财政部、生态环境部发布的《环境标志产品政府采购品目清单》中的产品。投标人须在投标文件中附该产品环保证书，否则评委委员会有权不予认可。</w:t>
      </w:r>
    </w:p>
    <w:p w14:paraId="21237ED3">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4.请投标人正确填写本表，所填内容将作为评审的依据。其内容或数据应与对应的证明资料相符。</w:t>
      </w:r>
    </w:p>
    <w:p w14:paraId="7E397B70">
      <w:pPr>
        <w:keepNext w:val="0"/>
        <w:keepLines w:val="0"/>
        <w:pageBreakBefore w:val="0"/>
        <w:kinsoku/>
        <w:wordWrap w:val="0"/>
        <w:overflowPunct/>
        <w:topLinePunct/>
        <w:bidi w:val="0"/>
        <w:spacing w:line="360" w:lineRule="auto"/>
        <w:ind w:firstLine="480" w:firstLineChars="200"/>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color w:val="auto"/>
          <w:sz w:val="24"/>
          <w:szCs w:val="24"/>
          <w:highlight w:val="none"/>
          <w:lang w:eastAsia="zh-CN"/>
        </w:rPr>
        <w:t>5.没有相关产品可不提供本表。</w:t>
      </w:r>
    </w:p>
    <w:p w14:paraId="32E8FB3A">
      <w:pPr>
        <w:pStyle w:val="6"/>
        <w:keepNext w:val="0"/>
        <w:keepLines w:val="0"/>
        <w:pageBreakBefore w:val="0"/>
        <w:kinsoku/>
        <w:wordWrap w:val="0"/>
        <w:overflowPunct/>
        <w:topLinePunct/>
        <w:bidi w:val="0"/>
        <w:spacing w:before="333" w:line="219" w:lineRule="auto"/>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9C40E3C">
      <w:pPr>
        <w:pStyle w:val="6"/>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Arial" w:cs="Arial"/>
          <w:b/>
          <w:snapToGrid w:val="0"/>
          <w:color w:val="auto"/>
          <w:kern w:val="0"/>
          <w:sz w:val="24"/>
          <w:szCs w:val="24"/>
          <w:highlight w:val="none"/>
          <w:lang w:val="en-US" w:eastAsia="zh-CN" w:bidi="ar-SA"/>
        </w:rPr>
      </w:pPr>
      <w:r>
        <w:rPr>
          <w:rFonts w:hint="eastAsia" w:eastAsia="Arial" w:cs="Arial"/>
          <w:b/>
          <w:snapToGrid w:val="0"/>
          <w:color w:val="auto"/>
          <w:kern w:val="0"/>
          <w:sz w:val="24"/>
          <w:szCs w:val="24"/>
          <w:highlight w:val="none"/>
          <w:lang w:val="en-US" w:eastAsia="zh-CN" w:bidi="ar-SA"/>
        </w:rPr>
        <w:t>9.</w:t>
      </w:r>
      <w:r>
        <w:rPr>
          <w:rFonts w:hint="eastAsia" w:ascii="宋体" w:hAnsi="宋体" w:eastAsia="Arial" w:cs="Arial"/>
          <w:b/>
          <w:snapToGrid w:val="0"/>
          <w:color w:val="auto"/>
          <w:kern w:val="0"/>
          <w:sz w:val="24"/>
          <w:szCs w:val="24"/>
          <w:highlight w:val="none"/>
          <w:lang w:val="en-US" w:eastAsia="zh-CN" w:bidi="ar-SA"/>
        </w:rPr>
        <w:t>中小企业、监狱企业或残疾人福利性单位声明函</w:t>
      </w:r>
      <w:r>
        <w:rPr>
          <w:rFonts w:hint="eastAsia" w:eastAsia="Arial" w:cs="Arial"/>
          <w:b/>
          <w:snapToGrid w:val="0"/>
          <w:color w:val="auto"/>
          <w:kern w:val="0"/>
          <w:sz w:val="24"/>
          <w:szCs w:val="24"/>
          <w:highlight w:val="none"/>
          <w:lang w:val="en-US" w:eastAsia="zh-CN" w:bidi="ar-SA"/>
        </w:rPr>
        <w:t>（对于专门面向中小企业采购的项目必须提供，不专门面向的项目可选择提供）</w:t>
      </w:r>
    </w:p>
    <w:p w14:paraId="39076A5B">
      <w:pPr>
        <w:pStyle w:val="6"/>
        <w:keepNext w:val="0"/>
        <w:keepLines w:val="0"/>
        <w:pageBreakBefore w:val="0"/>
        <w:kinsoku/>
        <w:wordWrap w:val="0"/>
        <w:overflowPunct/>
        <w:topLinePunct/>
        <w:bidi w:val="0"/>
        <w:spacing w:before="333" w:line="219" w:lineRule="auto"/>
        <w:jc w:val="cente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612C75D">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val="en-US"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177881B5">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1"/>
          <w:sz w:val="24"/>
          <w:szCs w:val="24"/>
          <w:highlight w:val="none"/>
          <w:u w:val="single" w:color="auto"/>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3"/>
          <w:sz w:val="24"/>
          <w:szCs w:val="24"/>
          <w:highlight w:val="none"/>
          <w:u w:val="single" w:color="auto"/>
        </w:rPr>
        <w:t>称</w:t>
      </w:r>
      <w:r>
        <w:rPr>
          <w:rFonts w:hint="eastAsia" w:asciiTheme="minorEastAsia" w:hAnsiTheme="minorEastAsia" w:eastAsiaTheme="minorEastAsia" w:cstheme="minorEastAsia"/>
          <w:color w:val="auto"/>
          <w:spacing w:val="-40"/>
          <w:sz w:val="24"/>
          <w:szCs w:val="24"/>
          <w:highlight w:val="none"/>
          <w:u w:val="single" w:color="auto"/>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人，</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color="auto"/>
        </w:rPr>
        <w:t>（中型企业、小型企业、微型企业</w:t>
      </w:r>
      <w:r>
        <w:rPr>
          <w:rFonts w:hint="eastAsia" w:asciiTheme="minorEastAsia" w:hAnsiTheme="minorEastAsia" w:eastAsiaTheme="minorEastAsia" w:cstheme="minorEastAsia"/>
          <w:color w:val="auto"/>
          <w:spacing w:val="-51"/>
          <w:sz w:val="24"/>
          <w:szCs w:val="24"/>
          <w:highlight w:val="none"/>
          <w:u w:val="single" w:color="auto"/>
        </w:rPr>
        <w:t>）</w:t>
      </w:r>
      <w:r>
        <w:rPr>
          <w:rFonts w:hint="eastAsia" w:asciiTheme="minorEastAsia" w:hAnsiTheme="minorEastAsia" w:eastAsiaTheme="minorEastAsia" w:cstheme="minorEastAsia"/>
          <w:color w:val="auto"/>
          <w:spacing w:val="-51"/>
          <w:sz w:val="24"/>
          <w:szCs w:val="24"/>
          <w:highlight w:val="none"/>
        </w:rPr>
        <w:t>；</w:t>
      </w:r>
    </w:p>
    <w:p w14:paraId="613B378E">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3"/>
          <w:sz w:val="24"/>
          <w:szCs w:val="24"/>
          <w:highlight w:val="none"/>
          <w:u w:val="single" w:color="auto"/>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5"/>
          <w:sz w:val="24"/>
          <w:szCs w:val="24"/>
          <w:highlight w:val="none"/>
          <w:u w:val="single" w:color="auto"/>
        </w:rPr>
        <w:t>称</w:t>
      </w:r>
      <w:r>
        <w:rPr>
          <w:rFonts w:hint="eastAsia" w:asciiTheme="minorEastAsia" w:hAnsiTheme="minorEastAsia" w:eastAsiaTheme="minorEastAsia" w:cstheme="minorEastAsia"/>
          <w:color w:val="auto"/>
          <w:spacing w:val="-59"/>
          <w:w w:val="94"/>
          <w:sz w:val="24"/>
          <w:szCs w:val="24"/>
          <w:highlight w:val="none"/>
          <w:u w:val="single" w:color="auto"/>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5"/>
          <w:sz w:val="24"/>
          <w:szCs w:val="24"/>
          <w:highlight w:val="none"/>
        </w:rPr>
        <w:t>人，营业收入为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万元，资产总额为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万元，属于</w:t>
      </w:r>
      <w:r>
        <w:rPr>
          <w:rFonts w:hint="eastAsia" w:asciiTheme="minorEastAsia" w:hAnsiTheme="minorEastAsia" w:eastAsiaTheme="minorEastAsia" w:cstheme="minorEastAsia"/>
          <w:color w:val="auto"/>
          <w:spacing w:val="-5"/>
          <w:sz w:val="24"/>
          <w:szCs w:val="24"/>
          <w:highlight w:val="none"/>
          <w:u w:val="single" w:color="auto"/>
        </w:rPr>
        <w:t>（中</w:t>
      </w:r>
      <w:r>
        <w:rPr>
          <w:rFonts w:hint="eastAsia" w:asciiTheme="minorEastAsia" w:hAnsiTheme="minorEastAsia" w:eastAsiaTheme="minorEastAsia" w:cstheme="minorEastAsia"/>
          <w:color w:val="auto"/>
          <w:spacing w:val="9"/>
          <w:sz w:val="24"/>
          <w:szCs w:val="24"/>
          <w:highlight w:val="none"/>
          <w:u w:val="single" w:color="auto"/>
        </w:rPr>
        <w:t>型企业、小型企业、微型企业</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p>
    <w:p w14:paraId="32C178A3">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202435E">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1A3C3A08">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5DAC956E">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p>
    <w:p w14:paraId="7007D525">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518A0DF">
      <w:pPr>
        <w:pStyle w:val="6"/>
        <w:keepNext w:val="0"/>
        <w:keepLines w:val="0"/>
        <w:pageBreakBefore w:val="0"/>
        <w:widowControl/>
        <w:kinsoku/>
        <w:wordWrap w:val="0"/>
        <w:overflowPunct/>
        <w:topLinePunct/>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1EE55CF4">
      <w:pPr>
        <w:keepNext w:val="0"/>
        <w:keepLines w:val="0"/>
        <w:pageBreakBefore w:val="0"/>
        <w:kinsoku/>
        <w:wordWrap w:val="0"/>
        <w:overflowPunct/>
        <w:topLinePunct/>
        <w:bidi w:val="0"/>
        <w:spacing w:line="360" w:lineRule="auto"/>
        <w:ind w:firstLine="3600" w:firstLineChars="15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522185D">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color w:val="auto"/>
          <w:sz w:val="24"/>
          <w:szCs w:val="24"/>
          <w:highlight w:val="none"/>
        </w:rPr>
      </w:pPr>
    </w:p>
    <w:p w14:paraId="5AD5822E">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241813A">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097D99E9">
      <w:pPr>
        <w:pStyle w:val="31"/>
        <w:pageBreakBefore w:val="0"/>
        <w:kinsoku/>
        <w:overflowPunct/>
        <w:topLinePunct/>
        <w:bidi w:val="0"/>
        <w:rPr>
          <w:rFonts w:hint="eastAsia" w:asciiTheme="minorEastAsia" w:hAnsiTheme="minorEastAsia" w:eastAsiaTheme="minorEastAsia" w:cstheme="minorEastAsia"/>
          <w:color w:val="auto"/>
          <w:spacing w:val="9"/>
          <w:sz w:val="24"/>
          <w:szCs w:val="24"/>
          <w:highlight w:val="none"/>
          <w:lang w:eastAsia="zh-CN"/>
        </w:rPr>
        <w:sectPr>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pPr>
    </w:p>
    <w:p w14:paraId="37273263">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E44A6DB">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4C5F519">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1589B30">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772A4344">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79582F6">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4D6A690">
      <w:pPr>
        <w:pStyle w:val="6"/>
        <w:keepNext w:val="0"/>
        <w:keepLines w:val="0"/>
        <w:pageBreakBefore w:val="0"/>
        <w:widowControl/>
        <w:kinsoku/>
        <w:wordWrap w:val="0"/>
        <w:overflowPunct/>
        <w:topLinePunct/>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07006272">
      <w:pPr>
        <w:keepNext w:val="0"/>
        <w:keepLines w:val="0"/>
        <w:pageBreakBefore w:val="0"/>
        <w:widowControl w:val="0"/>
        <w:kinsoku/>
        <w:wordWrap w:val="0"/>
        <w:overflowPunct/>
        <w:topLinePunct/>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D43FE5">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622A499">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74512BB3">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63A3C7FF">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14E476ED">
      <w:pPr>
        <w:keepNext w:val="0"/>
        <w:keepLines w:val="0"/>
        <w:pageBreakBefore w:val="0"/>
        <w:widowControl/>
        <w:tabs>
          <w:tab w:val="left" w:pos="4860"/>
        </w:tabs>
        <w:kinsoku/>
        <w:wordWrap w:val="0"/>
        <w:overflowPunct/>
        <w:topLinePunct/>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476753E4">
      <w:pPr>
        <w:keepNext w:val="0"/>
        <w:keepLines w:val="0"/>
        <w:pageBreakBefore w:val="0"/>
        <w:kinsoku/>
        <w:wordWrap w:val="0"/>
        <w:overflowPunct/>
        <w:topLinePunct/>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3C37891">
      <w:pPr>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10.招标文件要求的其它材料及投标人认为有必要提供的材料</w:t>
      </w:r>
    </w:p>
    <w:sectPr>
      <w:headerReference r:id="rId15" w:type="default"/>
      <w:footerReference r:id="rId16" w:type="default"/>
      <w:pgSz w:w="11907" w:h="16840"/>
      <w:pgMar w:top="1440" w:right="1800" w:bottom="1440" w:left="1800" w:header="878" w:footer="88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B2D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2B2D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C56C3">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7C56C3">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E64C">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77E64C">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13459">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513459">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B3B57">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5B3B57">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2176D">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92176D">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AE743"/>
    <w:multiLevelType w:val="multilevel"/>
    <w:tmpl w:val="DA8AE743"/>
    <w:lvl w:ilvl="0" w:tentative="0">
      <w:start w:val="1"/>
      <w:numFmt w:val="chineseCountingThousand"/>
      <w:suff w:val="nothing"/>
      <w:lvlText w:val="%1、"/>
      <w:lvlJc w:val="left"/>
      <w:pPr>
        <w:ind w:left="0" w:firstLine="0"/>
      </w:pPr>
      <w:rPr>
        <w:rFonts w:hint="eastAsia" w:ascii="Times New Roman" w:hAnsi="Times New Roman" w:eastAsia="宋体" w:cs="宋体"/>
        <w:b/>
        <w:i w:val="0"/>
        <w:sz w:val="28"/>
        <w:szCs w:val="28"/>
      </w:rPr>
    </w:lvl>
    <w:lvl w:ilvl="1" w:tentative="0">
      <w:start w:val="1"/>
      <w:numFmt w:val="decimal"/>
      <w:isLgl/>
      <w:suff w:val="space"/>
      <w:lvlText w:val="%1.%2"/>
      <w:lvlJc w:val="left"/>
      <w:pPr>
        <w:ind w:left="0" w:firstLine="0"/>
      </w:pPr>
      <w:rPr>
        <w:rFonts w:hint="default" w:ascii="Calibri" w:hAnsi="Calibri" w:eastAsia="宋体" w:cs="微软雅黑"/>
        <w:b/>
        <w:i w:val="0"/>
        <w:sz w:val="28"/>
        <w:szCs w:val="28"/>
      </w:rPr>
    </w:lvl>
    <w:lvl w:ilvl="2" w:tentative="0">
      <w:start w:val="1"/>
      <w:numFmt w:val="decimal"/>
      <w:isLgl/>
      <w:suff w:val="space"/>
      <w:lvlText w:val="%1.%2.%3、"/>
      <w:lvlJc w:val="left"/>
      <w:pPr>
        <w:ind w:left="0" w:firstLine="0"/>
      </w:pPr>
      <w:rPr>
        <w:rFonts w:hint="default" w:ascii="Times New Roman" w:hAnsi="Times New Roman" w:cs="Times New Roman"/>
        <w:b/>
        <w:bCs/>
        <w:i w:val="0"/>
        <w:iCs w:val="0"/>
        <w:caps w:val="0"/>
        <w:spacing w:val="0"/>
        <w:sz w:val="28"/>
        <w:szCs w:val="28"/>
      </w:rPr>
    </w:lvl>
    <w:lvl w:ilvl="3" w:tentative="0">
      <w:start w:val="1"/>
      <w:numFmt w:val="decimal"/>
      <w:isLgl/>
      <w:suff w:val="space"/>
      <w:lvlText w:val="%1.%2.%3.%4、"/>
      <w:lvlJc w:val="left"/>
      <w:pPr>
        <w:ind w:left="0" w:firstLine="0"/>
      </w:pPr>
      <w:rPr>
        <w:rFonts w:hint="eastAsia" w:ascii="Times New Roman" w:hAnsi="Times New Roman" w:eastAsia="宋体" w:cs="宋体"/>
        <w:b/>
        <w:i w:val="0"/>
        <w:sz w:val="28"/>
        <w:szCs w:val="28"/>
      </w:rPr>
    </w:lvl>
    <w:lvl w:ilvl="4" w:tentative="0">
      <w:start w:val="1"/>
      <w:numFmt w:val="decimal"/>
      <w:isLgl/>
      <w:suff w:val="space"/>
      <w:lvlText w:val="%1.%2.%3.%4.%5、"/>
      <w:lvlJc w:val="left"/>
      <w:pPr>
        <w:ind w:left="0" w:firstLine="0"/>
      </w:pPr>
      <w:rPr>
        <w:rFonts w:hint="eastAsia" w:ascii="Times New Roman" w:hAnsi="Times New Roman" w:eastAsia="宋体" w:cs="宋体"/>
        <w:b/>
        <w:i w:val="0"/>
        <w:sz w:val="28"/>
        <w:szCs w:val="28"/>
      </w:rPr>
    </w:lvl>
    <w:lvl w:ilvl="5" w:tentative="0">
      <w:start w:val="1"/>
      <w:numFmt w:val="decimal"/>
      <w:isLgl/>
      <w:suff w:val="space"/>
      <w:lvlText w:val="%1.%2.%3.%4.%5.%6、"/>
      <w:lvlJc w:val="left"/>
      <w:pPr>
        <w:ind w:left="0" w:firstLine="0"/>
      </w:pPr>
      <w:rPr>
        <w:rFonts w:hint="eastAsia" w:ascii="Times New Roman" w:hAnsi="Times New Roman" w:eastAsia="宋体" w:cs="宋体"/>
        <w:sz w:val="28"/>
        <w:szCs w:val="28"/>
      </w:rPr>
    </w:lvl>
    <w:lvl w:ilvl="6" w:tentative="0">
      <w:start w:val="1"/>
      <w:numFmt w:val="decimal"/>
      <w:isLgl/>
      <w:suff w:val="space"/>
      <w:lvlText w:val="%1.%2.%3.%4.%5.%6.%7、"/>
      <w:lvlJc w:val="left"/>
      <w:pPr>
        <w:ind w:left="0" w:firstLine="0"/>
      </w:pPr>
      <w:rPr>
        <w:rFonts w:hint="eastAsia" w:ascii="Times New Roman" w:hAnsi="Times New Roman" w:eastAsia="宋体" w:cs="宋体"/>
        <w:sz w:val="28"/>
        <w:szCs w:val="28"/>
      </w:rPr>
    </w:lvl>
    <w:lvl w:ilvl="7" w:tentative="0">
      <w:start w:val="1"/>
      <w:numFmt w:val="decimal"/>
      <w:isLgl/>
      <w:lvlText w:val="%1.%2.%3.%4.%5.%6.%7.%8、"/>
      <w:lvlJc w:val="left"/>
      <w:pPr>
        <w:ind w:left="0" w:firstLine="0"/>
      </w:pPr>
      <w:rPr>
        <w:rFonts w:hint="eastAsia" w:ascii="Times New Roman" w:hAnsi="Times New Roman" w:eastAsia="宋体" w:cs="宋体"/>
        <w:sz w:val="28"/>
        <w:szCs w:val="28"/>
      </w:rPr>
    </w:lvl>
    <w:lvl w:ilvl="8" w:tentative="0">
      <w:start w:val="1"/>
      <w:numFmt w:val="decimal"/>
      <w:isLgl/>
      <w:suff w:val="space"/>
      <w:lvlText w:val="%1.%2.%3.%4.%5.%6.%7.%8.%9、"/>
      <w:lvlJc w:val="left"/>
      <w:pPr>
        <w:ind w:left="0" w:firstLine="0"/>
      </w:pPr>
      <w:rPr>
        <w:rFonts w:hint="eastAsia" w:ascii="Times New Roman" w:hAnsi="Times New Roman" w:eastAsia="宋体" w:cs="宋体"/>
        <w:sz w:val="28"/>
        <w:szCs w:val="28"/>
      </w:rPr>
    </w:lvl>
  </w:abstractNum>
  <w:abstractNum w:abstractNumId="1">
    <w:nsid w:val="FFAA8E15"/>
    <w:multiLevelType w:val="singleLevel"/>
    <w:tmpl w:val="FFAA8E15"/>
    <w:lvl w:ilvl="0" w:tentative="0">
      <w:start w:val="3"/>
      <w:numFmt w:val="chineseCounting"/>
      <w:suff w:val="nothing"/>
      <w:lvlText w:val="%1、"/>
      <w:lvlJc w:val="left"/>
      <w:rPr>
        <w:rFonts w:hint="eastAsia"/>
      </w:rPr>
    </w:lvl>
  </w:abstractNum>
  <w:abstractNum w:abstractNumId="2">
    <w:nsid w:val="04F81028"/>
    <w:multiLevelType w:val="singleLevel"/>
    <w:tmpl w:val="04F81028"/>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1E4F1A"/>
    <w:rsid w:val="007C24CB"/>
    <w:rsid w:val="0096273C"/>
    <w:rsid w:val="00D24FF0"/>
    <w:rsid w:val="00DA3EA5"/>
    <w:rsid w:val="010C3581"/>
    <w:rsid w:val="014E35A1"/>
    <w:rsid w:val="0167398B"/>
    <w:rsid w:val="01826A17"/>
    <w:rsid w:val="01857055"/>
    <w:rsid w:val="01C02D71"/>
    <w:rsid w:val="01CC5EE4"/>
    <w:rsid w:val="01CC7C92"/>
    <w:rsid w:val="01F80A87"/>
    <w:rsid w:val="023E759B"/>
    <w:rsid w:val="02661E94"/>
    <w:rsid w:val="027730B6"/>
    <w:rsid w:val="02E37041"/>
    <w:rsid w:val="02FA03F5"/>
    <w:rsid w:val="031B2C7F"/>
    <w:rsid w:val="03217B69"/>
    <w:rsid w:val="033F7D28"/>
    <w:rsid w:val="034D2242"/>
    <w:rsid w:val="03653EFA"/>
    <w:rsid w:val="03A85635"/>
    <w:rsid w:val="03AC5B1A"/>
    <w:rsid w:val="03AD58A1"/>
    <w:rsid w:val="03AF01E2"/>
    <w:rsid w:val="03C26B83"/>
    <w:rsid w:val="03C70711"/>
    <w:rsid w:val="03CC315E"/>
    <w:rsid w:val="03D270B5"/>
    <w:rsid w:val="03DF5A69"/>
    <w:rsid w:val="04043713"/>
    <w:rsid w:val="04051239"/>
    <w:rsid w:val="0414147C"/>
    <w:rsid w:val="04155920"/>
    <w:rsid w:val="042F62B6"/>
    <w:rsid w:val="044921B6"/>
    <w:rsid w:val="046917C8"/>
    <w:rsid w:val="046E59EF"/>
    <w:rsid w:val="049251C3"/>
    <w:rsid w:val="049A4077"/>
    <w:rsid w:val="04C66C1A"/>
    <w:rsid w:val="04D875BD"/>
    <w:rsid w:val="04F35535"/>
    <w:rsid w:val="050D556D"/>
    <w:rsid w:val="05234F67"/>
    <w:rsid w:val="05545C1C"/>
    <w:rsid w:val="055748A3"/>
    <w:rsid w:val="056675D7"/>
    <w:rsid w:val="057228FE"/>
    <w:rsid w:val="059A3EA8"/>
    <w:rsid w:val="060F45F1"/>
    <w:rsid w:val="062F07EF"/>
    <w:rsid w:val="06450013"/>
    <w:rsid w:val="06585F98"/>
    <w:rsid w:val="06593C39"/>
    <w:rsid w:val="065E2E82"/>
    <w:rsid w:val="06787E06"/>
    <w:rsid w:val="068A3C77"/>
    <w:rsid w:val="06AF4861"/>
    <w:rsid w:val="06B0495B"/>
    <w:rsid w:val="06C93A28"/>
    <w:rsid w:val="06E37C8B"/>
    <w:rsid w:val="070044B1"/>
    <w:rsid w:val="07091040"/>
    <w:rsid w:val="07100621"/>
    <w:rsid w:val="071A324D"/>
    <w:rsid w:val="074D717F"/>
    <w:rsid w:val="076721B4"/>
    <w:rsid w:val="07854B6B"/>
    <w:rsid w:val="07907FD3"/>
    <w:rsid w:val="07A50D69"/>
    <w:rsid w:val="07A74BA2"/>
    <w:rsid w:val="07B92F69"/>
    <w:rsid w:val="07CA07CF"/>
    <w:rsid w:val="07E37AE3"/>
    <w:rsid w:val="07F13FAE"/>
    <w:rsid w:val="080737D2"/>
    <w:rsid w:val="080D5915"/>
    <w:rsid w:val="08163A15"/>
    <w:rsid w:val="08444A26"/>
    <w:rsid w:val="084C0EC2"/>
    <w:rsid w:val="086C1887"/>
    <w:rsid w:val="086D1515"/>
    <w:rsid w:val="08A45512"/>
    <w:rsid w:val="08B224B1"/>
    <w:rsid w:val="08C2594B"/>
    <w:rsid w:val="08CB596A"/>
    <w:rsid w:val="08D12032"/>
    <w:rsid w:val="08D76D8D"/>
    <w:rsid w:val="08E27D9B"/>
    <w:rsid w:val="09120680"/>
    <w:rsid w:val="092D385C"/>
    <w:rsid w:val="092E1232"/>
    <w:rsid w:val="09684744"/>
    <w:rsid w:val="09A129E2"/>
    <w:rsid w:val="09A60DC8"/>
    <w:rsid w:val="09CC6764"/>
    <w:rsid w:val="09D122E9"/>
    <w:rsid w:val="09D1609A"/>
    <w:rsid w:val="09E3271C"/>
    <w:rsid w:val="09E55D95"/>
    <w:rsid w:val="09FB21F2"/>
    <w:rsid w:val="0A29644D"/>
    <w:rsid w:val="0A437032"/>
    <w:rsid w:val="0A5E78F5"/>
    <w:rsid w:val="0A633B33"/>
    <w:rsid w:val="0A71587A"/>
    <w:rsid w:val="0A960E3D"/>
    <w:rsid w:val="0AB37C41"/>
    <w:rsid w:val="0AB46C2A"/>
    <w:rsid w:val="0ABC7CF1"/>
    <w:rsid w:val="0ABE6FC5"/>
    <w:rsid w:val="0AC41E4E"/>
    <w:rsid w:val="0AC91212"/>
    <w:rsid w:val="0AC97464"/>
    <w:rsid w:val="0AD86A92"/>
    <w:rsid w:val="0B095AB3"/>
    <w:rsid w:val="0B255E3A"/>
    <w:rsid w:val="0B2B57C8"/>
    <w:rsid w:val="0B3B7AF5"/>
    <w:rsid w:val="0B3C24F6"/>
    <w:rsid w:val="0B462863"/>
    <w:rsid w:val="0B5A4560"/>
    <w:rsid w:val="0B7F3FC7"/>
    <w:rsid w:val="0BAF665A"/>
    <w:rsid w:val="0BC76005"/>
    <w:rsid w:val="0BC76E66"/>
    <w:rsid w:val="0BF0521B"/>
    <w:rsid w:val="0BFC5617"/>
    <w:rsid w:val="0C1069CD"/>
    <w:rsid w:val="0C1B3CF0"/>
    <w:rsid w:val="0C281F69"/>
    <w:rsid w:val="0C5E598A"/>
    <w:rsid w:val="0CB101B0"/>
    <w:rsid w:val="0CBD4DA7"/>
    <w:rsid w:val="0CCC4FEA"/>
    <w:rsid w:val="0CDA088E"/>
    <w:rsid w:val="0CF900A3"/>
    <w:rsid w:val="0D0F4ED6"/>
    <w:rsid w:val="0D692839"/>
    <w:rsid w:val="0D7935F6"/>
    <w:rsid w:val="0D9A718E"/>
    <w:rsid w:val="0DA859D3"/>
    <w:rsid w:val="0DA87805"/>
    <w:rsid w:val="0DBF06AB"/>
    <w:rsid w:val="0DD30B7C"/>
    <w:rsid w:val="0DD91F9C"/>
    <w:rsid w:val="0DDC300B"/>
    <w:rsid w:val="0DDF0D4D"/>
    <w:rsid w:val="0E307EEE"/>
    <w:rsid w:val="0E5C414B"/>
    <w:rsid w:val="0E7616B1"/>
    <w:rsid w:val="0E9438E5"/>
    <w:rsid w:val="0EE83F9D"/>
    <w:rsid w:val="0F024CF3"/>
    <w:rsid w:val="0F0D035A"/>
    <w:rsid w:val="0F3D5D2B"/>
    <w:rsid w:val="0F7C2CF7"/>
    <w:rsid w:val="0FB87AA7"/>
    <w:rsid w:val="0FE34B24"/>
    <w:rsid w:val="10142F30"/>
    <w:rsid w:val="102C0845"/>
    <w:rsid w:val="104F3F68"/>
    <w:rsid w:val="107B4D5D"/>
    <w:rsid w:val="10B145AD"/>
    <w:rsid w:val="10D80401"/>
    <w:rsid w:val="10DB1C9F"/>
    <w:rsid w:val="1111121D"/>
    <w:rsid w:val="115A7068"/>
    <w:rsid w:val="115B4B8E"/>
    <w:rsid w:val="11620280"/>
    <w:rsid w:val="11643A43"/>
    <w:rsid w:val="116F4196"/>
    <w:rsid w:val="117D2D56"/>
    <w:rsid w:val="11B43A6A"/>
    <w:rsid w:val="11B5429E"/>
    <w:rsid w:val="11C16B5E"/>
    <w:rsid w:val="11E75881"/>
    <w:rsid w:val="12152F8F"/>
    <w:rsid w:val="122675E2"/>
    <w:rsid w:val="123A47A4"/>
    <w:rsid w:val="123F1DBA"/>
    <w:rsid w:val="12417927"/>
    <w:rsid w:val="12462BC1"/>
    <w:rsid w:val="126E021D"/>
    <w:rsid w:val="12704669"/>
    <w:rsid w:val="129E4D32"/>
    <w:rsid w:val="12C549DA"/>
    <w:rsid w:val="12C81DAF"/>
    <w:rsid w:val="12D9220E"/>
    <w:rsid w:val="12FD5FFB"/>
    <w:rsid w:val="13104C8A"/>
    <w:rsid w:val="132316DC"/>
    <w:rsid w:val="1380268A"/>
    <w:rsid w:val="13C5707D"/>
    <w:rsid w:val="13CA1B57"/>
    <w:rsid w:val="13E7095B"/>
    <w:rsid w:val="13F07810"/>
    <w:rsid w:val="13F37300"/>
    <w:rsid w:val="140D6614"/>
    <w:rsid w:val="14217382"/>
    <w:rsid w:val="14217850"/>
    <w:rsid w:val="1446371A"/>
    <w:rsid w:val="144731A8"/>
    <w:rsid w:val="146A5814"/>
    <w:rsid w:val="147D6BCA"/>
    <w:rsid w:val="14CB5B87"/>
    <w:rsid w:val="14DB226E"/>
    <w:rsid w:val="14EC3DCF"/>
    <w:rsid w:val="15037E2D"/>
    <w:rsid w:val="156B2323"/>
    <w:rsid w:val="158C3FC8"/>
    <w:rsid w:val="15962639"/>
    <w:rsid w:val="159823A0"/>
    <w:rsid w:val="15AC3C0A"/>
    <w:rsid w:val="15B05882"/>
    <w:rsid w:val="15D13671"/>
    <w:rsid w:val="15DB004C"/>
    <w:rsid w:val="15E04F64"/>
    <w:rsid w:val="15E2762C"/>
    <w:rsid w:val="15F86E50"/>
    <w:rsid w:val="16191007"/>
    <w:rsid w:val="162836F0"/>
    <w:rsid w:val="164A7458"/>
    <w:rsid w:val="16667FF6"/>
    <w:rsid w:val="1679289C"/>
    <w:rsid w:val="16922E00"/>
    <w:rsid w:val="169E79F7"/>
    <w:rsid w:val="16F45CE8"/>
    <w:rsid w:val="16FC049F"/>
    <w:rsid w:val="17451C21"/>
    <w:rsid w:val="174C193E"/>
    <w:rsid w:val="176127D3"/>
    <w:rsid w:val="179B0D80"/>
    <w:rsid w:val="17B27393"/>
    <w:rsid w:val="17BB0135"/>
    <w:rsid w:val="17E20058"/>
    <w:rsid w:val="183D23CB"/>
    <w:rsid w:val="183D3240"/>
    <w:rsid w:val="184243B2"/>
    <w:rsid w:val="18510AEB"/>
    <w:rsid w:val="18610CDC"/>
    <w:rsid w:val="186C142F"/>
    <w:rsid w:val="18A94431"/>
    <w:rsid w:val="18D45952"/>
    <w:rsid w:val="18F31DC7"/>
    <w:rsid w:val="18FE477D"/>
    <w:rsid w:val="19151AC7"/>
    <w:rsid w:val="19153875"/>
    <w:rsid w:val="19161B44"/>
    <w:rsid w:val="19263CD4"/>
    <w:rsid w:val="193E726F"/>
    <w:rsid w:val="19550115"/>
    <w:rsid w:val="196F567B"/>
    <w:rsid w:val="1990114D"/>
    <w:rsid w:val="19B72B7E"/>
    <w:rsid w:val="19D46BD3"/>
    <w:rsid w:val="19E260C0"/>
    <w:rsid w:val="19E27BFB"/>
    <w:rsid w:val="1A0933D9"/>
    <w:rsid w:val="1A107C62"/>
    <w:rsid w:val="1A143B2C"/>
    <w:rsid w:val="1A464AA0"/>
    <w:rsid w:val="1A6B22E0"/>
    <w:rsid w:val="1A6E76E0"/>
    <w:rsid w:val="1AAC0209"/>
    <w:rsid w:val="1AB05F4B"/>
    <w:rsid w:val="1ABD5F72"/>
    <w:rsid w:val="1AC47924"/>
    <w:rsid w:val="1AF51BB0"/>
    <w:rsid w:val="1AF5570C"/>
    <w:rsid w:val="1AF57E02"/>
    <w:rsid w:val="1B132036"/>
    <w:rsid w:val="1B1A33C4"/>
    <w:rsid w:val="1B222279"/>
    <w:rsid w:val="1B4F168F"/>
    <w:rsid w:val="1B6F0841"/>
    <w:rsid w:val="1B7649DE"/>
    <w:rsid w:val="1BAD4238"/>
    <w:rsid w:val="1BC33A5C"/>
    <w:rsid w:val="1BC577D4"/>
    <w:rsid w:val="1BD752A3"/>
    <w:rsid w:val="1C67088B"/>
    <w:rsid w:val="1C8A5CBF"/>
    <w:rsid w:val="1CB02232"/>
    <w:rsid w:val="1CC7132A"/>
    <w:rsid w:val="1D391455"/>
    <w:rsid w:val="1D72498F"/>
    <w:rsid w:val="1D7E7C3A"/>
    <w:rsid w:val="1D9D7C75"/>
    <w:rsid w:val="1DA022A7"/>
    <w:rsid w:val="1DAB6D83"/>
    <w:rsid w:val="1DC75A85"/>
    <w:rsid w:val="1DDC7057"/>
    <w:rsid w:val="1E0754FF"/>
    <w:rsid w:val="1E256308"/>
    <w:rsid w:val="1E2712E1"/>
    <w:rsid w:val="1E7249AF"/>
    <w:rsid w:val="1E761259"/>
    <w:rsid w:val="1EB76CF9"/>
    <w:rsid w:val="1EC04283"/>
    <w:rsid w:val="1ED55F80"/>
    <w:rsid w:val="1EDD4E34"/>
    <w:rsid w:val="1EF53F2C"/>
    <w:rsid w:val="1EFB350D"/>
    <w:rsid w:val="1F4D1FBA"/>
    <w:rsid w:val="1F4E6F45"/>
    <w:rsid w:val="1F52137F"/>
    <w:rsid w:val="1F8737CC"/>
    <w:rsid w:val="1FCB2EDF"/>
    <w:rsid w:val="1FE61854"/>
    <w:rsid w:val="1FEA15B7"/>
    <w:rsid w:val="1FED72F9"/>
    <w:rsid w:val="1FF31541"/>
    <w:rsid w:val="2011123A"/>
    <w:rsid w:val="205B4263"/>
    <w:rsid w:val="20A0611A"/>
    <w:rsid w:val="20F10837"/>
    <w:rsid w:val="210939CE"/>
    <w:rsid w:val="21132D8F"/>
    <w:rsid w:val="2120725A"/>
    <w:rsid w:val="212D6A29"/>
    <w:rsid w:val="21466CC1"/>
    <w:rsid w:val="214E2E4B"/>
    <w:rsid w:val="217E2260"/>
    <w:rsid w:val="21DC7625"/>
    <w:rsid w:val="21E33D7D"/>
    <w:rsid w:val="21F04E7F"/>
    <w:rsid w:val="220F3557"/>
    <w:rsid w:val="222B4109"/>
    <w:rsid w:val="22350AE4"/>
    <w:rsid w:val="225673D8"/>
    <w:rsid w:val="225B49EE"/>
    <w:rsid w:val="227D2BB6"/>
    <w:rsid w:val="22937C80"/>
    <w:rsid w:val="22A46395"/>
    <w:rsid w:val="22B21AF8"/>
    <w:rsid w:val="22BD7457"/>
    <w:rsid w:val="22E737AC"/>
    <w:rsid w:val="22EB3FC4"/>
    <w:rsid w:val="22FB3ADB"/>
    <w:rsid w:val="232E5C5F"/>
    <w:rsid w:val="23403BE4"/>
    <w:rsid w:val="23C14D25"/>
    <w:rsid w:val="23C6058D"/>
    <w:rsid w:val="23D34A58"/>
    <w:rsid w:val="23F30C56"/>
    <w:rsid w:val="23FE7D27"/>
    <w:rsid w:val="243F5C4A"/>
    <w:rsid w:val="248D10AB"/>
    <w:rsid w:val="248D2E59"/>
    <w:rsid w:val="24A361D8"/>
    <w:rsid w:val="24C8734D"/>
    <w:rsid w:val="24E94D19"/>
    <w:rsid w:val="25052271"/>
    <w:rsid w:val="25305258"/>
    <w:rsid w:val="255045B2"/>
    <w:rsid w:val="256253DA"/>
    <w:rsid w:val="25722260"/>
    <w:rsid w:val="257A4289"/>
    <w:rsid w:val="25A83616"/>
    <w:rsid w:val="25D07317"/>
    <w:rsid w:val="25D074A1"/>
    <w:rsid w:val="260373D2"/>
    <w:rsid w:val="263A5FE5"/>
    <w:rsid w:val="265713EE"/>
    <w:rsid w:val="266177F8"/>
    <w:rsid w:val="26734FA1"/>
    <w:rsid w:val="267811A0"/>
    <w:rsid w:val="26804A23"/>
    <w:rsid w:val="268A6BC2"/>
    <w:rsid w:val="26EB3E67"/>
    <w:rsid w:val="26F40F6D"/>
    <w:rsid w:val="26FB67A0"/>
    <w:rsid w:val="2705317A"/>
    <w:rsid w:val="270F7B55"/>
    <w:rsid w:val="272F6449"/>
    <w:rsid w:val="273D0B66"/>
    <w:rsid w:val="274C2B57"/>
    <w:rsid w:val="275639D6"/>
    <w:rsid w:val="27565784"/>
    <w:rsid w:val="27710810"/>
    <w:rsid w:val="277E52D7"/>
    <w:rsid w:val="278422F1"/>
    <w:rsid w:val="27B17462"/>
    <w:rsid w:val="27EF7E63"/>
    <w:rsid w:val="27F6032D"/>
    <w:rsid w:val="28304227"/>
    <w:rsid w:val="28A30E9D"/>
    <w:rsid w:val="28F25980"/>
    <w:rsid w:val="29143B49"/>
    <w:rsid w:val="291476A5"/>
    <w:rsid w:val="2944096C"/>
    <w:rsid w:val="29462E99"/>
    <w:rsid w:val="2949464C"/>
    <w:rsid w:val="297B7724"/>
    <w:rsid w:val="29B049F9"/>
    <w:rsid w:val="29B13146"/>
    <w:rsid w:val="29C0782D"/>
    <w:rsid w:val="29C94933"/>
    <w:rsid w:val="29EC6874"/>
    <w:rsid w:val="29EF5E58"/>
    <w:rsid w:val="2A385615"/>
    <w:rsid w:val="2A5E573D"/>
    <w:rsid w:val="2A870159"/>
    <w:rsid w:val="2ABA04F6"/>
    <w:rsid w:val="2ACF5F79"/>
    <w:rsid w:val="2AD7512C"/>
    <w:rsid w:val="2AE81259"/>
    <w:rsid w:val="2AEF3F25"/>
    <w:rsid w:val="2AFC4894"/>
    <w:rsid w:val="2B147E30"/>
    <w:rsid w:val="2B1672F6"/>
    <w:rsid w:val="2B22254D"/>
    <w:rsid w:val="2B296C36"/>
    <w:rsid w:val="2B32017A"/>
    <w:rsid w:val="2B397896"/>
    <w:rsid w:val="2B4C1378"/>
    <w:rsid w:val="2B4F70BA"/>
    <w:rsid w:val="2B552AAD"/>
    <w:rsid w:val="2B5A3C59"/>
    <w:rsid w:val="2B6A36E9"/>
    <w:rsid w:val="2BA47406"/>
    <w:rsid w:val="2BAA2542"/>
    <w:rsid w:val="2BAF7B59"/>
    <w:rsid w:val="2BC374BB"/>
    <w:rsid w:val="2BC41856"/>
    <w:rsid w:val="2BD35370"/>
    <w:rsid w:val="2C0C5228"/>
    <w:rsid w:val="2C3047F6"/>
    <w:rsid w:val="2C35005E"/>
    <w:rsid w:val="2C3D6F12"/>
    <w:rsid w:val="2C5129BE"/>
    <w:rsid w:val="2C517BE0"/>
    <w:rsid w:val="2CA1464D"/>
    <w:rsid w:val="2CB368C6"/>
    <w:rsid w:val="2CD66475"/>
    <w:rsid w:val="2CE542E8"/>
    <w:rsid w:val="2CF47F19"/>
    <w:rsid w:val="2D377E06"/>
    <w:rsid w:val="2D4C797B"/>
    <w:rsid w:val="2D502C75"/>
    <w:rsid w:val="2D5409B8"/>
    <w:rsid w:val="2D6F75A0"/>
    <w:rsid w:val="2D854259"/>
    <w:rsid w:val="2DC25921"/>
    <w:rsid w:val="2DCE076A"/>
    <w:rsid w:val="2DD5743D"/>
    <w:rsid w:val="2DF6291A"/>
    <w:rsid w:val="2DFB1083"/>
    <w:rsid w:val="2DFE26D1"/>
    <w:rsid w:val="2E037ECE"/>
    <w:rsid w:val="2E123636"/>
    <w:rsid w:val="2E692649"/>
    <w:rsid w:val="2E8970DD"/>
    <w:rsid w:val="2EB20374"/>
    <w:rsid w:val="2EDD678B"/>
    <w:rsid w:val="2EDE4089"/>
    <w:rsid w:val="2EE63870"/>
    <w:rsid w:val="2EEE0998"/>
    <w:rsid w:val="2F462582"/>
    <w:rsid w:val="2F5E5B1E"/>
    <w:rsid w:val="2F795793"/>
    <w:rsid w:val="2F7E5B21"/>
    <w:rsid w:val="2FA554FB"/>
    <w:rsid w:val="2FAF3423"/>
    <w:rsid w:val="2FB77743"/>
    <w:rsid w:val="2FE75B13"/>
    <w:rsid w:val="2FFB511A"/>
    <w:rsid w:val="30073ABF"/>
    <w:rsid w:val="305F18E8"/>
    <w:rsid w:val="30BF439A"/>
    <w:rsid w:val="30E402A4"/>
    <w:rsid w:val="30E42053"/>
    <w:rsid w:val="30E97669"/>
    <w:rsid w:val="311741D6"/>
    <w:rsid w:val="3119309A"/>
    <w:rsid w:val="311F7AB1"/>
    <w:rsid w:val="312A5594"/>
    <w:rsid w:val="312C625F"/>
    <w:rsid w:val="316941C1"/>
    <w:rsid w:val="31C81974"/>
    <w:rsid w:val="31FC77B8"/>
    <w:rsid w:val="320164F3"/>
    <w:rsid w:val="32230959"/>
    <w:rsid w:val="32764F2C"/>
    <w:rsid w:val="32786EF6"/>
    <w:rsid w:val="32933D30"/>
    <w:rsid w:val="32E4633A"/>
    <w:rsid w:val="33134133"/>
    <w:rsid w:val="3322495F"/>
    <w:rsid w:val="337450B5"/>
    <w:rsid w:val="33B914A9"/>
    <w:rsid w:val="33F64577"/>
    <w:rsid w:val="340C3D9A"/>
    <w:rsid w:val="342866FA"/>
    <w:rsid w:val="342B1D46"/>
    <w:rsid w:val="344C700B"/>
    <w:rsid w:val="34C22FEC"/>
    <w:rsid w:val="34CB1F9B"/>
    <w:rsid w:val="34EB0670"/>
    <w:rsid w:val="34F86C33"/>
    <w:rsid w:val="351322E0"/>
    <w:rsid w:val="35156C7E"/>
    <w:rsid w:val="351849C1"/>
    <w:rsid w:val="357240D1"/>
    <w:rsid w:val="357C7A47"/>
    <w:rsid w:val="357D65D2"/>
    <w:rsid w:val="359202CF"/>
    <w:rsid w:val="359A096B"/>
    <w:rsid w:val="35AB1391"/>
    <w:rsid w:val="35B50461"/>
    <w:rsid w:val="35CA47BD"/>
    <w:rsid w:val="361B6516"/>
    <w:rsid w:val="361E1B63"/>
    <w:rsid w:val="361E7DB5"/>
    <w:rsid w:val="36266C69"/>
    <w:rsid w:val="365B2DB7"/>
    <w:rsid w:val="368A71F8"/>
    <w:rsid w:val="369B586E"/>
    <w:rsid w:val="369E2CA4"/>
    <w:rsid w:val="36B765C5"/>
    <w:rsid w:val="36F6663C"/>
    <w:rsid w:val="370A0339"/>
    <w:rsid w:val="374E72FE"/>
    <w:rsid w:val="37512649"/>
    <w:rsid w:val="376712E7"/>
    <w:rsid w:val="377A101B"/>
    <w:rsid w:val="37BC7885"/>
    <w:rsid w:val="37C036A0"/>
    <w:rsid w:val="37CB1876"/>
    <w:rsid w:val="37D664EB"/>
    <w:rsid w:val="37DE15FE"/>
    <w:rsid w:val="37E776C2"/>
    <w:rsid w:val="37F54B45"/>
    <w:rsid w:val="37F94635"/>
    <w:rsid w:val="380A4A95"/>
    <w:rsid w:val="383C09C6"/>
    <w:rsid w:val="38704382"/>
    <w:rsid w:val="388B2F38"/>
    <w:rsid w:val="38934A8A"/>
    <w:rsid w:val="38991974"/>
    <w:rsid w:val="38A722E3"/>
    <w:rsid w:val="38F8669B"/>
    <w:rsid w:val="390E4110"/>
    <w:rsid w:val="393B0C7E"/>
    <w:rsid w:val="393B3584"/>
    <w:rsid w:val="396A50BF"/>
    <w:rsid w:val="39916AF0"/>
    <w:rsid w:val="399D1B1E"/>
    <w:rsid w:val="39D23390"/>
    <w:rsid w:val="39D52E80"/>
    <w:rsid w:val="3A046503"/>
    <w:rsid w:val="3A06303A"/>
    <w:rsid w:val="3A15327D"/>
    <w:rsid w:val="3A3E2D61"/>
    <w:rsid w:val="3A8521B0"/>
    <w:rsid w:val="3AAD1707"/>
    <w:rsid w:val="3AB111F7"/>
    <w:rsid w:val="3AE113B1"/>
    <w:rsid w:val="3AF70BD4"/>
    <w:rsid w:val="3B35724B"/>
    <w:rsid w:val="3B750477"/>
    <w:rsid w:val="3BAA5C47"/>
    <w:rsid w:val="3BB63ADA"/>
    <w:rsid w:val="3BDC4EDA"/>
    <w:rsid w:val="3BE63123"/>
    <w:rsid w:val="3C117753"/>
    <w:rsid w:val="3C241E9D"/>
    <w:rsid w:val="3C37498E"/>
    <w:rsid w:val="3C6109FB"/>
    <w:rsid w:val="3C6B3628"/>
    <w:rsid w:val="3C860462"/>
    <w:rsid w:val="3C94450B"/>
    <w:rsid w:val="3CD83A9C"/>
    <w:rsid w:val="3D051AB3"/>
    <w:rsid w:val="3D13022E"/>
    <w:rsid w:val="3D2A5291"/>
    <w:rsid w:val="3D430101"/>
    <w:rsid w:val="3D9C0E9C"/>
    <w:rsid w:val="3DAE7C70"/>
    <w:rsid w:val="3DBD7EB3"/>
    <w:rsid w:val="3DC2371B"/>
    <w:rsid w:val="3DDE7B24"/>
    <w:rsid w:val="3DE713D4"/>
    <w:rsid w:val="3DE96EFA"/>
    <w:rsid w:val="3DFC784D"/>
    <w:rsid w:val="3E047890"/>
    <w:rsid w:val="3E1A5671"/>
    <w:rsid w:val="3E353902"/>
    <w:rsid w:val="3E5A13F5"/>
    <w:rsid w:val="3E60285C"/>
    <w:rsid w:val="3E7A6E5F"/>
    <w:rsid w:val="3E807399"/>
    <w:rsid w:val="3E923BF9"/>
    <w:rsid w:val="3EBB003D"/>
    <w:rsid w:val="3EBE0387"/>
    <w:rsid w:val="3ED454B4"/>
    <w:rsid w:val="3F0A4EA1"/>
    <w:rsid w:val="3F1E7077"/>
    <w:rsid w:val="3F3441A5"/>
    <w:rsid w:val="3F487C50"/>
    <w:rsid w:val="3F814E1B"/>
    <w:rsid w:val="3FC65745"/>
    <w:rsid w:val="3FCE3BC4"/>
    <w:rsid w:val="40274071"/>
    <w:rsid w:val="403D52DB"/>
    <w:rsid w:val="405D1A2A"/>
    <w:rsid w:val="407F405E"/>
    <w:rsid w:val="409370B0"/>
    <w:rsid w:val="40D41902"/>
    <w:rsid w:val="40D55514"/>
    <w:rsid w:val="4114603C"/>
    <w:rsid w:val="411C75E7"/>
    <w:rsid w:val="412B15D8"/>
    <w:rsid w:val="41401527"/>
    <w:rsid w:val="417D248D"/>
    <w:rsid w:val="41884B35"/>
    <w:rsid w:val="41912E80"/>
    <w:rsid w:val="41BD0482"/>
    <w:rsid w:val="41CA7043"/>
    <w:rsid w:val="41D57EC1"/>
    <w:rsid w:val="42022339"/>
    <w:rsid w:val="421A3B26"/>
    <w:rsid w:val="42360234"/>
    <w:rsid w:val="423849B8"/>
    <w:rsid w:val="429F227D"/>
    <w:rsid w:val="42D55C9F"/>
    <w:rsid w:val="42D71A17"/>
    <w:rsid w:val="431E13F4"/>
    <w:rsid w:val="43394480"/>
    <w:rsid w:val="433C187A"/>
    <w:rsid w:val="435F746A"/>
    <w:rsid w:val="4372309F"/>
    <w:rsid w:val="43A713E9"/>
    <w:rsid w:val="43D47D05"/>
    <w:rsid w:val="44093E52"/>
    <w:rsid w:val="440C4ACA"/>
    <w:rsid w:val="44150A49"/>
    <w:rsid w:val="442073EE"/>
    <w:rsid w:val="444430DC"/>
    <w:rsid w:val="444906F3"/>
    <w:rsid w:val="444E5D13"/>
    <w:rsid w:val="446F3136"/>
    <w:rsid w:val="44790C24"/>
    <w:rsid w:val="447A6AFE"/>
    <w:rsid w:val="447C2876"/>
    <w:rsid w:val="44867251"/>
    <w:rsid w:val="44957B12"/>
    <w:rsid w:val="44E126D9"/>
    <w:rsid w:val="44EA2615"/>
    <w:rsid w:val="44EA72CA"/>
    <w:rsid w:val="451851AA"/>
    <w:rsid w:val="452627E2"/>
    <w:rsid w:val="453A628D"/>
    <w:rsid w:val="45800144"/>
    <w:rsid w:val="45CF0C25"/>
    <w:rsid w:val="45D92790"/>
    <w:rsid w:val="45DD7715"/>
    <w:rsid w:val="4604429E"/>
    <w:rsid w:val="46560EA5"/>
    <w:rsid w:val="467F03FC"/>
    <w:rsid w:val="468024FD"/>
    <w:rsid w:val="468E6050"/>
    <w:rsid w:val="46B42E62"/>
    <w:rsid w:val="46D63D94"/>
    <w:rsid w:val="46E62229"/>
    <w:rsid w:val="46E97F6B"/>
    <w:rsid w:val="46F64545"/>
    <w:rsid w:val="46FF778E"/>
    <w:rsid w:val="470E1780"/>
    <w:rsid w:val="47503B46"/>
    <w:rsid w:val="477041E8"/>
    <w:rsid w:val="47867568"/>
    <w:rsid w:val="478B2DD0"/>
    <w:rsid w:val="47AA234B"/>
    <w:rsid w:val="47C562E2"/>
    <w:rsid w:val="47C81344"/>
    <w:rsid w:val="47D429C9"/>
    <w:rsid w:val="48027536"/>
    <w:rsid w:val="48276F9D"/>
    <w:rsid w:val="482B6CCE"/>
    <w:rsid w:val="483B0352"/>
    <w:rsid w:val="486E697A"/>
    <w:rsid w:val="488A3088"/>
    <w:rsid w:val="48CC18F2"/>
    <w:rsid w:val="48DF1625"/>
    <w:rsid w:val="48F078C5"/>
    <w:rsid w:val="4901159C"/>
    <w:rsid w:val="492D05E3"/>
    <w:rsid w:val="49320965"/>
    <w:rsid w:val="4957740E"/>
    <w:rsid w:val="49957F36"/>
    <w:rsid w:val="49987E1F"/>
    <w:rsid w:val="49AC2773"/>
    <w:rsid w:val="49AC2E6D"/>
    <w:rsid w:val="49B87385"/>
    <w:rsid w:val="49D46CB0"/>
    <w:rsid w:val="49DE7B2F"/>
    <w:rsid w:val="49EA2030"/>
    <w:rsid w:val="4A3F3154"/>
    <w:rsid w:val="4A4562D3"/>
    <w:rsid w:val="4A52328E"/>
    <w:rsid w:val="4A6A13C3"/>
    <w:rsid w:val="4A981A8C"/>
    <w:rsid w:val="4AAB5968"/>
    <w:rsid w:val="4AC26649"/>
    <w:rsid w:val="4AE90539"/>
    <w:rsid w:val="4AE92C11"/>
    <w:rsid w:val="4B0233A9"/>
    <w:rsid w:val="4B050440"/>
    <w:rsid w:val="4B180E1F"/>
    <w:rsid w:val="4B1A4B97"/>
    <w:rsid w:val="4B201A81"/>
    <w:rsid w:val="4B227F62"/>
    <w:rsid w:val="4B271062"/>
    <w:rsid w:val="4B2B0B52"/>
    <w:rsid w:val="4B337A07"/>
    <w:rsid w:val="4B427C4A"/>
    <w:rsid w:val="4B4E2A92"/>
    <w:rsid w:val="4B58121B"/>
    <w:rsid w:val="4B5E0F27"/>
    <w:rsid w:val="4B6545C2"/>
    <w:rsid w:val="4B756271"/>
    <w:rsid w:val="4B8E2E8F"/>
    <w:rsid w:val="4B95246F"/>
    <w:rsid w:val="4BBC369E"/>
    <w:rsid w:val="4BD9235C"/>
    <w:rsid w:val="4BFD2FCC"/>
    <w:rsid w:val="4C0D30A7"/>
    <w:rsid w:val="4C8D1398"/>
    <w:rsid w:val="4C997D3D"/>
    <w:rsid w:val="4CAF7561"/>
    <w:rsid w:val="4CC9559E"/>
    <w:rsid w:val="4CEC4659"/>
    <w:rsid w:val="4D245859"/>
    <w:rsid w:val="4D4128AF"/>
    <w:rsid w:val="4D445EFB"/>
    <w:rsid w:val="4D493511"/>
    <w:rsid w:val="4D77007F"/>
    <w:rsid w:val="4D7D2AAB"/>
    <w:rsid w:val="4D7E4702"/>
    <w:rsid w:val="4DA93FB0"/>
    <w:rsid w:val="4DC94B5A"/>
    <w:rsid w:val="4DE17BEE"/>
    <w:rsid w:val="4DF21FC2"/>
    <w:rsid w:val="4DF932EA"/>
    <w:rsid w:val="4E201C1D"/>
    <w:rsid w:val="4E7A34EC"/>
    <w:rsid w:val="4E861641"/>
    <w:rsid w:val="4EA8070C"/>
    <w:rsid w:val="4EC24B02"/>
    <w:rsid w:val="4EF61477"/>
    <w:rsid w:val="4F361873"/>
    <w:rsid w:val="4F626B0C"/>
    <w:rsid w:val="4FA15887"/>
    <w:rsid w:val="4FA40ED3"/>
    <w:rsid w:val="4FAB04B3"/>
    <w:rsid w:val="4FB426AD"/>
    <w:rsid w:val="4FD95593"/>
    <w:rsid w:val="4FEE2DC9"/>
    <w:rsid w:val="505846C0"/>
    <w:rsid w:val="50854860"/>
    <w:rsid w:val="50C939BF"/>
    <w:rsid w:val="50FB4B23"/>
    <w:rsid w:val="51033693"/>
    <w:rsid w:val="51271DBC"/>
    <w:rsid w:val="51346287"/>
    <w:rsid w:val="51501312"/>
    <w:rsid w:val="51850890"/>
    <w:rsid w:val="519F1DA4"/>
    <w:rsid w:val="525210BA"/>
    <w:rsid w:val="527252B8"/>
    <w:rsid w:val="52744877"/>
    <w:rsid w:val="52972F71"/>
    <w:rsid w:val="52A90328"/>
    <w:rsid w:val="52DC3333"/>
    <w:rsid w:val="53036690"/>
    <w:rsid w:val="53054115"/>
    <w:rsid w:val="532E5683"/>
    <w:rsid w:val="53376A7B"/>
    <w:rsid w:val="534327B1"/>
    <w:rsid w:val="53530883"/>
    <w:rsid w:val="537441A1"/>
    <w:rsid w:val="53B1020C"/>
    <w:rsid w:val="54065481"/>
    <w:rsid w:val="54112132"/>
    <w:rsid w:val="541923D0"/>
    <w:rsid w:val="544A3E90"/>
    <w:rsid w:val="54574766"/>
    <w:rsid w:val="547215A0"/>
    <w:rsid w:val="549C486F"/>
    <w:rsid w:val="54B41BB8"/>
    <w:rsid w:val="54C3004D"/>
    <w:rsid w:val="54F00716"/>
    <w:rsid w:val="55450A62"/>
    <w:rsid w:val="554C3B9F"/>
    <w:rsid w:val="557169CF"/>
    <w:rsid w:val="557D5D2A"/>
    <w:rsid w:val="559E44C7"/>
    <w:rsid w:val="55A41C2D"/>
    <w:rsid w:val="55B87486"/>
    <w:rsid w:val="56682D63"/>
    <w:rsid w:val="56705FB3"/>
    <w:rsid w:val="56905D0D"/>
    <w:rsid w:val="56F269C8"/>
    <w:rsid w:val="56FB4C08"/>
    <w:rsid w:val="571E77BD"/>
    <w:rsid w:val="572D5C27"/>
    <w:rsid w:val="573C7C43"/>
    <w:rsid w:val="574153BB"/>
    <w:rsid w:val="57475E63"/>
    <w:rsid w:val="574E6358"/>
    <w:rsid w:val="57597C46"/>
    <w:rsid w:val="5765363E"/>
    <w:rsid w:val="57D936E4"/>
    <w:rsid w:val="57DD1426"/>
    <w:rsid w:val="580544D9"/>
    <w:rsid w:val="586C27AA"/>
    <w:rsid w:val="587B479B"/>
    <w:rsid w:val="589A668A"/>
    <w:rsid w:val="58AC00F0"/>
    <w:rsid w:val="58C46E3D"/>
    <w:rsid w:val="58D971B2"/>
    <w:rsid w:val="59042C0B"/>
    <w:rsid w:val="591C5F7E"/>
    <w:rsid w:val="59272568"/>
    <w:rsid w:val="594554D5"/>
    <w:rsid w:val="59576FB6"/>
    <w:rsid w:val="59A71CEC"/>
    <w:rsid w:val="59BC1D1A"/>
    <w:rsid w:val="59C142A0"/>
    <w:rsid w:val="59C641E6"/>
    <w:rsid w:val="59C97B25"/>
    <w:rsid w:val="59CA5FCE"/>
    <w:rsid w:val="59D65347"/>
    <w:rsid w:val="59DE3233"/>
    <w:rsid w:val="59F20A8D"/>
    <w:rsid w:val="5A272E2C"/>
    <w:rsid w:val="5A2E3043"/>
    <w:rsid w:val="5A4237C2"/>
    <w:rsid w:val="5A4968FF"/>
    <w:rsid w:val="5A4C2893"/>
    <w:rsid w:val="5A6B2D19"/>
    <w:rsid w:val="5A851901"/>
    <w:rsid w:val="5A902780"/>
    <w:rsid w:val="5A9763C3"/>
    <w:rsid w:val="5A9920D7"/>
    <w:rsid w:val="5AEA63E6"/>
    <w:rsid w:val="5B1769FD"/>
    <w:rsid w:val="5B1A029B"/>
    <w:rsid w:val="5B2C7B17"/>
    <w:rsid w:val="5B94004E"/>
    <w:rsid w:val="5BCB0AF4"/>
    <w:rsid w:val="5BD90156"/>
    <w:rsid w:val="5BE10DB9"/>
    <w:rsid w:val="5C2D5181"/>
    <w:rsid w:val="5C910A31"/>
    <w:rsid w:val="5C9A1694"/>
    <w:rsid w:val="5C9B1B86"/>
    <w:rsid w:val="5CA02E79"/>
    <w:rsid w:val="5CCE3A33"/>
    <w:rsid w:val="5CEA5B79"/>
    <w:rsid w:val="5CFC76ED"/>
    <w:rsid w:val="5CFD1C22"/>
    <w:rsid w:val="5D07484F"/>
    <w:rsid w:val="5D150553"/>
    <w:rsid w:val="5D3550FB"/>
    <w:rsid w:val="5D600B2F"/>
    <w:rsid w:val="5D7719D5"/>
    <w:rsid w:val="5D902A97"/>
    <w:rsid w:val="5DB20C5F"/>
    <w:rsid w:val="5E0073AF"/>
    <w:rsid w:val="5E3606EF"/>
    <w:rsid w:val="5E566E93"/>
    <w:rsid w:val="5EAB402C"/>
    <w:rsid w:val="5EC16208"/>
    <w:rsid w:val="5EC46383"/>
    <w:rsid w:val="5EDA32DC"/>
    <w:rsid w:val="5F321771"/>
    <w:rsid w:val="5F3A0F0C"/>
    <w:rsid w:val="5F412CC2"/>
    <w:rsid w:val="5F69359F"/>
    <w:rsid w:val="5FD037A9"/>
    <w:rsid w:val="5FE2771E"/>
    <w:rsid w:val="5FEF7F48"/>
    <w:rsid w:val="600E6D7C"/>
    <w:rsid w:val="604007A4"/>
    <w:rsid w:val="606A3A73"/>
    <w:rsid w:val="607F1E09"/>
    <w:rsid w:val="608C5797"/>
    <w:rsid w:val="608E7761"/>
    <w:rsid w:val="608F5287"/>
    <w:rsid w:val="60B314C6"/>
    <w:rsid w:val="60BD2923"/>
    <w:rsid w:val="6109503A"/>
    <w:rsid w:val="61137C66"/>
    <w:rsid w:val="618C2692"/>
    <w:rsid w:val="61BD2427"/>
    <w:rsid w:val="61F730E4"/>
    <w:rsid w:val="622D31D4"/>
    <w:rsid w:val="62515E41"/>
    <w:rsid w:val="628030DA"/>
    <w:rsid w:val="62A274F4"/>
    <w:rsid w:val="62A74B0A"/>
    <w:rsid w:val="62E015B0"/>
    <w:rsid w:val="62F92E8C"/>
    <w:rsid w:val="62FB4E56"/>
    <w:rsid w:val="632919C3"/>
    <w:rsid w:val="632E6FDA"/>
    <w:rsid w:val="633F11E7"/>
    <w:rsid w:val="63510510"/>
    <w:rsid w:val="63750765"/>
    <w:rsid w:val="639826A5"/>
    <w:rsid w:val="639D4CC6"/>
    <w:rsid w:val="63BC2837"/>
    <w:rsid w:val="63C27722"/>
    <w:rsid w:val="642053CC"/>
    <w:rsid w:val="64504794"/>
    <w:rsid w:val="646A5DEF"/>
    <w:rsid w:val="646F5EF6"/>
    <w:rsid w:val="648517AD"/>
    <w:rsid w:val="64990483"/>
    <w:rsid w:val="64AF7CA6"/>
    <w:rsid w:val="64BD2DCC"/>
    <w:rsid w:val="65071890"/>
    <w:rsid w:val="650E4428"/>
    <w:rsid w:val="6540371E"/>
    <w:rsid w:val="65785E0F"/>
    <w:rsid w:val="658A75F4"/>
    <w:rsid w:val="658C7D50"/>
    <w:rsid w:val="65BB267B"/>
    <w:rsid w:val="65CF7A95"/>
    <w:rsid w:val="65E46075"/>
    <w:rsid w:val="662F72F1"/>
    <w:rsid w:val="66A23F66"/>
    <w:rsid w:val="66F145A6"/>
    <w:rsid w:val="670544F5"/>
    <w:rsid w:val="672526A7"/>
    <w:rsid w:val="67300809"/>
    <w:rsid w:val="67380427"/>
    <w:rsid w:val="679947E2"/>
    <w:rsid w:val="67B6759E"/>
    <w:rsid w:val="68014955"/>
    <w:rsid w:val="680D3662"/>
    <w:rsid w:val="681A3FD0"/>
    <w:rsid w:val="68222C97"/>
    <w:rsid w:val="68333F9A"/>
    <w:rsid w:val="683858D3"/>
    <w:rsid w:val="685B6B1A"/>
    <w:rsid w:val="68617509"/>
    <w:rsid w:val="68645FE7"/>
    <w:rsid w:val="687A05CB"/>
    <w:rsid w:val="688651C2"/>
    <w:rsid w:val="688F051A"/>
    <w:rsid w:val="6917406C"/>
    <w:rsid w:val="693973BE"/>
    <w:rsid w:val="69413090"/>
    <w:rsid w:val="695732B8"/>
    <w:rsid w:val="695B03FD"/>
    <w:rsid w:val="696B0D13"/>
    <w:rsid w:val="69842CB6"/>
    <w:rsid w:val="69855FCD"/>
    <w:rsid w:val="69941325"/>
    <w:rsid w:val="69BC17E8"/>
    <w:rsid w:val="69C04704"/>
    <w:rsid w:val="69DD77FF"/>
    <w:rsid w:val="6AE37CE3"/>
    <w:rsid w:val="6B0625EA"/>
    <w:rsid w:val="6B5442BA"/>
    <w:rsid w:val="6B560E7C"/>
    <w:rsid w:val="6BA047ED"/>
    <w:rsid w:val="6C272818"/>
    <w:rsid w:val="6C593408"/>
    <w:rsid w:val="6C5D623A"/>
    <w:rsid w:val="6C68544B"/>
    <w:rsid w:val="6C785167"/>
    <w:rsid w:val="6CC8224D"/>
    <w:rsid w:val="6D0715D4"/>
    <w:rsid w:val="6D203E37"/>
    <w:rsid w:val="6D4A4A10"/>
    <w:rsid w:val="6D8A5CBE"/>
    <w:rsid w:val="6DBB76BC"/>
    <w:rsid w:val="6DDB2C74"/>
    <w:rsid w:val="6E0E0C0F"/>
    <w:rsid w:val="6E1374F8"/>
    <w:rsid w:val="6E8E7670"/>
    <w:rsid w:val="6ED053E9"/>
    <w:rsid w:val="6EDC3D8E"/>
    <w:rsid w:val="6EDD73A6"/>
    <w:rsid w:val="6EEB0447"/>
    <w:rsid w:val="6F4B2CC1"/>
    <w:rsid w:val="6F6707B4"/>
    <w:rsid w:val="6F6D70DC"/>
    <w:rsid w:val="6FAF3250"/>
    <w:rsid w:val="6FB46AB9"/>
    <w:rsid w:val="6FC71762"/>
    <w:rsid w:val="6FD827A7"/>
    <w:rsid w:val="6FFE1AE2"/>
    <w:rsid w:val="70027824"/>
    <w:rsid w:val="70312E6C"/>
    <w:rsid w:val="703F6560"/>
    <w:rsid w:val="70433998"/>
    <w:rsid w:val="705B5439"/>
    <w:rsid w:val="705C33D8"/>
    <w:rsid w:val="706C2EEF"/>
    <w:rsid w:val="706D6543"/>
    <w:rsid w:val="70725ED5"/>
    <w:rsid w:val="708B0D73"/>
    <w:rsid w:val="70A705B6"/>
    <w:rsid w:val="70B362F9"/>
    <w:rsid w:val="70C26FB3"/>
    <w:rsid w:val="7113780F"/>
    <w:rsid w:val="71213CDA"/>
    <w:rsid w:val="712F4EC1"/>
    <w:rsid w:val="71653340"/>
    <w:rsid w:val="71AB5C99"/>
    <w:rsid w:val="71BB412E"/>
    <w:rsid w:val="71BE777B"/>
    <w:rsid w:val="71F347D3"/>
    <w:rsid w:val="71FC098F"/>
    <w:rsid w:val="72415D05"/>
    <w:rsid w:val="7296241B"/>
    <w:rsid w:val="72A20E4A"/>
    <w:rsid w:val="72DF5BFA"/>
    <w:rsid w:val="732A300A"/>
    <w:rsid w:val="73803FEB"/>
    <w:rsid w:val="73830C7C"/>
    <w:rsid w:val="739E3A45"/>
    <w:rsid w:val="73C81AB3"/>
    <w:rsid w:val="73CE2CA8"/>
    <w:rsid w:val="74024296"/>
    <w:rsid w:val="74085625"/>
    <w:rsid w:val="740A6CA7"/>
    <w:rsid w:val="74116287"/>
    <w:rsid w:val="74237D69"/>
    <w:rsid w:val="743A4414"/>
    <w:rsid w:val="743E1047"/>
    <w:rsid w:val="74566390"/>
    <w:rsid w:val="7476433D"/>
    <w:rsid w:val="747F7695"/>
    <w:rsid w:val="748C5DD6"/>
    <w:rsid w:val="74A013B9"/>
    <w:rsid w:val="74EE65C9"/>
    <w:rsid w:val="74FF4332"/>
    <w:rsid w:val="751853F4"/>
    <w:rsid w:val="754A398B"/>
    <w:rsid w:val="75857AA3"/>
    <w:rsid w:val="758D5DE2"/>
    <w:rsid w:val="75943299"/>
    <w:rsid w:val="75B0387E"/>
    <w:rsid w:val="75F23E97"/>
    <w:rsid w:val="75F47C0F"/>
    <w:rsid w:val="76017BAF"/>
    <w:rsid w:val="767A5F36"/>
    <w:rsid w:val="76830F93"/>
    <w:rsid w:val="76837B47"/>
    <w:rsid w:val="768E0DAD"/>
    <w:rsid w:val="769907B6"/>
    <w:rsid w:val="76B64EC4"/>
    <w:rsid w:val="76B97261"/>
    <w:rsid w:val="76BB072D"/>
    <w:rsid w:val="76CD220E"/>
    <w:rsid w:val="76F3560D"/>
    <w:rsid w:val="770420D4"/>
    <w:rsid w:val="772D4414"/>
    <w:rsid w:val="773504DF"/>
    <w:rsid w:val="7744228A"/>
    <w:rsid w:val="774626EC"/>
    <w:rsid w:val="775D79EF"/>
    <w:rsid w:val="779430E7"/>
    <w:rsid w:val="77D71596"/>
    <w:rsid w:val="781E668F"/>
    <w:rsid w:val="78345C59"/>
    <w:rsid w:val="78484242"/>
    <w:rsid w:val="788C166D"/>
    <w:rsid w:val="78AC0934"/>
    <w:rsid w:val="78BD4DDD"/>
    <w:rsid w:val="78E700F4"/>
    <w:rsid w:val="78EE7B24"/>
    <w:rsid w:val="7907377A"/>
    <w:rsid w:val="790C526F"/>
    <w:rsid w:val="79133998"/>
    <w:rsid w:val="791654C7"/>
    <w:rsid w:val="79254583"/>
    <w:rsid w:val="792E7F96"/>
    <w:rsid w:val="79336CA0"/>
    <w:rsid w:val="793B1352"/>
    <w:rsid w:val="79444A09"/>
    <w:rsid w:val="796B6547"/>
    <w:rsid w:val="79854AB3"/>
    <w:rsid w:val="798B088A"/>
    <w:rsid w:val="79AB21E7"/>
    <w:rsid w:val="79CC501C"/>
    <w:rsid w:val="79CE69C9"/>
    <w:rsid w:val="79F12DE4"/>
    <w:rsid w:val="79FA5A10"/>
    <w:rsid w:val="7A030045"/>
    <w:rsid w:val="7A122D59"/>
    <w:rsid w:val="7A3A66B3"/>
    <w:rsid w:val="7A486D1D"/>
    <w:rsid w:val="7A6115EB"/>
    <w:rsid w:val="7AF81F4F"/>
    <w:rsid w:val="7B095F0A"/>
    <w:rsid w:val="7B0E17E2"/>
    <w:rsid w:val="7B256ABC"/>
    <w:rsid w:val="7B283857"/>
    <w:rsid w:val="7B346CFF"/>
    <w:rsid w:val="7B3E48AE"/>
    <w:rsid w:val="7B450F0D"/>
    <w:rsid w:val="7B4E1B6F"/>
    <w:rsid w:val="7B6436AA"/>
    <w:rsid w:val="7B6A44CF"/>
    <w:rsid w:val="7BAB0D70"/>
    <w:rsid w:val="7BB10350"/>
    <w:rsid w:val="7BC02341"/>
    <w:rsid w:val="7C5E2286"/>
    <w:rsid w:val="7C6203C7"/>
    <w:rsid w:val="7C66113B"/>
    <w:rsid w:val="7CA53A11"/>
    <w:rsid w:val="7CB47DAA"/>
    <w:rsid w:val="7CE063DD"/>
    <w:rsid w:val="7D076A17"/>
    <w:rsid w:val="7D1E3461"/>
    <w:rsid w:val="7D462131"/>
    <w:rsid w:val="7D6A07B6"/>
    <w:rsid w:val="7DC974CD"/>
    <w:rsid w:val="7DD00F61"/>
    <w:rsid w:val="7E325778"/>
    <w:rsid w:val="7E36397C"/>
    <w:rsid w:val="7E4B00B1"/>
    <w:rsid w:val="7E5C27F5"/>
    <w:rsid w:val="7E7933A7"/>
    <w:rsid w:val="7EA62275"/>
    <w:rsid w:val="7EB50B00"/>
    <w:rsid w:val="7F034C8E"/>
    <w:rsid w:val="7F235328"/>
    <w:rsid w:val="7F590AE3"/>
    <w:rsid w:val="7F5F4186"/>
    <w:rsid w:val="7F640382"/>
    <w:rsid w:val="7F761695"/>
    <w:rsid w:val="7F9044F2"/>
    <w:rsid w:val="7FA93818"/>
    <w:rsid w:val="7FB30C7B"/>
    <w:rsid w:val="7FB34697"/>
    <w:rsid w:val="7FC24132"/>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3">
    <w:name w:val="Default Paragraph Font"/>
    <w:autoRedefine/>
    <w:semiHidden/>
    <w:qFormat/>
    <w:uiPriority w:val="0"/>
  </w:style>
  <w:style w:type="table" w:default="1" w:styleId="2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6"/>
    <w:next w:val="1"/>
    <w:qFormat/>
    <w:uiPriority w:val="99"/>
    <w:pPr>
      <w:spacing w:after="120" w:afterLines="0"/>
      <w:ind w:firstLine="420" w:firstLineChars="100"/>
    </w:pPr>
    <w:rPr>
      <w:rFonts w:ascii="Times New Roman" w:eastAsia="宋体"/>
      <w:sz w:val="21"/>
    </w:rPr>
  </w:style>
  <w:style w:type="paragraph" w:styleId="20">
    <w:name w:val="Body Text First Indent 2"/>
    <w:basedOn w:val="7"/>
    <w:next w:val="1"/>
    <w:autoRedefine/>
    <w:qFormat/>
    <w:uiPriority w:val="0"/>
    <w:pPr>
      <w:ind w:firstLine="200" w:firstLineChars="200"/>
    </w:pPr>
    <w:rPr>
      <w:kern w:val="2"/>
      <w:sz w:val="28"/>
      <w:lang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autoRedefine/>
    <w:qFormat/>
    <w:uiPriority w:val="0"/>
    <w:rPr>
      <w:color w:val="444444"/>
      <w:sz w:val="16"/>
      <w:szCs w:val="16"/>
      <w:u w:val="none"/>
    </w:rPr>
  </w:style>
  <w:style w:type="character" w:styleId="25">
    <w:name w:val="Hyperlink"/>
    <w:basedOn w:val="23"/>
    <w:autoRedefine/>
    <w:qFormat/>
    <w:uiPriority w:val="0"/>
    <w:rPr>
      <w:color w:val="0000FF"/>
      <w:u w:val="single"/>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Arial" w:hAnsi="Arial" w:eastAsia="Arial" w:cs="Arial"/>
      <w:sz w:val="21"/>
      <w:szCs w:val="21"/>
      <w:lang w:val="en-US" w:eastAsia="en-US" w:bidi="ar-SA"/>
    </w:rPr>
  </w:style>
  <w:style w:type="paragraph" w:customStyle="1" w:styleId="34">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5">
    <w:name w:val="hover18"/>
    <w:basedOn w:val="23"/>
    <w:autoRedefine/>
    <w:qFormat/>
    <w:uiPriority w:val="0"/>
  </w:style>
  <w:style w:type="paragraph" w:customStyle="1" w:styleId="36">
    <w:name w:val="列出段落1"/>
    <w:basedOn w:val="1"/>
    <w:autoRedefine/>
    <w:qFormat/>
    <w:uiPriority w:val="0"/>
    <w:pPr>
      <w:ind w:firstLine="420" w:firstLineChars="200"/>
    </w:pPr>
    <w:rPr>
      <w:szCs w:val="21"/>
    </w:rPr>
  </w:style>
  <w:style w:type="paragraph" w:styleId="37">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8">
    <w:name w:val="fontstyle01"/>
    <w:basedOn w:val="23"/>
    <w:qFormat/>
    <w:uiPriority w:val="0"/>
    <w:rPr>
      <w:rFonts w:hint="eastAsia" w:ascii="宋体" w:hAnsi="宋体" w:eastAsia="宋体" w:cs="宋体"/>
      <w:color w:val="000000"/>
      <w:sz w:val="24"/>
      <w:szCs w:val="24"/>
    </w:rPr>
  </w:style>
  <w:style w:type="character" w:customStyle="1" w:styleId="39">
    <w:name w:val="fontstyle21"/>
    <w:basedOn w:val="23"/>
    <w:qFormat/>
    <w:uiPriority w:val="0"/>
    <w:rPr>
      <w:rFonts w:hint="default" w:ascii="Times New Roman" w:hAnsi="Times New Roman" w:cs="Times New Roman"/>
      <w:color w:val="000000"/>
      <w:sz w:val="22"/>
      <w:szCs w:val="22"/>
    </w:rPr>
  </w:style>
  <w:style w:type="paragraph" w:customStyle="1" w:styleId="40">
    <w:name w:val="Table Paragraph"/>
    <w:basedOn w:val="1"/>
    <w:qFormat/>
    <w:uiPriority w:val="0"/>
    <w:rPr>
      <w:rFonts w:ascii="宋体" w:hAnsi="宋体" w:eastAsia="宋体" w:cs="宋体"/>
      <w:szCs w:val="22"/>
      <w:lang w:val="zh-CN" w:bidi="zh-CN"/>
    </w:r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正文文本1"/>
    <w:basedOn w:val="1"/>
    <w:qFormat/>
    <w:uiPriority w:val="0"/>
    <w:pPr>
      <w:spacing w:after="120" w:afterAutospacing="0"/>
    </w:pPr>
  </w:style>
  <w:style w:type="paragraph" w:customStyle="1" w:styleId="4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6406</Words>
  <Characters>7444</Characters>
  <Lines>1</Lines>
  <Paragraphs>1</Paragraphs>
  <TotalTime>12</TotalTime>
  <ScaleCrop>false</ScaleCrop>
  <LinksUpToDate>false</LinksUpToDate>
  <CharactersWithSpaces>7703</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Lenovo</cp:lastModifiedBy>
  <cp:lastPrinted>2024-04-07T03:01:00Z</cp:lastPrinted>
  <dcterms:modified xsi:type="dcterms:W3CDTF">2025-07-21T04:29:40Z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2052-12.1.0.22175</vt:lpwstr>
  </property>
  <property fmtid="{D5CDD505-2E9C-101B-9397-08002B2CF9AE}" pid="5" name="ICV">
    <vt:lpwstr>B23E7CACB0BD4015865EC1CB76417CC7_13</vt:lpwstr>
  </property>
  <property fmtid="{D5CDD505-2E9C-101B-9397-08002B2CF9AE}" pid="6" name="KSOTemplateDocerSaveRecord">
    <vt:lpwstr>eyJoZGlkIjoiMmU3MjhhMjJjZWU1NTFhNmVmNjI2ODIwMjFmY2M3OGYiLCJ1c2VySWQiOiIyMzk1MTA0OTMifQ==</vt:lpwstr>
  </property>
</Properties>
</file>