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C659137">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EBBEFA9">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498A8F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46DDD3CF">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南阳农业职业学院校园保安服务采购项目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南阳政采公开-2025-45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南阳政采公开-2025-45-1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南阳农业职业学院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6"/>
            <w:keepNext w:val="0"/>
            <w:keepLines w:val="0"/>
            <w:pageBreakBefore w:val="0"/>
            <w:kinsoku/>
            <w:wordWrap w:val="0"/>
            <w:overflowPunct/>
            <w:topLinePunct w:val="0"/>
            <w:bidi w:val="0"/>
            <w:jc w:val="both"/>
            <w:rPr>
              <w:rFonts w:hint="eastAsia"/>
              <w:shd w:val="clear" w:color="FFFFFF" w:fill="D9D9D9"/>
            </w:rPr>
          </w:pPr>
        </w:p>
        <w:p w14:paraId="6A788F1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23CEAB">
      <w:pPr>
        <w:pStyle w:val="6"/>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1.项目编号：南阳政采公开-2025-45</w:t>
      </w:r>
    </w:p>
    <w:p w14:paraId="6D5B60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5"/>
          <w:sz w:val="24"/>
          <w:szCs w:val="24"/>
        </w:rPr>
        <w:t>南阳农业职业学院校园保安服务采购项目</w:t>
      </w:r>
    </w:p>
    <w:p w14:paraId="57BAAB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506.925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u w:val="single"/>
          <w:lang w:val="en-US" w:eastAsia="zh-CN"/>
        </w:rPr>
        <w:t>506.925</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rPr>
        <w:t>万元</w:t>
      </w:r>
    </w:p>
    <w:p w14:paraId="69E2CC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555"/>
        <w:gridCol w:w="198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55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198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项目编号-</w:t>
            </w:r>
            <w:r>
              <w:rPr>
                <w:rFonts w:hint="eastAsia" w:asciiTheme="minorEastAsia" w:hAnsiTheme="minorEastAsia" w:eastAsiaTheme="minorEastAsia" w:cstheme="minorEastAsia"/>
                <w:spacing w:val="14"/>
                <w:sz w:val="24"/>
                <w:szCs w:val="24"/>
              </w:rPr>
              <w:t>1</w:t>
            </w:r>
          </w:p>
        </w:tc>
        <w:tc>
          <w:tcPr>
            <w:tcW w:w="4555" w:type="dxa"/>
            <w:vAlign w:val="top"/>
          </w:tcPr>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南阳农业职业学院校园保安服务采购项目</w:t>
            </w:r>
          </w:p>
        </w:tc>
        <w:tc>
          <w:tcPr>
            <w:tcW w:w="1981" w:type="dxa"/>
            <w:vAlign w:val="top"/>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5069250</w:t>
            </w:r>
          </w:p>
        </w:tc>
      </w:tr>
    </w:tbl>
    <w:p w14:paraId="7854378C">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60" w:firstLineChars="200"/>
        <w:jc w:val="both"/>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napToGrid w:val="0"/>
          <w:color w:val="000000"/>
          <w:spacing w:val="-5"/>
          <w:kern w:val="0"/>
          <w:sz w:val="24"/>
          <w:szCs w:val="24"/>
          <w:lang w:val="en-US" w:eastAsia="zh-CN" w:bidi="ar-SA"/>
        </w:rPr>
        <w:t>5.</w:t>
      </w:r>
      <w:r>
        <w:rPr>
          <w:rFonts w:hint="eastAsia" w:asciiTheme="minorEastAsia" w:hAnsiTheme="minorEastAsia" w:eastAsiaTheme="minorEastAsia" w:cstheme="minorEastAsia"/>
          <w:spacing w:val="-5"/>
          <w:sz w:val="24"/>
          <w:szCs w:val="24"/>
          <w:lang w:val="en-US" w:eastAsia="zh-CN"/>
        </w:rPr>
        <w:t>服务要求：</w:t>
      </w:r>
    </w:p>
    <w:p w14:paraId="65814176">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校区的校门值守、巡逻、消防控制、大型活动安保、消防施救、灾害抢险、校内接出警、监控、校内车辆交通管理等工作。协助学校处理治安、火警、交通、反恐防爆、应急处突、特殊天气等。在法律范围内完成学校要求协助的其他工作。</w:t>
      </w:r>
    </w:p>
    <w:p w14:paraId="6E633C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color w:val="auto"/>
          <w:spacing w:val="-5"/>
          <w:sz w:val="24"/>
          <w:szCs w:val="24"/>
          <w:lang w:val="en-US" w:eastAsia="zh-CN"/>
        </w:rPr>
        <w:t>三年</w:t>
      </w:r>
    </w:p>
    <w:p w14:paraId="460DEC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0A458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bookmarkStart w:id="0" w:name="_GoBack"/>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8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23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8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w:t>
      </w:r>
      <w:bookmarkEnd w:id="0"/>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2.地点：全国公共资源交易平台(河南省·南阳市)（https://ggzyjy.nanyang.gov.cn）</w:t>
      </w:r>
    </w:p>
    <w:p w14:paraId="65558A76">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3.方式：</w:t>
      </w:r>
      <w:r>
        <w:rPr>
          <w:rFonts w:hint="eastAsia" w:asciiTheme="minorEastAsia" w:hAnsiTheme="minorEastAsia" w:eastAsiaTheme="minorEastAsia" w:cstheme="minorEastAsia"/>
          <w:spacing w:val="-4"/>
          <w:sz w:val="24"/>
          <w:szCs w:val="24"/>
          <w:lang w:val="en-US" w:eastAsia="zh-CN"/>
        </w:rPr>
        <w:t>使用普通电子交易系统，登录</w:t>
      </w:r>
      <w:r>
        <w:rPr>
          <w:rFonts w:hint="eastAsia" w:asciiTheme="minorEastAsia" w:hAnsiTheme="minorEastAsia" w:eastAsiaTheme="minorEastAsia" w:cstheme="minorEastAsia"/>
          <w:spacing w:val="-4"/>
          <w:sz w:val="24"/>
          <w:szCs w:val="24"/>
          <w:lang w:val="en-US" w:eastAsia="en-US"/>
        </w:rPr>
        <w:t>全国公共资源交易平台(河南省·南阳市)</w:t>
      </w:r>
    </w:p>
    <w:p w14:paraId="1D56D14E">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（https://ggzyjy.nanyang.gov.cn），注册后凭办理的企业身份认证锁（CA数字证书）登录会员系统按网上提示下载招标文件(*.nyzf格式)及资料（操作程序详见</w:t>
      </w:r>
      <w:r>
        <w:rPr>
          <w:rFonts w:hint="eastAsia" w:asciiTheme="minorEastAsia" w:hAnsiTheme="minorEastAsia" w:eastAsiaTheme="minorEastAsia" w:cstheme="minorEastAsia"/>
          <w:spacing w:val="-4"/>
          <w:sz w:val="24"/>
          <w:szCs w:val="24"/>
          <w:lang w:val="en-US" w:eastAsia="en-US"/>
        </w:rPr>
        <w:t>全国公共资源交易平台(河南省·南阳市)</w:t>
      </w:r>
      <w:r>
        <w:rPr>
          <w:rFonts w:hint="eastAsia" w:asciiTheme="minorEastAsia" w:hAnsiTheme="minorEastAsia" w:eastAsiaTheme="minorEastAsia" w:cstheme="minorEastAsia"/>
          <w:spacing w:val="-4"/>
          <w:sz w:val="24"/>
          <w:szCs w:val="24"/>
          <w:lang w:val="en-US" w:eastAsia="zh-CN"/>
        </w:rPr>
        <w:t>网站下载专区），电子交易系统技术支持电话：0512-58188538，CA数字证书技术支持：https://ggzyjy.nanyang.gov.cn/ptdl/011009/single.html。</w:t>
      </w:r>
    </w:p>
    <w:p w14:paraId="0FFF5D1A">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w:t>
      </w:r>
      <w:r>
        <w:rPr>
          <w:rFonts w:hint="eastAsia"/>
          <w:sz w:val="24"/>
          <w:szCs w:val="24"/>
        </w:rPr>
        <w:t>(河南省·南阳市)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8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23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8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29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文件要求制作投标文件。本次招标公告在河南省政府采购网、南阳市公共资源交易中心网发布。</w:t>
      </w:r>
    </w:p>
    <w:p w14:paraId="478AA5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5"/>
          <w:sz w:val="24"/>
          <w:szCs w:val="24"/>
          <w14:textOutline w14:w="1537" w14:cap="flat" w14:cmpd="sng">
            <w14:solidFill>
              <w14:srgbClr w14:val="000000"/>
            </w14:solidFill>
            <w14:prstDash w14:val="solid"/>
            <w14:miter w14:val="0"/>
          </w14:textOutline>
        </w:rPr>
        <w:t>1.采购人信息</w:t>
      </w:r>
    </w:p>
    <w:p w14:paraId="7C14F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南阳农业职业学院</w:t>
      </w:r>
    </w:p>
    <w:p w14:paraId="30843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9"/>
          <w:sz w:val="24"/>
          <w:szCs w:val="24"/>
          <w:highlight w:val="none"/>
          <w:lang w:val="en-US" w:eastAsia="zh-CN"/>
        </w:rPr>
        <w:t>南阳市雪枫路与北京大道交叉口（大学园区）</w:t>
      </w:r>
    </w:p>
    <w:p w14:paraId="342C4B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w:t>
      </w:r>
      <w:r>
        <w:rPr>
          <w:rFonts w:hint="eastAsia" w:asciiTheme="minorEastAsia" w:hAnsiTheme="minorEastAsia" w:eastAsiaTheme="minorEastAsia" w:cstheme="minorEastAsia"/>
          <w:color w:val="auto"/>
          <w:spacing w:val="-9"/>
          <w:sz w:val="24"/>
          <w:szCs w:val="24"/>
          <w:highlight w:val="none"/>
          <w:lang w:val="en-US" w:eastAsia="zh-CN"/>
        </w:rPr>
        <w:t>王老师</w:t>
      </w:r>
    </w:p>
    <w:p w14:paraId="50D1C0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9"/>
          <w:sz w:val="24"/>
          <w:szCs w:val="24"/>
          <w:highlight w:val="none"/>
          <w:lang w:val="en-US" w:eastAsia="zh-CN"/>
        </w:rPr>
        <w:t>0377-63393603</w:t>
      </w: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704B54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52" w:firstLineChars="18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8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22 </w:t>
      </w:r>
      <w:r>
        <w:rPr>
          <w:rFonts w:hint="eastAsia" w:asciiTheme="minorEastAsia" w:hAnsiTheme="minorEastAsia" w:eastAsiaTheme="minorEastAsia" w:cstheme="minorEastAsia"/>
          <w:spacing w:val="-13"/>
          <w:sz w:val="24"/>
          <w:szCs w:val="24"/>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C0BCC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94612A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010A1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594563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项目总清单</w:t>
      </w:r>
    </w:p>
    <w:p w14:paraId="0D633358">
      <w:pPr>
        <w:keepNext w:val="0"/>
        <w:keepLines w:val="0"/>
        <w:pageBreakBefore w:val="0"/>
        <w:widowControl/>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服务包括校区的校门值守、巡逻、消防控制、大型活动安保、消防施救、灾害抢险、校内接出警、监控、校内车辆交通管理等工作。协助学校处理治安、火警、交通、反恐防爆、应急处突、特殊天气等。在法律范围内完成学校要求协助的其他工作。</w:t>
      </w:r>
    </w:p>
    <w:p w14:paraId="05EFB6C0">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4" w:firstLineChars="200"/>
        <w:textAlignment w:val="baseline"/>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
          <w:kern w:val="0"/>
          <w:sz w:val="24"/>
          <w:szCs w:val="24"/>
          <w:lang w:val="en-US" w:eastAsia="zh-CN" w:bidi="ar-SA"/>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分项清单</w:t>
      </w:r>
    </w:p>
    <w:p w14:paraId="20A5414E">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1、安保人员及服务总体要求</w:t>
      </w:r>
    </w:p>
    <w:p w14:paraId="65D57445">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方的管理及保安员的通用要求，须符合国家有关法律法规（如《保安服务管理条例》等）和国家标准（如《保安员国家职业标准（试行）》、《保安服务操作规程与质量控制（标准）》等）。招标方对保安公司提供的服务及保安员的要求如下：</w:t>
      </w:r>
    </w:p>
    <w:p w14:paraId="56A67628">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（1）投标方应提供保安员68名。需提供姓名、身份证号码、从业经历等；保安人员要求年龄在18周岁以上60周岁以下，身体健康，面貌端正。</w:t>
      </w:r>
    </w:p>
    <w:p w14:paraId="54E0A30F">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（2）保安人员应具有国家保安员上岗证。</w:t>
      </w:r>
    </w:p>
    <w:p w14:paraId="43506A02">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（3）保安人员执行勤务时，着统一的保安服装，佩戴统一的保安标志。</w:t>
      </w:r>
    </w:p>
    <w:p w14:paraId="6B18EFC1">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保安人员要具有坚定的政治觉悟，热爱本职工作，认真履行职责，忠于职守，在紧急关头能够挺身而出，保护师生安全；文明值勤，礼貌待人；具备基本法律知识，熟悉安保相关的政策、规定；具备一定语言和文字表达能力；具备与岗位职责相应的观察、发现、处置问题能力；具备使用消防设施设备、通讯器材、技术防范设施设备和相关防卫器械技能。</w:t>
      </w:r>
    </w:p>
    <w:p w14:paraId="17191184">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（5）保安人员要遵守和执行保安行业及学校有关制度。</w:t>
      </w:r>
    </w:p>
    <w:p w14:paraId="7657CDF4">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（6）保安公司除完成日常安保工作之外，还必须在大型活动,如: 上级视察、迎新、校庆、考试、维稳及突发情况下无条件临时另行选派人员，无偿协助保卫处搞好保障工作。</w:t>
      </w:r>
    </w:p>
    <w:p w14:paraId="53FBA3D1">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（7）所有保安人员入校服务前必须进行政治审查,确保无犯罪前科，无纹身，个人信用记录良好，不属于失信被执行人。所有保安人员的身份证复印件、个人简历、身体健康证明、政审材料等交由保卫处备案。</w:t>
      </w:r>
    </w:p>
    <w:p w14:paraId="4C84F617">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（8）保安服务公司必须保证保安人员与保安公司劳务关系合法有效，若保安人员与保安公司发生劳资纠纷，由该公司全责应对，不能影响学校的正常工作和教学秩序。</w:t>
      </w:r>
    </w:p>
    <w:p w14:paraId="7E0E631D">
      <w:pPr>
        <w:keepNext w:val="0"/>
        <w:keepLines w:val="0"/>
        <w:pageBreakBefore w:val="0"/>
        <w:widowControl/>
        <w:numPr>
          <w:ilvl w:val="0"/>
          <w:numId w:val="0"/>
        </w:numPr>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2、保安岗位安排</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402"/>
        <w:gridCol w:w="1134"/>
        <w:gridCol w:w="1984"/>
      </w:tblGrid>
      <w:tr w14:paraId="0B80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0C0ED34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序号</w:t>
            </w:r>
          </w:p>
        </w:tc>
        <w:tc>
          <w:tcPr>
            <w:tcW w:w="3402" w:type="dxa"/>
            <w:noWrap w:val="0"/>
            <w:vAlign w:val="center"/>
          </w:tcPr>
          <w:p w14:paraId="4FB0B96D">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执勤岗位</w:t>
            </w:r>
          </w:p>
        </w:tc>
        <w:tc>
          <w:tcPr>
            <w:tcW w:w="1134" w:type="dxa"/>
            <w:noWrap w:val="0"/>
            <w:vAlign w:val="center"/>
          </w:tcPr>
          <w:p w14:paraId="42225788">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人数</w:t>
            </w:r>
          </w:p>
        </w:tc>
        <w:tc>
          <w:tcPr>
            <w:tcW w:w="1984" w:type="dxa"/>
            <w:noWrap w:val="0"/>
            <w:vAlign w:val="center"/>
          </w:tcPr>
          <w:p w14:paraId="558A883F">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工作时长</w:t>
            </w:r>
          </w:p>
        </w:tc>
      </w:tr>
      <w:tr w14:paraId="3DB0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2CC8C6B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w:t>
            </w:r>
          </w:p>
        </w:tc>
        <w:tc>
          <w:tcPr>
            <w:tcW w:w="3402" w:type="dxa"/>
            <w:noWrap w:val="0"/>
            <w:vAlign w:val="center"/>
          </w:tcPr>
          <w:p w14:paraId="1511017F">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雪枫校区东门门岗</w:t>
            </w:r>
          </w:p>
        </w:tc>
        <w:tc>
          <w:tcPr>
            <w:tcW w:w="1134" w:type="dxa"/>
            <w:noWrap w:val="0"/>
            <w:vAlign w:val="center"/>
          </w:tcPr>
          <w:p w14:paraId="49ABF2DE">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10</w:t>
            </w:r>
          </w:p>
        </w:tc>
        <w:tc>
          <w:tcPr>
            <w:tcW w:w="1984" w:type="dxa"/>
            <w:noWrap w:val="0"/>
            <w:vAlign w:val="center"/>
          </w:tcPr>
          <w:p w14:paraId="09BB7AB9">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6820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135331B0">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w:t>
            </w:r>
          </w:p>
        </w:tc>
        <w:tc>
          <w:tcPr>
            <w:tcW w:w="3402" w:type="dxa"/>
            <w:noWrap w:val="0"/>
            <w:vAlign w:val="center"/>
          </w:tcPr>
          <w:p w14:paraId="0A9AFEE9">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雪枫北门北门门岗</w:t>
            </w:r>
          </w:p>
        </w:tc>
        <w:tc>
          <w:tcPr>
            <w:tcW w:w="1134" w:type="dxa"/>
            <w:noWrap w:val="0"/>
            <w:vAlign w:val="center"/>
          </w:tcPr>
          <w:p w14:paraId="2AA6B747">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6</w:t>
            </w:r>
          </w:p>
        </w:tc>
        <w:tc>
          <w:tcPr>
            <w:tcW w:w="1984" w:type="dxa"/>
            <w:noWrap w:val="0"/>
            <w:vAlign w:val="center"/>
          </w:tcPr>
          <w:p w14:paraId="457728DA">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2145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04BCEECA">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3</w:t>
            </w:r>
          </w:p>
        </w:tc>
        <w:tc>
          <w:tcPr>
            <w:tcW w:w="3402" w:type="dxa"/>
            <w:noWrap w:val="0"/>
            <w:vAlign w:val="center"/>
          </w:tcPr>
          <w:p w14:paraId="768BD712">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雪枫校区夜巡</w:t>
            </w:r>
          </w:p>
        </w:tc>
        <w:tc>
          <w:tcPr>
            <w:tcW w:w="1134" w:type="dxa"/>
            <w:noWrap w:val="0"/>
            <w:vAlign w:val="center"/>
          </w:tcPr>
          <w:p w14:paraId="4616B589">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4</w:t>
            </w:r>
          </w:p>
        </w:tc>
        <w:tc>
          <w:tcPr>
            <w:tcW w:w="1984" w:type="dxa"/>
            <w:noWrap w:val="0"/>
            <w:vAlign w:val="center"/>
          </w:tcPr>
          <w:p w14:paraId="6EF04DC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12小时</w:t>
            </w:r>
          </w:p>
        </w:tc>
      </w:tr>
      <w:tr w14:paraId="3D94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06E016DB">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4</w:t>
            </w:r>
          </w:p>
        </w:tc>
        <w:tc>
          <w:tcPr>
            <w:tcW w:w="3402" w:type="dxa"/>
            <w:noWrap w:val="0"/>
            <w:vAlign w:val="center"/>
          </w:tcPr>
          <w:p w14:paraId="1C007178">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雪枫校区公寓楼门岗</w:t>
            </w:r>
          </w:p>
        </w:tc>
        <w:tc>
          <w:tcPr>
            <w:tcW w:w="1134" w:type="dxa"/>
            <w:noWrap w:val="0"/>
            <w:vAlign w:val="center"/>
          </w:tcPr>
          <w:p w14:paraId="7F2DCE31">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15</w:t>
            </w:r>
          </w:p>
        </w:tc>
        <w:tc>
          <w:tcPr>
            <w:tcW w:w="1984" w:type="dxa"/>
            <w:noWrap w:val="0"/>
            <w:vAlign w:val="center"/>
          </w:tcPr>
          <w:p w14:paraId="2F80EE75">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31D8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3080215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5</w:t>
            </w:r>
          </w:p>
        </w:tc>
        <w:tc>
          <w:tcPr>
            <w:tcW w:w="3402" w:type="dxa"/>
            <w:noWrap w:val="0"/>
            <w:vAlign w:val="center"/>
          </w:tcPr>
          <w:p w14:paraId="032ECB3B">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卧龙校区南门门岗</w:t>
            </w:r>
          </w:p>
        </w:tc>
        <w:tc>
          <w:tcPr>
            <w:tcW w:w="1134" w:type="dxa"/>
            <w:noWrap w:val="0"/>
            <w:vAlign w:val="center"/>
          </w:tcPr>
          <w:p w14:paraId="001E0AB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6</w:t>
            </w:r>
          </w:p>
        </w:tc>
        <w:tc>
          <w:tcPr>
            <w:tcW w:w="1984" w:type="dxa"/>
            <w:noWrap w:val="0"/>
            <w:vAlign w:val="center"/>
          </w:tcPr>
          <w:p w14:paraId="2D8B3173">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0B93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299FD774">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6</w:t>
            </w:r>
          </w:p>
        </w:tc>
        <w:tc>
          <w:tcPr>
            <w:tcW w:w="3402" w:type="dxa"/>
            <w:noWrap w:val="0"/>
            <w:vAlign w:val="center"/>
          </w:tcPr>
          <w:p w14:paraId="2B5A9D38">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卧龙校区北门门岗</w:t>
            </w:r>
          </w:p>
        </w:tc>
        <w:tc>
          <w:tcPr>
            <w:tcW w:w="1134" w:type="dxa"/>
            <w:noWrap w:val="0"/>
            <w:vAlign w:val="center"/>
          </w:tcPr>
          <w:p w14:paraId="086440AD">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6</w:t>
            </w:r>
          </w:p>
        </w:tc>
        <w:tc>
          <w:tcPr>
            <w:tcW w:w="1984" w:type="dxa"/>
            <w:noWrap w:val="0"/>
            <w:vAlign w:val="center"/>
          </w:tcPr>
          <w:p w14:paraId="57B0B1EC">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66AE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35D63B36">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7</w:t>
            </w:r>
          </w:p>
        </w:tc>
        <w:tc>
          <w:tcPr>
            <w:tcW w:w="3402" w:type="dxa"/>
            <w:noWrap w:val="0"/>
            <w:vAlign w:val="center"/>
          </w:tcPr>
          <w:p w14:paraId="11037921">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卧龙校区夜巡</w:t>
            </w:r>
          </w:p>
        </w:tc>
        <w:tc>
          <w:tcPr>
            <w:tcW w:w="1134" w:type="dxa"/>
            <w:noWrap w:val="0"/>
            <w:vAlign w:val="center"/>
          </w:tcPr>
          <w:p w14:paraId="652CA0D3">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4</w:t>
            </w:r>
          </w:p>
        </w:tc>
        <w:tc>
          <w:tcPr>
            <w:tcW w:w="1984" w:type="dxa"/>
            <w:noWrap w:val="0"/>
            <w:vAlign w:val="center"/>
          </w:tcPr>
          <w:p w14:paraId="60A48261">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12小时</w:t>
            </w:r>
          </w:p>
        </w:tc>
      </w:tr>
      <w:tr w14:paraId="48BA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60547E89">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8</w:t>
            </w:r>
          </w:p>
        </w:tc>
        <w:tc>
          <w:tcPr>
            <w:tcW w:w="3402" w:type="dxa"/>
            <w:noWrap w:val="0"/>
            <w:vAlign w:val="center"/>
          </w:tcPr>
          <w:p w14:paraId="6EE59A80">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卧龙校区公寓楼门岗</w:t>
            </w:r>
          </w:p>
        </w:tc>
        <w:tc>
          <w:tcPr>
            <w:tcW w:w="1134" w:type="dxa"/>
            <w:noWrap w:val="0"/>
            <w:vAlign w:val="center"/>
          </w:tcPr>
          <w:p w14:paraId="483D0861">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12</w:t>
            </w:r>
          </w:p>
        </w:tc>
        <w:tc>
          <w:tcPr>
            <w:tcW w:w="1984" w:type="dxa"/>
            <w:noWrap w:val="0"/>
            <w:vAlign w:val="center"/>
          </w:tcPr>
          <w:p w14:paraId="43514E96">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23AF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45F300F5">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9</w:t>
            </w:r>
          </w:p>
        </w:tc>
        <w:tc>
          <w:tcPr>
            <w:tcW w:w="3402" w:type="dxa"/>
            <w:noWrap w:val="0"/>
            <w:vAlign w:val="center"/>
          </w:tcPr>
          <w:p w14:paraId="68BDFB4F">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校警联动</w:t>
            </w:r>
          </w:p>
        </w:tc>
        <w:tc>
          <w:tcPr>
            <w:tcW w:w="1134" w:type="dxa"/>
            <w:noWrap w:val="0"/>
            <w:vAlign w:val="center"/>
          </w:tcPr>
          <w:p w14:paraId="7AC29206">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5</w:t>
            </w:r>
          </w:p>
        </w:tc>
        <w:tc>
          <w:tcPr>
            <w:tcW w:w="1984" w:type="dxa"/>
            <w:noWrap w:val="0"/>
            <w:vAlign w:val="center"/>
          </w:tcPr>
          <w:p w14:paraId="08DFD25A">
            <w:pPr>
              <w:spacing w:beforeLines="0" w:afterLines="0" w:line="360" w:lineRule="auto"/>
              <w:jc w:val="center"/>
              <w:rPr>
                <w:rFonts w:hint="eastAsia" w:ascii="仿宋" w:hAnsi="仿宋" w:eastAsia="仿宋" w:cs="宋体"/>
                <w:sz w:val="22"/>
                <w:szCs w:val="16"/>
              </w:rPr>
            </w:pPr>
            <w:r>
              <w:rPr>
                <w:rFonts w:hint="eastAsia" w:ascii="仿宋" w:hAnsi="仿宋" w:eastAsia="仿宋" w:cs="宋体"/>
                <w:sz w:val="24"/>
                <w:szCs w:val="16"/>
              </w:rPr>
              <w:t>24小时</w:t>
            </w:r>
          </w:p>
        </w:tc>
      </w:tr>
      <w:tr w14:paraId="7EED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center"/>
          </w:tcPr>
          <w:p w14:paraId="7DC87AF9">
            <w:pPr>
              <w:spacing w:beforeLines="0" w:afterLines="0" w:line="360" w:lineRule="auto"/>
              <w:jc w:val="center"/>
              <w:rPr>
                <w:rFonts w:hint="default" w:ascii="仿宋" w:hAnsi="仿宋" w:eastAsia="仿宋" w:cs="宋体"/>
                <w:sz w:val="24"/>
                <w:szCs w:val="16"/>
                <w:lang w:val="en-US" w:eastAsia="zh-CN"/>
              </w:rPr>
            </w:pPr>
            <w:r>
              <w:rPr>
                <w:rFonts w:hint="eastAsia" w:ascii="仿宋" w:hAnsi="仿宋" w:eastAsia="仿宋" w:cs="宋体"/>
                <w:sz w:val="24"/>
                <w:szCs w:val="16"/>
                <w:lang w:val="en-US" w:eastAsia="zh-CN"/>
              </w:rPr>
              <w:t>10</w:t>
            </w:r>
          </w:p>
        </w:tc>
        <w:tc>
          <w:tcPr>
            <w:tcW w:w="3402" w:type="dxa"/>
            <w:noWrap w:val="0"/>
            <w:vAlign w:val="center"/>
          </w:tcPr>
          <w:p w14:paraId="34483359">
            <w:pPr>
              <w:spacing w:beforeLines="0" w:afterLines="0" w:line="360" w:lineRule="auto"/>
              <w:jc w:val="center"/>
              <w:rPr>
                <w:rFonts w:hint="eastAsia" w:ascii="仿宋" w:hAnsi="仿宋" w:eastAsia="仿宋" w:cs="宋体"/>
                <w:sz w:val="24"/>
                <w:szCs w:val="16"/>
                <w:lang w:val="en-US" w:eastAsia="zh-CN"/>
              </w:rPr>
            </w:pPr>
            <w:r>
              <w:rPr>
                <w:rFonts w:hint="eastAsia" w:ascii="仿宋" w:hAnsi="仿宋" w:eastAsia="仿宋" w:cs="宋体"/>
                <w:sz w:val="24"/>
                <w:szCs w:val="16"/>
                <w:lang w:val="en-US" w:eastAsia="zh-CN"/>
              </w:rPr>
              <w:t>合计</w:t>
            </w:r>
          </w:p>
        </w:tc>
        <w:tc>
          <w:tcPr>
            <w:tcW w:w="1134" w:type="dxa"/>
            <w:noWrap w:val="0"/>
            <w:vAlign w:val="center"/>
          </w:tcPr>
          <w:p w14:paraId="1B3DBC86">
            <w:pPr>
              <w:spacing w:beforeLines="0" w:afterLines="0" w:line="360" w:lineRule="auto"/>
              <w:jc w:val="center"/>
              <w:rPr>
                <w:rFonts w:hint="default" w:ascii="仿宋" w:hAnsi="仿宋" w:eastAsia="仿宋" w:cs="宋体"/>
                <w:sz w:val="24"/>
                <w:szCs w:val="16"/>
                <w:lang w:val="en-US" w:eastAsia="zh-CN"/>
              </w:rPr>
            </w:pPr>
            <w:r>
              <w:rPr>
                <w:rFonts w:hint="eastAsia" w:ascii="仿宋" w:hAnsi="仿宋" w:eastAsia="仿宋" w:cs="宋体"/>
                <w:sz w:val="24"/>
                <w:szCs w:val="16"/>
                <w:lang w:val="en-US" w:eastAsia="zh-CN"/>
              </w:rPr>
              <w:t>68</w:t>
            </w:r>
          </w:p>
        </w:tc>
        <w:tc>
          <w:tcPr>
            <w:tcW w:w="1984" w:type="dxa"/>
            <w:noWrap w:val="0"/>
            <w:vAlign w:val="center"/>
          </w:tcPr>
          <w:p w14:paraId="6AD5501D">
            <w:pPr>
              <w:spacing w:beforeLines="0" w:afterLines="0" w:line="360" w:lineRule="auto"/>
              <w:jc w:val="center"/>
              <w:rPr>
                <w:rFonts w:hint="eastAsia" w:ascii="仿宋" w:hAnsi="仿宋" w:eastAsia="仿宋" w:cs="宋体"/>
                <w:sz w:val="24"/>
                <w:szCs w:val="16"/>
              </w:rPr>
            </w:pPr>
          </w:p>
        </w:tc>
      </w:tr>
    </w:tbl>
    <w:p w14:paraId="7C6B38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门岗服务：各校区门岗实行24小时值班（夜班实行坐班制，禁止躺值），人员每天实行三班8小时制，对进出人员、车辆进出核查、检验，来访登记、秩序维护等工作。</w:t>
      </w:r>
    </w:p>
    <w:p w14:paraId="67D7F9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治安消防巡逻：持消防资格证上岗，熟练掌握消防器材操作使用方法及自动消防设施操作方法。治安巡逻岗不定时对校区院内公共区域及学生公寓进行治安、交通、车辆停放、消防进行检查，能及时发现各种安全和事故隐患，迅速妥善有效处置突发事件。</w:t>
      </w:r>
    </w:p>
    <w:p w14:paraId="3A65D5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车辆指挥：对各大门口车辆进行指挥疏导，保证大门口畅通；学校大型活动及会务工作的安保服务，必要时全员上岗；突发性事件处置；疫情期间公司须向保安队员提供口罩、防护服、消毒酒精等；各门卫及巡逻须配备对讲设备，保安队员服装整洁统一；必须执行学校和保卫处的管理规定，服从学校和保卫处工作指令。 </w:t>
      </w:r>
    </w:p>
    <w:p w14:paraId="05133F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夜巡岗服务：各校区夜巡岗实行12小时，下午18时至次日6时，对校区院内公共区域及学生公寓进行治安和消防巡查，能及时发现各种安全和事故隐患，迅速妥善有效处置突发事件。</w:t>
      </w:r>
    </w:p>
    <w:p w14:paraId="6A09A8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s="宋体"/>
          <w:sz w:val="24"/>
          <w:szCs w:val="24"/>
          <w:lang w:val="en-US" w:eastAsia="zh-CN"/>
        </w:rPr>
        <w:t>学生公寓岗服务：（学生公寓楼因寒暑假不安排值班任务，按每年9.5个月计发工资），实行24小时值班（夜班实行坐班制，禁止躺值），人员每天实行三班8小时制，对进出人员核查、检验，来访登记、秩序维护等工作；治安消防巡逻：持消防资格证上岗，熟练掌握消防器材操作使用方法及自动消防设施操作方法。</w:t>
      </w:r>
    </w:p>
    <w:p w14:paraId="5B112C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1F5A38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r>
        <w:rPr>
          <w:rFonts w:hint="eastAsia" w:asciiTheme="minorEastAsia" w:hAnsiTheme="minorEastAsia" w:eastAsiaTheme="minorEastAsia" w:cstheme="minorEastAsia"/>
          <w:color w:val="auto"/>
          <w:spacing w:val="-1"/>
          <w:sz w:val="24"/>
          <w:szCs w:val="24"/>
          <w:lang w:val="en-US" w:eastAsia="zh-CN"/>
        </w:rPr>
        <w:t>三年</w:t>
      </w:r>
      <w:r>
        <w:rPr>
          <w:rFonts w:hint="eastAsia" w:asciiTheme="minorEastAsia" w:hAnsiTheme="minorEastAsia" w:eastAsiaTheme="minorEastAsia" w:cstheme="minorEastAsia"/>
          <w:spacing w:val="-1"/>
          <w:sz w:val="24"/>
          <w:szCs w:val="24"/>
          <w:lang w:val="en-US" w:eastAsia="zh-CN"/>
        </w:rPr>
        <w:t>（若考核不通过或发生重大校园事故，甲方有权单方面终止合同）</w:t>
      </w:r>
    </w:p>
    <w:p w14:paraId="07F13B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南阳农业职业学院</w:t>
      </w:r>
    </w:p>
    <w:p w14:paraId="0E6E9237">
      <w:pPr>
        <w:keepNext w:val="0"/>
        <w:keepLines w:val="0"/>
        <w:pageBreakBefore w:val="0"/>
        <w:widowControl/>
        <w:overflowPunct/>
        <w:topLinePunct w:val="0"/>
        <w:autoSpaceDE w:val="0"/>
        <w:autoSpaceDN w:val="0"/>
        <w:bidi w:val="0"/>
        <w:adjustRightInd w:val="0"/>
        <w:snapToGrid w:val="0"/>
        <w:spacing w:line="360" w:lineRule="auto"/>
        <w:ind w:firstLine="476" w:firstLineChars="200"/>
        <w:textAlignment w:val="baseline"/>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3、质量要求：合格（满足采购需求）</w:t>
      </w:r>
    </w:p>
    <w:p w14:paraId="25B72B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4、付款方式：每季度付款一次（自合同签订之日起，每三个月为一个季度）。验收通过，乙方应开具正规发票，甲方在具备付款条件之日起15个工作日内支付当季度合同款（即合同金额1/12），直至项目结束。</w:t>
      </w:r>
    </w:p>
    <w:p w14:paraId="04E3CE3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5、验收方式：每个月由采购人对服务质量进行考评，每季度汇总考评结果并出具验收报告，考评结果和验收报告作为当季度付款的依据（自合同签订之日起，每三个月为一个季度）。</w:t>
      </w:r>
    </w:p>
    <w:p w14:paraId="695B009B">
      <w:pPr>
        <w:keepNext w:val="0"/>
        <w:keepLines w:val="0"/>
        <w:pageBreakBefore w:val="0"/>
        <w:widowControl/>
        <w:overflowPunct/>
        <w:topLinePunct w:val="0"/>
        <w:autoSpaceDE w:val="0"/>
        <w:autoSpaceDN w:val="0"/>
        <w:bidi w:val="0"/>
        <w:adjustRightInd w:val="0"/>
        <w:snapToGrid w:val="0"/>
        <w:spacing w:line="360" w:lineRule="auto"/>
        <w:ind w:firstLine="472" w:firstLineChars="200"/>
        <w:textAlignment w:val="baseline"/>
        <w:rPr>
          <w:rFonts w:hint="default"/>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6、参与本项目的供应商需提交安保服务固定岗及巡逻岗服务的方案；学校大型活动消防、安保方案；消防控制室日常管理方案；应急管理方案；项目规章制度；人员培训方案。</w:t>
      </w:r>
    </w:p>
    <w:p w14:paraId="1A8CF0AE">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3"/>
        <w:rPr>
          <w:rFonts w:hint="eastAsia"/>
          <w:lang w:val="en-US" w:eastAsia="zh-CN"/>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906B0F7">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租赁和商务服务业  </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12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506.925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506.925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校园保安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6A3FE14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☑服务类，审查安保服务固定岗及巡逻岗服务的方案；学校大型活动消防、安保方案；消防控制室日常管理方案；应急管理方案；项目规章制度；人员培训方案等是否符合招标要求。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3"/>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147"/>
        <w:gridCol w:w="1099"/>
        <w:gridCol w:w="5250"/>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147"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99"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50"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0F75291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2FD1DF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0BD5C3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A84411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B131F6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362978C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1F8A25F">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154DA9F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5EE150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EB960F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4D03CD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E60846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A6B22B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721561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47" w:type="dxa"/>
            <w:vAlign w:val="center"/>
          </w:tcPr>
          <w:p w14:paraId="240AFBD7">
            <w:pPr>
              <w:pStyle w:val="25"/>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rPr>
            </w:pPr>
          </w:p>
          <w:p w14:paraId="3E899176">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5EC7F1F0">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0616B30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E128B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AAC9DC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部分（满分30分）</w:t>
            </w:r>
          </w:p>
          <w:p w14:paraId="3E2A9B2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3FB9D3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0049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36D927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457C13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682B60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12A103D7">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1099" w:type="dxa"/>
            <w:vAlign w:val="center"/>
          </w:tcPr>
          <w:p w14:paraId="4643559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投标报价（30分）</w:t>
            </w:r>
          </w:p>
        </w:tc>
        <w:tc>
          <w:tcPr>
            <w:tcW w:w="5250" w:type="dxa"/>
            <w:vAlign w:val="top"/>
          </w:tcPr>
          <w:p w14:paraId="6AB83A2E">
            <w:pPr>
              <w:keepNext w:val="0"/>
              <w:keepLines w:val="0"/>
              <w:pageBreakBefore w:val="0"/>
              <w:kinsoku/>
              <w:wordWrap w:val="0"/>
              <w:overflowPunct/>
              <w:topLinePunct w:val="0"/>
              <w:bidi w:val="0"/>
              <w:spacing w:before="191" w:line="235" w:lineRule="auto"/>
              <w:ind w:left="113" w:right="103"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本项目设有最高投标限价，高于投标限价视为无效投标。</w:t>
            </w:r>
          </w:p>
          <w:p w14:paraId="4E33D389">
            <w:pPr>
              <w:keepNext w:val="0"/>
              <w:keepLines w:val="0"/>
              <w:pageBreakBefore w:val="0"/>
              <w:kinsoku/>
              <w:wordWrap w:val="0"/>
              <w:overflowPunct/>
              <w:topLinePunct w:val="0"/>
              <w:bidi w:val="0"/>
              <w:spacing w:before="191" w:line="235" w:lineRule="auto"/>
              <w:ind w:left="113" w:right="103"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满足招标文件要求且投标报价最低的投标报价为评标基准价，其价格分为满分。其余各供应商的投标报价得分=评标基准价÷投标报价×30。注：价格分计算保留小数点后两位。</w:t>
            </w:r>
          </w:p>
          <w:p w14:paraId="1F6305F4">
            <w:pPr>
              <w:keepNext w:val="0"/>
              <w:keepLines w:val="0"/>
              <w:pageBreakBefore w:val="0"/>
              <w:kinsoku/>
              <w:wordWrap w:val="0"/>
              <w:overflowPunct/>
              <w:topLinePunct w:val="0"/>
              <w:bidi w:val="0"/>
              <w:spacing w:before="191" w:line="235" w:lineRule="auto"/>
              <w:ind w:left="113" w:right="103"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政府采购促进中小企业发展管理办法》（财库（2020）46号）、《财政部司法部关于政府采购支持监狱企业发展有关问题的通知》（财库（2014）68号）和《关于促进残疾人就业政府采购政策的通知》（财库（2017）141号）的规定，对满足小微型企业条件且在响应文件中提交了《中小企业声明函》；或省级以上监狱管理局、戒毒管理局（含新疆生产建设兵团）出具的属于监狱企业的证明文件；或《残疾人福利性单位声明函》的供应商，均视同小微型企业,其报价</w:t>
            </w:r>
            <w:r>
              <w:rPr>
                <w:rFonts w:hint="eastAsia" w:asciiTheme="minorEastAsia" w:hAnsiTheme="minorEastAsia" w:eastAsiaTheme="minorEastAsia" w:cstheme="minorEastAsia"/>
                <w:color w:val="auto"/>
                <w:sz w:val="24"/>
                <w:szCs w:val="24"/>
                <w:highlight w:val="none"/>
              </w:rPr>
              <w:t>给予</w:t>
            </w:r>
            <w:r>
              <w:rPr>
                <w:rFonts w:hint="eastAsia" w:asciiTheme="minorEastAsia" w:hAnsiTheme="minorEastAsia" w:eastAsiaTheme="minorEastAsia" w:cstheme="minorEastAsia"/>
                <w:color w:val="auto"/>
                <w:sz w:val="24"/>
                <w:szCs w:val="24"/>
                <w:highlight w:val="none"/>
                <w:u w:val="single"/>
                <w:lang w:val="en-US" w:eastAsia="zh-CN"/>
              </w:rPr>
              <w:t xml:space="preserve"> 1</w:t>
            </w:r>
            <w:r>
              <w:rPr>
                <w:rFonts w:hint="eastAsia" w:asciiTheme="minorEastAsia" w:hAnsiTheme="minorEastAsia" w:eastAsiaTheme="minorEastAsia" w:cstheme="minorEastAsia"/>
                <w:color w:val="auto"/>
                <w:sz w:val="24"/>
                <w:szCs w:val="24"/>
                <w:highlight w:val="none"/>
                <w:u w:val="single"/>
              </w:rPr>
              <w:t>2%</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的扣除，用扣除后的价格参与评审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参与优惠企业的报价=投标报价*（1- 1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rPr>
              <w:t>。</w:t>
            </w:r>
          </w:p>
          <w:p w14:paraId="24AF2742">
            <w:pPr>
              <w:keepNext w:val="0"/>
              <w:keepLines w:val="0"/>
              <w:pageBreakBefore w:val="0"/>
              <w:kinsoku/>
              <w:wordWrap w:val="0"/>
              <w:overflowPunct/>
              <w:topLinePunct w:val="0"/>
              <w:bidi w:val="0"/>
              <w:spacing w:before="191" w:line="235" w:lineRule="auto"/>
              <w:ind w:left="113" w:right="103"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价格扣除比例或者价格分加分比例对小型企业和微型企业同等对待，不作区分。</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147" w:type="dxa"/>
            <w:vMerge w:val="restart"/>
            <w:vAlign w:val="center"/>
          </w:tcPr>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方案部分（满分45分）</w:t>
            </w:r>
          </w:p>
        </w:tc>
        <w:tc>
          <w:tcPr>
            <w:tcW w:w="1099" w:type="dxa"/>
            <w:vAlign w:val="center"/>
          </w:tcPr>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安保服务固定岗</w:t>
            </w:r>
            <w:r>
              <w:rPr>
                <w:rFonts w:hint="eastAsia" w:asciiTheme="minorEastAsia" w:hAnsiTheme="minorEastAsia" w:eastAsiaTheme="minorEastAsia" w:cstheme="minorEastAsia"/>
                <w:snapToGrid w:val="0"/>
                <w:color w:val="auto"/>
                <w:spacing w:val="-13"/>
                <w:kern w:val="0"/>
                <w:sz w:val="24"/>
                <w:szCs w:val="24"/>
                <w:lang w:val="en-US" w:eastAsia="zh-CN" w:bidi="ar-SA"/>
              </w:rPr>
              <w:t>及巡逻岗</w:t>
            </w:r>
            <w:r>
              <w:rPr>
                <w:rFonts w:hint="eastAsia" w:asciiTheme="minorEastAsia" w:hAnsiTheme="minorEastAsia" w:eastAsiaTheme="minorEastAsia" w:cstheme="minorEastAsia"/>
                <w:snapToGrid w:val="0"/>
                <w:color w:val="auto"/>
                <w:spacing w:val="-13"/>
                <w:kern w:val="0"/>
                <w:sz w:val="24"/>
                <w:szCs w:val="24"/>
                <w:lang w:val="en-US" w:eastAsia="en-US" w:bidi="ar-SA"/>
              </w:rPr>
              <w:t>服务的方案</w:t>
            </w:r>
            <w:r>
              <w:rPr>
                <w:rFonts w:hint="eastAsia" w:asciiTheme="minorEastAsia" w:hAnsiTheme="minorEastAsia" w:eastAsiaTheme="minorEastAsia" w:cstheme="minorEastAsia"/>
                <w:snapToGrid w:val="0"/>
                <w:color w:val="auto"/>
                <w:spacing w:val="-13"/>
                <w:kern w:val="0"/>
                <w:sz w:val="24"/>
                <w:szCs w:val="24"/>
                <w:lang w:val="en-US" w:eastAsia="zh-CN" w:bidi="ar-SA"/>
              </w:rPr>
              <w:t>（12分）</w:t>
            </w:r>
          </w:p>
        </w:tc>
        <w:tc>
          <w:tcPr>
            <w:tcW w:w="5250" w:type="dxa"/>
            <w:vAlign w:val="top"/>
          </w:tcPr>
          <w:p w14:paraId="2C45DD3B">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依据供应商针对本项目所提出的安保服务固定岗及巡逻岗服务方案及运行管理方法进行评审。</w:t>
            </w:r>
          </w:p>
          <w:p w14:paraId="0A70A822">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方案详细科学，深入分析，能够紧扣本项目特点，明确服务和管理重点，具备很强合理性、可行性，完全满足服务需求的，得12分；</w:t>
            </w:r>
          </w:p>
          <w:p w14:paraId="3C5786F8">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方案基本合理完整，可执行性较强，基本满足服务需求的，得9分；</w:t>
            </w:r>
          </w:p>
          <w:p w14:paraId="137DA017">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方案笼统、内容简单，科学性欠缺，实用性不强，明显须改进的，得5分；</w:t>
            </w:r>
          </w:p>
          <w:p w14:paraId="789CE759">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方案完整性明显欠缺，且脱离实际，不具备执行性，无法满足服务需求的，得2分；</w:t>
            </w:r>
          </w:p>
          <w:p w14:paraId="3B80DC2C">
            <w:pPr>
              <w:pStyle w:val="25"/>
              <w:keepNext w:val="0"/>
              <w:keepLines w:val="0"/>
              <w:pageBreakBefore w:val="0"/>
              <w:kinsoku/>
              <w:wordWrap w:val="0"/>
              <w:overflowPunct/>
              <w:topLinePunct w:val="0"/>
              <w:bidi w:val="0"/>
              <w:spacing w:before="33" w:line="235" w:lineRule="auto"/>
              <w:ind w:left="76" w:right="23" w:firstLine="480" w:firstLineChars="200"/>
              <w:jc w:val="both"/>
              <w:rPr>
                <w:rFonts w:hint="default" w:asciiTheme="minorEastAsia" w:hAnsiTheme="minorEastAsia" w:eastAsiaTheme="minorEastAsia" w:cstheme="minorEastAsia"/>
                <w:color w:val="auto"/>
                <w:sz w:val="24"/>
                <w:szCs w:val="24"/>
                <w:lang w:val="en-US" w:eastAsia="en-US" w:bidi="ar-SA"/>
              </w:rPr>
            </w:pPr>
            <w:r>
              <w:rPr>
                <w:rFonts w:hint="eastAsia" w:asciiTheme="minorEastAsia" w:hAnsiTheme="minorEastAsia" w:eastAsiaTheme="minorEastAsia" w:cstheme="minorEastAsia"/>
                <w:color w:val="auto"/>
                <w:sz w:val="24"/>
                <w:szCs w:val="24"/>
                <w:lang w:val="en-US" w:eastAsia="zh-CN" w:bidi="ar-SA"/>
              </w:rPr>
              <w:t>缺项不得分。</w:t>
            </w:r>
          </w:p>
        </w:tc>
      </w:tr>
      <w:tr w14:paraId="6928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5F7AF3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1069652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268DF75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学校大型活动消防、安保方案</w:t>
            </w:r>
          </w:p>
          <w:p w14:paraId="721D34A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5250" w:type="dxa"/>
            <w:vAlign w:val="top"/>
          </w:tcPr>
          <w:p w14:paraId="26F0A7D2">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针对迎新季、毕业季、重要会议、大型考试、运动会、全校性比赛等重大活动，提供秩序维护、消防安全等服务方案。</w:t>
            </w:r>
          </w:p>
          <w:p w14:paraId="0E280E60">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方案分析深入、考虑周全、可操作性强，完全满足项目采购需求的得6分；</w:t>
            </w:r>
          </w:p>
          <w:p w14:paraId="6B367563">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方案基本合理周全，具备较强执行性的得4分；</w:t>
            </w:r>
          </w:p>
          <w:p w14:paraId="2D0E92A8">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投标人提供的方案内容笼统，存在明显缺陷的得2分；</w:t>
            </w:r>
          </w:p>
          <w:p w14:paraId="47D20A5A">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val="en-US" w:eastAsia="zh-CN" w:bidi="ar-SA"/>
              </w:rPr>
              <w:t>缺项不得分。</w:t>
            </w:r>
          </w:p>
        </w:tc>
      </w:tr>
      <w:tr w14:paraId="18C75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D36470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1BCEA5B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3672F6F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消防控制室日常管理方案</w:t>
            </w:r>
          </w:p>
          <w:p w14:paraId="3DA6271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5250" w:type="dxa"/>
            <w:vAlign w:val="top"/>
          </w:tcPr>
          <w:p w14:paraId="33ECFD50">
            <w:pPr>
              <w:shd w:val="clear" w:color="auto" w:fill="auto"/>
              <w:spacing w:line="312" w:lineRule="auto"/>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投标人制定合理可行的消防控制室日常管理方案，应包括消防工作管理、消防器材管理和使用、消防知识培训、消防基本能力训练、消防安全检查、重点部位消防安全等内容。</w:t>
            </w:r>
          </w:p>
          <w:p w14:paraId="7252FEB6">
            <w:pPr>
              <w:shd w:val="clear" w:color="auto" w:fill="auto"/>
              <w:spacing w:line="312" w:lineRule="auto"/>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方案及措施科学合理且可操作性强，得6分；</w:t>
            </w:r>
          </w:p>
          <w:p w14:paraId="19AE8797">
            <w:pPr>
              <w:shd w:val="clear" w:color="auto" w:fill="auto"/>
              <w:spacing w:line="312" w:lineRule="auto"/>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方案内容基本完整但可操作性一般、基本满足需求，得4分；</w:t>
            </w:r>
          </w:p>
          <w:p w14:paraId="3096C7A3">
            <w:pPr>
              <w:shd w:val="clear" w:color="auto" w:fill="auto"/>
              <w:spacing w:line="312" w:lineRule="auto"/>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方案及措施笼统片面，存在明显缺陷，得2分；</w:t>
            </w:r>
          </w:p>
          <w:p w14:paraId="66761BBC">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val="en-US" w:eastAsia="zh-CN" w:bidi="ar-SA"/>
              </w:rPr>
              <w:t>缺项不得分。</w:t>
            </w:r>
          </w:p>
        </w:tc>
      </w:tr>
      <w:tr w14:paraId="63FB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FEE5B1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4CC6780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62DE868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应急管理方案</w:t>
            </w:r>
          </w:p>
          <w:p w14:paraId="2F5D5B5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5250" w:type="dxa"/>
            <w:vAlign w:val="top"/>
          </w:tcPr>
          <w:p w14:paraId="4155C7D9">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方提供突发及应急管理方案中包含但不限于“自然灾害事件应急预案”“紧急情况”（包括治安、消防、暴恐事件、群体性事件等其他突发性事件），处理应急方案具备安全文明作业的保障措施、作业安全管理措施、安全检查记录等内容。</w:t>
            </w:r>
          </w:p>
          <w:p w14:paraId="1FD4C0BC">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投标方对每项内容论述详细，具有科学性和可操作性，能有效应对突发及应急情况的，得6分；</w:t>
            </w:r>
          </w:p>
          <w:p w14:paraId="236E83C7">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投标人提供的方案基本完整，但科学性和可操作性欠佳，基本满足采购人需求的，得4分；</w:t>
            </w:r>
          </w:p>
          <w:p w14:paraId="17158376">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投标人提供的内容不完整存在明显缺陷的，得2分；</w:t>
            </w:r>
          </w:p>
          <w:p w14:paraId="05404E88">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val="en-US" w:eastAsia="zh-CN" w:bidi="ar-SA"/>
              </w:rPr>
              <w:t>缺项不得分。</w:t>
            </w:r>
          </w:p>
        </w:tc>
      </w:tr>
      <w:tr w14:paraId="36ED5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F1D72B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4B725DF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3F04F49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项目规章制度</w:t>
            </w:r>
          </w:p>
          <w:p w14:paraId="2207E78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50" w:type="dxa"/>
            <w:vAlign w:val="top"/>
          </w:tcPr>
          <w:p w14:paraId="7F032128">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依据各供应商安保管理制度（各项工作制度、岗位责任制度、考核监督制度等）、档案管理制度及其他综合管理制度是否科学合理、健全完备，是否体现高标准、高质量要求等方面进行评审。</w:t>
            </w:r>
          </w:p>
          <w:p w14:paraId="0DEF7AA9">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措施合理科学可行，管理标准高，</w:t>
            </w: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职责划分清晰，考核严密的</w:t>
            </w: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得10分；</w:t>
            </w:r>
          </w:p>
          <w:p w14:paraId="547B122D">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管理制度</w:t>
            </w: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相对合理</w:t>
            </w: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有可操作性，</w:t>
            </w: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有基本完整的工作</w:t>
            </w: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标准</w:t>
            </w: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、岗位考核等</w:t>
            </w: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，得6分；</w:t>
            </w:r>
          </w:p>
          <w:p w14:paraId="79C98DAD">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方案和措施内容单一，</w:t>
            </w: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岗位责任划分不清晰，考核简单，</w:t>
            </w: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管理标准较低</w:t>
            </w: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得3分；</w:t>
            </w:r>
          </w:p>
          <w:p w14:paraId="1ED63174">
            <w:pPr>
              <w:pStyle w:val="25"/>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color w:val="000000" w:themeColor="text1"/>
                <w:sz w:val="24"/>
                <w:szCs w:val="24"/>
                <w:lang w:val="en-US" w:eastAsia="en-US" w:bidi="ar-SA"/>
                <w14:textFill>
                  <w14:solidFill>
                    <w14:schemeClr w14:val="tx1"/>
                  </w14:solidFill>
                </w14:textFill>
              </w:rPr>
              <w:t>此项未提供不得分。</w:t>
            </w:r>
          </w:p>
        </w:tc>
      </w:tr>
      <w:tr w14:paraId="7177F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EC8800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59CF762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06EB68FD">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人员培训方案</w:t>
            </w:r>
          </w:p>
          <w:p w14:paraId="7DF0BA1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5250" w:type="dxa"/>
            <w:vAlign w:val="top"/>
          </w:tcPr>
          <w:p w14:paraId="48FF5D3A">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根据供应商的人员培训</w:t>
            </w:r>
            <w:r>
              <w:rPr>
                <w:rFonts w:hint="eastAsia" w:asciiTheme="minorEastAsia" w:hAnsiTheme="minorEastAsia" w:eastAsiaTheme="minorEastAsia" w:cstheme="minorEastAsia"/>
                <w:snapToGrid w:val="0"/>
                <w:color w:val="auto"/>
                <w:spacing w:val="-13"/>
                <w:kern w:val="0"/>
                <w:sz w:val="24"/>
                <w:szCs w:val="24"/>
                <w:lang w:val="en-US" w:eastAsia="zh-CN" w:bidi="ar-SA"/>
              </w:rPr>
              <w:t>方案进行评审。</w:t>
            </w:r>
          </w:p>
          <w:p w14:paraId="4CFD65A3">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培训</w:t>
            </w:r>
            <w:r>
              <w:rPr>
                <w:rFonts w:hint="eastAsia" w:asciiTheme="minorEastAsia" w:hAnsiTheme="minorEastAsia" w:eastAsiaTheme="minorEastAsia" w:cstheme="minorEastAsia"/>
                <w:snapToGrid w:val="0"/>
                <w:color w:val="auto"/>
                <w:spacing w:val="-13"/>
                <w:kern w:val="0"/>
                <w:sz w:val="24"/>
                <w:szCs w:val="24"/>
                <w:lang w:val="en-US" w:eastAsia="en-US" w:bidi="ar-SA"/>
              </w:rPr>
              <w:t>机制</w:t>
            </w:r>
            <w:r>
              <w:rPr>
                <w:rFonts w:hint="eastAsia" w:asciiTheme="minorEastAsia" w:hAnsiTheme="minorEastAsia" w:eastAsiaTheme="minorEastAsia" w:cstheme="minorEastAsia"/>
                <w:snapToGrid w:val="0"/>
                <w:color w:val="auto"/>
                <w:spacing w:val="-13"/>
                <w:kern w:val="0"/>
                <w:sz w:val="24"/>
                <w:szCs w:val="24"/>
                <w:lang w:val="en-US" w:eastAsia="zh-CN" w:bidi="ar-SA"/>
              </w:rPr>
              <w:t>全面</w:t>
            </w:r>
            <w:r>
              <w:rPr>
                <w:rFonts w:hint="eastAsia" w:asciiTheme="minorEastAsia" w:hAnsiTheme="minorEastAsia" w:eastAsiaTheme="minorEastAsia" w:cstheme="minorEastAsia"/>
                <w:snapToGrid w:val="0"/>
                <w:color w:val="auto"/>
                <w:spacing w:val="-13"/>
                <w:kern w:val="0"/>
                <w:sz w:val="24"/>
                <w:szCs w:val="24"/>
                <w:lang w:val="en-US" w:eastAsia="en-US" w:bidi="ar-SA"/>
              </w:rPr>
              <w:t>合理、</w:t>
            </w:r>
            <w:r>
              <w:rPr>
                <w:rFonts w:hint="eastAsia" w:asciiTheme="minorEastAsia" w:hAnsiTheme="minorEastAsia" w:eastAsiaTheme="minorEastAsia" w:cstheme="minorEastAsia"/>
                <w:snapToGrid w:val="0"/>
                <w:color w:val="auto"/>
                <w:spacing w:val="-13"/>
                <w:kern w:val="0"/>
                <w:sz w:val="24"/>
                <w:szCs w:val="24"/>
                <w:lang w:val="en-US" w:eastAsia="zh-CN" w:bidi="ar-SA"/>
              </w:rPr>
              <w:t>具体详实，有明确培训重点和科学执行方案</w:t>
            </w:r>
            <w:r>
              <w:rPr>
                <w:rFonts w:hint="eastAsia" w:asciiTheme="minorEastAsia" w:hAnsiTheme="minorEastAsia" w:eastAsiaTheme="minorEastAsia" w:cstheme="minorEastAsia"/>
                <w:snapToGrid w:val="0"/>
                <w:color w:val="auto"/>
                <w:spacing w:val="-13"/>
                <w:kern w:val="0"/>
                <w:sz w:val="24"/>
                <w:szCs w:val="24"/>
                <w:lang w:val="en-US" w:eastAsia="en-US" w:bidi="ar-SA"/>
              </w:rPr>
              <w:t>的</w:t>
            </w: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napToGrid w:val="0"/>
                <w:color w:val="auto"/>
                <w:spacing w:val="-13"/>
                <w:kern w:val="0"/>
                <w:sz w:val="24"/>
                <w:szCs w:val="24"/>
                <w:lang w:val="en-US" w:eastAsia="en-US" w:bidi="ar-SA"/>
              </w:rPr>
              <w:t>得</w:t>
            </w:r>
            <w:r>
              <w:rPr>
                <w:rFonts w:hint="eastAsia" w:asciiTheme="minorEastAsia" w:hAnsiTheme="minorEastAsia" w:eastAsiaTheme="minorEastAsia" w:cstheme="minorEastAsia"/>
                <w:snapToGrid w:val="0"/>
                <w:color w:val="auto"/>
                <w:spacing w:val="-13"/>
                <w:kern w:val="0"/>
                <w:sz w:val="24"/>
                <w:szCs w:val="24"/>
                <w:lang w:val="en-US" w:eastAsia="zh-CN" w:bidi="ar-SA"/>
              </w:rPr>
              <w:t>5</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36FA24C1">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方案基本</w:t>
            </w:r>
            <w:r>
              <w:rPr>
                <w:rFonts w:hint="eastAsia" w:asciiTheme="minorEastAsia" w:hAnsiTheme="minorEastAsia" w:eastAsiaTheme="minorEastAsia" w:cstheme="minorEastAsia"/>
                <w:snapToGrid w:val="0"/>
                <w:color w:val="auto"/>
                <w:spacing w:val="-13"/>
                <w:kern w:val="0"/>
                <w:sz w:val="24"/>
                <w:szCs w:val="24"/>
                <w:lang w:val="en-US" w:eastAsia="en-US" w:bidi="ar-SA"/>
              </w:rPr>
              <w:t>完整、合理</w:t>
            </w:r>
            <w:r>
              <w:rPr>
                <w:rFonts w:hint="eastAsia" w:asciiTheme="minorEastAsia" w:hAnsiTheme="minorEastAsia" w:eastAsiaTheme="minorEastAsia" w:cstheme="minorEastAsia"/>
                <w:snapToGrid w:val="0"/>
                <w:color w:val="auto"/>
                <w:spacing w:val="-13"/>
                <w:kern w:val="0"/>
                <w:sz w:val="24"/>
                <w:szCs w:val="24"/>
                <w:lang w:val="en-US" w:eastAsia="zh-CN" w:bidi="ar-SA"/>
              </w:rPr>
              <w:t>，有针对性较强的培训方法</w:t>
            </w:r>
            <w:r>
              <w:rPr>
                <w:rFonts w:hint="eastAsia" w:asciiTheme="minorEastAsia" w:hAnsiTheme="minorEastAsia" w:eastAsiaTheme="minorEastAsia" w:cstheme="minorEastAsia"/>
                <w:snapToGrid w:val="0"/>
                <w:color w:val="auto"/>
                <w:spacing w:val="-13"/>
                <w:kern w:val="0"/>
                <w:sz w:val="24"/>
                <w:szCs w:val="24"/>
                <w:lang w:val="en-US" w:eastAsia="en-US" w:bidi="ar-SA"/>
              </w:rPr>
              <w:t>的</w:t>
            </w: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napToGrid w:val="0"/>
                <w:color w:val="auto"/>
                <w:spacing w:val="-13"/>
                <w:kern w:val="0"/>
                <w:sz w:val="24"/>
                <w:szCs w:val="24"/>
                <w:lang w:val="en-US" w:eastAsia="en-US" w:bidi="ar-SA"/>
              </w:rPr>
              <w:t>得</w:t>
            </w:r>
            <w:r>
              <w:rPr>
                <w:rFonts w:hint="eastAsia" w:asciiTheme="minorEastAsia" w:hAnsiTheme="minorEastAsia" w:eastAsiaTheme="minorEastAsia" w:cstheme="minorEastAsia"/>
                <w:snapToGrid w:val="0"/>
                <w:color w:val="auto"/>
                <w:spacing w:val="-13"/>
                <w:kern w:val="0"/>
                <w:sz w:val="24"/>
                <w:szCs w:val="24"/>
                <w:lang w:val="en-US" w:eastAsia="zh-CN" w:bidi="ar-SA"/>
              </w:rPr>
              <w:t>3</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32A8D25D">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方案内容不合理、敷衍，缺乏针对性</w:t>
            </w:r>
            <w:r>
              <w:rPr>
                <w:rFonts w:hint="eastAsia" w:asciiTheme="minorEastAsia" w:hAnsiTheme="minorEastAsia" w:eastAsiaTheme="minorEastAsia" w:cstheme="minorEastAsia"/>
                <w:snapToGrid w:val="0"/>
                <w:color w:val="auto"/>
                <w:spacing w:val="-13"/>
                <w:kern w:val="0"/>
                <w:sz w:val="24"/>
                <w:szCs w:val="24"/>
                <w:lang w:val="en-US" w:eastAsia="en-US" w:bidi="ar-SA"/>
              </w:rPr>
              <w:t>的得1分；</w:t>
            </w:r>
          </w:p>
          <w:p w14:paraId="2EEAF057">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未提供的不得分。</w:t>
            </w:r>
          </w:p>
        </w:tc>
      </w:tr>
      <w:tr w14:paraId="7CA99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439D34D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147" w:type="dxa"/>
            <w:vMerge w:val="restart"/>
            <w:vAlign w:val="center"/>
          </w:tcPr>
          <w:p w14:paraId="2AF9DBFA">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综合实力（满分25分）</w:t>
            </w:r>
          </w:p>
        </w:tc>
        <w:tc>
          <w:tcPr>
            <w:tcW w:w="1099" w:type="dxa"/>
            <w:vAlign w:val="center"/>
          </w:tcPr>
          <w:p w14:paraId="5269120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标书制作（3分）</w:t>
            </w:r>
          </w:p>
        </w:tc>
        <w:tc>
          <w:tcPr>
            <w:tcW w:w="5250" w:type="dxa"/>
            <w:vAlign w:val="top"/>
          </w:tcPr>
          <w:p w14:paraId="6B4C3E76">
            <w:pPr>
              <w:pStyle w:val="2"/>
              <w:keepNext w:val="0"/>
              <w:keepLines w:val="0"/>
              <w:widowControl/>
              <w:suppressLineNumbers w:val="0"/>
              <w:spacing w:before="0" w:beforeAutospacing="0" w:after="0" w:afterAutospacing="0"/>
              <w:ind w:left="0" w:right="0" w:firstLine="480"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投标文件符合招标文件所有条款，标书制作规范最多得3分；若投标文件与招标文件要求有偏离，但不影响实质性响应，评委会根据情况扣1-2分；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147" w:type="dxa"/>
            <w:vMerge w:val="continue"/>
            <w:vAlign w:val="center"/>
          </w:tcPr>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099" w:type="dxa"/>
            <w:vAlign w:val="center"/>
          </w:tcPr>
          <w:p w14:paraId="0BBCCA0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26803C5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347593E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项目负责人配备</w:t>
            </w:r>
          </w:p>
          <w:p w14:paraId="5312CE8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50" w:type="dxa"/>
            <w:vAlign w:val="top"/>
          </w:tcPr>
          <w:p w14:paraId="3708337A">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评审小组依据供应商提供的拟派本项目的主要负责人</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取得</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大专及以上学历，</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具有三年以上类似项目管理经验</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，年龄50岁以下，获得过市级及以上有关部门颁发的荣誉，以上五项，每满足一项得1分，最多得</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4</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分。需提供相关证件原件扫描，未提供的不得分。（上述证明材料需配合项目负责人</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自2024年6月份以来所在公司缴纳的6个月以上的社保证明，否则不予认可）。</w:t>
            </w:r>
          </w:p>
        </w:tc>
      </w:tr>
      <w:tr w14:paraId="7394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4BFE19B0">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63754E4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4717F02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服务团队人员配备</w:t>
            </w:r>
            <w:r>
              <w:rPr>
                <w:rFonts w:hint="eastAsia" w:asciiTheme="minorEastAsia" w:hAnsiTheme="minorEastAsia" w:eastAsiaTheme="minorEastAsia" w:cstheme="minorEastAsia"/>
                <w:snapToGrid w:val="0"/>
                <w:color w:val="auto"/>
                <w:spacing w:val="-13"/>
                <w:kern w:val="0"/>
                <w:sz w:val="24"/>
                <w:szCs w:val="24"/>
                <w:lang w:val="en-US" w:eastAsia="zh-CN" w:bidi="ar-SA"/>
              </w:rPr>
              <w:t>（8分）</w:t>
            </w:r>
          </w:p>
        </w:tc>
        <w:tc>
          <w:tcPr>
            <w:tcW w:w="5250" w:type="dxa"/>
            <w:vAlign w:val="top"/>
          </w:tcPr>
          <w:p w14:paraId="34CC2C1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服务团队人员配备、身体状况、结构比例（学历、年龄、退伍兵比例）、具体岗位设置、专业配套材料、安防设备配备等；依据各供应商配备情况进行打分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234BC2D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退伍兵比例高、年龄</w:t>
            </w:r>
            <w:r>
              <w:rPr>
                <w:rFonts w:hint="eastAsia" w:asciiTheme="minorEastAsia" w:hAnsiTheme="minorEastAsia" w:eastAsiaTheme="minorEastAsia" w:cstheme="minorEastAsia"/>
                <w:snapToGrid w:val="0"/>
                <w:color w:val="auto"/>
                <w:spacing w:val="-13"/>
                <w:kern w:val="0"/>
                <w:sz w:val="24"/>
                <w:szCs w:val="24"/>
                <w:lang w:val="en-US" w:eastAsia="zh-CN" w:bidi="ar-SA"/>
              </w:rPr>
              <w:t>分布</w:t>
            </w:r>
            <w:r>
              <w:rPr>
                <w:rFonts w:hint="eastAsia" w:asciiTheme="minorEastAsia" w:hAnsiTheme="minorEastAsia" w:eastAsiaTheme="minorEastAsia" w:cstheme="minorEastAsia"/>
                <w:snapToGrid w:val="0"/>
                <w:color w:val="auto"/>
                <w:spacing w:val="-13"/>
                <w:kern w:val="0"/>
                <w:sz w:val="24"/>
                <w:szCs w:val="24"/>
                <w:lang w:val="en-US" w:eastAsia="en-US" w:bidi="ar-SA"/>
              </w:rPr>
              <w:t>适当、岗位</w:t>
            </w:r>
            <w:r>
              <w:rPr>
                <w:rFonts w:hint="eastAsia" w:asciiTheme="minorEastAsia" w:hAnsiTheme="minorEastAsia" w:eastAsiaTheme="minorEastAsia" w:cstheme="minorEastAsia"/>
                <w:snapToGrid w:val="0"/>
                <w:color w:val="auto"/>
                <w:spacing w:val="-13"/>
                <w:kern w:val="0"/>
                <w:sz w:val="24"/>
                <w:szCs w:val="24"/>
                <w:lang w:val="en-US" w:eastAsia="zh-CN" w:bidi="ar-SA"/>
              </w:rPr>
              <w:t>工作安排</w:t>
            </w:r>
            <w:r>
              <w:rPr>
                <w:rFonts w:hint="eastAsia" w:asciiTheme="minorEastAsia" w:hAnsiTheme="minorEastAsia" w:eastAsiaTheme="minorEastAsia" w:cstheme="minorEastAsia"/>
                <w:snapToGrid w:val="0"/>
                <w:color w:val="auto"/>
                <w:spacing w:val="-13"/>
                <w:kern w:val="0"/>
                <w:sz w:val="24"/>
                <w:szCs w:val="24"/>
                <w:lang w:val="en-US" w:eastAsia="en-US" w:bidi="ar-SA"/>
              </w:rPr>
              <w:t>合理、配套材料</w:t>
            </w:r>
            <w:r>
              <w:rPr>
                <w:rFonts w:hint="eastAsia" w:asciiTheme="minorEastAsia" w:hAnsiTheme="minorEastAsia" w:eastAsiaTheme="minorEastAsia" w:cstheme="minorEastAsia"/>
                <w:snapToGrid w:val="0"/>
                <w:color w:val="auto"/>
                <w:spacing w:val="-13"/>
                <w:kern w:val="0"/>
                <w:sz w:val="24"/>
                <w:szCs w:val="24"/>
                <w:lang w:val="en-US" w:eastAsia="zh-CN" w:bidi="ar-SA"/>
              </w:rPr>
              <w:t>与</w:t>
            </w:r>
            <w:r>
              <w:rPr>
                <w:rFonts w:hint="eastAsia" w:asciiTheme="minorEastAsia" w:hAnsiTheme="minorEastAsia" w:eastAsiaTheme="minorEastAsia" w:cstheme="minorEastAsia"/>
                <w:snapToGrid w:val="0"/>
                <w:color w:val="auto"/>
                <w:spacing w:val="-13"/>
                <w:kern w:val="0"/>
                <w:sz w:val="24"/>
                <w:szCs w:val="24"/>
                <w:lang w:val="en-US" w:eastAsia="en-US" w:bidi="ar-SA"/>
              </w:rPr>
              <w:t>安防设备</w:t>
            </w:r>
            <w:r>
              <w:rPr>
                <w:rFonts w:hint="eastAsia" w:asciiTheme="minorEastAsia" w:hAnsiTheme="minorEastAsia" w:eastAsiaTheme="minorEastAsia" w:cstheme="minorEastAsia"/>
                <w:snapToGrid w:val="0"/>
                <w:color w:val="auto"/>
                <w:spacing w:val="-13"/>
                <w:kern w:val="0"/>
                <w:sz w:val="24"/>
                <w:szCs w:val="24"/>
                <w:lang w:val="en-US" w:eastAsia="zh-CN" w:bidi="ar-SA"/>
              </w:rPr>
              <w:t>配备</w:t>
            </w:r>
            <w:r>
              <w:rPr>
                <w:rFonts w:hint="eastAsia" w:asciiTheme="minorEastAsia" w:hAnsiTheme="minorEastAsia" w:eastAsiaTheme="minorEastAsia" w:cstheme="minorEastAsia"/>
                <w:snapToGrid w:val="0"/>
                <w:color w:val="auto"/>
                <w:spacing w:val="-13"/>
                <w:kern w:val="0"/>
                <w:sz w:val="24"/>
                <w:szCs w:val="24"/>
                <w:lang w:val="en-US" w:eastAsia="en-US" w:bidi="ar-SA"/>
              </w:rPr>
              <w:t>齐全的打</w:t>
            </w:r>
            <w:r>
              <w:rPr>
                <w:rFonts w:hint="eastAsia" w:asciiTheme="minorEastAsia" w:hAnsiTheme="minorEastAsia" w:eastAsiaTheme="minorEastAsia" w:cstheme="minorEastAsia"/>
                <w:snapToGrid w:val="0"/>
                <w:color w:val="auto"/>
                <w:spacing w:val="-13"/>
                <w:kern w:val="0"/>
                <w:sz w:val="24"/>
                <w:szCs w:val="24"/>
                <w:lang w:val="en-US" w:eastAsia="zh-CN" w:bidi="ar-SA"/>
              </w:rPr>
              <w:t>8</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57E4316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退伍兵比例中等、岗位</w:t>
            </w:r>
            <w:r>
              <w:rPr>
                <w:rFonts w:hint="eastAsia" w:asciiTheme="minorEastAsia" w:hAnsiTheme="minorEastAsia" w:eastAsiaTheme="minorEastAsia" w:cstheme="minorEastAsia"/>
                <w:snapToGrid w:val="0"/>
                <w:color w:val="auto"/>
                <w:spacing w:val="-13"/>
                <w:kern w:val="0"/>
                <w:sz w:val="24"/>
                <w:szCs w:val="24"/>
                <w:lang w:val="en-US" w:eastAsia="zh-CN" w:bidi="ar-SA"/>
              </w:rPr>
              <w:t>工作安排</w:t>
            </w:r>
            <w:r>
              <w:rPr>
                <w:rFonts w:hint="eastAsia" w:asciiTheme="minorEastAsia" w:hAnsiTheme="minorEastAsia" w:eastAsiaTheme="minorEastAsia" w:cstheme="minorEastAsia"/>
                <w:snapToGrid w:val="0"/>
                <w:color w:val="auto"/>
                <w:spacing w:val="-13"/>
                <w:kern w:val="0"/>
                <w:sz w:val="24"/>
                <w:szCs w:val="24"/>
                <w:lang w:val="en-US" w:eastAsia="en-US" w:bidi="ar-SA"/>
              </w:rPr>
              <w:t>较</w:t>
            </w:r>
            <w:r>
              <w:rPr>
                <w:rFonts w:hint="eastAsia" w:asciiTheme="minorEastAsia" w:hAnsiTheme="minorEastAsia" w:eastAsiaTheme="minorEastAsia" w:cstheme="minorEastAsia"/>
                <w:snapToGrid w:val="0"/>
                <w:color w:val="auto"/>
                <w:spacing w:val="-13"/>
                <w:kern w:val="0"/>
                <w:sz w:val="24"/>
                <w:szCs w:val="24"/>
                <w:lang w:val="en-US" w:eastAsia="zh-CN" w:bidi="ar-SA"/>
              </w:rPr>
              <w:t>为</w:t>
            </w:r>
            <w:r>
              <w:rPr>
                <w:rFonts w:hint="eastAsia" w:asciiTheme="minorEastAsia" w:hAnsiTheme="minorEastAsia" w:eastAsiaTheme="minorEastAsia" w:cstheme="minorEastAsia"/>
                <w:snapToGrid w:val="0"/>
                <w:color w:val="auto"/>
                <w:spacing w:val="-13"/>
                <w:kern w:val="0"/>
                <w:sz w:val="24"/>
                <w:szCs w:val="24"/>
                <w:lang w:val="en-US" w:eastAsia="en-US" w:bidi="ar-SA"/>
              </w:rPr>
              <w:t>合理、配套材料、安防设备基本够用的打</w:t>
            </w:r>
            <w:r>
              <w:rPr>
                <w:rFonts w:hint="eastAsia" w:asciiTheme="minorEastAsia" w:hAnsiTheme="minorEastAsia" w:eastAsiaTheme="minorEastAsia" w:cstheme="minorEastAsia"/>
                <w:snapToGrid w:val="0"/>
                <w:color w:val="auto"/>
                <w:spacing w:val="-13"/>
                <w:kern w:val="0"/>
                <w:sz w:val="24"/>
                <w:szCs w:val="24"/>
                <w:lang w:val="en-US" w:eastAsia="zh-CN" w:bidi="ar-SA"/>
              </w:rPr>
              <w:t>5</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7423D04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退伍兵比例低、岗位设置不合理、配套材料、安防设备少的打</w:t>
            </w:r>
            <w:r>
              <w:rPr>
                <w:rFonts w:hint="eastAsia" w:asciiTheme="minorEastAsia" w:hAnsiTheme="minorEastAsia" w:eastAsiaTheme="minorEastAsia" w:cstheme="minorEastAsia"/>
                <w:snapToGrid w:val="0"/>
                <w:color w:val="auto"/>
                <w:spacing w:val="-13"/>
                <w:kern w:val="0"/>
                <w:sz w:val="24"/>
                <w:szCs w:val="24"/>
                <w:lang w:val="en-US" w:eastAsia="zh-CN" w:bidi="ar-SA"/>
              </w:rPr>
              <w:t>2</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5E8F33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缺项不得分。</w:t>
            </w:r>
          </w:p>
        </w:tc>
      </w:tr>
      <w:tr w14:paraId="7111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99D3F47">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2E79444F">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5DB6946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5A14763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250" w:type="dxa"/>
            <w:vAlign w:val="top"/>
          </w:tcPr>
          <w:p w14:paraId="5185EED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提供 2022 年 1 月 1 日以来(以合同签订日期为准)</w:t>
            </w:r>
            <w:r>
              <w:rPr>
                <w:rFonts w:hint="eastAsia" w:asciiTheme="minorEastAsia" w:hAnsiTheme="minorEastAsia" w:eastAsiaTheme="minorEastAsia" w:cstheme="minorEastAsia"/>
                <w:snapToGrid w:val="0"/>
                <w:color w:val="000000"/>
                <w:spacing w:val="-13"/>
                <w:kern w:val="0"/>
                <w:sz w:val="24"/>
                <w:szCs w:val="24"/>
                <w:lang w:val="en-US" w:eastAsia="zh-CN" w:bidi="ar-SA"/>
              </w:rPr>
              <w:t>类似项目业绩</w:t>
            </w:r>
            <w:r>
              <w:rPr>
                <w:rFonts w:hint="eastAsia" w:asciiTheme="minorEastAsia" w:hAnsiTheme="minorEastAsia" w:eastAsiaTheme="minorEastAsia" w:cstheme="minorEastAsia"/>
                <w:snapToGrid w:val="0"/>
                <w:color w:val="000000"/>
                <w:spacing w:val="-13"/>
                <w:kern w:val="0"/>
                <w:sz w:val="24"/>
                <w:szCs w:val="24"/>
                <w:lang w:val="en-US" w:eastAsia="en-US" w:bidi="ar-SA"/>
              </w:rPr>
              <w:t>，每提供一份合同得2分，最多得 8</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分；未提供合同原件者不得分。</w:t>
            </w:r>
          </w:p>
        </w:tc>
      </w:tr>
      <w:tr w14:paraId="6A61D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50A9142">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147" w:type="dxa"/>
            <w:vMerge w:val="continue"/>
            <w:vAlign w:val="center"/>
          </w:tcPr>
          <w:p w14:paraId="3D2188A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99" w:type="dxa"/>
            <w:vAlign w:val="center"/>
          </w:tcPr>
          <w:p w14:paraId="4762AB8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w:t>
            </w: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250" w:type="dxa"/>
            <w:vAlign w:val="top"/>
          </w:tcPr>
          <w:p w14:paraId="5847D1E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根据《南阳市政府采购信用评价实施办法》，投标人登录“南阳市政府采购信用管理系统”打印并提交《南阳市政府采购供应商信用记录表》。诚信评价诚信评价为满分的得 2 分，90-99 分（不含 90 分）之间得1分，90 分以下的不得分。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99" w:type="dxa"/>
            <w:vAlign w:val="top"/>
          </w:tcPr>
          <w:p w14:paraId="4D6570AC">
            <w:pPr>
              <w:pStyle w:val="25"/>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50" w:type="dxa"/>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3"/>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415A3B44">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采购人（甲方）：                      </w:t>
      </w:r>
    </w:p>
    <w:p w14:paraId="637C2839">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供应商（乙方）：                      </w:t>
      </w:r>
    </w:p>
    <w:p w14:paraId="33492C82">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签订时间：                           </w:t>
      </w:r>
    </w:p>
    <w:p w14:paraId="5A03EE4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签订地点：                           </w:t>
      </w:r>
    </w:p>
    <w:p w14:paraId="0B836C0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第一条  服务对象基本情况</w:t>
      </w:r>
    </w:p>
    <w:p w14:paraId="03F3EB4C">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服务类型：＿＿＿＿＿　　座落位置： </w:t>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t>________</w:t>
      </w:r>
    </w:p>
    <w:p w14:paraId="58B90DE2">
      <w:pPr>
        <w:snapToGrid w:val="0"/>
        <w:spacing w:line="360" w:lineRule="auto"/>
        <w:ind w:firstLine="560" w:firstLineChars="200"/>
        <w:rPr>
          <w:rFonts w:hint="eastAsia" w:ascii="仿宋" w:hAnsi="仿宋" w:cs="仿宋"/>
        </w:rPr>
      </w:pPr>
      <w:r>
        <w:rPr>
          <w:rFonts w:hint="eastAsia" w:ascii="仿宋" w:hAnsi="仿宋" w:eastAsia="仿宋"/>
          <w:sz w:val="28"/>
          <w:szCs w:val="28"/>
        </w:rPr>
        <w:t>占地面积：＿＿＿＿平方米　　建筑面积：＿＿＿＿平方米</w:t>
      </w:r>
    </w:p>
    <w:p w14:paraId="329655AD">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其他必要内容  ＿＿＿＿</w:t>
      </w:r>
    </w:p>
    <w:p w14:paraId="363E9989">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第二条  具体服务事项</w:t>
      </w:r>
    </w:p>
    <w:p w14:paraId="54B9DF01">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w:t>
      </w:r>
    </w:p>
    <w:p w14:paraId="5FE03F56">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w:t>
      </w:r>
    </w:p>
    <w:p w14:paraId="715B8F9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w:t>
      </w:r>
    </w:p>
    <w:p w14:paraId="3855E67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第三条  服务期限为＿＿＿＿年。自＿＿＿年＿＿＿月＿＿＿＿＿＿时起至＿＿＿＿年＿＿＿＿月＿＿＿＿日＿＿＿＿时止。</w:t>
      </w:r>
    </w:p>
    <w:p w14:paraId="667B4603">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第四条  甲方权利义务</w:t>
      </w:r>
    </w:p>
    <w:p w14:paraId="38C2196B">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1、甲方有对乙方提出改进服务意见的权利，监督乙方工作。</w:t>
      </w:r>
    </w:p>
    <w:p w14:paraId="26CC778B">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2、甲方负责协助乙方做好一切外部事物的处理与协调工作。</w:t>
      </w:r>
    </w:p>
    <w:p w14:paraId="6F20C5A7">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3、乙方在工作中需要甲方工作人员协助的，甲方应积极配合。</w:t>
      </w:r>
    </w:p>
    <w:p w14:paraId="20FA3668">
      <w:pPr>
        <w:snapToGrid w:val="0"/>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 xml:space="preserve">4、 </w:t>
      </w:r>
      <w:r>
        <w:rPr>
          <w:rFonts w:hint="eastAsia" w:ascii="仿宋" w:hAnsi="仿宋" w:eastAsia="仿宋" w:cs="Times New Roman"/>
          <w:sz w:val="28"/>
          <w:szCs w:val="28"/>
        </w:rPr>
        <w:t>甲方有权每年对乙方的安保服务做出相关考评，将考评结果告知乙方。如乙方未达到相应指标则视为违约，甲方有权提前解除合同。</w:t>
      </w:r>
    </w:p>
    <w:p w14:paraId="374FAF07">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第五条  乙方权利义务</w:t>
      </w:r>
    </w:p>
    <w:p w14:paraId="382236AA">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1、乙方应根据有关法律法规及本合同约定，制定具体服务管理制度。</w:t>
      </w:r>
    </w:p>
    <w:p w14:paraId="58920DFC">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2、乙方应接受甲方的监督和考核，遵守甲方的规章制度，根据合同约定，服从甲方安排。</w:t>
      </w:r>
    </w:p>
    <w:p w14:paraId="7AAC996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3、在工作区域内乙方人员提供管理服务过程中，因乙方人员的故意或过失，造成甲乙双方或任何第三方的人身损害或财产损失，乙方承担一切法律责任与赔偿。</w:t>
      </w:r>
    </w:p>
    <w:p w14:paraId="577803BE">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4、详见合同约定内容。</w:t>
      </w:r>
    </w:p>
    <w:p w14:paraId="19631AE1">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w:t>
      </w:r>
    </w:p>
    <w:p w14:paraId="28C05CF1">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第六条   服务目标</w:t>
      </w:r>
    </w:p>
    <w:p w14:paraId="47B17D12">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乙方根据甲方的具体服务事项及要求制定出服务工作标准和考核标准。经与甲方协商同意后，乙方须按此工作标准和考核标准，实现服务目标。</w:t>
      </w:r>
    </w:p>
    <w:p w14:paraId="25BA81D5">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   ：＿＿＿＿＿＿＿＿＿</w:t>
      </w:r>
    </w:p>
    <w:p w14:paraId="25696C4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   ：＿＿＿＿＿＿＿＿＿</w:t>
      </w:r>
    </w:p>
    <w:p w14:paraId="7FE26999">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   ：＿＿＿＿＿＿＿＿＿</w:t>
      </w:r>
    </w:p>
    <w:p w14:paraId="6A3A675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   ：＿＿＿＿＿＿＿＿＿</w:t>
      </w:r>
    </w:p>
    <w:p w14:paraId="79F35810">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5、   ：＿＿＿＿＿＿＿＿＿</w:t>
      </w:r>
    </w:p>
    <w:p w14:paraId="3BB1669A">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w:t>
      </w:r>
    </w:p>
    <w:p w14:paraId="6EAA4A60">
      <w:pPr>
        <w:numPr>
          <w:ilvl w:val="0"/>
          <w:numId w:val="2"/>
        </w:num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服务费用</w:t>
      </w:r>
    </w:p>
    <w:p w14:paraId="2FC89B10">
      <w:pPr>
        <w:snapToGrid w:val="0"/>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付款方式：</w:t>
      </w:r>
      <w:r>
        <w:rPr>
          <w:rFonts w:hint="eastAsia" w:ascii="仿宋" w:hAnsi="仿宋" w:eastAsia="仿宋" w:cs="Times New Roman"/>
          <w:sz w:val="28"/>
          <w:szCs w:val="28"/>
          <w:lang w:val="en-US" w:eastAsia="zh-CN"/>
        </w:rPr>
        <w:t>每季度付款一次（自合同签订之日起，每三个月为一个季度）</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验收</w:t>
      </w:r>
      <w:r>
        <w:rPr>
          <w:rFonts w:hint="eastAsia" w:ascii="仿宋" w:hAnsi="仿宋" w:eastAsia="仿宋" w:cs="Times New Roman"/>
          <w:sz w:val="28"/>
          <w:szCs w:val="28"/>
        </w:rPr>
        <w:t>通过</w:t>
      </w:r>
      <w:r>
        <w:rPr>
          <w:rFonts w:hint="eastAsia" w:ascii="仿宋" w:hAnsi="仿宋" w:eastAsia="仿宋" w:cs="Times New Roman"/>
          <w:sz w:val="28"/>
          <w:szCs w:val="28"/>
          <w:lang w:eastAsia="zh-CN"/>
        </w:rPr>
        <w:t>，</w:t>
      </w:r>
      <w:r>
        <w:rPr>
          <w:rFonts w:hint="eastAsia" w:ascii="仿宋" w:hAnsi="仿宋" w:eastAsia="仿宋" w:cs="Times New Roman"/>
          <w:sz w:val="28"/>
          <w:szCs w:val="28"/>
        </w:rPr>
        <w:t>乙方应开具正规发票</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甲方在</w:t>
      </w:r>
      <w:r>
        <w:rPr>
          <w:rFonts w:hint="eastAsia" w:ascii="仿宋" w:hAnsi="仿宋" w:eastAsia="仿宋" w:cs="Times New Roman"/>
          <w:sz w:val="28"/>
          <w:szCs w:val="28"/>
        </w:rPr>
        <w:t>具备付款条件之日起15个工作日内支付</w:t>
      </w:r>
      <w:r>
        <w:rPr>
          <w:rFonts w:hint="eastAsia" w:ascii="仿宋" w:hAnsi="仿宋" w:eastAsia="仿宋" w:cs="Times New Roman"/>
          <w:sz w:val="28"/>
          <w:szCs w:val="28"/>
          <w:lang w:val="en-US" w:eastAsia="zh-CN"/>
        </w:rPr>
        <w:t>当季度合同款（即合同金额1/12）</w:t>
      </w:r>
      <w:r>
        <w:rPr>
          <w:rFonts w:hint="eastAsia" w:ascii="仿宋" w:hAnsi="仿宋" w:eastAsia="仿宋" w:cs="Times New Roman"/>
          <w:sz w:val="28"/>
          <w:szCs w:val="28"/>
        </w:rPr>
        <w:t>，直至</w:t>
      </w:r>
      <w:r>
        <w:rPr>
          <w:rFonts w:hint="eastAsia" w:ascii="仿宋" w:hAnsi="仿宋" w:eastAsia="仿宋" w:cs="Times New Roman"/>
          <w:sz w:val="28"/>
          <w:szCs w:val="28"/>
          <w:lang w:val="en-US" w:eastAsia="zh-CN"/>
        </w:rPr>
        <w:t>项目结束。</w:t>
      </w:r>
    </w:p>
    <w:p w14:paraId="4908F35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第八条  </w:t>
      </w:r>
      <w:r>
        <w:rPr>
          <w:rFonts w:hint="eastAsia" w:ascii="仿宋" w:hAnsi="仿宋" w:eastAsia="仿宋"/>
          <w:sz w:val="28"/>
          <w:szCs w:val="28"/>
          <w:highlight w:val="none"/>
        </w:rPr>
        <w:t>验收方法</w:t>
      </w:r>
    </w:p>
    <w:p w14:paraId="0EEAF9E2">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收书作为支付货款的重要依据。</w:t>
      </w:r>
    </w:p>
    <w:p w14:paraId="1416FFED">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第九条 违约责任</w:t>
      </w:r>
    </w:p>
    <w:p w14:paraId="5307B843">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1、甲方违反本合同的约定，使乙方不能完成服务目标，乙方有权要求甲方在一定期限内解决，逾期未解决的乙方有权终止合同；造成乙方经济损失的，甲方应给予乙方经济赔偿。</w:t>
      </w:r>
    </w:p>
    <w:p w14:paraId="2150E12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2、乙方违反本合同的约定，不能完成服务目标，甲方有权要求乙方限期整改，逾期未整改或多次整改无提高，甲方有权单方终止合同；造成甲方经济损失的，乙方应给予甲方经济赔偿。</w:t>
      </w:r>
    </w:p>
    <w:p w14:paraId="6FF02A0C">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3、乙方违反本合同的约定，擅自提高收费标准的，甲方有权要求乙方清退；造成甲方经济损失的，乙方应给予甲方经济赔偿。</w:t>
      </w:r>
    </w:p>
    <w:p w14:paraId="7D31E3FA">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4、甲乙双方任何一方无法律依据提前终止本合同的，违约方应赔偿对方   万元的违约金；造成对方经济损失的，应给予经济赔偿。</w:t>
      </w:r>
    </w:p>
    <w:p w14:paraId="70A34DEF">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5、其他。</w:t>
      </w:r>
    </w:p>
    <w:p w14:paraId="4ECD6D8A">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第十条 其他事项</w:t>
      </w:r>
    </w:p>
    <w:p w14:paraId="21F8BDFE">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1、本合同自甲乙双方签字盖章后生效。</w:t>
      </w:r>
    </w:p>
    <w:p w14:paraId="1250FBC6">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2、合同执行期内，甲乙双方均不得随意变更或解除合同。合同如有未尽事宜，须经双方共同协商，做出补充规定，补充规定与本合同具有同等效力，也可按照《中华人民共和国合同法》的规定执行。</w:t>
      </w:r>
    </w:p>
    <w:p w14:paraId="1DFD8FD8">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3、本合同执行期间，如遇不可抗力，致使合同无法履行时，双方按有关法律规定及时协商处理。</w:t>
      </w:r>
    </w:p>
    <w:p w14:paraId="5A9F3597">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4、本合同如发生纠纷，当事人双方应当及时协商解决，协商不成时，任何一方均可请政府采购监督管理机关调解，调解不成，按以下第（ ）项方式处理：（1）根据《中华人民共和国仲裁法》的规定向南阳市仲裁委员会申请仲裁。（2）向合同签订地有管辖权的人民法院起诉。</w:t>
      </w:r>
    </w:p>
    <w:p w14:paraId="2E68BAED">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5、采购双方必须严格按照</w:t>
      </w:r>
      <w:r>
        <w:rPr>
          <w:rFonts w:hint="eastAsia" w:ascii="仿宋" w:hAnsi="仿宋" w:eastAsia="仿宋" w:cs="Times New Roman"/>
          <w:color w:val="auto"/>
          <w:kern w:val="2"/>
          <w:sz w:val="28"/>
          <w:szCs w:val="28"/>
          <w:lang w:val="en-US" w:eastAsia="zh-CN"/>
        </w:rPr>
        <w:t>招标</w:t>
      </w:r>
      <w:r>
        <w:rPr>
          <w:rFonts w:hint="eastAsia" w:ascii="仿宋" w:hAnsi="仿宋" w:eastAsia="仿宋" w:cs="Times New Roman"/>
          <w:color w:val="auto"/>
          <w:kern w:val="2"/>
          <w:sz w:val="28"/>
          <w:szCs w:val="28"/>
        </w:rPr>
        <w:t>文件、响应文件及有关承诺签订采购合同，不得擅自变更。对任何因双方擅自变更合同引起的问题市</w:t>
      </w:r>
      <w:r>
        <w:rPr>
          <w:rFonts w:hint="eastAsia" w:ascii="仿宋" w:hAnsi="仿宋" w:eastAsia="仿宋" w:cs="Times New Roman"/>
          <w:color w:val="auto"/>
          <w:kern w:val="2"/>
          <w:sz w:val="28"/>
          <w:szCs w:val="28"/>
          <w:lang w:val="en-US" w:eastAsia="zh-CN"/>
        </w:rPr>
        <w:t>公共资源交易</w:t>
      </w:r>
      <w:r>
        <w:rPr>
          <w:rFonts w:hint="eastAsia" w:ascii="仿宋" w:hAnsi="仿宋" w:eastAsia="仿宋" w:cs="Times New Roman"/>
          <w:color w:val="auto"/>
          <w:kern w:val="2"/>
          <w:sz w:val="28"/>
          <w:szCs w:val="28"/>
        </w:rPr>
        <w:t>中心概不负责，合同风险由双方自行承担。</w:t>
      </w:r>
    </w:p>
    <w:p w14:paraId="34F0BBFC">
      <w:pPr>
        <w:pStyle w:val="34"/>
        <w:snapToGrid w:val="0"/>
        <w:spacing w:before="0" w:beforeAutospacing="0" w:after="0" w:afterAutospacing="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6、本合同一式 份，甲乙双方各执  份；</w:t>
      </w:r>
    </w:p>
    <w:p w14:paraId="18E3D04E">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第十一条  下列关于</w:t>
      </w:r>
      <w:r>
        <w:rPr>
          <w:rFonts w:hint="eastAsia" w:ascii="仿宋" w:hAnsi="仿宋" w:eastAsia="仿宋"/>
          <w:color w:val="auto"/>
          <w:sz w:val="28"/>
          <w:szCs w:val="28"/>
          <w:lang w:val="en-US" w:eastAsia="zh-CN"/>
        </w:rPr>
        <w:t>南阳市公共资源交易中心</w:t>
      </w:r>
      <w:r>
        <w:rPr>
          <w:rFonts w:hint="eastAsia" w:ascii="仿宋" w:hAnsi="仿宋" w:eastAsia="仿宋"/>
          <w:sz w:val="28"/>
          <w:szCs w:val="28"/>
        </w:rPr>
        <w:t xml:space="preserve">项目编号   </w:t>
      </w:r>
      <w:r>
        <w:rPr>
          <w:rFonts w:hint="eastAsia" w:ascii="仿宋" w:hAnsi="仿宋" w:eastAsia="仿宋"/>
          <w:sz w:val="28"/>
          <w:szCs w:val="28"/>
          <w:lang w:val="en-US" w:eastAsia="zh-CN"/>
        </w:rPr>
        <w:t xml:space="preserve">  </w:t>
      </w:r>
      <w:r>
        <w:rPr>
          <w:rFonts w:hint="eastAsia" w:ascii="仿宋" w:hAnsi="仿宋" w:eastAsia="仿宋"/>
          <w:sz w:val="28"/>
          <w:szCs w:val="28"/>
        </w:rPr>
        <w:t>号的采购文件及有关附件是本合同不可分割的组成部分，与本合同具有同等法律效力，这些文件包括但不限于：（1）</w:t>
      </w:r>
      <w:r>
        <w:rPr>
          <w:rFonts w:hint="eastAsia" w:ascii="仿宋" w:hAnsi="仿宋" w:eastAsia="仿宋"/>
          <w:sz w:val="28"/>
          <w:szCs w:val="28"/>
          <w:lang w:val="en-US" w:eastAsia="zh-CN"/>
        </w:rPr>
        <w:t>招标文件</w:t>
      </w:r>
      <w:r>
        <w:rPr>
          <w:rFonts w:hint="eastAsia" w:ascii="仿宋" w:hAnsi="仿宋" w:eastAsia="仿宋"/>
          <w:sz w:val="28"/>
          <w:szCs w:val="28"/>
        </w:rPr>
        <w:t>（2）乙方提供的响应文件（3）服务承诺（4）甲乙双方商定的其他文件。以上附件顺序在前的具有优先解释权。</w:t>
      </w:r>
    </w:p>
    <w:p w14:paraId="69433281">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采购人（甲方）：（公章）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供应商（乙方）： （公章）  </w:t>
      </w:r>
    </w:p>
    <w:p w14:paraId="7B811170">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地址：                         地址：</w:t>
      </w:r>
    </w:p>
    <w:p w14:paraId="702ED9D5">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法定代表人：                   法定代表人：</w:t>
      </w:r>
    </w:p>
    <w:p w14:paraId="604E005F">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委托代理人：                   委托代理人：</w:t>
      </w:r>
    </w:p>
    <w:p w14:paraId="64752F66">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电话：                         电话：</w:t>
      </w:r>
    </w:p>
    <w:p w14:paraId="48113731">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开户银行：                     开户银行：</w:t>
      </w:r>
    </w:p>
    <w:p w14:paraId="222FD285">
      <w:pPr>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账号：                         账号：</w:t>
      </w:r>
    </w:p>
    <w:p w14:paraId="13A698BC">
      <w:pPr>
        <w:spacing w:line="520" w:lineRule="exact"/>
        <w:ind w:firstLine="495" w:firstLineChars="177"/>
        <w:rPr>
          <w:rFonts w:ascii="仿宋" w:hAnsi="仿宋" w:eastAsia="仿宋"/>
          <w:sz w:val="28"/>
          <w:szCs w:val="28"/>
          <w:highlight w:val="yellow"/>
        </w:rPr>
      </w:pPr>
      <w:r>
        <w:rPr>
          <w:rFonts w:hint="eastAsia" w:ascii="仿宋" w:hAnsi="仿宋" w:eastAsia="仿宋"/>
          <w:sz w:val="28"/>
          <w:szCs w:val="28"/>
          <w:highlight w:val="none"/>
        </w:rPr>
        <w:t xml:space="preserve">   年   月   日                   年   月   日</w:t>
      </w:r>
    </w:p>
    <w:p w14:paraId="163BDDF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6EB15D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4C0DEC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B85B52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二、技术部分</w:t>
      </w:r>
    </w:p>
    <w:p w14:paraId="3C0BB1D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CD723C">
      <w:pPr>
        <w:pStyle w:val="13"/>
        <w:numPr>
          <w:ilvl w:val="0"/>
          <w:numId w:val="0"/>
        </w:num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napToGrid w:val="0"/>
          <w:color w:val="000000"/>
          <w:kern w:val="0"/>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安保服务固定岗及巡逻岗服务的方案；</w:t>
      </w:r>
    </w:p>
    <w:p w14:paraId="6F577993">
      <w:pPr>
        <w:pStyle w:val="13"/>
        <w:numPr>
          <w:ilvl w:val="0"/>
          <w:numId w:val="0"/>
        </w:numPr>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napToGrid w:val="0"/>
          <w:color w:val="000000"/>
          <w:kern w:val="0"/>
          <w:sz w:val="24"/>
          <w:szCs w:val="24"/>
          <w:lang w:val="en-US" w:eastAsia="zh-CN" w:bidi="ar-SA"/>
        </w:rPr>
        <w:t>2、</w:t>
      </w:r>
      <w:r>
        <w:rPr>
          <w:rFonts w:hint="eastAsia" w:asciiTheme="minorEastAsia" w:hAnsiTheme="minorEastAsia" w:eastAsiaTheme="minorEastAsia" w:cstheme="minorEastAsia"/>
          <w:b w:val="0"/>
          <w:bCs w:val="0"/>
          <w:sz w:val="24"/>
          <w:szCs w:val="24"/>
          <w:lang w:val="en-US" w:eastAsia="zh-CN"/>
        </w:rPr>
        <w:t>学校大型活动消防、安保方案；</w:t>
      </w:r>
    </w:p>
    <w:p w14:paraId="10747D58">
      <w:pPr>
        <w:pStyle w:val="13"/>
        <w:numPr>
          <w:ilvl w:val="0"/>
          <w:numId w:val="0"/>
        </w:numPr>
        <w:ind w:left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3、消防控制室日常管理方案；</w:t>
      </w:r>
    </w:p>
    <w:p w14:paraId="6BA36A92">
      <w:pPr>
        <w:pStyle w:val="13"/>
        <w:numPr>
          <w:ilvl w:val="0"/>
          <w:numId w:val="0"/>
        </w:numPr>
        <w:ind w:left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4、应急管理方案；</w:t>
      </w:r>
    </w:p>
    <w:p w14:paraId="08EC3317">
      <w:pPr>
        <w:pStyle w:val="13"/>
        <w:numPr>
          <w:ilvl w:val="0"/>
          <w:numId w:val="0"/>
        </w:numPr>
        <w:ind w:left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5、项目规章制度；</w:t>
      </w:r>
    </w:p>
    <w:p w14:paraId="1235881B">
      <w:pPr>
        <w:pStyle w:val="13"/>
        <w:numPr>
          <w:ilvl w:val="0"/>
          <w:numId w:val="0"/>
        </w:numPr>
        <w:ind w:leftChars="0"/>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z w:val="24"/>
          <w:szCs w:val="24"/>
          <w:lang w:val="en-US" w:eastAsia="zh-CN"/>
        </w:rPr>
        <w:t>6、人员培训方案。</w:t>
      </w:r>
    </w:p>
    <w:p w14:paraId="236AB03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B77633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071E46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52A68B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C8E74B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070D7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95670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F686FB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E74373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D0E7099">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3C353A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C3B5F6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0D1380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E9CBD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9F136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E5D3E6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1627159">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5B0EF1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E3ABA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AB7E0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39CE3D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59A9EE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0B85F0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ACE399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AD903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0AB10E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E2574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323DA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9342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A98D5F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18A0BE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159224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548D0F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380765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A51DF7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E60DE4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3.项目负责人配备、服务团队人员配备</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投标人业绩</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7B23F0B">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727326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5</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6.招标文件要求的其它材料及投标人认为有必要提供的材料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8ED4E"/>
    <w:multiLevelType w:val="singleLevel"/>
    <w:tmpl w:val="CE08ED4E"/>
    <w:lvl w:ilvl="0" w:tentative="0">
      <w:start w:val="7"/>
      <w:numFmt w:val="chineseCounting"/>
      <w:suff w:val="space"/>
      <w:lvlText w:val="第%1条"/>
      <w:lvlJc w:val="left"/>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275F39"/>
    <w:rsid w:val="0B3B7AF5"/>
    <w:rsid w:val="0B3C24F6"/>
    <w:rsid w:val="0BC76E66"/>
    <w:rsid w:val="0BF0521B"/>
    <w:rsid w:val="0CB101B0"/>
    <w:rsid w:val="0CBD4DA7"/>
    <w:rsid w:val="0CF900A3"/>
    <w:rsid w:val="0D3814C3"/>
    <w:rsid w:val="0D9A718E"/>
    <w:rsid w:val="0DA859D3"/>
    <w:rsid w:val="0DD30B7C"/>
    <w:rsid w:val="0E307EEE"/>
    <w:rsid w:val="0EE83F9D"/>
    <w:rsid w:val="0F0D035A"/>
    <w:rsid w:val="0FB87AA7"/>
    <w:rsid w:val="0FE34B24"/>
    <w:rsid w:val="102C0845"/>
    <w:rsid w:val="104F3F68"/>
    <w:rsid w:val="10B145AD"/>
    <w:rsid w:val="11290039"/>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3424F"/>
    <w:rsid w:val="1A6B22E0"/>
    <w:rsid w:val="1A9F789A"/>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0379D1"/>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02814"/>
    <w:rsid w:val="311741D6"/>
    <w:rsid w:val="3119309A"/>
    <w:rsid w:val="312A5594"/>
    <w:rsid w:val="312C625F"/>
    <w:rsid w:val="31C81974"/>
    <w:rsid w:val="32230959"/>
    <w:rsid w:val="3322495F"/>
    <w:rsid w:val="337450B5"/>
    <w:rsid w:val="343D582C"/>
    <w:rsid w:val="344C700B"/>
    <w:rsid w:val="345C2226"/>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386160"/>
    <w:rsid w:val="3B35724B"/>
    <w:rsid w:val="3BB63ADA"/>
    <w:rsid w:val="3BDC4EDA"/>
    <w:rsid w:val="3C37498E"/>
    <w:rsid w:val="3C860462"/>
    <w:rsid w:val="3C94450B"/>
    <w:rsid w:val="3CD83A9C"/>
    <w:rsid w:val="3D051AB3"/>
    <w:rsid w:val="3D13022E"/>
    <w:rsid w:val="3D9C0E9C"/>
    <w:rsid w:val="3DDE7B24"/>
    <w:rsid w:val="3E161B7C"/>
    <w:rsid w:val="3E233D5C"/>
    <w:rsid w:val="3E353902"/>
    <w:rsid w:val="3E60285C"/>
    <w:rsid w:val="3E7A6E5F"/>
    <w:rsid w:val="3E807399"/>
    <w:rsid w:val="3E923BF9"/>
    <w:rsid w:val="3ED454B4"/>
    <w:rsid w:val="3F0A4EA1"/>
    <w:rsid w:val="3F487C50"/>
    <w:rsid w:val="3F814E1B"/>
    <w:rsid w:val="3FB43D32"/>
    <w:rsid w:val="3FC65745"/>
    <w:rsid w:val="3FCE3BC4"/>
    <w:rsid w:val="40274071"/>
    <w:rsid w:val="405D1A2A"/>
    <w:rsid w:val="407F405E"/>
    <w:rsid w:val="409370B0"/>
    <w:rsid w:val="40D41902"/>
    <w:rsid w:val="410F0A26"/>
    <w:rsid w:val="41884B35"/>
    <w:rsid w:val="423849B8"/>
    <w:rsid w:val="435F746A"/>
    <w:rsid w:val="4372309F"/>
    <w:rsid w:val="44093E52"/>
    <w:rsid w:val="444E5D13"/>
    <w:rsid w:val="446F3136"/>
    <w:rsid w:val="44790C24"/>
    <w:rsid w:val="453A628D"/>
    <w:rsid w:val="45CF0C25"/>
    <w:rsid w:val="45DD7715"/>
    <w:rsid w:val="47503B46"/>
    <w:rsid w:val="476F2CBE"/>
    <w:rsid w:val="47C562E2"/>
    <w:rsid w:val="47C81344"/>
    <w:rsid w:val="480A1F47"/>
    <w:rsid w:val="483B0352"/>
    <w:rsid w:val="488A3088"/>
    <w:rsid w:val="48DF1625"/>
    <w:rsid w:val="48F078C5"/>
    <w:rsid w:val="49320965"/>
    <w:rsid w:val="493D634C"/>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0C3538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BD5F5C"/>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8C1058"/>
    <w:rsid w:val="6E8E7670"/>
    <w:rsid w:val="6EEB0447"/>
    <w:rsid w:val="6FAF3250"/>
    <w:rsid w:val="6FC71762"/>
    <w:rsid w:val="70312E6C"/>
    <w:rsid w:val="703F6560"/>
    <w:rsid w:val="70447D0C"/>
    <w:rsid w:val="70725ED5"/>
    <w:rsid w:val="70B362F9"/>
    <w:rsid w:val="70FC3328"/>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C2C45"/>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CC53AE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 w:type="paragraph" w:customStyle="1" w:styleId="34">
    <w:name w:val="unnamed1"/>
    <w:basedOn w:val="1"/>
    <w:qFormat/>
    <w:uiPriority w:val="0"/>
    <w:pPr>
      <w:widowControl/>
      <w:spacing w:before="100" w:beforeAutospacing="1" w:after="100" w:afterAutospacing="1" w:line="360" w:lineRule="auto"/>
      <w:jc w:val="left"/>
    </w:pPr>
    <w:rPr>
      <w:rFonts w:ascii="宋体" w:hAnsi="宋体" w:cs="宋体"/>
      <w:color w:val="008888"/>
      <w:kern w:val="0"/>
      <w:sz w:val="22"/>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11021</Words>
  <Characters>11886</Characters>
  <TotalTime>14</TotalTime>
  <ScaleCrop>false</ScaleCrop>
  <LinksUpToDate>false</LinksUpToDate>
  <CharactersWithSpaces>12279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2025-08-22T02:09:00Z</cp:lastPrinted>
  <dcterms:modified xsi:type="dcterms:W3CDTF">2025-08-22T07:10:00Z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