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49494">
      <w:pPr>
        <w:keepNext w:val="0"/>
        <w:keepLines w:val="0"/>
        <w:pageBreakBefore w:val="0"/>
        <w:kinsoku/>
        <w:wordWrap w:val="0"/>
        <w:overflowPunct/>
        <w:topLinePunct w:val="0"/>
        <w:bidi w:val="0"/>
        <w:spacing w:line="281" w:lineRule="auto"/>
        <w:jc w:val="both"/>
        <w:rPr>
          <w:rFonts w:ascii="Arial"/>
          <w:sz w:val="21"/>
        </w:rPr>
      </w:pPr>
    </w:p>
    <w:p w14:paraId="5CEDFECB">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pPr>
    </w:p>
    <w:p w14:paraId="32A48966">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pPr>
    </w:p>
    <w:p w14:paraId="00C738D0">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52"/>
          <w:szCs w:val="52"/>
        </w:rPr>
      </w:pPr>
      <w:r>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t>南阳市</w:t>
      </w:r>
      <w:r>
        <w:rPr>
          <w:rFonts w:hint="eastAsia" w:ascii="宋体" w:hAnsi="宋体" w:eastAsia="宋体" w:cs="宋体"/>
          <w:spacing w:val="-2"/>
          <w:sz w:val="52"/>
          <w:szCs w:val="52"/>
          <w14:textOutline w14:w="3844" w14:cap="flat" w14:cmpd="sng">
            <w14:solidFill>
              <w14:srgbClr w14:val="000000"/>
            </w14:solidFill>
            <w14:prstDash w14:val="solid"/>
            <w14:miter w14:val="0"/>
          </w14:textOutline>
        </w:rPr>
        <w:t>政府采购项目</w:t>
      </w:r>
    </w:p>
    <w:p w14:paraId="27452B72">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52"/>
          <w:szCs w:val="52"/>
        </w:rPr>
      </w:pPr>
      <w:r>
        <w:rPr>
          <w:rFonts w:hint="eastAsia" w:ascii="宋体" w:hAnsi="宋体" w:eastAsia="宋体" w:cs="宋体"/>
          <w:spacing w:val="-1"/>
          <w:sz w:val="52"/>
          <w:szCs w:val="52"/>
          <w14:textOutline w14:w="3844" w14:cap="flat" w14:cmpd="sng">
            <w14:solidFill>
              <w14:srgbClr w14:val="000000"/>
            </w14:solidFill>
            <w14:prstDash w14:val="solid"/>
            <w14:miter w14:val="0"/>
          </w14:textOutline>
        </w:rPr>
        <w:t>竞争性磋商文件</w:t>
      </w:r>
    </w:p>
    <w:p w14:paraId="1C9677C1">
      <w:pPr>
        <w:keepNext w:val="0"/>
        <w:keepLines w:val="0"/>
        <w:pageBreakBefore w:val="0"/>
        <w:kinsoku/>
        <w:wordWrap w:val="0"/>
        <w:overflowPunct/>
        <w:topLinePunct w:val="0"/>
        <w:bidi w:val="0"/>
        <w:spacing w:line="248" w:lineRule="auto"/>
        <w:jc w:val="both"/>
        <w:rPr>
          <w:rFonts w:ascii="Arial"/>
          <w:sz w:val="21"/>
        </w:rPr>
      </w:pPr>
    </w:p>
    <w:p w14:paraId="6814AF9F">
      <w:pPr>
        <w:keepNext w:val="0"/>
        <w:keepLines w:val="0"/>
        <w:pageBreakBefore w:val="0"/>
        <w:kinsoku/>
        <w:wordWrap w:val="0"/>
        <w:overflowPunct/>
        <w:topLinePunct w:val="0"/>
        <w:bidi w:val="0"/>
        <w:spacing w:line="249" w:lineRule="auto"/>
        <w:jc w:val="both"/>
        <w:rPr>
          <w:rFonts w:ascii="Arial"/>
          <w:sz w:val="21"/>
        </w:rPr>
      </w:pPr>
    </w:p>
    <w:p w14:paraId="1FA6797C">
      <w:pPr>
        <w:keepNext w:val="0"/>
        <w:keepLines w:val="0"/>
        <w:pageBreakBefore w:val="0"/>
        <w:kinsoku/>
        <w:wordWrap w:val="0"/>
        <w:overflowPunct/>
        <w:topLinePunct w:val="0"/>
        <w:bidi w:val="0"/>
        <w:spacing w:line="249" w:lineRule="auto"/>
        <w:jc w:val="both"/>
        <w:rPr>
          <w:rFonts w:ascii="Arial"/>
          <w:sz w:val="21"/>
        </w:rPr>
      </w:pPr>
    </w:p>
    <w:p w14:paraId="14764BB1">
      <w:pPr>
        <w:keepNext w:val="0"/>
        <w:keepLines w:val="0"/>
        <w:pageBreakBefore w:val="0"/>
        <w:kinsoku/>
        <w:wordWrap w:val="0"/>
        <w:overflowPunct/>
        <w:topLinePunct w:val="0"/>
        <w:bidi w:val="0"/>
        <w:spacing w:line="249" w:lineRule="auto"/>
        <w:jc w:val="both"/>
        <w:rPr>
          <w:rFonts w:ascii="Arial"/>
          <w:sz w:val="21"/>
        </w:rPr>
      </w:pPr>
    </w:p>
    <w:p w14:paraId="553570E3">
      <w:pPr>
        <w:keepNext w:val="0"/>
        <w:keepLines w:val="0"/>
        <w:pageBreakBefore w:val="0"/>
        <w:kinsoku/>
        <w:wordWrap w:val="0"/>
        <w:overflowPunct/>
        <w:topLinePunct w:val="0"/>
        <w:bidi w:val="0"/>
        <w:spacing w:line="249" w:lineRule="auto"/>
        <w:jc w:val="both"/>
        <w:rPr>
          <w:rFonts w:ascii="Arial"/>
          <w:sz w:val="21"/>
        </w:rPr>
      </w:pPr>
    </w:p>
    <w:p w14:paraId="731CB9B6">
      <w:pPr>
        <w:keepNext w:val="0"/>
        <w:keepLines w:val="0"/>
        <w:pageBreakBefore w:val="0"/>
        <w:kinsoku/>
        <w:wordWrap w:val="0"/>
        <w:overflowPunct/>
        <w:topLinePunct w:val="0"/>
        <w:bidi w:val="0"/>
        <w:spacing w:line="249" w:lineRule="auto"/>
        <w:jc w:val="both"/>
        <w:rPr>
          <w:rFonts w:ascii="Arial"/>
          <w:sz w:val="21"/>
        </w:rPr>
      </w:pPr>
    </w:p>
    <w:p w14:paraId="27D3E29F">
      <w:pPr>
        <w:keepNext w:val="0"/>
        <w:keepLines w:val="0"/>
        <w:pageBreakBefore w:val="0"/>
        <w:kinsoku/>
        <w:wordWrap w:val="0"/>
        <w:overflowPunct/>
        <w:topLinePunct w:val="0"/>
        <w:bidi w:val="0"/>
        <w:spacing w:line="249" w:lineRule="auto"/>
        <w:jc w:val="both"/>
        <w:rPr>
          <w:rFonts w:ascii="Arial"/>
          <w:sz w:val="21"/>
        </w:rPr>
      </w:pPr>
    </w:p>
    <w:p w14:paraId="78423914">
      <w:pPr>
        <w:keepNext w:val="0"/>
        <w:keepLines w:val="0"/>
        <w:pageBreakBefore w:val="0"/>
        <w:kinsoku/>
        <w:wordWrap w:val="0"/>
        <w:overflowPunct/>
        <w:topLinePunct w:val="0"/>
        <w:bidi w:val="0"/>
        <w:spacing w:line="249" w:lineRule="auto"/>
        <w:jc w:val="both"/>
        <w:rPr>
          <w:rFonts w:ascii="Arial"/>
          <w:sz w:val="21"/>
        </w:rPr>
      </w:pPr>
    </w:p>
    <w:p w14:paraId="0315D9A1">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 xml:space="preserve">  南阳市第一实验幼儿园保安服务项目   </w:t>
      </w:r>
    </w:p>
    <w:p w14:paraId="2F790692">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南阳政采磋商-2025-66          </w:t>
      </w:r>
    </w:p>
    <w:p w14:paraId="27F43DAA">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en-US" w:eastAsia="zh-CN"/>
        </w:rPr>
        <w:t xml:space="preserve">       南阳政采磋商-2025-66-1         </w:t>
      </w:r>
    </w:p>
    <w:p w14:paraId="6A9BC991">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南阳市第一实验幼儿园          </w:t>
      </w:r>
    </w:p>
    <w:p w14:paraId="02F5CE66">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南阳市公共资源交易中心     </w:t>
      </w:r>
    </w:p>
    <w:p w14:paraId="01360E1B">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14:paraId="40EC4A89">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14:paraId="18C81A73">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14:paraId="33F624ED">
      <w:pPr>
        <w:pStyle w:val="2"/>
        <w:bidi w:val="0"/>
      </w:pPr>
    </w:p>
    <w:p w14:paraId="3C301192">
      <w:pPr>
        <w:pStyle w:val="18"/>
      </w:pPr>
    </w:p>
    <w:p w14:paraId="786C6B9B">
      <w:pPr>
        <w:pStyle w:val="2"/>
        <w:keepNext w:val="0"/>
        <w:keepLines w:val="0"/>
        <w:pageBreakBefore w:val="0"/>
        <w:kinsoku/>
        <w:wordWrap w:val="0"/>
        <w:overflowPunct/>
        <w:topLinePunct w:val="0"/>
        <w:bidi w:val="0"/>
        <w:spacing w:before="117" w:line="220" w:lineRule="auto"/>
        <w:ind w:left="3829"/>
        <w:jc w:val="both"/>
        <w:rPr>
          <w:spacing w:val="-3"/>
          <w:sz w:val="44"/>
          <w:szCs w:val="44"/>
          <w14:textOutline w14:w="2306" w14:cap="flat" w14:cmpd="sng">
            <w14:solidFill>
              <w14:srgbClr w14:val="000000"/>
            </w14:solidFill>
            <w14:prstDash w14:val="solid"/>
            <w14:miter w14:val="0"/>
          </w14:textOutline>
        </w:rPr>
      </w:pPr>
    </w:p>
    <w:p w14:paraId="548B130E">
      <w:pPr>
        <w:pStyle w:val="2"/>
        <w:keepNext w:val="0"/>
        <w:keepLines w:val="0"/>
        <w:pageBreakBefore w:val="0"/>
        <w:kinsoku/>
        <w:wordWrap w:val="0"/>
        <w:overflowPunct/>
        <w:topLinePunct w:val="0"/>
        <w:bidi w:val="0"/>
        <w:spacing w:before="117" w:line="220" w:lineRule="auto"/>
        <w:ind w:left="3829"/>
        <w:jc w:val="both"/>
        <w:rPr>
          <w:spacing w:val="-3"/>
          <w:sz w:val="44"/>
          <w:szCs w:val="44"/>
          <w14:textOutline w14:w="2306" w14:cap="flat" w14:cmpd="sng">
            <w14:solidFill>
              <w14:srgbClr w14:val="000000"/>
            </w14:solidFill>
            <w14:prstDash w14:val="solid"/>
            <w14:miter w14:val="0"/>
          </w14:textOutline>
        </w:rPr>
      </w:pPr>
    </w:p>
    <w:p w14:paraId="67495EF4">
      <w:pPr>
        <w:pStyle w:val="2"/>
        <w:keepNext w:val="0"/>
        <w:keepLines w:val="0"/>
        <w:pageBreakBefore w:val="0"/>
        <w:kinsoku/>
        <w:wordWrap w:val="0"/>
        <w:overflowPunct/>
        <w:topLinePunct w:val="0"/>
        <w:bidi w:val="0"/>
        <w:spacing w:before="117" w:line="360" w:lineRule="auto"/>
        <w:jc w:val="center"/>
        <w:rPr>
          <w:spacing w:val="-3"/>
          <w:sz w:val="44"/>
          <w:szCs w:val="44"/>
          <w14:textOutline w14:w="2306" w14:cap="flat" w14:cmpd="sng">
            <w14:solidFill>
              <w14:srgbClr w14:val="000000"/>
            </w14:solidFill>
            <w14:prstDash w14:val="solid"/>
            <w14:miter w14:val="0"/>
          </w14:textOutline>
        </w:rPr>
        <w:sectPr>
          <w:headerReference r:id="rId5" w:type="default"/>
          <w:pgSz w:w="11907" w:h="16840"/>
          <w:pgMar w:top="1440" w:right="1800" w:bottom="1440" w:left="1800" w:header="878" w:footer="0" w:gutter="0"/>
          <w:pgNumType w:fmt="decimal"/>
          <w:cols w:space="720" w:num="1"/>
        </w:sectPr>
      </w:pPr>
    </w:p>
    <w:p w14:paraId="6F1941E7">
      <w:pPr>
        <w:keepNext w:val="0"/>
        <w:keepLines w:val="0"/>
        <w:pageBreakBefore w:val="0"/>
        <w:kinsoku/>
        <w:wordWrap w:val="0"/>
        <w:overflowPunct/>
        <w:topLinePunct w:val="0"/>
        <w:bidi w:val="0"/>
        <w:spacing w:line="326" w:lineRule="auto"/>
        <w:jc w:val="both"/>
        <w:rPr>
          <w:rFonts w:ascii="Arial"/>
          <w:sz w:val="21"/>
        </w:rPr>
      </w:pPr>
    </w:p>
    <w:sdt>
      <w:sdtPr>
        <w:rPr>
          <w:rFonts w:ascii="宋体" w:hAnsi="宋体" w:eastAsia="宋体" w:cs="宋体"/>
          <w:sz w:val="36"/>
          <w:szCs w:val="36"/>
        </w:rPr>
        <w:id w:val="1"/>
        <w:docPartObj>
          <w:docPartGallery w:val="Table of Contents"/>
          <w:docPartUnique/>
        </w:docPartObj>
      </w:sdtPr>
      <w:sdtEndPr>
        <w:rPr>
          <w:rFonts w:hint="eastAsia" w:ascii="宋体" w:hAnsi="宋体" w:eastAsia="宋体" w:cs="宋体"/>
          <w:sz w:val="28"/>
          <w:szCs w:val="28"/>
        </w:rPr>
      </w:sdtEndPr>
      <w:sdtContent>
        <w:p w14:paraId="567956CC">
          <w:pPr>
            <w:pStyle w:val="2"/>
            <w:keepNext w:val="0"/>
            <w:keepLines w:val="0"/>
            <w:pageBreakBefore w:val="0"/>
            <w:kinsoku/>
            <w:wordWrap w:val="0"/>
            <w:overflowPunct/>
            <w:topLinePunct w:val="0"/>
            <w:bidi w:val="0"/>
            <w:spacing w:before="117" w:line="222" w:lineRule="auto"/>
            <w:ind w:left="3716"/>
            <w:jc w:val="both"/>
            <w:rPr>
              <w:sz w:val="36"/>
              <w:szCs w:val="36"/>
            </w:rPr>
          </w:pPr>
          <w:bookmarkStart w:id="0" w:name="bookmark1"/>
          <w:bookmarkEnd w:id="0"/>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目</w:t>
          </w:r>
          <w:r>
            <w:rPr>
              <w:rFonts w:hint="eastAsia" w:ascii="宋体" w:hAnsi="宋体" w:eastAsia="宋体" w:cs="宋体"/>
              <w:spacing w:val="-42"/>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录</w:t>
          </w:r>
        </w:p>
        <w:p w14:paraId="311F5A11">
          <w:pPr>
            <w:keepNext w:val="0"/>
            <w:keepLines w:val="0"/>
            <w:pageBreakBefore w:val="0"/>
            <w:kinsoku/>
            <w:wordWrap w:val="0"/>
            <w:overflowPunct/>
            <w:topLinePunct w:val="0"/>
            <w:bidi w:val="0"/>
            <w:spacing w:line="286" w:lineRule="auto"/>
            <w:jc w:val="both"/>
            <w:rPr>
              <w:rFonts w:ascii="Arial"/>
              <w:sz w:val="21"/>
            </w:rPr>
          </w:pPr>
        </w:p>
        <w:p w14:paraId="4F0E3C30">
          <w:pPr>
            <w:pStyle w:val="2"/>
            <w:bidi w:val="0"/>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HYPERLINK\l"bookmark1"</w:instrText>
          </w:r>
          <w:r>
            <w:rPr>
              <w:rFonts w:hint="eastAsia" w:ascii="宋体" w:hAnsi="宋体" w:eastAsia="宋体" w:cs="宋体"/>
              <w:sz w:val="28"/>
              <w:szCs w:val="28"/>
            </w:rPr>
            <w:fldChar w:fldCharType="separate"/>
          </w:r>
          <w:r>
            <w:rPr>
              <w:rFonts w:hint="eastAsia" w:ascii="宋体" w:hAnsi="宋体" w:eastAsia="宋体" w:cs="宋体"/>
              <w:sz w:val="28"/>
              <w:szCs w:val="28"/>
            </w:rPr>
            <w:t>第一章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竞争性磋商公告</w:t>
          </w:r>
          <w:r>
            <w:rPr>
              <w:rFonts w:hint="eastAsia" w:ascii="宋体" w:hAnsi="宋体" w:eastAsia="宋体" w:cs="宋体"/>
              <w:sz w:val="28"/>
              <w:szCs w:val="28"/>
            </w:rPr>
            <w:fldChar w:fldCharType="end"/>
          </w:r>
        </w:p>
        <w:p w14:paraId="003E2D43">
          <w:pPr>
            <w:pStyle w:val="2"/>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第二章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采购需求</w:t>
          </w:r>
        </w:p>
        <w:p w14:paraId="04D96E96">
          <w:pPr>
            <w:pStyle w:val="2"/>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第三章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供应商须知</w:t>
          </w:r>
        </w:p>
        <w:p w14:paraId="3074FD92">
          <w:pPr>
            <w:pStyle w:val="2"/>
            <w:bidi w:val="0"/>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第四章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评</w:t>
          </w:r>
          <w:r>
            <w:rPr>
              <w:rFonts w:hint="eastAsia" w:ascii="宋体" w:hAnsi="宋体" w:eastAsia="宋体" w:cs="宋体"/>
              <w:sz w:val="28"/>
              <w:szCs w:val="28"/>
              <w:lang w:val="en-US" w:eastAsia="zh-CN"/>
            </w:rPr>
            <w:t>审</w:t>
          </w:r>
          <w:r>
            <w:rPr>
              <w:rFonts w:hint="eastAsia" w:ascii="宋体" w:hAnsi="宋体" w:eastAsia="宋体" w:cs="宋体"/>
              <w:sz w:val="28"/>
              <w:szCs w:val="28"/>
            </w:rPr>
            <w:t>程序、评审方法和评审标准</w:t>
          </w:r>
        </w:p>
        <w:p w14:paraId="2063A8B7">
          <w:pPr>
            <w:pStyle w:val="2"/>
            <w:bidi w:val="0"/>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第五章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政府采购合同（草案）</w:t>
          </w:r>
        </w:p>
        <w:p w14:paraId="056A18BF">
          <w:pPr>
            <w:pStyle w:val="2"/>
            <w:bidi w:val="0"/>
            <w:spacing w:line="360" w:lineRule="auto"/>
            <w:rPr>
              <w:rFonts w:hint="eastAsia" w:ascii="宋体" w:hAnsi="宋体" w:eastAsia="宋体" w:cs="宋体"/>
              <w:sz w:val="28"/>
              <w:szCs w:val="28"/>
            </w:rPr>
          </w:pPr>
          <w:r>
            <w:rPr>
              <w:rFonts w:hint="eastAsia" w:ascii="宋体" w:hAnsi="宋体" w:eastAsia="宋体" w:cs="宋体"/>
              <w:sz w:val="28"/>
              <w:szCs w:val="28"/>
            </w:rPr>
            <w:t>第六章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响应文件格式</w:t>
          </w:r>
        </w:p>
      </w:sdtContent>
    </w:sdt>
    <w:p w14:paraId="6AFCF144">
      <w:pPr>
        <w:keepNext w:val="0"/>
        <w:keepLines w:val="0"/>
        <w:pageBreakBefore w:val="0"/>
        <w:kinsoku/>
        <w:wordWrap w:val="0"/>
        <w:overflowPunct/>
        <w:topLinePunct w:val="0"/>
        <w:bidi w:val="0"/>
        <w:spacing w:line="219" w:lineRule="auto"/>
        <w:jc w:val="both"/>
        <w:rPr>
          <w:rFonts w:ascii="Arial" w:hAnsi="Arial" w:eastAsia="Arial" w:cs="Arial"/>
          <w:sz w:val="24"/>
          <w:szCs w:val="24"/>
        </w:rPr>
      </w:pPr>
    </w:p>
    <w:p w14:paraId="4E3FAFD9">
      <w:pPr>
        <w:bidi w:val="0"/>
        <w:rPr>
          <w:rFonts w:ascii="Arial" w:hAnsi="Arial" w:eastAsia="Arial" w:cs="Arial"/>
          <w:snapToGrid w:val="0"/>
          <w:color w:val="000000"/>
          <w:kern w:val="0"/>
          <w:sz w:val="21"/>
          <w:szCs w:val="21"/>
          <w:lang w:val="en-US" w:eastAsia="en-US" w:bidi="ar-SA"/>
        </w:rPr>
      </w:pPr>
    </w:p>
    <w:p w14:paraId="562A9177">
      <w:pPr>
        <w:bidi w:val="0"/>
        <w:rPr>
          <w:lang w:val="en-US" w:eastAsia="en-US"/>
        </w:rPr>
      </w:pPr>
    </w:p>
    <w:p w14:paraId="4B73306A">
      <w:pPr>
        <w:bidi w:val="0"/>
        <w:rPr>
          <w:lang w:val="en-US" w:eastAsia="en-US"/>
        </w:rPr>
      </w:pPr>
    </w:p>
    <w:p w14:paraId="0168D35F">
      <w:pPr>
        <w:bidi w:val="0"/>
        <w:rPr>
          <w:lang w:val="en-US" w:eastAsia="en-US"/>
        </w:rPr>
      </w:pPr>
    </w:p>
    <w:p w14:paraId="7BD2C8A4">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4FA26018">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6368F29D">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0B4567E0">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5890CE27">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29CC2AB7">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103A9C6E">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5D88675F">
      <w:pPr>
        <w:pStyle w:val="2"/>
        <w:keepNext w:val="0"/>
        <w:keepLines w:val="0"/>
        <w:pageBreakBefore w:val="0"/>
        <w:kinsoku/>
        <w:wordWrap w:val="0"/>
        <w:overflowPunct/>
        <w:topLinePunct w:val="0"/>
        <w:bidi w:val="0"/>
        <w:spacing w:before="358" w:line="360" w:lineRule="auto"/>
        <w:jc w:val="both"/>
        <w:rPr>
          <w:spacing w:val="-1"/>
          <w:sz w:val="36"/>
          <w:szCs w:val="36"/>
          <w14:textOutline w14:w="2306" w14:cap="flat" w14:cmpd="sng">
            <w14:solidFill>
              <w14:srgbClr w14:val="000000"/>
            </w14:solidFill>
            <w14:prstDash w14:val="solid"/>
            <w14:miter w14:val="0"/>
          </w14:textOutline>
        </w:rPr>
      </w:pPr>
    </w:p>
    <w:p w14:paraId="3B6B01F0">
      <w:pPr>
        <w:pStyle w:val="2"/>
        <w:keepNext w:val="0"/>
        <w:keepLines w:val="0"/>
        <w:pageBreakBefore w:val="0"/>
        <w:kinsoku/>
        <w:wordWrap w:val="0"/>
        <w:overflowPunct/>
        <w:topLinePunct w:val="0"/>
        <w:bidi w:val="0"/>
        <w:spacing w:before="358" w:line="360" w:lineRule="auto"/>
        <w:jc w:val="center"/>
        <w:rPr>
          <w:rFonts w:ascii="Arial"/>
          <w:sz w:val="21"/>
        </w:rPr>
      </w:pPr>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竞争性磋商公告</w:t>
      </w:r>
    </w:p>
    <w:p w14:paraId="11A8D7E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竞争性磋商</w:t>
      </w:r>
      <w:r>
        <w:rPr>
          <w:spacing w:val="-6"/>
          <w:sz w:val="24"/>
          <w:szCs w:val="24"/>
        </w:rPr>
        <w:t>方式组织采购活动，</w:t>
      </w:r>
      <w:r>
        <w:rPr>
          <w:rFonts w:hint="eastAsia"/>
          <w:spacing w:val="-6"/>
          <w:sz w:val="24"/>
          <w:szCs w:val="24"/>
          <w:lang w:val="en-US" w:eastAsia="zh-CN"/>
        </w:rPr>
        <w:t>欢迎潜在供应商</w:t>
      </w:r>
      <w:r>
        <w:rPr>
          <w:spacing w:val="-6"/>
          <w:sz w:val="24"/>
          <w:szCs w:val="24"/>
        </w:rPr>
        <w:t>参与本项目</w:t>
      </w:r>
      <w:r>
        <w:rPr>
          <w:rFonts w:hint="eastAsia"/>
          <w:spacing w:val="-6"/>
          <w:sz w:val="24"/>
          <w:szCs w:val="24"/>
          <w:lang w:val="en-US" w:eastAsia="zh-CN"/>
        </w:rPr>
        <w:t>磋商</w:t>
      </w:r>
      <w:r>
        <w:rPr>
          <w:spacing w:val="-6"/>
          <w:sz w:val="24"/>
          <w:szCs w:val="24"/>
        </w:rPr>
        <w:t>。</w:t>
      </w:r>
    </w:p>
    <w:p w14:paraId="5894CFC2">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1"/>
        <w:rPr>
          <w:sz w:val="24"/>
          <w:szCs w:val="24"/>
        </w:rPr>
      </w:pPr>
      <w:r>
        <w:rPr>
          <w:spacing w:val="-2"/>
          <w:sz w:val="24"/>
          <w:szCs w:val="24"/>
          <w14:textOutline w14:w="1537" w14:cap="flat" w14:cmpd="sng">
            <w14:solidFill>
              <w14:srgbClr w14:val="000000"/>
            </w14:solidFill>
            <w14:prstDash w14:val="solid"/>
            <w14:miter w14:val="0"/>
          </w14:textOutline>
        </w:rPr>
        <w:t>一、项目基本情况</w:t>
      </w:r>
    </w:p>
    <w:p w14:paraId="5670401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5"/>
          <w:sz w:val="24"/>
          <w:szCs w:val="24"/>
        </w:rPr>
        <w:t>1.项目编号：</w:t>
      </w:r>
      <w:r>
        <w:rPr>
          <w:rFonts w:hint="eastAsia" w:asciiTheme="minorEastAsia" w:hAnsiTheme="minorEastAsia" w:eastAsiaTheme="minorEastAsia" w:cstheme="minorEastAsia"/>
          <w:spacing w:val="-25"/>
          <w:sz w:val="24"/>
          <w:szCs w:val="24"/>
          <w:lang w:val="en-US" w:eastAsia="zh-CN"/>
        </w:rPr>
        <w:t>南阳政采磋商-2025-66</w:t>
      </w:r>
    </w:p>
    <w:p w14:paraId="7054CDD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2.项目名称：南阳市第一实验幼儿园保安服务项目</w:t>
      </w:r>
    </w:p>
    <w:p w14:paraId="49E96E7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val="en-US" w:eastAsia="zh-CN"/>
        </w:rPr>
        <w:t xml:space="preserve"> 130 </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lang w:val="en-US" w:eastAsia="zh-CN"/>
        </w:rPr>
        <w:t xml:space="preserve"> 130 </w:t>
      </w:r>
      <w:r>
        <w:rPr>
          <w:rFonts w:hint="eastAsia" w:asciiTheme="minorEastAsia" w:hAnsiTheme="minorEastAsia" w:eastAsiaTheme="minorEastAsia" w:cstheme="minorEastAsia"/>
          <w:spacing w:val="-14"/>
          <w:sz w:val="24"/>
          <w:szCs w:val="24"/>
        </w:rPr>
        <w:t>万元</w:t>
      </w:r>
    </w:p>
    <w:p w14:paraId="7CA1D2F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20"/>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2E180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0E75818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14:paraId="1F51B355">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14:paraId="41FDF26D">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14:paraId="7FD96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center"/>
          </w:tcPr>
          <w:p w14:paraId="18AA9EE1">
            <w:pPr>
              <w:pStyle w:val="21"/>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val="en-US" w:eastAsia="zh-CN"/>
              </w:rPr>
              <w:t>南阳政采磋商-2025-66-</w:t>
            </w:r>
            <w:r>
              <w:rPr>
                <w:rFonts w:hint="eastAsia" w:asciiTheme="minorEastAsia" w:hAnsiTheme="minorEastAsia" w:eastAsiaTheme="minorEastAsia" w:cstheme="minorEastAsia"/>
                <w:spacing w:val="14"/>
                <w:sz w:val="24"/>
                <w:szCs w:val="24"/>
              </w:rPr>
              <w:t>1</w:t>
            </w:r>
          </w:p>
        </w:tc>
        <w:tc>
          <w:tcPr>
            <w:tcW w:w="4215" w:type="dxa"/>
            <w:vAlign w:val="center"/>
          </w:tcPr>
          <w:p w14:paraId="2CC99FB1">
            <w:pPr>
              <w:pStyle w:val="21"/>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南阳市第一实验幼儿园保安服务项目</w:t>
            </w:r>
          </w:p>
        </w:tc>
        <w:tc>
          <w:tcPr>
            <w:tcW w:w="2321" w:type="dxa"/>
            <w:vAlign w:val="center"/>
          </w:tcPr>
          <w:p w14:paraId="4C3204E8">
            <w:pPr>
              <w:pStyle w:val="21"/>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1300000</w:t>
            </w:r>
          </w:p>
        </w:tc>
      </w:tr>
    </w:tbl>
    <w:p w14:paraId="7B9223D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left"/>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5.服务要求</w:t>
      </w:r>
    </w:p>
    <w:p w14:paraId="4FF09138">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380" w:firstLineChars="200"/>
        <w:jc w:val="both"/>
        <w:textAlignment w:val="baseline"/>
        <w:rPr>
          <w:rFonts w:hint="default" w:asciiTheme="minorEastAsia" w:hAnsiTheme="minorEastAsia" w:eastAsiaTheme="minorEastAsia" w:cstheme="minorEastAsia"/>
          <w:spacing w:val="-25"/>
          <w:sz w:val="24"/>
          <w:szCs w:val="24"/>
          <w:lang w:val="en-US" w:eastAsia="zh-CN"/>
        </w:rPr>
      </w:pPr>
      <w:r>
        <w:rPr>
          <w:rFonts w:hint="eastAsia" w:asciiTheme="minorEastAsia" w:hAnsiTheme="minorEastAsia" w:eastAsiaTheme="minorEastAsia" w:cstheme="minorEastAsia"/>
          <w:spacing w:val="-25"/>
          <w:sz w:val="24"/>
          <w:szCs w:val="24"/>
          <w:lang w:val="en-US" w:eastAsia="zh-CN"/>
        </w:rPr>
        <w:t>南阳市第一实验幼儿园拟采购保安服务，服务内容覆盖七一路、三全、十二全三大园区，提供门卫值守、治安巡逻、消防控制室值班服务，依法配合学校完成其他协助工作。</w:t>
      </w:r>
    </w:p>
    <w:p w14:paraId="54ED1D6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left"/>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Theme="minorEastAsia" w:hAnsiTheme="minorEastAsia" w:eastAsiaTheme="minorEastAsia" w:cstheme="minorEastAsia"/>
          <w:spacing w:val="-5"/>
          <w:sz w:val="24"/>
          <w:szCs w:val="24"/>
          <w:lang w:val="en-US" w:eastAsia="zh-CN"/>
        </w:rPr>
        <w:t>三年（合同一年一签）</w:t>
      </w:r>
    </w:p>
    <w:p w14:paraId="2AE4D43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14:paraId="21B426E4">
      <w:pPr>
        <w:pStyle w:val="2"/>
        <w:keepNext w:val="0"/>
        <w:keepLines w:val="0"/>
        <w:pageBreakBefore w:val="0"/>
        <w:widowControl/>
        <w:kinsoku/>
        <w:wordWrap w:val="0"/>
        <w:overflowPunct/>
        <w:topLinePunct w:val="0"/>
        <w:bidi w:val="0"/>
        <w:spacing w:line="360" w:lineRule="auto"/>
        <w:jc w:val="both"/>
        <w:outlineLvl w:val="1"/>
        <w:rPr>
          <w:spacing w:val="-1"/>
          <w:sz w:val="24"/>
          <w:szCs w:val="24"/>
          <w14:textOutline w14:w="1537" w14:cap="flat" w14:cmpd="sng">
            <w14:solidFill>
              <w14:srgbClr w14:val="000000"/>
            </w14:solidFill>
            <w14:prstDash w14:val="solid"/>
            <w14:miter w14:val="0"/>
          </w14:textOutline>
        </w:rPr>
      </w:pPr>
    </w:p>
    <w:p w14:paraId="7AF32EEC">
      <w:pPr>
        <w:pStyle w:val="2"/>
        <w:keepNext w:val="0"/>
        <w:keepLines w:val="0"/>
        <w:pageBreakBefore w:val="0"/>
        <w:widowControl/>
        <w:kinsoku/>
        <w:wordWrap w:val="0"/>
        <w:overflowPunct/>
        <w:topLinePunct w:val="0"/>
        <w:bidi w:val="0"/>
        <w:spacing w:line="360" w:lineRule="auto"/>
        <w:jc w:val="both"/>
        <w:outlineLvl w:val="1"/>
        <w:rPr>
          <w:sz w:val="24"/>
          <w:szCs w:val="24"/>
        </w:rPr>
      </w:pPr>
      <w:r>
        <w:rPr>
          <w:spacing w:val="-1"/>
          <w:sz w:val="24"/>
          <w:szCs w:val="24"/>
          <w14:textOutline w14:w="1537" w14:cap="flat" w14:cmpd="sng">
            <w14:solidFill>
              <w14:srgbClr w14:val="000000"/>
            </w14:solidFill>
            <w14:prstDash w14:val="solid"/>
            <w14:miter w14:val="0"/>
          </w14:textOutline>
        </w:rPr>
        <w:t>二、申请人的资格要求（须同时满足）</w:t>
      </w:r>
    </w:p>
    <w:p w14:paraId="03322E8F">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173A5FF0">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43BEC7CA">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6591DACF">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02EA3434">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7A122212">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1559C403">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31E46D65">
      <w:pPr>
        <w:keepNext w:val="0"/>
        <w:keepLines w:val="0"/>
        <w:pageBreakBefore w:val="0"/>
        <w:kinsoku/>
        <w:wordWrap w:val="0"/>
        <w:overflowPunct/>
        <w:topLinePunct w:val="0"/>
        <w:autoSpaceDE/>
        <w:autoSpaceDN/>
        <w:bidi w:val="0"/>
        <w:adjustRightInd/>
        <w:snapToGrid/>
        <w:spacing w:line="360" w:lineRule="auto"/>
        <w:ind w:firstLine="426" w:firstLineChars="200"/>
        <w:jc w:val="both"/>
        <w:textAlignment w:val="auto"/>
        <w:rPr>
          <w:rFonts w:hint="eastAsia" w:asciiTheme="minorEastAsia" w:hAnsiTheme="minorEastAsia" w:eastAsiaTheme="minorEastAsia" w:cstheme="minorEastAsia"/>
          <w:b/>
          <w:bCs/>
          <w:snapToGrid w:val="0"/>
          <w:color w:val="auto"/>
          <w:spacing w:val="-14"/>
          <w:kern w:val="0"/>
          <w:sz w:val="24"/>
          <w:szCs w:val="24"/>
          <w:lang w:val="en-US" w:eastAsia="zh-CN" w:bidi="ar-SA"/>
        </w:rPr>
      </w:pPr>
      <w:r>
        <w:rPr>
          <w:rFonts w:hint="eastAsia" w:asciiTheme="minorEastAsia" w:hAnsiTheme="minorEastAsia" w:eastAsiaTheme="minorEastAsia" w:cstheme="minorEastAsia"/>
          <w:b/>
          <w:bCs/>
          <w:snapToGrid w:val="0"/>
          <w:color w:val="auto"/>
          <w:spacing w:val="-14"/>
          <w:kern w:val="0"/>
          <w:sz w:val="24"/>
          <w:szCs w:val="24"/>
          <w:lang w:val="en-US" w:eastAsia="zh-CN" w:bidi="ar-SA"/>
        </w:rPr>
        <w:t>8.本项目专门面向中小企业采购，投标人须提交服务机构出具的中小企业声明函。</w:t>
      </w:r>
    </w:p>
    <w:p w14:paraId="04221820">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71FE2B2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color w:val="auto"/>
          <w:spacing w:val="-1"/>
          <w:sz w:val="24"/>
          <w:szCs w:val="24"/>
          <w14:textOutline w14:w="1537" w14:cap="flat" w14:cmpd="sng">
            <w14:solidFill>
              <w14:srgbClr w14:val="000000"/>
            </w14:solidFill>
            <w14:prstDash w14:val="solid"/>
            <w14:miter w14:val="0"/>
          </w14:textOutline>
        </w:rPr>
        <w:t>落实政府采购政策需满足的资格要求：</w:t>
      </w:r>
    </w:p>
    <w:p w14:paraId="0C07E208">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val="en-US" w:eastAsia="zh-CN"/>
        </w:rPr>
        <w:t>1.</w:t>
      </w:r>
      <w:r>
        <w:rPr>
          <w:rFonts w:hint="eastAsia" w:asciiTheme="minorEastAsia" w:hAnsiTheme="minorEastAsia" w:eastAsiaTheme="minorEastAsia" w:cstheme="minorEastAsia"/>
          <w:color w:val="auto"/>
          <w:spacing w:val="1"/>
          <w:sz w:val="24"/>
          <w:szCs w:val="24"/>
        </w:rPr>
        <w:t>中小企业政策</w:t>
      </w:r>
    </w:p>
    <w:p w14:paraId="02EB330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color w:val="FF0000"/>
          <w:spacing w:val="-2"/>
          <w:position w:val="17"/>
          <w:sz w:val="24"/>
          <w:szCs w:val="24"/>
        </w:rPr>
      </w:pPr>
      <w:r>
        <w:rPr>
          <w:rFonts w:hint="eastAsia" w:asciiTheme="minorEastAsia" w:hAnsiTheme="minorEastAsia" w:eastAsiaTheme="minorEastAsia" w:cstheme="minorEastAsia"/>
          <w:color w:val="auto"/>
          <w:spacing w:val="12"/>
          <w:position w:val="17"/>
          <w:sz w:val="24"/>
          <w:szCs w:val="24"/>
          <w:lang w:eastAsia="zh-CN"/>
        </w:rPr>
        <w:t>☑</w:t>
      </w:r>
      <w:r>
        <w:rPr>
          <w:rFonts w:hint="eastAsia" w:asciiTheme="minorEastAsia" w:hAnsiTheme="minorEastAsia" w:eastAsiaTheme="minorEastAsia" w:cstheme="minorEastAsia"/>
          <w:color w:val="auto"/>
          <w:spacing w:val="12"/>
          <w:position w:val="17"/>
          <w:sz w:val="24"/>
          <w:szCs w:val="24"/>
        </w:rPr>
        <w:t>本项目专门面向中小企业采购。</w:t>
      </w:r>
      <w:r>
        <w:rPr>
          <w:rFonts w:hint="eastAsia" w:asciiTheme="minorEastAsia" w:hAnsiTheme="minorEastAsia" w:eastAsiaTheme="minorEastAsia" w:cstheme="minorEastAsia"/>
          <w:color w:val="auto"/>
          <w:spacing w:val="-2"/>
          <w:position w:val="17"/>
          <w:sz w:val="24"/>
          <w:szCs w:val="24"/>
        </w:rPr>
        <w:t>即：</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供的货物全部由符合政策要求的中小</w:t>
      </w:r>
      <w:r>
        <w:rPr>
          <w:rFonts w:hint="eastAsia" w:asciiTheme="minorEastAsia" w:hAnsiTheme="minorEastAsia" w:eastAsiaTheme="minorEastAsia" w:cstheme="minorEastAsia"/>
          <w:color w:val="auto"/>
          <w:spacing w:val="1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企业制造、服务全部由符合政策要求的中小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w:t>
      </w:r>
    </w:p>
    <w:p w14:paraId="72382F1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color w:val="FF0000"/>
          <w:spacing w:val="-2"/>
          <w:position w:val="17"/>
          <w:sz w:val="24"/>
          <w:szCs w:val="24"/>
        </w:rPr>
      </w:pPr>
      <w:r>
        <w:rPr>
          <w:rFonts w:hint="eastAsia" w:asciiTheme="minorEastAsia" w:hAnsiTheme="minorEastAsia" w:eastAsiaTheme="minorEastAsia" w:cstheme="minorEastAsia"/>
          <w:color w:val="auto"/>
          <w:spacing w:val="-2"/>
          <w:position w:val="17"/>
          <w:sz w:val="24"/>
          <w:szCs w:val="24"/>
          <w:lang w:val="en-US" w:eastAsia="zh-CN"/>
        </w:rPr>
        <w:t>2.</w:t>
      </w:r>
      <w:r>
        <w:rPr>
          <w:rFonts w:hint="eastAsia" w:asciiTheme="minorEastAsia" w:hAnsiTheme="minorEastAsia" w:eastAsiaTheme="minorEastAsia" w:cstheme="minorEastAsia"/>
          <w:color w:val="auto"/>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21279E8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20CBB9D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14:paraId="197CB82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□否□接受进口产品□</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14:paraId="289D94BA">
      <w:pPr>
        <w:keepNext w:val="0"/>
        <w:keepLines w:val="0"/>
        <w:pageBreakBefore w:val="0"/>
        <w:kinsoku/>
        <w:wordWrap w:val="0"/>
        <w:overflowPunct/>
        <w:topLinePunct w:val="0"/>
        <w:bidi w:val="0"/>
        <w:spacing w:line="259" w:lineRule="auto"/>
        <w:ind w:firstLine="472" w:firstLineChars="200"/>
        <w:jc w:val="both"/>
        <w:rPr>
          <w:rFonts w:ascii="Arial"/>
          <w:sz w:val="21"/>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341A703F">
      <w:pPr>
        <w:keepNext w:val="0"/>
        <w:keepLines w:val="0"/>
        <w:pageBreakBefore w:val="0"/>
        <w:kinsoku/>
        <w:wordWrap w:val="0"/>
        <w:overflowPunct/>
        <w:topLinePunct w:val="0"/>
        <w:bidi w:val="0"/>
        <w:spacing w:line="259" w:lineRule="auto"/>
        <w:jc w:val="both"/>
        <w:rPr>
          <w:rFonts w:ascii="Arial"/>
          <w:sz w:val="21"/>
        </w:rPr>
      </w:pPr>
    </w:p>
    <w:p w14:paraId="60A1200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spacing w:val="-1"/>
          <w:sz w:val="24"/>
          <w:szCs w:val="24"/>
          <w:lang w:val="en-US" w:eastAsia="zh-CN"/>
          <w14:textOutline w14:w="1537" w14:cap="flat" w14:cmpd="sng">
            <w14:solidFill>
              <w14:srgbClr w14:val="000000"/>
            </w14:solidFill>
            <w14:prstDash w14:val="solid"/>
            <w14:miter w14:val="0"/>
          </w14:textOutline>
        </w:rPr>
      </w:pPr>
    </w:p>
    <w:p w14:paraId="51BA6EE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四</w:t>
      </w:r>
      <w:r>
        <w:rPr>
          <w:spacing w:val="-1"/>
          <w:sz w:val="24"/>
          <w:szCs w:val="24"/>
          <w14:textOutline w14:w="1537" w14:cap="flat" w14:cmpd="sng">
            <w14:solidFill>
              <w14:srgbClr w14:val="000000"/>
            </w14:solidFill>
            <w14:prstDash w14:val="solid"/>
            <w14:miter w14:val="0"/>
          </w14:textOutline>
        </w:rPr>
        <w:t>、获取采购文件</w:t>
      </w:r>
    </w:p>
    <w:p w14:paraId="42B474C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highlight w:val="none"/>
          <w:u w:val="single"/>
          <w:lang w:val="en-US" w:eastAsia="zh-CN"/>
        </w:rPr>
        <w:t xml:space="preserve"> 2025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11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26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2025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12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2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4"/>
          <w:sz w:val="24"/>
          <w:szCs w:val="24"/>
          <w:highlight w:val="none"/>
        </w:rPr>
        <w:t>每天上午</w:t>
      </w:r>
      <w:r>
        <w:rPr>
          <w:rFonts w:hint="eastAsia" w:asciiTheme="minorEastAsia" w:hAnsiTheme="minorEastAsia" w:eastAsiaTheme="minorEastAsia" w:cstheme="minorEastAsia"/>
          <w:spacing w:val="-13"/>
          <w:sz w:val="24"/>
          <w:szCs w:val="24"/>
          <w:highlight w:val="none"/>
          <w:u w:val="single"/>
          <w:lang w:val="en-US" w:eastAsia="zh-CN"/>
        </w:rPr>
        <w:t xml:space="preserve"> 0:00 </w:t>
      </w:r>
      <w:r>
        <w:rPr>
          <w:rFonts w:hint="eastAsia" w:asciiTheme="minorEastAsia" w:hAnsiTheme="minorEastAsia" w:eastAsiaTheme="minorEastAsia" w:cstheme="minorEastAsia"/>
          <w:spacing w:val="-14"/>
          <w:sz w:val="24"/>
          <w:szCs w:val="24"/>
          <w:highlight w:val="none"/>
        </w:rPr>
        <w:t>至</w:t>
      </w:r>
      <w:r>
        <w:rPr>
          <w:rFonts w:hint="eastAsia" w:asciiTheme="minorEastAsia" w:hAnsiTheme="minorEastAsia" w:eastAsiaTheme="minorEastAsia" w:cstheme="minorEastAsia"/>
          <w:spacing w:val="-13"/>
          <w:sz w:val="24"/>
          <w:szCs w:val="24"/>
          <w:highlight w:val="none"/>
          <w:u w:val="single"/>
          <w:lang w:val="en-US" w:eastAsia="zh-CN"/>
        </w:rPr>
        <w:t xml:space="preserve"> 12:00 </w:t>
      </w:r>
      <w:r>
        <w:rPr>
          <w:rFonts w:hint="eastAsia" w:asciiTheme="minorEastAsia" w:hAnsiTheme="minorEastAsia" w:eastAsiaTheme="minorEastAsia" w:cstheme="minorEastAsia"/>
          <w:spacing w:val="-14"/>
          <w:sz w:val="24"/>
          <w:szCs w:val="24"/>
          <w:highlight w:val="none"/>
        </w:rPr>
        <w:t>，下午</w:t>
      </w:r>
      <w:r>
        <w:rPr>
          <w:rFonts w:hint="eastAsia" w:asciiTheme="minorEastAsia" w:hAnsiTheme="minorEastAsia" w:eastAsiaTheme="minorEastAsia" w:cstheme="minorEastAsia"/>
          <w:spacing w:val="-13"/>
          <w:sz w:val="24"/>
          <w:szCs w:val="24"/>
          <w:highlight w:val="none"/>
          <w:u w:val="single"/>
          <w:lang w:val="en-US" w:eastAsia="zh-CN"/>
        </w:rPr>
        <w:t xml:space="preserve"> 12:00 </w:t>
      </w:r>
      <w:r>
        <w:rPr>
          <w:rFonts w:hint="eastAsia" w:asciiTheme="minorEastAsia" w:hAnsiTheme="minorEastAsia" w:eastAsiaTheme="minorEastAsia" w:cstheme="minorEastAsia"/>
          <w:spacing w:val="-14"/>
          <w:sz w:val="24"/>
          <w:szCs w:val="24"/>
          <w:highlight w:val="none"/>
        </w:rPr>
        <w:t>至</w:t>
      </w:r>
      <w:r>
        <w:rPr>
          <w:rFonts w:hint="eastAsia" w:asciiTheme="minorEastAsia" w:hAnsiTheme="minorEastAsia" w:eastAsiaTheme="minorEastAsia" w:cstheme="minorEastAsia"/>
          <w:spacing w:val="-13"/>
          <w:sz w:val="24"/>
          <w:szCs w:val="24"/>
          <w:highlight w:val="none"/>
          <w:u w:val="single"/>
          <w:lang w:val="en-US" w:eastAsia="zh-CN"/>
        </w:rPr>
        <w:t xml:space="preserve"> 23:59 </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14:paraId="7AF6218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w:t>
      </w:r>
      <w:r>
        <w:rPr>
          <w:rFonts w:hint="eastAsia" w:asciiTheme="minorEastAsia" w:hAnsiTheme="minorEastAsia" w:eastAsiaTheme="minorEastAsia" w:cstheme="minorEastAsia"/>
          <w:sz w:val="24"/>
          <w:szCs w:val="24"/>
          <w:lang w:eastAsia="zh-CN"/>
        </w:rPr>
        <w:t>全国公共资源交易平台（河南省·南阳市）</w:t>
      </w:r>
      <w:r>
        <w:rPr>
          <w:rFonts w:hint="eastAsia" w:asciiTheme="minorEastAsia" w:hAnsiTheme="minorEastAsia" w:eastAsiaTheme="minorEastAsia" w:cstheme="minorEastAsia"/>
          <w:sz w:val="24"/>
          <w:szCs w:val="24"/>
        </w:rPr>
        <w:t>https://ggzyjy.nanyang.gov.cn</w:t>
      </w:r>
    </w:p>
    <w:p w14:paraId="2B4ECB01">
      <w:pPr>
        <w:keepNext w:val="0"/>
        <w:keepLines w:val="0"/>
        <w:pageBreakBefore w:val="0"/>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登录全国公共资源交易平台（河南省·南阳市）（https://ggzyjy.nanyang.gov.cn），注册后凭办理的企业身份认证锁（CA数字证书）登录会员系统按网上提示下载招标文件(*.nyzf格式)及资料（操作程序详见全国公共资源交易平台（河南省·南阳市）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，电子交易系统技术支持电话：0512-58188538，</w:t>
      </w:r>
      <w:r>
        <w:rPr>
          <w:rFonts w:hint="eastAsia" w:asciiTheme="minorEastAsia" w:hAnsiTheme="minorEastAsia" w:eastAsiaTheme="minorEastAsia" w:cstheme="minorEastAsia"/>
          <w:spacing w:val="-4"/>
          <w:sz w:val="24"/>
          <w:szCs w:val="24"/>
          <w:lang w:eastAsia="zh-CN"/>
        </w:rPr>
        <w:t>CA数字证书技术支持电话：15672779650。</w:t>
      </w:r>
    </w:p>
    <w:p w14:paraId="3406530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14:paraId="31A5AF8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7B544C78">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五、响应文件的制作及上传</w:t>
      </w:r>
    </w:p>
    <w:p w14:paraId="3F8E42F4">
      <w:pPr>
        <w:keepNext w:val="0"/>
        <w:keepLines w:val="0"/>
        <w:pageBreakBefore w:val="0"/>
        <w:shd w:val="clear" w:color="auto" w:fill="FFFFFF"/>
        <w:kinsoku/>
        <w:wordWrap w:val="0"/>
        <w:overflowPunct/>
        <w:topLinePunct w:val="0"/>
        <w:bidi w:val="0"/>
        <w:spacing w:line="360" w:lineRule="auto"/>
        <w:ind w:firstLine="600"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文件需要使用投标文件制作工具制作，制作工具及操作手册可在全国公共资源交易平台（河南省·南阳市）“下载专区”中下载。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文件应在</w:t>
      </w:r>
      <w:r>
        <w:rPr>
          <w:rFonts w:hint="eastAsia" w:asciiTheme="minorEastAsia" w:hAnsiTheme="minorEastAsia" w:eastAsiaTheme="minorEastAsia" w:cstheme="minorEastAsia"/>
          <w:spacing w:val="-4"/>
          <w:sz w:val="24"/>
          <w:szCs w:val="24"/>
          <w:lang w:val="en-US" w:eastAsia="zh-CN"/>
        </w:rPr>
        <w:t>竞争性磋商</w:t>
      </w:r>
      <w:r>
        <w:rPr>
          <w:rFonts w:hint="eastAsia" w:asciiTheme="minorEastAsia" w:hAnsiTheme="minorEastAsia" w:eastAsiaTheme="minorEastAsia" w:cstheme="minorEastAsia"/>
          <w:spacing w:val="-4"/>
          <w:sz w:val="24"/>
          <w:szCs w:val="24"/>
          <w:lang w:eastAsia="zh-CN"/>
        </w:rPr>
        <w:t>文件规定的</w:t>
      </w:r>
      <w:r>
        <w:rPr>
          <w:rFonts w:hint="eastAsia" w:asciiTheme="minorEastAsia" w:hAnsiTheme="minorEastAsia" w:eastAsiaTheme="minorEastAsia" w:cstheme="minorEastAsia"/>
          <w:spacing w:val="-4"/>
          <w:sz w:val="24"/>
          <w:szCs w:val="24"/>
          <w:lang w:val="en-US" w:eastAsia="zh-CN"/>
        </w:rPr>
        <w:t>上传</w:t>
      </w:r>
      <w:r>
        <w:rPr>
          <w:rFonts w:hint="eastAsia" w:asciiTheme="minorEastAsia" w:hAnsiTheme="minorEastAsia" w:eastAsiaTheme="minorEastAsia" w:cstheme="minorEastAsia"/>
          <w:spacing w:val="-4"/>
          <w:sz w:val="24"/>
          <w:szCs w:val="24"/>
          <w:lang w:eastAsia="zh-CN"/>
        </w:rPr>
        <w:t>截止时间前到达交易系统。逾期到达交易系统的电子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文件视为放弃本次</w:t>
      </w:r>
      <w:r>
        <w:rPr>
          <w:rFonts w:hint="eastAsia" w:asciiTheme="minorEastAsia" w:hAnsiTheme="minorEastAsia" w:eastAsiaTheme="minorEastAsia" w:cstheme="minorEastAsia"/>
          <w:spacing w:val="-4"/>
          <w:sz w:val="24"/>
          <w:szCs w:val="24"/>
          <w:lang w:val="en-US" w:eastAsia="zh-CN"/>
        </w:rPr>
        <w:t>磋商</w:t>
      </w:r>
      <w:r>
        <w:rPr>
          <w:rFonts w:hint="eastAsia" w:asciiTheme="minorEastAsia" w:hAnsiTheme="minorEastAsia" w:eastAsiaTheme="minorEastAsia" w:cstheme="minorEastAsia"/>
          <w:spacing w:val="-4"/>
          <w:sz w:val="24"/>
          <w:szCs w:val="24"/>
          <w:lang w:eastAsia="zh-CN"/>
        </w:rPr>
        <w:t>。</w:t>
      </w:r>
    </w:p>
    <w:p w14:paraId="5338FC57">
      <w:pPr>
        <w:keepNext w:val="0"/>
        <w:keepLines w:val="0"/>
        <w:pageBreakBefore w:val="0"/>
        <w:shd w:val="clear" w:color="auto" w:fill="FFFFFF"/>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pacing w:val="-4"/>
          <w:sz w:val="24"/>
          <w:szCs w:val="24"/>
          <w:lang w:eastAsia="zh-CN"/>
        </w:rPr>
        <w:t>本项目采用全流程电子化，供应商应在电子响应文件上传截止时间前登录不见面开标大厅，所有准备工作需要自行到位。</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过程中如遇到紧急事项，可在不见面开标大厅中进行提出异议或文字交流，严重问题可拨打技术支持电话0377-61176137。</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w:t>
      </w:r>
      <w:r>
        <w:rPr>
          <w:rFonts w:hint="eastAsia" w:asciiTheme="minorEastAsia" w:hAnsiTheme="minorEastAsia" w:eastAsiaTheme="minorEastAsia" w:cstheme="minorEastAsia"/>
          <w:spacing w:val="-4"/>
          <w:sz w:val="24"/>
          <w:szCs w:val="24"/>
          <w:lang w:eastAsia="zh-CN"/>
        </w:rPr>
        <w:t>造成无法及时解密的，视为该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文件”。电子交易系统技术支持电话：0512-58188538</w:t>
      </w:r>
      <w:r>
        <w:rPr>
          <w:rFonts w:hint="eastAsia" w:asciiTheme="minorEastAsia" w:hAnsiTheme="minorEastAsia" w:eastAsiaTheme="minorEastAsia" w:cstheme="minorEastAsia"/>
          <w:spacing w:val="-4"/>
          <w:sz w:val="24"/>
          <w:szCs w:val="24"/>
          <w:lang w:val="en-US" w:eastAsia="zh-CN"/>
        </w:rPr>
        <w:t>。</w:t>
      </w:r>
    </w:p>
    <w:p w14:paraId="02E08383">
      <w:pPr>
        <w:pStyle w:val="2"/>
        <w:keepNext w:val="0"/>
        <w:keepLines w:val="0"/>
        <w:pageBreakBefore w:val="0"/>
        <w:kinsoku/>
        <w:wordWrap w:val="0"/>
        <w:overflowPunct/>
        <w:topLinePunct w:val="0"/>
        <w:bidi w:val="0"/>
        <w:spacing w:before="79" w:line="222" w:lineRule="auto"/>
        <w:ind w:left="15"/>
        <w:jc w:val="both"/>
        <w:outlineLvl w:val="1"/>
        <w:rPr>
          <w:rFonts w:hint="eastAsia"/>
          <w:spacing w:val="-3"/>
          <w:sz w:val="24"/>
          <w:szCs w:val="24"/>
          <w:lang w:val="en-US" w:eastAsia="zh-CN"/>
          <w14:textOutline w14:w="1537" w14:cap="flat" w14:cmpd="sng">
            <w14:solidFill>
              <w14:srgbClr w14:val="000000"/>
            </w14:solidFill>
            <w14:prstDash w14:val="solid"/>
            <w14:miter w14:val="0"/>
          </w14:textOutline>
        </w:rPr>
      </w:pPr>
    </w:p>
    <w:p w14:paraId="3ACEACEA">
      <w:pPr>
        <w:pStyle w:val="2"/>
        <w:keepNext w:val="0"/>
        <w:keepLines w:val="0"/>
        <w:pageBreakBefore w:val="0"/>
        <w:kinsoku/>
        <w:wordWrap w:val="0"/>
        <w:overflowPunct/>
        <w:topLinePunct w:val="0"/>
        <w:bidi w:val="0"/>
        <w:spacing w:before="79" w:line="222" w:lineRule="auto"/>
        <w:ind w:left="15"/>
        <w:jc w:val="both"/>
        <w:outlineLvl w:val="1"/>
        <w:rPr>
          <w:rFonts w:hint="default" w:eastAsia="宋体"/>
          <w:sz w:val="24"/>
          <w:szCs w:val="24"/>
          <w:lang w:val="en-US" w:eastAsia="zh-CN"/>
        </w:rPr>
      </w:pPr>
      <w:r>
        <w:rPr>
          <w:rFonts w:hint="eastAsia"/>
          <w:spacing w:val="-3"/>
          <w:sz w:val="24"/>
          <w:szCs w:val="24"/>
          <w:lang w:val="en-US" w:eastAsia="zh-CN"/>
          <w14:textOutline w14:w="1537" w14:cap="flat" w14:cmpd="sng">
            <w14:solidFill>
              <w14:srgbClr w14:val="000000"/>
            </w14:solidFill>
            <w14:prstDash w14:val="solid"/>
            <w14:miter w14:val="0"/>
          </w14:textOutline>
        </w:rPr>
        <w:t>六</w:t>
      </w:r>
      <w:r>
        <w:rPr>
          <w:spacing w:val="-3"/>
          <w:sz w:val="24"/>
          <w:szCs w:val="24"/>
          <w14:textOutline w14:w="1537" w14:cap="flat" w14:cmpd="sng">
            <w14:solidFill>
              <w14:srgbClr w14:val="000000"/>
            </w14:solidFill>
            <w14:prstDash w14:val="solid"/>
            <w14:miter w14:val="0"/>
          </w14:textOutline>
        </w:rPr>
        <w:t>、</w:t>
      </w:r>
      <w:r>
        <w:rPr>
          <w:rFonts w:hint="eastAsia"/>
          <w:spacing w:val="-3"/>
          <w:sz w:val="24"/>
          <w:szCs w:val="24"/>
          <w:lang w:val="en-US" w:eastAsia="zh-CN"/>
          <w14:textOutline w14:w="1537" w14:cap="flat" w14:cmpd="sng">
            <w14:solidFill>
              <w14:srgbClr w14:val="000000"/>
            </w14:solidFill>
            <w14:prstDash w14:val="solid"/>
            <w14:miter w14:val="0"/>
          </w14:textOutline>
        </w:rPr>
        <w:t>上传截止时间、</w:t>
      </w:r>
      <w:r>
        <w:rPr>
          <w:spacing w:val="-3"/>
          <w:sz w:val="24"/>
          <w:szCs w:val="24"/>
          <w14:textOutline w14:w="1537" w14:cap="flat" w14:cmpd="sng">
            <w14:solidFill>
              <w14:srgbClr w14:val="000000"/>
            </w14:solidFill>
            <w14:prstDash w14:val="solid"/>
            <w14:miter w14:val="0"/>
          </w14:textOutline>
        </w:rPr>
        <w:t>开启</w:t>
      </w:r>
      <w:r>
        <w:rPr>
          <w:rFonts w:hint="eastAsia"/>
          <w:spacing w:val="-3"/>
          <w:sz w:val="24"/>
          <w:szCs w:val="24"/>
          <w:lang w:val="en-US" w:eastAsia="zh-CN"/>
          <w14:textOutline w14:w="1537" w14:cap="flat" w14:cmpd="sng">
            <w14:solidFill>
              <w14:srgbClr w14:val="000000"/>
            </w14:solidFill>
            <w14:prstDash w14:val="solid"/>
            <w14:miter w14:val="0"/>
          </w14:textOutline>
        </w:rPr>
        <w:t>响应文件时间和地点</w:t>
      </w:r>
    </w:p>
    <w:p w14:paraId="726404A7">
      <w:pPr>
        <w:pStyle w:val="2"/>
        <w:keepNext w:val="0"/>
        <w:keepLines w:val="0"/>
        <w:pageBreakBefore w:val="0"/>
        <w:kinsoku/>
        <w:wordWrap w:val="0"/>
        <w:overflowPunct/>
        <w:topLinePunct w:val="0"/>
        <w:bidi w:val="0"/>
        <w:spacing w:before="181" w:line="220" w:lineRule="auto"/>
        <w:jc w:val="both"/>
        <w:rPr>
          <w:sz w:val="24"/>
          <w:szCs w:val="24"/>
        </w:rPr>
      </w:pPr>
      <w:r>
        <w:rPr>
          <w:spacing w:val="-25"/>
          <w:sz w:val="24"/>
          <w:szCs w:val="24"/>
        </w:rPr>
        <w:t>时间：</w:t>
      </w:r>
      <w:r>
        <w:rPr>
          <w:rFonts w:hint="eastAsia" w:asciiTheme="minorEastAsia" w:hAnsiTheme="minorEastAsia" w:eastAsiaTheme="minorEastAsia" w:cstheme="minorEastAsia"/>
          <w:spacing w:val="-14"/>
          <w:sz w:val="24"/>
          <w:szCs w:val="24"/>
          <w:highlight w:val="none"/>
          <w:u w:val="single"/>
          <w:lang w:val="en-US" w:eastAsia="zh-CN"/>
        </w:rPr>
        <w:t xml:space="preserve"> 2025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年</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12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月</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日</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点</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00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分</w:t>
      </w:r>
      <w:r>
        <w:rPr>
          <w:spacing w:val="-25"/>
          <w:sz w:val="24"/>
          <w:szCs w:val="24"/>
        </w:rPr>
        <w:t>（北京时间）。</w:t>
      </w:r>
    </w:p>
    <w:p w14:paraId="5CB54715">
      <w:pPr>
        <w:pStyle w:val="2"/>
        <w:keepNext w:val="0"/>
        <w:keepLines w:val="0"/>
        <w:pageBreakBefore w:val="0"/>
        <w:kinsoku/>
        <w:wordWrap w:val="0"/>
        <w:overflowPunct/>
        <w:topLinePunct w:val="0"/>
        <w:bidi w:val="0"/>
        <w:spacing w:before="180" w:line="189" w:lineRule="auto"/>
        <w:jc w:val="both"/>
        <w:rPr>
          <w:rFonts w:hint="eastAsia" w:ascii="Arial" w:hAnsi="Arial" w:eastAsia="宋体" w:cs="Arial"/>
          <w:sz w:val="24"/>
          <w:szCs w:val="24"/>
          <w:lang w:eastAsia="zh-CN"/>
        </w:rPr>
      </w:pPr>
      <w:r>
        <w:rPr>
          <w:rFonts w:hint="eastAsia" w:ascii="Arial" w:hAnsi="Arial" w:eastAsia="宋体" w:cs="Arial"/>
          <w:position w:val="5"/>
          <w:sz w:val="24"/>
          <w:szCs w:val="24"/>
          <w:lang w:val="en-US" w:eastAsia="zh-CN"/>
        </w:rPr>
        <w:t>地点：</w:t>
      </w:r>
      <w:r>
        <w:rPr>
          <w:rFonts w:hint="eastAsia" w:asciiTheme="minorEastAsia" w:hAnsiTheme="minorEastAsia" w:eastAsiaTheme="minorEastAsia" w:cstheme="minorEastAsia"/>
          <w:position w:val="5"/>
          <w:sz w:val="24"/>
          <w:szCs w:val="24"/>
        </w:rPr>
        <w:t>不见面开标大厅（https://ggzyjy.nanyang.gov.cn/BidOpening/bidopeninghallaction/hall/login）</w:t>
      </w:r>
      <w:r>
        <w:rPr>
          <w:rFonts w:hint="eastAsia" w:ascii="Arial" w:hAnsi="Arial" w:cs="Arial"/>
          <w:position w:val="5"/>
          <w:sz w:val="24"/>
          <w:szCs w:val="24"/>
          <w:lang w:eastAsia="zh-CN"/>
        </w:rPr>
        <w:t>。</w:t>
      </w:r>
    </w:p>
    <w:p w14:paraId="14F3D842">
      <w:pPr>
        <w:keepNext w:val="0"/>
        <w:keepLines w:val="0"/>
        <w:pageBreakBefore w:val="0"/>
        <w:kinsoku/>
        <w:wordWrap w:val="0"/>
        <w:overflowPunct/>
        <w:topLinePunct w:val="0"/>
        <w:bidi w:val="0"/>
        <w:spacing w:line="269" w:lineRule="auto"/>
        <w:jc w:val="both"/>
        <w:rPr>
          <w:rFonts w:ascii="Arial"/>
          <w:sz w:val="21"/>
        </w:rPr>
      </w:pPr>
    </w:p>
    <w:p w14:paraId="3D2DB298">
      <w:pPr>
        <w:keepNext w:val="0"/>
        <w:keepLines w:val="0"/>
        <w:pageBreakBefore w:val="0"/>
        <w:kinsoku/>
        <w:wordWrap w:val="0"/>
        <w:overflowPunct/>
        <w:topLinePunct w:val="0"/>
        <w:bidi w:val="0"/>
        <w:spacing w:line="269" w:lineRule="auto"/>
        <w:jc w:val="both"/>
        <w:rPr>
          <w:rFonts w:ascii="Arial"/>
          <w:sz w:val="21"/>
        </w:rPr>
      </w:pPr>
    </w:p>
    <w:p w14:paraId="4E5E71A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2"/>
          <w:sz w:val="24"/>
          <w:szCs w:val="24"/>
          <w:lang w:val="en-US" w:eastAsia="zh-CN"/>
          <w14:textOutline w14:w="1537" w14:cap="flat" w14:cmpd="sng">
            <w14:solidFill>
              <w14:srgbClr w14:val="000000"/>
            </w14:solidFill>
            <w14:prstDash w14:val="solid"/>
            <w14:miter w14:val="0"/>
          </w14:textOutline>
        </w:rPr>
        <w:t>七</w:t>
      </w:r>
      <w:r>
        <w:rPr>
          <w:spacing w:val="-2"/>
          <w:sz w:val="24"/>
          <w:szCs w:val="24"/>
          <w14:textOutline w14:w="1537" w14:cap="flat" w14:cmpd="sng">
            <w14:solidFill>
              <w14:srgbClr w14:val="000000"/>
            </w14:solidFill>
            <w14:prstDash w14:val="solid"/>
            <w14:miter w14:val="0"/>
          </w14:textOutline>
        </w:rPr>
        <w:t>、公告期限</w:t>
      </w:r>
    </w:p>
    <w:p w14:paraId="6B51204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highlight w:val="none"/>
          <w:u w:val="single"/>
          <w:lang w:val="en-US" w:eastAsia="zh-CN"/>
        </w:rPr>
        <w:t xml:space="preserve"> 2025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11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26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2025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11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28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3"/>
          <w:sz w:val="24"/>
          <w:szCs w:val="24"/>
          <w:lang w:eastAsia="zh-CN"/>
        </w:rPr>
        <w:t>。</w:t>
      </w:r>
    </w:p>
    <w:p w14:paraId="7DDFB747">
      <w:pPr>
        <w:keepNext w:val="0"/>
        <w:keepLines w:val="0"/>
        <w:pageBreakBefore w:val="0"/>
        <w:kinsoku/>
        <w:wordWrap w:val="0"/>
        <w:overflowPunct/>
        <w:topLinePunct w:val="0"/>
        <w:bidi w:val="0"/>
        <w:spacing w:line="259" w:lineRule="auto"/>
        <w:jc w:val="both"/>
        <w:rPr>
          <w:rFonts w:ascii="Arial"/>
          <w:sz w:val="21"/>
        </w:rPr>
      </w:pPr>
    </w:p>
    <w:p w14:paraId="7F109EAC">
      <w:pPr>
        <w:keepNext w:val="0"/>
        <w:keepLines w:val="0"/>
        <w:pageBreakBefore w:val="0"/>
        <w:kinsoku/>
        <w:wordWrap w:val="0"/>
        <w:overflowPunct/>
        <w:topLinePunct w:val="0"/>
        <w:bidi w:val="0"/>
        <w:spacing w:line="260" w:lineRule="auto"/>
        <w:jc w:val="both"/>
        <w:rPr>
          <w:rFonts w:ascii="Arial"/>
          <w:sz w:val="21"/>
        </w:rPr>
      </w:pPr>
    </w:p>
    <w:p w14:paraId="3991422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八</w:t>
      </w:r>
      <w:r>
        <w:rPr>
          <w:spacing w:val="-1"/>
          <w:sz w:val="24"/>
          <w:szCs w:val="24"/>
          <w14:textOutline w14:w="1537" w14:cap="flat" w14:cmpd="sng">
            <w14:solidFill>
              <w14:srgbClr w14:val="000000"/>
            </w14:solidFill>
            <w14:prstDash w14:val="solid"/>
            <w14:miter w14:val="0"/>
          </w14:textOutline>
        </w:rPr>
        <w:t>、其他补充事宜</w:t>
      </w:r>
    </w:p>
    <w:p w14:paraId="25D8ED4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9"/>
          <w:sz w:val="24"/>
          <w:szCs w:val="24"/>
          <w:lang w:val="en-US" w:eastAsia="zh-CN"/>
        </w:rPr>
        <w:t>本次招标公告在河南省政府采购网、南阳市公共资源交易中心网发布。</w:t>
      </w:r>
    </w:p>
    <w:p w14:paraId="7531630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p>
    <w:p w14:paraId="2218B1C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采购提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6BC8528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14:paraId="537811D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pacing w:val="-15"/>
          <w:sz w:val="24"/>
          <w:szCs w:val="24"/>
        </w:rPr>
      </w:pPr>
      <w:r>
        <w:rPr>
          <w:rFonts w:hint="eastAsia" w:asciiTheme="minorEastAsia" w:hAnsiTheme="minorEastAsia" w:eastAsiaTheme="minorEastAsia" w:cstheme="minorEastAsia"/>
          <w:color w:val="auto"/>
          <w:spacing w:val="-15"/>
          <w:sz w:val="24"/>
          <w:szCs w:val="24"/>
        </w:rPr>
        <w:t>名称：南阳市第一实验幼儿园</w:t>
      </w:r>
    </w:p>
    <w:p w14:paraId="42B07D5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pacing w:val="-15"/>
          <w:sz w:val="24"/>
          <w:szCs w:val="24"/>
        </w:rPr>
      </w:pPr>
      <w:r>
        <w:rPr>
          <w:rFonts w:hint="eastAsia" w:asciiTheme="minorEastAsia" w:hAnsiTheme="minorEastAsia" w:eastAsiaTheme="minorEastAsia" w:cstheme="minorEastAsia"/>
          <w:color w:val="auto"/>
          <w:spacing w:val="-15"/>
          <w:sz w:val="24"/>
          <w:szCs w:val="24"/>
        </w:rPr>
        <w:t>地址：卧龙区七一路391号</w:t>
      </w:r>
    </w:p>
    <w:p w14:paraId="3AFBF81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lang w:val="en-US" w:eastAsia="zh-CN"/>
        </w:rPr>
        <w:t>联系人：李老师</w:t>
      </w:r>
    </w:p>
    <w:p w14:paraId="36C8724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5"/>
          <w:sz w:val="24"/>
          <w:szCs w:val="24"/>
        </w:rPr>
        <w:t>联系方式：</w:t>
      </w:r>
      <w:r>
        <w:rPr>
          <w:rFonts w:hint="eastAsia" w:asciiTheme="minorEastAsia" w:hAnsiTheme="minorEastAsia" w:eastAsiaTheme="minorEastAsia" w:cstheme="minorEastAsia"/>
          <w:color w:val="auto"/>
          <w:spacing w:val="-15"/>
          <w:sz w:val="24"/>
          <w:szCs w:val="24"/>
          <w:lang w:val="en-US" w:eastAsia="zh-CN"/>
        </w:rPr>
        <w:t>0377-</w:t>
      </w:r>
      <w:r>
        <w:rPr>
          <w:rFonts w:hint="eastAsia" w:asciiTheme="minorEastAsia" w:hAnsiTheme="minorEastAsia" w:eastAsiaTheme="minorEastAsia" w:cstheme="minorEastAsia"/>
          <w:color w:val="auto"/>
          <w:spacing w:val="-15"/>
          <w:sz w:val="24"/>
          <w:szCs w:val="24"/>
        </w:rPr>
        <w:t>63311525</w:t>
      </w:r>
    </w:p>
    <w:p w14:paraId="00BD71D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4"/>
          <w:sz w:val="24"/>
          <w:szCs w:val="24"/>
        </w:rPr>
      </w:pPr>
    </w:p>
    <w:p w14:paraId="0A643EE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7FC0990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南阳市公共资源交易中心</w:t>
      </w:r>
    </w:p>
    <w:p w14:paraId="291A66C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地址：南阳市范蠡东路与南都路交叉口市民服务中心中区3号楼5楼</w:t>
      </w:r>
    </w:p>
    <w:p w14:paraId="06858FDF">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联系人：黄先生</w:t>
      </w:r>
    </w:p>
    <w:p w14:paraId="61262AD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0377-61176178</w:t>
      </w:r>
    </w:p>
    <w:p w14:paraId="422C713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24CC280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spacing w:val="-15"/>
          <w:sz w:val="24"/>
          <w:szCs w:val="24"/>
          <w:lang w:val="en-US" w:eastAsia="zh-CN"/>
        </w:rPr>
        <w:t>https://ggzyjy.nanyang.gov.cn   E-mail:nyszfcgzx@126.com</w:t>
      </w:r>
    </w:p>
    <w:p w14:paraId="6971A5A7">
      <w:pPr>
        <w:pStyle w:val="2"/>
        <w:keepNext w:val="0"/>
        <w:keepLines w:val="0"/>
        <w:pageBreakBefore w:val="0"/>
        <w:numPr>
          <w:ilvl w:val="0"/>
          <w:numId w:val="0"/>
        </w:numPr>
        <w:kinsoku/>
        <w:wordWrap w:val="0"/>
        <w:overflowPunct/>
        <w:topLinePunct w:val="0"/>
        <w:bidi w:val="0"/>
        <w:spacing w:before="352" w:line="690" w:lineRule="exact"/>
        <w:jc w:val="both"/>
        <w:rPr>
          <w:rFonts w:hint="eastAsia" w:ascii="仿宋_GB2312" w:hAnsi="宋体" w:eastAsia="仿宋_GB2312"/>
          <w:color w:val="0000FF"/>
          <w:sz w:val="28"/>
          <w:szCs w:val="28"/>
          <w:lang w:val="en-US" w:eastAsia="zh-CN"/>
        </w:rPr>
      </w:pPr>
    </w:p>
    <w:p w14:paraId="4FB7B08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1"/>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南阳市公共资源交易中心</w:t>
      </w:r>
    </w:p>
    <w:p w14:paraId="56642D5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564" w:firstLineChars="2600"/>
        <w:jc w:val="both"/>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3"/>
          <w:sz w:val="24"/>
          <w:szCs w:val="24"/>
          <w:highlight w:val="none"/>
          <w:u w:val="none"/>
          <w:lang w:val="en-US" w:eastAsia="zh-CN"/>
        </w:rPr>
        <w:t xml:space="preserve">2025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none"/>
          <w:lang w:val="en-US" w:eastAsia="zh-CN"/>
        </w:rPr>
        <w:t xml:space="preserve"> 11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none"/>
          <w:lang w:val="en-US" w:eastAsia="zh-CN"/>
        </w:rPr>
        <w:t xml:space="preserve"> 25 </w:t>
      </w:r>
      <w:r>
        <w:rPr>
          <w:rFonts w:hint="eastAsia" w:asciiTheme="minorEastAsia" w:hAnsiTheme="minorEastAsia" w:eastAsiaTheme="minorEastAsia" w:cstheme="minorEastAsia"/>
          <w:spacing w:val="-13"/>
          <w:sz w:val="24"/>
          <w:szCs w:val="24"/>
          <w:highlight w:val="none"/>
        </w:rPr>
        <w:t>日</w:t>
      </w:r>
    </w:p>
    <w:p w14:paraId="22F4F369">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21C4EB0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F73716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FC255B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69F366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AFFA9F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4A2A7A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7F6CBBA">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7E2249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243441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1EB6F6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A4F889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0C89639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730039E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14:paraId="5D7B1DB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（一）项目简介</w:t>
      </w:r>
    </w:p>
    <w:p w14:paraId="5BB8795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 xml:space="preserve"> 覆盖七一路、三全、十二全三大园区，提供门卫值守、治安巡逻、消防控制室值班服务，依法配合学校完成其他协助工作。</w:t>
      </w:r>
    </w:p>
    <w:p w14:paraId="38AF891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（二）服务要求</w:t>
      </w:r>
    </w:p>
    <w:p w14:paraId="0FEC6E6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1.安保岗位要求</w:t>
      </w:r>
    </w:p>
    <w:p w14:paraId="7AFDB96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（1）岗位配置及值班时间</w:t>
      </w:r>
    </w:p>
    <w:p w14:paraId="5F77A1B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 xml:space="preserve"> 七一路园区：6人，负责大门口秩序、园区巡逻及财产安全；两班制（每班3人，6小时/人）：7:00～13:00、13:00～19:00。</w:t>
      </w:r>
    </w:p>
    <w:p w14:paraId="387103E8">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三全/十二全园区：各4人，负责西门/北门秩序、园区巡逻及财产安全；四班制：早班（7:00～13:00）、中班（13:00～19:00）、晚班（19:00～次日7:00）：各1人；行政班（7:00～11:00、14:00～18:00）：1人</w:t>
      </w:r>
    </w:p>
    <w:p w14:paraId="78D3958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 xml:space="preserve"> （2）安保人员资质及行为规范</w:t>
      </w:r>
    </w:p>
    <w:p w14:paraId="332A842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①基础条件：男性，18-50周岁（含），身高≥1.70米；身心健康、相貌端正、品行良好，学历≥初中（含）。</w:t>
      </w:r>
    </w:p>
    <w:p w14:paraId="2737C09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②从业与着装：有保安经验者占比不低于50%；执勤须着统一服装、戴统一标志。</w:t>
      </w:r>
    </w:p>
    <w:p w14:paraId="0681A52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③职业素养：政治觉悟坚定，能挺身而出保护师生；文明执勤、懂基础法律及保安政策；具备语言/文字表达能力、问题处置能力，熟练使用消防、通讯等器材。</w:t>
      </w:r>
    </w:p>
    <w:p w14:paraId="469A693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④背景审查：无犯罪前科、无纹身、非失信被执行人；政审材料及保安员证复印件交后勤保卫处备案。</w:t>
      </w:r>
    </w:p>
    <w:p w14:paraId="7689494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⑤纪律要求：遵守园方制度，禁与师生/家长争吵；按规填值班记录、准时交接班，禁迟到早退、脱岗、值班前饮酒及值班中娱乐。</w:t>
      </w:r>
    </w:p>
    <w:p w14:paraId="32CE903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 服务总体要求</w:t>
      </w:r>
    </w:p>
    <w:p w14:paraId="7ACE7AD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b/>
          <w:bCs/>
          <w:spacing w:val="-1"/>
          <w:sz w:val="24"/>
          <w:szCs w:val="24"/>
        </w:rPr>
        <w:t>所有保安员持证上岗</w:t>
      </w:r>
      <w:r>
        <w:rPr>
          <w:rFonts w:hint="eastAsia" w:asciiTheme="minorEastAsia" w:hAnsiTheme="minorEastAsia" w:eastAsiaTheme="minorEastAsia" w:cstheme="minorEastAsia"/>
          <w:spacing w:val="-1"/>
          <w:sz w:val="24"/>
          <w:szCs w:val="24"/>
        </w:rPr>
        <w:t>，由后勤保卫处统一调配。</w:t>
      </w:r>
    </w:p>
    <w:p w14:paraId="1E63C57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（2）配合园方大型活动（迎评、迎检、迎新等）的安全保障与秩序维护。</w:t>
      </w:r>
    </w:p>
    <w:p w14:paraId="468B8EB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（3）与保安员签订合法劳务合同，劳务纠纷由公司全权负责，不影响园方工作。</w:t>
      </w:r>
    </w:p>
    <w:p w14:paraId="1A1EB7E8">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 xml:space="preserve"> 3. 保安岗位安排</w:t>
      </w:r>
    </w:p>
    <w:p w14:paraId="29F2DE08">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共设14个岗位，含门卫、治安巡逻、消防控制室值班。</w:t>
      </w:r>
    </w:p>
    <w:p w14:paraId="597DAF9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 xml:space="preserve"> （三）各岗位具体要求</w:t>
      </w:r>
    </w:p>
    <w:p w14:paraId="78DEE93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 xml:space="preserve"> 1.门卫执勤</w:t>
      </w:r>
    </w:p>
    <w:p w14:paraId="2529F41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（1）管控人车进出，保秩序；维护校门设施，妥善处置突发，保环境整洁。</w:t>
      </w:r>
    </w:p>
    <w:p w14:paraId="2BD4671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（2）禁闲杂人员、管制刀具及危化/易燃易爆品入校；按规检查车辆携带物资。</w:t>
      </w:r>
    </w:p>
    <w:p w14:paraId="36E4522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2.巡逻岗执勤</w:t>
      </w:r>
    </w:p>
    <w:p w14:paraId="4619761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（1）熟悉巡逻区域，昼夜巡防；纠违章、止犯罪，保交通畅通、车辆有序。</w:t>
      </w:r>
    </w:p>
    <w:p w14:paraId="725B03D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（2）查防火防盗等隐患，担义务消防；遇可疑人员及时盘问、上报。</w:t>
      </w:r>
    </w:p>
    <w:p w14:paraId="1BABC44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（3）遇灾害/事故护现场、速上报；止不法侵害并交相关部门，配合执法。</w:t>
      </w:r>
    </w:p>
    <w:p w14:paraId="70D661C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（4）妥善保管器材，保通讯畅通；接任务/警情立即回复并赶赴现场。</w:t>
      </w:r>
    </w:p>
    <w:p w14:paraId="43470FF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 消防控制室值班</w:t>
      </w:r>
    </w:p>
    <w:p w14:paraId="0ACC715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（1）熟悉自动报警系统，每班至少1次设备巡检，保设备正常。</w:t>
      </w:r>
    </w:p>
    <w:p w14:paraId="6D8F15F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（2）接报警信号后3分钟内赴现场确认，速报后勤保卫处并处置初期火情。</w:t>
      </w:r>
    </w:p>
    <w:p w14:paraId="7B2CB32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（3）做好交接班（接班人未到不得离岗），保室内整洁，禁无关人员进入。</w:t>
      </w:r>
    </w:p>
    <w:p w14:paraId="5C95701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color w:val="FF0000"/>
          <w:spacing w:val="-1"/>
          <w:sz w:val="24"/>
          <w:szCs w:val="24"/>
        </w:rPr>
      </w:pPr>
    </w:p>
    <w:p w14:paraId="4D4A2F6A">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250DB99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14:paraId="077BC45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服务</w:t>
      </w:r>
      <w:r>
        <w:rPr>
          <w:rFonts w:hint="eastAsia" w:asciiTheme="minorEastAsia" w:hAnsiTheme="minorEastAsia" w:eastAsiaTheme="minorEastAsia" w:cstheme="minorEastAsia"/>
          <w:spacing w:val="-1"/>
          <w:sz w:val="24"/>
          <w:szCs w:val="24"/>
        </w:rPr>
        <w:t>期限</w:t>
      </w:r>
      <w:r>
        <w:rPr>
          <w:rFonts w:hint="eastAsia" w:asciiTheme="minorEastAsia" w:hAnsiTheme="minorEastAsia" w:eastAsiaTheme="minorEastAsia" w:cstheme="minorEastAsia"/>
          <w:spacing w:val="-1"/>
          <w:sz w:val="24"/>
          <w:szCs w:val="24"/>
          <w:lang w:eastAsia="zh-CN"/>
        </w:rPr>
        <w:t>：三年（2026.1.13-2029.1.12）（合同每年一签，经采购人年度考核合格可续签下一年度合同，最多续签两次）</w:t>
      </w:r>
    </w:p>
    <w:p w14:paraId="11F72C5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val="en-US" w:eastAsia="zh-CN"/>
        </w:rPr>
        <w:t>2.服务</w:t>
      </w:r>
      <w:r>
        <w:rPr>
          <w:rFonts w:hint="eastAsia" w:asciiTheme="minorEastAsia" w:hAnsiTheme="minorEastAsia" w:eastAsiaTheme="minorEastAsia" w:cstheme="minorEastAsia"/>
          <w:spacing w:val="-1"/>
          <w:sz w:val="24"/>
          <w:szCs w:val="24"/>
        </w:rPr>
        <w:t>地点</w:t>
      </w:r>
      <w:r>
        <w:rPr>
          <w:rFonts w:hint="eastAsia" w:asciiTheme="minorEastAsia" w:hAnsiTheme="minorEastAsia" w:eastAsiaTheme="minorEastAsia" w:cstheme="minorEastAsia"/>
          <w:spacing w:val="-1"/>
          <w:sz w:val="24"/>
          <w:szCs w:val="24"/>
          <w:lang w:eastAsia="zh-CN"/>
        </w:rPr>
        <w:t>：七一路园区：南阳市七一路391号、三全园区：南阳市纬八路与经十路交叉口、 十二全园区：南阳市示范区014县道</w:t>
      </w:r>
    </w:p>
    <w:p w14:paraId="5DFFD4C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
          <w:sz w:val="24"/>
          <w:szCs w:val="24"/>
          <w:lang w:val="en-US" w:eastAsia="zh-CN"/>
        </w:rPr>
        <w:t>3.服务标准：合格，达到采购人满意标准</w:t>
      </w:r>
    </w:p>
    <w:p w14:paraId="346CF01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4.付款方式：甲方按月支付；乙方开等额正规发票，甲方凭乙方银行信息转账（含税）。</w:t>
      </w:r>
    </w:p>
    <w:p w14:paraId="7B8D7CA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5.保险：由成交供应商负责，供应商需为保安员办社保及意外险；其履职中因公负伤、身故等由供应商负责。</w:t>
      </w:r>
    </w:p>
    <w:p w14:paraId="1FC34AE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outlineLvl w:val="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8"/>
          <w:sz w:val="24"/>
          <w:szCs w:val="24"/>
          <w:lang w:val="en-US" w:eastAsia="zh-CN"/>
        </w:rPr>
        <w:t>6.投标公司须持有省公安厅有效《保安服务许可证》；本项目须派专人任项目主管，保安100%持保安员证上岗</w:t>
      </w:r>
      <w:r>
        <w:rPr>
          <w:rFonts w:hint="eastAsia" w:asciiTheme="minorEastAsia" w:hAnsiTheme="minorEastAsia" w:eastAsiaTheme="minorEastAsia" w:cstheme="minorEastAsia"/>
          <w:spacing w:val="-2"/>
          <w:sz w:val="24"/>
          <w:szCs w:val="24"/>
          <w:lang w:val="en-US" w:eastAsia="zh-CN"/>
        </w:rPr>
        <w:t>（需提供相关证件原件扫描件）</w:t>
      </w:r>
      <w:r>
        <w:rPr>
          <w:rFonts w:hint="eastAsia" w:asciiTheme="minorEastAsia" w:hAnsiTheme="minorEastAsia" w:eastAsiaTheme="minorEastAsia" w:cstheme="minorEastAsia"/>
          <w:spacing w:val="-8"/>
          <w:sz w:val="24"/>
          <w:szCs w:val="24"/>
          <w:lang w:val="en-US" w:eastAsia="zh-CN"/>
        </w:rPr>
        <w:t>。</w:t>
      </w:r>
    </w:p>
    <w:p w14:paraId="12E3AB7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0" w:firstLineChars="200"/>
        <w:jc w:val="both"/>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lang w:val="en-US" w:eastAsia="zh-CN"/>
        </w:rPr>
        <w:t>7.</w:t>
      </w:r>
      <w:r>
        <w:rPr>
          <w:rFonts w:hint="eastAsia" w:asciiTheme="minorEastAsia" w:hAnsiTheme="minorEastAsia" w:eastAsiaTheme="minorEastAsia" w:cstheme="minorEastAsia"/>
          <w:spacing w:val="-2"/>
          <w:sz w:val="24"/>
          <w:szCs w:val="24"/>
          <w:lang w:val="en-US" w:eastAsia="zh-CN"/>
        </w:rPr>
        <w:t>参与本项目的供应商需提供</w:t>
      </w:r>
      <w:r>
        <w:rPr>
          <w:rFonts w:hint="eastAsia" w:asciiTheme="minorEastAsia" w:hAnsiTheme="minorEastAsia" w:eastAsiaTheme="minorEastAsia" w:cstheme="minorEastAsia"/>
          <w:spacing w:val="-2"/>
          <w:sz w:val="24"/>
          <w:szCs w:val="24"/>
          <w:highlight w:val="none"/>
          <w:lang w:val="en-US" w:eastAsia="zh-CN"/>
        </w:rPr>
        <w:t>项目整体服务方案、项目规章制度、安保服务固定岗及巡逻岗服务的方案、消防控制室日常管理方案、人员培训方案、应急预案。</w:t>
      </w:r>
    </w:p>
    <w:p w14:paraId="3BBE301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z w:val="24"/>
          <w:szCs w:val="24"/>
          <w:lang w:val="en-US" w:eastAsia="zh-CN"/>
        </w:rPr>
        <w:t>9.其他要求：供应商的报价应包含保安服务费，税费，人员工资，意外保险，社保费用，管理费等，釆购方不再支取其它费用。</w:t>
      </w:r>
    </w:p>
    <w:p w14:paraId="07BE9E5A">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7F176200">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2817945A">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183E18F6">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5C4310E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818D88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AF3900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EE52381">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799A84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33C14F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1BCE2A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p>
    <w:p w14:paraId="4DE6411C">
      <w:pPr>
        <w:pStyle w:val="2"/>
        <w:keepNext w:val="0"/>
        <w:keepLines w:val="0"/>
        <w:pageBreakBefore w:val="0"/>
        <w:kinsoku/>
        <w:wordWrap w:val="0"/>
        <w:overflowPunct/>
        <w:topLinePunct w:val="0"/>
        <w:bidi w:val="0"/>
        <w:spacing w:line="220" w:lineRule="auto"/>
        <w:ind w:left="3861"/>
        <w:jc w:val="both"/>
        <w:rPr>
          <w:spacing w:val="-1"/>
          <w:sz w:val="28"/>
          <w:szCs w:val="28"/>
          <w14:textOutline w14:w="1800" w14:cap="flat" w14:cmpd="sng">
            <w14:solidFill>
              <w14:srgbClr w14:val="000000"/>
            </w14:solidFill>
            <w14:prstDash w14:val="solid"/>
            <w14:miter w14:val="0"/>
          </w14:textOutline>
        </w:rPr>
      </w:pPr>
    </w:p>
    <w:p w14:paraId="15FEA1C6">
      <w:pPr>
        <w:pStyle w:val="2"/>
        <w:keepNext w:val="0"/>
        <w:keepLines w:val="0"/>
        <w:pageBreakBefore w:val="0"/>
        <w:kinsoku/>
        <w:wordWrap w:val="0"/>
        <w:overflowPunct/>
        <w:topLinePunct w:val="0"/>
        <w:bidi w:val="0"/>
        <w:spacing w:line="220" w:lineRule="auto"/>
        <w:jc w:val="center"/>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6B0447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623E94D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26AE2183">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365F07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006A6BC">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CC4F1EB">
            <w:pPr>
              <w:pStyle w:val="21"/>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tc>
      </w:tr>
      <w:tr w14:paraId="6530B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A6FD37F">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0D548153">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1851D173">
            <w:pPr>
              <w:pStyle w:val="21"/>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54CA3E67">
            <w:pPr>
              <w:pStyle w:val="21"/>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007D9C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20588CDB">
            <w:pPr>
              <w:pStyle w:val="21"/>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rPr>
            </w:pPr>
          </w:p>
          <w:p w14:paraId="0E051A1D">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D2CB05D">
            <w:pPr>
              <w:pStyle w:val="21"/>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14:paraId="633024BD">
            <w:pPr>
              <w:pStyle w:val="21"/>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14:paraId="27C58FDD">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77A4B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472080A">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48D90F26">
            <w:pPr>
              <w:pStyle w:val="21"/>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14:paraId="6E087971">
            <w:pPr>
              <w:pStyle w:val="21"/>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14:paraId="778D89C4">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5B5120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C1B4B9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91A243C">
            <w:pPr>
              <w:pStyle w:val="21"/>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租赁和商务服务业 </w:t>
            </w:r>
          </w:p>
          <w:p w14:paraId="3B58EF0C">
            <w:pPr>
              <w:pStyle w:val="21"/>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auto"/>
                <w:spacing w:val="14"/>
                <w:kern w:val="0"/>
                <w:sz w:val="24"/>
                <w:szCs w:val="24"/>
                <w:lang w:val="en-US" w:eastAsia="zh-CN" w:bidi="ar-SA"/>
              </w:rPr>
              <w:t>☑本项目专门面向中小企业采购。</w:t>
            </w:r>
          </w:p>
          <w:p w14:paraId="005923E8">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74006E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406E1CF0">
            <w:pPr>
              <w:pStyle w:val="21"/>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1983C7F8">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64F65940">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报价的特殊规定：</w:t>
            </w:r>
          </w:p>
          <w:p w14:paraId="4EBA5CE7">
            <w:pPr>
              <w:pStyle w:val="21"/>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4D55C8CD">
            <w:pPr>
              <w:pStyle w:val="21"/>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2AA9A159">
            <w:pPr>
              <w:pStyle w:val="21"/>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7D2E4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7682C3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2DE643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130 </w:t>
            </w:r>
            <w:r>
              <w:rPr>
                <w:rFonts w:hint="eastAsia" w:asciiTheme="minorEastAsia" w:hAnsiTheme="minorEastAsia" w:eastAsiaTheme="minorEastAsia" w:cstheme="minorEastAsia"/>
                <w:b w:val="0"/>
                <w:bCs/>
                <w:sz w:val="24"/>
                <w:szCs w:val="24"/>
                <w:lang w:val="en-US" w:eastAsia="zh-CN"/>
              </w:rPr>
              <w:t>万元</w:t>
            </w:r>
          </w:p>
        </w:tc>
      </w:tr>
      <w:tr w14:paraId="736E80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A1D77F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95EA05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1C6BE6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19F78A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F981D0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14:paraId="1DC2A1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EDCA52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080A3F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2025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12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00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6E70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BD68A8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EF525A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2025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12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9</w:t>
            </w:r>
            <w:bookmarkStart w:id="1" w:name="_GoBack"/>
            <w:bookmarkEnd w:id="1"/>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00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74884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7B91B3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B08F1A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14:paraId="1F149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178366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CE5301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磋商小组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tc>
      </w:tr>
      <w:tr w14:paraId="1BD5C0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794BDBD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12" w:space="0"/>
              <w:right w:val="single" w:color="auto" w:sz="12" w:space="0"/>
            </w:tcBorders>
            <w:noWrap w:val="0"/>
            <w:vAlign w:val="center"/>
          </w:tcPr>
          <w:p w14:paraId="1CC40175">
            <w:pPr>
              <w:pStyle w:val="21"/>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18BDD227">
      <w:pPr>
        <w:keepNext w:val="0"/>
        <w:keepLines w:val="0"/>
        <w:pageBreakBefore w:val="0"/>
        <w:kinsoku/>
        <w:wordWrap w:val="0"/>
        <w:overflowPunct/>
        <w:topLinePunct w:val="0"/>
        <w:bidi w:val="0"/>
        <w:spacing w:line="371" w:lineRule="auto"/>
        <w:jc w:val="both"/>
        <w:rPr>
          <w:rFonts w:ascii="Arial"/>
          <w:sz w:val="21"/>
        </w:rPr>
      </w:pPr>
    </w:p>
    <w:p w14:paraId="102EB64A">
      <w:pPr>
        <w:keepNext w:val="0"/>
        <w:keepLines w:val="0"/>
        <w:pageBreakBefore w:val="0"/>
        <w:kinsoku/>
        <w:wordWrap w:val="0"/>
        <w:overflowPunct/>
        <w:topLinePunct w:val="0"/>
        <w:bidi w:val="0"/>
        <w:spacing w:line="243" w:lineRule="auto"/>
        <w:jc w:val="both"/>
        <w:rPr>
          <w:rFonts w:ascii="Arial"/>
          <w:sz w:val="21"/>
        </w:rPr>
      </w:pPr>
    </w:p>
    <w:p w14:paraId="0280C5FC">
      <w:pPr>
        <w:keepNext w:val="0"/>
        <w:keepLines w:val="0"/>
        <w:pageBreakBefore w:val="0"/>
        <w:kinsoku/>
        <w:wordWrap w:val="0"/>
        <w:overflowPunct/>
        <w:topLinePunct w:val="0"/>
        <w:bidi w:val="0"/>
        <w:spacing w:line="244" w:lineRule="auto"/>
        <w:jc w:val="both"/>
        <w:rPr>
          <w:rFonts w:ascii="Arial"/>
          <w:sz w:val="21"/>
        </w:rPr>
      </w:pPr>
    </w:p>
    <w:p w14:paraId="68B0B02A">
      <w:pPr>
        <w:pStyle w:val="2"/>
        <w:keepNext w:val="0"/>
        <w:keepLines w:val="0"/>
        <w:pageBreakBefore w:val="0"/>
        <w:kinsoku/>
        <w:wordWrap w:val="0"/>
        <w:overflowPunct/>
        <w:topLinePunct w:val="0"/>
        <w:bidi w:val="0"/>
        <w:spacing w:before="91" w:line="360" w:lineRule="auto"/>
        <w:ind w:left="3844"/>
        <w:jc w:val="both"/>
        <w:rPr>
          <w:spacing w:val="-1"/>
          <w:sz w:val="28"/>
          <w:szCs w:val="28"/>
          <w14:textOutline w14:w="1800" w14:cap="flat" w14:cmpd="sng">
            <w14:solidFill>
              <w14:srgbClr w14:val="000000"/>
            </w14:solidFill>
            <w14:prstDash w14:val="solid"/>
            <w14:miter w14:val="0"/>
          </w14:textOutline>
        </w:rPr>
      </w:pPr>
    </w:p>
    <w:p w14:paraId="69893EB0">
      <w:pPr>
        <w:pStyle w:val="2"/>
        <w:keepNext w:val="0"/>
        <w:keepLines w:val="0"/>
        <w:pageBreakBefore w:val="0"/>
        <w:kinsoku/>
        <w:wordWrap w:val="0"/>
        <w:overflowPunct/>
        <w:topLinePunct w:val="0"/>
        <w:bidi w:val="0"/>
        <w:spacing w:before="91" w:line="360" w:lineRule="auto"/>
        <w:ind w:left="3844"/>
        <w:jc w:val="both"/>
        <w:rPr>
          <w:sz w:val="28"/>
          <w:szCs w:val="28"/>
        </w:rPr>
      </w:pPr>
      <w:r>
        <w:rPr>
          <w:spacing w:val="-1"/>
          <w:sz w:val="28"/>
          <w:szCs w:val="28"/>
          <w14:textOutline w14:w="1800" w14:cap="flat" w14:cmpd="sng">
            <w14:solidFill>
              <w14:srgbClr w14:val="000000"/>
            </w14:solidFill>
            <w14:prstDash w14:val="solid"/>
            <w14:miter w14:val="0"/>
          </w14:textOutline>
        </w:rPr>
        <w:t>供应商须知</w:t>
      </w:r>
    </w:p>
    <w:p w14:paraId="4FB3EA13">
      <w:pPr>
        <w:pStyle w:val="2"/>
        <w:keepNext w:val="0"/>
        <w:keepLines w:val="0"/>
        <w:pageBreakBefore w:val="0"/>
        <w:kinsoku/>
        <w:wordWrap w:val="0"/>
        <w:overflowPunct/>
        <w:topLinePunct w:val="0"/>
        <w:bidi w:val="0"/>
        <w:spacing w:before="270" w:line="360" w:lineRule="auto"/>
        <w:jc w:val="both"/>
        <w:rPr>
          <w:rFonts w:hint="eastAsia" w:asciiTheme="minorEastAsia" w:hAnsiTheme="minorEastAsia" w:eastAsiaTheme="minorEastAsia" w:cstheme="minorEastAsia"/>
          <w:spacing w:val="-1"/>
          <w:sz w:val="24"/>
          <w:szCs w:val="24"/>
        </w:rPr>
      </w:pPr>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p>
    <w:p w14:paraId="330AD8A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14:paraId="07B6304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p w14:paraId="26051EBA">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0BA9B36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5246237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14:paraId="629FED2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130 </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14:paraId="044841D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03EA03D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28F5141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3EADFB1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val="en-US" w:eastAsia="zh-CN"/>
        </w:rPr>
        <w:t>供应商</w:t>
      </w:r>
      <w:r>
        <w:rPr>
          <w:rFonts w:hint="eastAsia" w:asciiTheme="minorEastAsia" w:hAnsiTheme="minorEastAsia" w:eastAsiaTheme="minorEastAsia" w:cstheme="minorEastAsia"/>
          <w:spacing w:val="3"/>
          <w:sz w:val="24"/>
          <w:szCs w:val="24"/>
          <w:lang w:eastAsia="zh-CN"/>
        </w:rPr>
        <w:t>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14:paraId="47E67B0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val="en-US"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rPr>
        <w:t>自行承担不利评审后果。</w:t>
      </w:r>
    </w:p>
    <w:p w14:paraId="191A837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3951E3D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2C73498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73A28A01">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7194D8C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5ED0DBF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10CB729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2B36DC7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4739E12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5BE473E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7EC1F06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49889CF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6E88E34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5C350DF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3186089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50B9F9B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461D5BC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1EB120E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28CA0CC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61A3B80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466FBA1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3FADDD7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02C7884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竞争性磋商公告</w:t>
      </w:r>
      <w:r>
        <w:rPr>
          <w:rFonts w:hint="eastAsia" w:asciiTheme="minorEastAsia" w:hAnsiTheme="minorEastAsia" w:eastAsiaTheme="minorEastAsia" w:cstheme="minorEastAsia"/>
          <w:spacing w:val="-8"/>
          <w:sz w:val="24"/>
          <w:szCs w:val="24"/>
        </w:rPr>
        <w:t>》。</w:t>
      </w:r>
    </w:p>
    <w:p w14:paraId="7CA3E6D1">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14:paraId="5A411E3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w:t>
      </w:r>
    </w:p>
    <w:p w14:paraId="2DA7847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3 </w:t>
      </w:r>
      <w:r>
        <w:rPr>
          <w:rFonts w:hint="eastAsia" w:asciiTheme="minorEastAsia" w:hAnsiTheme="minorEastAsia" w:eastAsiaTheme="minorEastAsia" w:cstheme="minorEastAsia"/>
          <w:spacing w:val="2"/>
          <w:sz w:val="24"/>
          <w:szCs w:val="24"/>
        </w:rPr>
        <w:t>采购需求标准</w:t>
      </w:r>
    </w:p>
    <w:p w14:paraId="7347262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0BE9AFC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3</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34D3AA1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227AAD7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val="en-US" w:eastAsia="zh-CN"/>
        </w:rPr>
        <w:t>5.采购</w:t>
      </w:r>
      <w:r>
        <w:rPr>
          <w:rFonts w:hint="eastAsia" w:asciiTheme="minorEastAsia" w:hAnsiTheme="minorEastAsia" w:eastAsiaTheme="minorEastAsia" w:cstheme="minorEastAsia"/>
          <w:b/>
          <w:bCs/>
          <w:spacing w:val="-2"/>
          <w:sz w:val="24"/>
          <w:szCs w:val="24"/>
        </w:rPr>
        <w:t>费用</w:t>
      </w:r>
    </w:p>
    <w:p w14:paraId="2A39A76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3ED8C92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6.采购范围及适用法律</w:t>
      </w:r>
    </w:p>
    <w:p w14:paraId="3C2F84B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74CFB97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2F60E81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6.3 “服务”指采购文件规定供应商应承担的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保安 </w:t>
      </w:r>
      <w:r>
        <w:rPr>
          <w:rFonts w:hint="eastAsia" w:asciiTheme="minorEastAsia" w:hAnsiTheme="minorEastAsia" w:eastAsiaTheme="minorEastAsia" w:cstheme="minorEastAsia"/>
          <w:snapToGrid w:val="0"/>
          <w:color w:val="000000"/>
          <w:spacing w:val="-12"/>
          <w:kern w:val="0"/>
          <w:sz w:val="24"/>
          <w:szCs w:val="24"/>
          <w:lang w:val="en-US" w:eastAsia="zh-CN" w:bidi="ar-SA"/>
        </w:rPr>
        <w:t>服务。</w:t>
      </w:r>
    </w:p>
    <w:p w14:paraId="222C53B4">
      <w:pPr>
        <w:keepNext w:val="0"/>
        <w:keepLines w:val="0"/>
        <w:pageBreakBefore w:val="0"/>
        <w:kinsoku/>
        <w:wordWrap w:val="0"/>
        <w:overflowPunct/>
        <w:topLinePunct w:val="0"/>
        <w:bidi w:val="0"/>
        <w:spacing w:line="292" w:lineRule="auto"/>
        <w:jc w:val="both"/>
        <w:rPr>
          <w:rFonts w:ascii="Arial"/>
          <w:sz w:val="21"/>
        </w:rPr>
      </w:pPr>
    </w:p>
    <w:p w14:paraId="19E92AA8">
      <w:pPr>
        <w:pStyle w:val="2"/>
        <w:keepNext w:val="0"/>
        <w:keepLines w:val="0"/>
        <w:pageBreakBefore w:val="0"/>
        <w:kinsoku/>
        <w:wordWrap w:val="0"/>
        <w:overflowPunct/>
        <w:topLinePunct w:val="0"/>
        <w:bidi w:val="0"/>
        <w:spacing w:before="91" w:line="360" w:lineRule="auto"/>
        <w:jc w:val="both"/>
        <w:rPr>
          <w:rFonts w:hint="eastAsia"/>
          <w:sz w:val="24"/>
          <w:szCs w:val="24"/>
          <w:lang w:val="en-US" w:eastAsia="zh-CN"/>
        </w:rPr>
      </w:pPr>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竞争性磋商文件</w:t>
      </w:r>
    </w:p>
    <w:p w14:paraId="1CA62664">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rPr>
      </w:pPr>
      <w:r>
        <w:rPr>
          <w:rFonts w:hint="eastAsia"/>
          <w:b/>
          <w:bCs/>
          <w:sz w:val="24"/>
          <w:szCs w:val="24"/>
          <w:lang w:val="en-US" w:eastAsia="zh-CN"/>
        </w:rPr>
        <w:t>7.</w:t>
      </w:r>
      <w:r>
        <w:rPr>
          <w:b/>
          <w:bCs/>
          <w:sz w:val="24"/>
          <w:szCs w:val="24"/>
        </w:rPr>
        <w:t>竞争性磋商文件构成</w:t>
      </w:r>
    </w:p>
    <w:p w14:paraId="78D3DA42">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7</w:t>
      </w:r>
      <w:r>
        <w:rPr>
          <w:spacing w:val="-1"/>
          <w:sz w:val="24"/>
          <w:szCs w:val="24"/>
        </w:rPr>
        <w:t>.1</w:t>
      </w:r>
      <w:r>
        <w:rPr>
          <w:rFonts w:hint="eastAsia"/>
          <w:spacing w:val="-1"/>
          <w:sz w:val="24"/>
          <w:szCs w:val="24"/>
          <w:lang w:val="en-US" w:eastAsia="zh-CN"/>
        </w:rPr>
        <w:t xml:space="preserve"> </w:t>
      </w:r>
      <w:r>
        <w:rPr>
          <w:spacing w:val="-1"/>
          <w:sz w:val="24"/>
          <w:szCs w:val="24"/>
        </w:rPr>
        <w:t>竞争性磋商文件包括以下部分：</w:t>
      </w:r>
    </w:p>
    <w:p w14:paraId="7ACF1D2F">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竞争性磋商公告</w:t>
      </w:r>
      <w:r>
        <w:rPr>
          <w:spacing w:val="-1"/>
          <w:sz w:val="24"/>
          <w:szCs w:val="24"/>
        </w:rPr>
        <w:fldChar w:fldCharType="end"/>
      </w:r>
    </w:p>
    <w:p w14:paraId="291254C7">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14:paraId="28874EFF">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14:paraId="40031706">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p>
    <w:p w14:paraId="0F4781F1">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14:paraId="0746D1E3">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14:paraId="5743571A">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14:paraId="2A02B701">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8.对竞争性磋商文件的澄清或修改</w:t>
      </w:r>
    </w:p>
    <w:p w14:paraId="1F74520B">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可用补充文件的方式修正竞争性磋商文件，补充文件内容以公告的形式告知所有竞争性磋商文件收受人，该补充文件将成为竞争性磋商文件的组成部分，并替代所修正的部分。</w:t>
      </w:r>
    </w:p>
    <w:p w14:paraId="38E94198">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可以酌情延长上传截止时间，并将此变更以公告形式通知所有竞争性磋商文件收受人。</w:t>
      </w:r>
    </w:p>
    <w:p w14:paraId="65B501AA">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通知所有获取磋商文件的供应商；不足5日的，将顺延上传响应文件截止时间。</w:t>
      </w:r>
    </w:p>
    <w:p w14:paraId="744A1B6C">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val="en-US" w:eastAsia="zh-CN"/>
        </w:rPr>
        <w:t>采购人或采购代理机构</w:t>
      </w:r>
      <w:r>
        <w:rPr>
          <w:rFonts w:hint="eastAsia"/>
          <w:b/>
          <w:bCs/>
          <w:spacing w:val="-1"/>
          <w:sz w:val="24"/>
          <w:szCs w:val="24"/>
          <w:lang w:val="en-US" w:eastAsia="zh-CN"/>
        </w:rPr>
        <w:t>发布的一切公告信息（包括采购公告、变更公告、澄清公告等）均在“河南省政府采购网”“全国公共资源交易平台（河南省·南阳市）”等媒体发布，请潜在供应商随时查询有关公告信息。若因潜在供应商没有及时查看到公告信息而造成的失误，责任自负。</w:t>
      </w:r>
    </w:p>
    <w:p w14:paraId="228D994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8.5 供应商应关注是否有发布最新的澄清更正公告和更正的最新磋商文件（电子答疑文件），如有则需下载最新的磋商文件，并在此基础上制作最新的响应文件并上传。</w:t>
      </w:r>
    </w:p>
    <w:p w14:paraId="0F5CB85F">
      <w:pPr>
        <w:pStyle w:val="2"/>
        <w:keepNext w:val="0"/>
        <w:keepLines w:val="0"/>
        <w:pageBreakBefore w:val="0"/>
        <w:kinsoku/>
        <w:wordWrap w:val="0"/>
        <w:overflowPunct/>
        <w:topLinePunct w:val="0"/>
        <w:bidi w:val="0"/>
        <w:spacing w:before="179" w:line="220" w:lineRule="auto"/>
        <w:jc w:val="both"/>
        <w:rPr>
          <w:sz w:val="24"/>
          <w:szCs w:val="24"/>
        </w:rPr>
      </w:pPr>
    </w:p>
    <w:p w14:paraId="261FE33C">
      <w:pPr>
        <w:pStyle w:val="2"/>
        <w:keepNext w:val="0"/>
        <w:keepLines w:val="0"/>
        <w:pageBreakBefore w:val="0"/>
        <w:kinsoku/>
        <w:wordWrap w:val="0"/>
        <w:overflowPunct/>
        <w:topLinePunct w:val="0"/>
        <w:bidi w:val="0"/>
        <w:spacing w:before="91" w:line="360" w:lineRule="auto"/>
        <w:jc w:val="both"/>
        <w:rPr>
          <w:rFonts w:hint="eastAsia" w:ascii="Arial" w:hAnsi="Arial" w:eastAsia="宋体" w:cs="Arial"/>
          <w:sz w:val="24"/>
          <w:szCs w:val="24"/>
          <w:lang w:val="en-US" w:eastAsia="zh-CN"/>
        </w:rPr>
      </w:pPr>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p>
    <w:p w14:paraId="65D4D3E7">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9.响应范围、竞争性磋商文件中计量单位的使用及磋商语言</w:t>
      </w:r>
    </w:p>
    <w:p w14:paraId="73BB65A8">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7D62EFE5">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除竞争性磋商文件有特殊要求外，本项目磋商所使用的计量单位，应采用中华人民共和国法定计量单位。</w:t>
      </w:r>
    </w:p>
    <w:p w14:paraId="0F65D139">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671A8B98">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10.响应文件构成</w:t>
      </w:r>
    </w:p>
    <w:p w14:paraId="382E39D1">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10.1 供应商应当按照竞争性磋商文件的要求编制响应文件，并对其提交的响应文件的真实性、合法性承担法律责任。响应文件的部分格式要求，见第六章《响应文件格式》。</w:t>
      </w:r>
    </w:p>
    <w:p w14:paraId="1B3FE0B0">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52942B5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根据磋商文件中规定的下载平台要求，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14:paraId="4E91A66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14:paraId="3000A5B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03DB0969">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14:paraId="305D8D6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14:paraId="7CBE2C35">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11.报价</w:t>
      </w:r>
    </w:p>
    <w:p w14:paraId="270FD6B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14:paraId="20BB357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磋商文件</w:t>
      </w:r>
      <w:r>
        <w:rPr>
          <w:rFonts w:hint="eastAsia" w:asciiTheme="minorEastAsia" w:hAnsiTheme="minorEastAsia" w:eastAsiaTheme="minorEastAsia" w:cstheme="minorEastAsia"/>
          <w:sz w:val="24"/>
          <w:szCs w:val="24"/>
        </w:rPr>
        <w:t>中有特殊规定的，从其规定。</w:t>
      </w:r>
    </w:p>
    <w:p w14:paraId="3EFF02D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1 </w:t>
      </w:r>
      <w:r>
        <w:rPr>
          <w:rFonts w:hint="eastAsia" w:asciiTheme="minorEastAsia" w:hAnsiTheme="minorEastAsia" w:eastAsiaTheme="minorEastAsia" w:cstheme="minorEastAsia"/>
          <w:sz w:val="24"/>
          <w:szCs w:val="24"/>
          <w:lang w:eastAsia="zh-CN"/>
        </w:rPr>
        <w:t>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75CBE5C7">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14:paraId="7AFAA4D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4991789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14:paraId="4502A54A">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11.5 本项目将按供应商所提交的单价和总价来支付本项目所需的费用。对供应商没有填写单价和总价的内容,将被认为这些项目费用已包括在报价中。</w:t>
      </w:r>
    </w:p>
    <w:p w14:paraId="101EC134">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11.6 磋商结束，供应商进行网上最终报价。</w:t>
      </w:r>
    </w:p>
    <w:p w14:paraId="26793D9E">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11.7 本次采购设有预算，供应商最终报价超过预算的，磋商小组将不予评议。</w:t>
      </w:r>
    </w:p>
    <w:p w14:paraId="5825D775">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11.8 供应商的所有报价不得低于成本恶意竞争。</w:t>
      </w:r>
    </w:p>
    <w:p w14:paraId="414C64A8">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12.响应有效期</w:t>
      </w:r>
    </w:p>
    <w:p w14:paraId="2498C9FF">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14:paraId="25D706B5">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14:paraId="09764522">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13.响应</w:t>
      </w:r>
      <w:r>
        <w:rPr>
          <w:rFonts w:hint="eastAsia" w:asciiTheme="minorEastAsia" w:hAnsiTheme="minorEastAsia" w:eastAsiaTheme="minorEastAsia" w:cstheme="minorEastAsia"/>
          <w:b/>
          <w:bCs/>
          <w:sz w:val="24"/>
          <w:szCs w:val="24"/>
        </w:rPr>
        <w:t>文件的签署、盖章</w:t>
      </w:r>
    </w:p>
    <w:p w14:paraId="42AF428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13.1 电子响应文件必须在规定签章处电子签章或手写签字后扫描上传进响应文件。</w:t>
      </w:r>
    </w:p>
    <w:p w14:paraId="2DB29E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13.2 竞争性磋商文件要求盖章的内容，一般通过CA加盖电子签章。</w:t>
      </w:r>
    </w:p>
    <w:p w14:paraId="0D554DF6">
      <w:pPr>
        <w:pStyle w:val="2"/>
        <w:keepNext w:val="0"/>
        <w:keepLines w:val="0"/>
        <w:pageBreakBefore w:val="0"/>
        <w:kinsoku/>
        <w:wordWrap w:val="0"/>
        <w:overflowPunct/>
        <w:topLinePunct w:val="0"/>
        <w:bidi w:val="0"/>
        <w:spacing w:before="122" w:line="190" w:lineRule="auto"/>
        <w:jc w:val="both"/>
        <w:rPr>
          <w:spacing w:val="-4"/>
          <w:sz w:val="28"/>
          <w:szCs w:val="28"/>
          <w14:textOutline w14:w="1800" w14:cap="flat" w14:cmpd="sng">
            <w14:solidFill>
              <w14:srgbClr w14:val="000000"/>
            </w14:solidFill>
            <w14:prstDash w14:val="solid"/>
            <w14:miter w14:val="0"/>
          </w14:textOutline>
        </w:rPr>
      </w:pPr>
    </w:p>
    <w:p w14:paraId="30E4A91B">
      <w:pPr>
        <w:pStyle w:val="2"/>
        <w:keepNext w:val="0"/>
        <w:keepLines w:val="0"/>
        <w:pageBreakBefore w:val="0"/>
        <w:kinsoku/>
        <w:wordWrap w:val="0"/>
        <w:overflowPunct/>
        <w:topLinePunct w:val="0"/>
        <w:bidi w:val="0"/>
        <w:spacing w:before="122" w:line="360" w:lineRule="auto"/>
        <w:jc w:val="both"/>
        <w:rPr>
          <w:rFonts w:hint="eastAsia" w:ascii="宋体" w:hAnsi="宋体" w:eastAsia="宋体" w:cs="宋体"/>
          <w:snapToGrid w:val="0"/>
          <w:color w:val="000000"/>
          <w:spacing w:val="-1"/>
          <w:kern w:val="0"/>
          <w:sz w:val="24"/>
          <w:szCs w:val="24"/>
          <w:lang w:val="en-US" w:eastAsia="zh-CN" w:bidi="ar-SA"/>
        </w:rPr>
      </w:pPr>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p>
    <w:p w14:paraId="76F6E66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14.响应文件的提交</w:t>
      </w:r>
    </w:p>
    <w:p w14:paraId="215D86A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电子响应文件的提交是指使用南阳市公共资源交易中心交易系统在上传截止时间前完成制作软件生成的加密电子响应文件的上传。未在上传截止时间前完成上传的，视为逾期提交。逾期提交的响应文件不予受理。</w:t>
      </w:r>
    </w:p>
    <w:p w14:paraId="6DFB70A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采购人及采购代理机构拒绝接受通过电子交易平台以外任何形式提交的响应文件。</w:t>
      </w:r>
    </w:p>
    <w:p w14:paraId="1473D4B0">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15.响应文件上传截止时间</w:t>
      </w:r>
    </w:p>
    <w:p w14:paraId="42ABC4E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供应商应在竞争性磋商文件要求响应文件上传截止时间前，将电子响应文件提交至电子交易平台。</w:t>
      </w:r>
    </w:p>
    <w:p w14:paraId="10C7083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16.响应文件的修改与撤回</w:t>
      </w:r>
    </w:p>
    <w:p w14:paraId="471F2F9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在采购文件规定的电子响应文件上传截止时间前，供应商可以修改或撤回已上传的电子响应文件，最终电子响应文件以上传截止时间前完成上传至南阳市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14:paraId="638AF17B">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053E98FC">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3A25824A">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3FA079F4">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050C6BE5">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24535BFC">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324224B7">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1BC72A84">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6AC03885">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40261067">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0F87EC33">
      <w:pPr>
        <w:pStyle w:val="2"/>
        <w:keepNext w:val="0"/>
        <w:keepLines w:val="0"/>
        <w:pageBreakBefore w:val="0"/>
        <w:kinsoku/>
        <w:wordWrap w:val="0"/>
        <w:overflowPunct/>
        <w:topLinePunct w:val="0"/>
        <w:bidi w:val="0"/>
        <w:spacing w:before="358" w:line="360" w:lineRule="auto"/>
        <w:jc w:val="center"/>
        <w:rPr>
          <w:spacing w:val="-2"/>
          <w:sz w:val="24"/>
          <w:szCs w:val="24"/>
          <w14:textOutline w14:w="1537" w14:cap="flat" w14:cmpd="sng">
            <w14:solidFill>
              <w14:srgbClr w14:val="000000"/>
            </w14:solidFill>
            <w14:prstDash w14:val="solid"/>
            <w14:miter w14:val="0"/>
          </w14:textOutline>
        </w:rPr>
      </w:pPr>
      <w:r>
        <w:rPr>
          <w:spacing w:val="-1"/>
          <w:sz w:val="36"/>
          <w:szCs w:val="36"/>
          <w14:textOutline w14:w="2306" w14:cap="flat" w14:cmpd="sng">
            <w14:solidFill>
              <w14:srgbClr w14:val="000000"/>
            </w14:solidFill>
            <w14:prstDash w14:val="solid"/>
            <w14:miter w14:val="0"/>
          </w14:textOutline>
        </w:rPr>
        <w:t>第</w:t>
      </w:r>
      <w:r>
        <w:rPr>
          <w:rFonts w:hint="eastAsia"/>
          <w:spacing w:val="-1"/>
          <w:sz w:val="36"/>
          <w:szCs w:val="36"/>
          <w:lang w:val="en-US" w:eastAsia="zh-CN"/>
          <w14:textOutline w14:w="2306" w14:cap="flat" w14:cmpd="sng">
            <w14:solidFill>
              <w14:srgbClr w14:val="000000"/>
            </w14:solidFill>
            <w14:prstDash w14:val="solid"/>
            <w14:miter w14:val="0"/>
          </w14:textOutline>
        </w:rPr>
        <w:t>四</w:t>
      </w:r>
      <w:r>
        <w:rPr>
          <w:spacing w:val="-1"/>
          <w:sz w:val="36"/>
          <w:szCs w:val="36"/>
          <w14:textOutline w14:w="2306" w14:cap="flat" w14:cmpd="sng">
            <w14:solidFill>
              <w14:srgbClr w14:val="000000"/>
            </w14:solidFill>
            <w14:prstDash w14:val="solid"/>
            <w14:miter w14:val="0"/>
          </w14:textOutline>
        </w:rPr>
        <w:t>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14:textOutline w14:w="2306" w14:cap="flat" w14:cmpd="sng">
            <w14:solidFill>
              <w14:srgbClr w14:val="000000"/>
            </w14:solidFill>
            <w14:prstDash w14:val="solid"/>
            <w14:miter w14:val="0"/>
          </w14:textOutline>
        </w:rPr>
        <w:t>评</w:t>
      </w:r>
      <w:r>
        <w:rPr>
          <w:rFonts w:hint="eastAsia"/>
          <w:spacing w:val="-1"/>
          <w:sz w:val="36"/>
          <w:szCs w:val="36"/>
          <w:lang w:val="en-US" w:eastAsia="zh-CN"/>
          <w14:textOutline w14:w="2306" w14:cap="flat" w14:cmpd="sng">
            <w14:solidFill>
              <w14:srgbClr w14:val="000000"/>
            </w14:solidFill>
            <w14:prstDash w14:val="solid"/>
            <w14:miter w14:val="0"/>
          </w14:textOutline>
        </w:rPr>
        <w:t>审</w:t>
      </w:r>
      <w:r>
        <w:rPr>
          <w:rFonts w:hint="eastAsia"/>
          <w:spacing w:val="-1"/>
          <w:sz w:val="36"/>
          <w:szCs w:val="36"/>
          <w14:textOutline w14:w="2306" w14:cap="flat" w14:cmpd="sng">
            <w14:solidFill>
              <w14:srgbClr w14:val="000000"/>
            </w14:solidFill>
            <w14:prstDash w14:val="solid"/>
            <w14:miter w14:val="0"/>
          </w14:textOutline>
        </w:rPr>
        <w:t>程序、</w:t>
      </w:r>
      <w:r>
        <w:rPr>
          <w:spacing w:val="-1"/>
          <w:sz w:val="36"/>
          <w:szCs w:val="36"/>
          <w14:textOutline w14:w="2306" w14:cap="flat" w14:cmpd="sng">
            <w14:solidFill>
              <w14:srgbClr w14:val="000000"/>
            </w14:solidFill>
            <w14:prstDash w14:val="solid"/>
            <w14:miter w14:val="0"/>
          </w14:textOutline>
        </w:rPr>
        <w:t>评审方法和评审标准</w:t>
      </w:r>
    </w:p>
    <w:p w14:paraId="6BE26114">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421FF40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一、编制、确认竞争性磋商文件</w:t>
      </w:r>
    </w:p>
    <w:p w14:paraId="5598FA4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根据采购项目特点和采购实际需求编制竞争性磋商文件，编制的竞争性磋商文件应由采购人审核并确认。</w:t>
      </w:r>
    </w:p>
    <w:p w14:paraId="50595657">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3894F4F">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二、发布竞争性磋商公告，邀请供应商参加磋商</w:t>
      </w:r>
    </w:p>
    <w:p w14:paraId="65BFC28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竞争性磋商文件经采购人书面确认后，将在指定媒体和全国公共资源交易平台（河南省·南阳市）发布竞争性磋商公告。供应商按照公告和竞争性磋商文件要求制作并递交响应文件。</w:t>
      </w:r>
    </w:p>
    <w:p w14:paraId="63401CAE">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310D43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三、组建磋商小组</w:t>
      </w:r>
    </w:p>
    <w:p w14:paraId="7976F263">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567BF284">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竞争性磋商小组负责对响应文件进行评审、质疑、评估、比较、评分，组织磋商和最后报价。</w:t>
      </w:r>
    </w:p>
    <w:p w14:paraId="135FC310">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评审专家应当严格遵守评审工作纪律，按照客观、公正、审慎的原则，根据磋商文件规定的评审程序、评审方法和评审标准进行独立评审。</w:t>
      </w:r>
    </w:p>
    <w:p w14:paraId="26329F81">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26EA3620">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14:paraId="0F12D142">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5E14CE46">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779BD2E">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p>
    <w:p w14:paraId="7132C692">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进行加密，供应商在解密前须自行检查CA的有效性。解密时未在开启响应文件时间后30分钟内进行解密成功的视为撤销其响应文件（因电子开标系统原因除外）。</w:t>
      </w:r>
    </w:p>
    <w:p w14:paraId="6220E979">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6488FB94">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p>
    <w:p w14:paraId="3966D6E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磋商小组对供应商提交的响应文件进行评审。主要对响应文件的有效性、完整性和响应程度进行审查，具体包括：</w:t>
      </w:r>
    </w:p>
    <w:p w14:paraId="3703ACD4">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资格性审查</w:t>
      </w:r>
    </w:p>
    <w:tbl>
      <w:tblPr>
        <w:tblStyle w:val="20"/>
        <w:tblW w:w="8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3851"/>
        <w:gridCol w:w="2662"/>
      </w:tblGrid>
      <w:tr w14:paraId="2A9F8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14:paraId="3BEDBD52">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8" w:type="dxa"/>
            <w:vAlign w:val="top"/>
          </w:tcPr>
          <w:p w14:paraId="2A57E001">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3851" w:type="dxa"/>
            <w:vAlign w:val="top"/>
          </w:tcPr>
          <w:p w14:paraId="029C5DC4">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662" w:type="dxa"/>
            <w:vAlign w:val="top"/>
          </w:tcPr>
          <w:p w14:paraId="682F89F8">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0A1FF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1" w:type="dxa"/>
            <w:vAlign w:val="center"/>
          </w:tcPr>
          <w:p w14:paraId="09F787EF">
            <w:pPr>
              <w:pStyle w:val="21"/>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3074D9F5">
            <w:pPr>
              <w:pStyle w:val="21"/>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14:paraId="6C6F944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3851" w:type="dxa"/>
            <w:vAlign w:val="top"/>
          </w:tcPr>
          <w:p w14:paraId="3A687DA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7980854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3FD1E69C">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3A6CEF1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4753736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5DC4903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3D42FF12">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7.遵守国家有关法律、法规、规章。</w:t>
            </w:r>
          </w:p>
          <w:p w14:paraId="7BD2A4B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napToGrid w:val="0"/>
                <w:color w:val="auto"/>
                <w:spacing w:val="-14"/>
                <w:kern w:val="0"/>
                <w:sz w:val="24"/>
                <w:szCs w:val="24"/>
                <w:lang w:val="en-US" w:eastAsia="zh-CN" w:bidi="ar-SA"/>
              </w:rPr>
              <w:t>8.本项目专门面向中小企业采购，投标人须提交服务机构出具的中小企业声明函。</w:t>
            </w:r>
          </w:p>
        </w:tc>
        <w:tc>
          <w:tcPr>
            <w:tcW w:w="2662" w:type="dxa"/>
            <w:vAlign w:val="top"/>
          </w:tcPr>
          <w:p w14:paraId="2A33BFD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14:paraId="7F05349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14:paraId="71D8E01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14:paraId="0FE058B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14:paraId="6035E7C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1603C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vAlign w:val="top"/>
          </w:tcPr>
          <w:p w14:paraId="3BF6E20E">
            <w:pPr>
              <w:pStyle w:val="21"/>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058" w:type="dxa"/>
            <w:vAlign w:val="top"/>
          </w:tcPr>
          <w:p w14:paraId="7F2DDC56">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851" w:type="dxa"/>
            <w:vAlign w:val="top"/>
          </w:tcPr>
          <w:p w14:paraId="35D7530B">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662" w:type="dxa"/>
            <w:vAlign w:val="top"/>
          </w:tcPr>
          <w:p w14:paraId="0D917407">
            <w:pPr>
              <w:pStyle w:val="21"/>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3FE50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1" w:type="dxa"/>
            <w:vAlign w:val="top"/>
          </w:tcPr>
          <w:p w14:paraId="41598C8F">
            <w:pPr>
              <w:pStyle w:val="21"/>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610598FD">
            <w:pPr>
              <w:pStyle w:val="21"/>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0BC1D36D">
            <w:pPr>
              <w:pStyle w:val="21"/>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195B03CD">
            <w:pPr>
              <w:pStyle w:val="21"/>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0C6336D8">
            <w:pPr>
              <w:pStyle w:val="21"/>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3F23A948">
            <w:pPr>
              <w:pStyle w:val="21"/>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479AC4D9">
            <w:pPr>
              <w:pStyle w:val="21"/>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457C250">
            <w:pPr>
              <w:pStyle w:val="21"/>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5B9C35B5">
            <w:pPr>
              <w:pStyle w:val="21"/>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5A9E41A">
            <w:pPr>
              <w:pStyle w:val="21"/>
              <w:keepNext w:val="0"/>
              <w:keepLines w:val="0"/>
              <w:pageBreakBefore w:val="0"/>
              <w:kinsoku/>
              <w:wordWrap w:val="0"/>
              <w:overflowPunct/>
              <w:topLinePunct w:val="0"/>
              <w:bidi w:val="0"/>
              <w:spacing w:before="49" w:line="199" w:lineRule="auto"/>
              <w:ind w:firstLine="256"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58" w:type="dxa"/>
            <w:vAlign w:val="top"/>
          </w:tcPr>
          <w:p w14:paraId="3D603ABD">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A1228F4">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5813FE2">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DCE6AED">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C58C75E">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68CD499">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EFFACEE">
            <w:pPr>
              <w:pStyle w:val="21"/>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70D30396">
            <w:pPr>
              <w:pStyle w:val="21"/>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406ED3DE">
            <w:pPr>
              <w:pStyle w:val="21"/>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6D293096">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851" w:type="dxa"/>
            <w:vAlign w:val="top"/>
          </w:tcPr>
          <w:p w14:paraId="74260378">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09FC4DD5">
            <w:pPr>
              <w:pStyle w:val="21"/>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val="en-US"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0FCF79EA">
            <w:pPr>
              <w:pStyle w:val="21"/>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662" w:type="dxa"/>
            <w:vAlign w:val="top"/>
          </w:tcPr>
          <w:p w14:paraId="2141F142">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F876E71">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14950B6">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34FAD62">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5EE21C3">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7F8D108">
            <w:pPr>
              <w:pStyle w:val="21"/>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718B32B">
            <w:pPr>
              <w:pStyle w:val="21"/>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73DCA9C5">
            <w:pPr>
              <w:pStyle w:val="21"/>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36063B7">
            <w:pPr>
              <w:pStyle w:val="21"/>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49A4031B">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r w14:paraId="4BBC9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vAlign w:val="top"/>
          </w:tcPr>
          <w:p w14:paraId="5B4CE7A1">
            <w:pPr>
              <w:pStyle w:val="21"/>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58" w:type="dxa"/>
            <w:vAlign w:val="top"/>
          </w:tcPr>
          <w:p w14:paraId="0360A221">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851" w:type="dxa"/>
            <w:vAlign w:val="top"/>
          </w:tcPr>
          <w:p w14:paraId="30D28650">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tc>
        <w:tc>
          <w:tcPr>
            <w:tcW w:w="2662" w:type="dxa"/>
            <w:vAlign w:val="top"/>
          </w:tcPr>
          <w:p w14:paraId="56770F74">
            <w:pPr>
              <w:pStyle w:val="21"/>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6DB4FB60">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14:paraId="38CEDD8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lang w:val="en-US" w:eastAsia="zh-CN" w:bidi="ar-SA"/>
        </w:rPr>
        <w:t>。</w:t>
      </w:r>
    </w:p>
    <w:p w14:paraId="274D3BA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是否符合竞争性磋商文件的各项要求。</w:t>
      </w:r>
    </w:p>
    <w:p w14:paraId="50ECC42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14:paraId="5132F55A">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所响应的</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项目整体服务方案、项目规章制度、安保服务固定岗及巡逻岗服务的方案、消防控制室日常管理方案、人员培训方案、应急预案</w:t>
      </w:r>
      <w:r>
        <w:rPr>
          <w:rFonts w:hint="eastAsia" w:asciiTheme="minorEastAsia" w:hAnsiTheme="minorEastAsia" w:eastAsiaTheme="minorEastAsia" w:cstheme="minorEastAsia"/>
          <w:snapToGrid w:val="0"/>
          <w:color w:val="000000"/>
          <w:spacing w:val="3"/>
          <w:kern w:val="0"/>
          <w:sz w:val="24"/>
          <w:szCs w:val="24"/>
          <w:lang w:val="en-US" w:eastAsia="zh-CN" w:bidi="ar-SA"/>
        </w:rPr>
        <w:t>等</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14:paraId="225C260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14:paraId="352A81C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未实质性响应磋商文件的响应文件按无效响应处理，磋商小组应当告知提交响应文件的供应商。</w:t>
      </w:r>
    </w:p>
    <w:p w14:paraId="6A6A609B">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14:paraId="2A276917">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14:paraId="36B5F92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资格证明文件不全的，或者不符合竞争性磋商文件标明的资格要求的；</w:t>
      </w:r>
    </w:p>
    <w:p w14:paraId="4997C85D">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14:paraId="0577CE4B">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14:paraId="2E481FA2">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lang w:val="en-US" w:eastAsia="en-US" w:bidi="ar-SA"/>
        </w:rPr>
        <w:t>认证并加密的；</w:t>
      </w:r>
    </w:p>
    <w:p w14:paraId="1A232BC9">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其他不符合磋商文件实质性要求的。</w:t>
      </w:r>
    </w:p>
    <w:p w14:paraId="6D35F4DC">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14:paraId="7304C4F9">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14:paraId="78947D7A">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14:paraId="78AF01E6">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14:paraId="3711EAB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磋商、响应文件有关事项的澄清、说明或者更正和最后报价</w:t>
      </w:r>
    </w:p>
    <w:p w14:paraId="53ABC4A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sz w:val="24"/>
          <w:szCs w:val="24"/>
        </w:rPr>
        <w:t>磋商小组所有成员将集中与单一供应商分别进行磋商，并给予所有参加磋商的供应商平等的磋商机会。</w:t>
      </w:r>
    </w:p>
    <w:p w14:paraId="353A836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在磋商过程中，磋商小组可以根据磋商文件和磋商情况实质性变动采购需求中的技术、服务要求以及合同草案条款，但不得变动磋商文件中的其他内容。实质性变动的内容，须经采购人代表确认。</w:t>
      </w:r>
    </w:p>
    <w:p w14:paraId="269B68F1">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对磋商文件作出的实质性变动是磋商文件的有效组成部分，磋商小组应当及时</w:t>
      </w:r>
      <w:r>
        <w:rPr>
          <w:rFonts w:hint="eastAsia"/>
          <w:sz w:val="24"/>
          <w:szCs w:val="24"/>
          <w:lang w:val="en-US"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14:paraId="75EAF6D8">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w:t>
      </w:r>
      <w:r>
        <w:rPr>
          <w:rFonts w:hint="eastAsia" w:ascii="宋体" w:hAnsi="宋体" w:eastAsia="宋体" w:cs="宋体"/>
          <w:snapToGrid w:val="0"/>
          <w:color w:val="000000"/>
          <w:kern w:val="0"/>
          <w:sz w:val="24"/>
          <w:szCs w:val="24"/>
          <w:lang w:val="en-US" w:eastAsia="en-US" w:bidi="ar-SA"/>
        </w:rPr>
        <w:t>签章。</w:t>
      </w:r>
    </w:p>
    <w:p w14:paraId="6CE8032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14:paraId="55AE1E13">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14:paraId="37220384">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14:paraId="3D72AAAB">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磋商结束后，磋商小组通过电子评标系统向所有实质性响应的供应商发出最后报价要求，各供应商在会员系统中收到有关信息后，必须在规定时间内给出答复，并在签章后提交。提交最后报价的供应商不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政府采购竞争性磋商采购方式管理暂行办法</w:t>
      </w:r>
      <w:r>
        <w:rPr>
          <w:rFonts w:hint="eastAsia" w:ascii="宋体" w:hAnsi="宋体" w:eastAsia="宋体" w:cs="宋体"/>
          <w:snapToGrid w:val="0"/>
          <w:color w:val="000000"/>
          <w:kern w:val="0"/>
          <w:sz w:val="24"/>
          <w:szCs w:val="24"/>
          <w:lang w:val="en-US" w:eastAsia="en-US" w:bidi="ar-SA"/>
        </w:rPr>
        <w:t>》第</w:t>
      </w:r>
      <w:r>
        <w:rPr>
          <w:rFonts w:hint="eastAsia" w:ascii="宋体" w:hAnsi="宋体" w:eastAsia="宋体" w:cs="宋体"/>
          <w:snapToGrid w:val="0"/>
          <w:color w:val="000000"/>
          <w:kern w:val="0"/>
          <w:sz w:val="24"/>
          <w:szCs w:val="24"/>
          <w:lang w:val="en-US" w:eastAsia="zh-CN" w:bidi="ar-SA"/>
        </w:rPr>
        <w:t>三</w:t>
      </w:r>
      <w:r>
        <w:rPr>
          <w:rFonts w:hint="eastAsia" w:ascii="宋体" w:hAnsi="宋体" w:eastAsia="宋体" w:cs="宋体"/>
          <w:snapToGrid w:val="0"/>
          <w:color w:val="000000"/>
          <w:kern w:val="0"/>
          <w:sz w:val="24"/>
          <w:szCs w:val="24"/>
          <w:lang w:val="en-US" w:eastAsia="en-US" w:bidi="ar-SA"/>
        </w:rPr>
        <w:t>条第</w:t>
      </w:r>
      <w:r>
        <w:rPr>
          <w:rFonts w:hint="eastAsia" w:ascii="宋体" w:hAnsi="宋体" w:eastAsia="宋体" w:cs="宋体"/>
          <w:snapToGrid w:val="0"/>
          <w:color w:val="000000"/>
          <w:kern w:val="0"/>
          <w:sz w:val="24"/>
          <w:szCs w:val="24"/>
          <w:lang w:val="en-US" w:eastAsia="zh-CN" w:bidi="ar-SA"/>
        </w:rPr>
        <w:t>四项</w:t>
      </w:r>
      <w:r>
        <w:rPr>
          <w:rFonts w:hint="eastAsia" w:ascii="宋体" w:hAnsi="宋体" w:eastAsia="宋体" w:cs="宋体"/>
          <w:snapToGrid w:val="0"/>
          <w:color w:val="000000"/>
          <w:kern w:val="0"/>
          <w:sz w:val="24"/>
          <w:szCs w:val="24"/>
          <w:lang w:val="en-US" w:eastAsia="en-US" w:bidi="ar-SA"/>
        </w:rPr>
        <w:t>规定的情形除外。最后报价是响应文件的有效组成部分。</w:t>
      </w:r>
    </w:p>
    <w:p w14:paraId="01D3F0B2">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交最后报价的供应商可以为2家；政府购买服务项目（含政府和社会资本合作项目），在采购过程中符合要求的供应商（社会资本）只有2家的，竞争性磋商采购活动可以继续进行。</w:t>
      </w:r>
    </w:p>
    <w:p w14:paraId="4C1F0C5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交最后报价之前，可以根据磋商情况退出磋商。</w:t>
      </w:r>
    </w:p>
    <w:p w14:paraId="56F9346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14:paraId="5586F5C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lang w:val="en-US" w:eastAsia="zh-CN" w:bidi="ar-SA"/>
        </w:rPr>
        <w:t>。</w:t>
      </w:r>
    </w:p>
    <w:p w14:paraId="6E9B4A0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评审方法和评审标准</w:t>
      </w:r>
    </w:p>
    <w:p w14:paraId="0AACB05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本项目采用的评审方法为</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综合评分法。综合评分法，是指响应文件满足磋商文件全部实质性要求且按评审因素的量化指标评审得分最高的供应商为成交候选供应商的评审方法。</w:t>
      </w:r>
    </w:p>
    <w:p w14:paraId="5B67B56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.2</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竞争性磋商文件中没有规定的评审标准不得作为评审依据。</w:t>
      </w:r>
    </w:p>
    <w:p w14:paraId="149B82D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.3</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w:t>
      </w:r>
    </w:p>
    <w:p w14:paraId="5A19AA4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.4</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关于无线局域网认证产品政府采购清单中的产品，优先采购的具体规定（如涉及）</w:t>
      </w:r>
      <w:r>
        <w:rPr>
          <w:spacing w:val="-25"/>
          <w:sz w:val="24"/>
          <w:szCs w:val="24"/>
        </w:rPr>
        <w:t>。</w:t>
      </w:r>
    </w:p>
    <w:p w14:paraId="4E2FDA5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确定成交候选人名单</w:t>
      </w:r>
    </w:p>
    <w:p w14:paraId="5BF7D61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38F8C1F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9</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 xml:space="preserve">2 </w:t>
      </w:r>
      <w:r>
        <w:rPr>
          <w:rFonts w:hint="eastAsia" w:cs="宋体"/>
          <w:b/>
          <w:bCs/>
          <w:snapToGrid w:val="0"/>
          <w:color w:val="000000"/>
          <w:kern w:val="0"/>
          <w:sz w:val="24"/>
          <w:szCs w:val="24"/>
          <w:lang w:val="en-US" w:eastAsia="en-US" w:bidi="ar-SA"/>
        </w:rPr>
        <w:t>磋商小组要对评分汇总情况进行复核，特别是对排名第一的、报价最低的、响应文件被认定为无效的情形进行重点复核。</w:t>
      </w:r>
    </w:p>
    <w:p w14:paraId="524128D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w:t>
      </w:r>
      <w:r>
        <w:rPr>
          <w:rFonts w:hint="eastAsia" w:cs="宋体"/>
          <w:snapToGrid w:val="0"/>
          <w:color w:val="000000"/>
          <w:kern w:val="0"/>
          <w:sz w:val="24"/>
          <w:szCs w:val="24"/>
          <w:lang w:val="en-US" w:eastAsia="en-US" w:bidi="ar-SA"/>
        </w:rPr>
        <w:t>磋商小组根据上述供应商排序，依次推荐排序前</w:t>
      </w:r>
      <w:r>
        <w:rPr>
          <w:rFonts w:hint="eastAsia" w:cs="宋体"/>
          <w:snapToGrid w:val="0"/>
          <w:color w:val="000000"/>
          <w:kern w:val="0"/>
          <w:sz w:val="24"/>
          <w:szCs w:val="24"/>
          <w:lang w:val="en-US" w:eastAsia="zh-CN" w:bidi="ar-SA"/>
        </w:rPr>
        <w:t>3</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14:paraId="7E1A31D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采购人书面授权磋商小组直接确定成交供应商。</w:t>
      </w:r>
    </w:p>
    <w:p w14:paraId="3F946C2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报告违法行为</w:t>
      </w:r>
    </w:p>
    <w:p w14:paraId="7073CDD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Arial"/>
          <w:sz w:val="21"/>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磋商小组在评审过程中发现供应商有行贿、</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供虚假材料或者串通等违法行为时，有向采购人、采购代理机构或者有关部门报告的职责。</w:t>
      </w:r>
    </w:p>
    <w:p w14:paraId="7B285AA5">
      <w:pPr>
        <w:pStyle w:val="2"/>
        <w:keepNext w:val="0"/>
        <w:keepLines w:val="0"/>
        <w:pageBreakBefore w:val="0"/>
        <w:kinsoku/>
        <w:wordWrap w:val="0"/>
        <w:overflowPunct/>
        <w:topLinePunct w:val="0"/>
        <w:bidi w:val="0"/>
        <w:spacing w:before="78" w:line="221" w:lineRule="auto"/>
        <w:jc w:val="center"/>
        <w:outlineLvl w:val="1"/>
        <w:rPr>
          <w:spacing w:val="-2"/>
          <w:sz w:val="24"/>
          <w:szCs w:val="24"/>
          <w14:textOutline w14:w="1537" w14:cap="flat" w14:cmpd="sng">
            <w14:solidFill>
              <w14:srgbClr w14:val="000000"/>
            </w14:solidFill>
            <w14:prstDash w14:val="solid"/>
            <w14:miter w14:val="0"/>
          </w14:textOutline>
        </w:rPr>
      </w:pPr>
      <w:r>
        <w:rPr>
          <w:spacing w:val="-2"/>
          <w:sz w:val="24"/>
          <w:szCs w:val="24"/>
          <w14:textOutline w14:w="1537" w14:cap="flat" w14:cmpd="sng">
            <w14:solidFill>
              <w14:srgbClr w14:val="000000"/>
            </w14:solidFill>
            <w14:prstDash w14:val="solid"/>
            <w14:miter w14:val="0"/>
          </w14:textOutline>
        </w:rPr>
        <w:t>评审标准</w:t>
      </w:r>
    </w:p>
    <w:p w14:paraId="0CE2C7D6">
      <w:pPr>
        <w:pStyle w:val="18"/>
      </w:pPr>
    </w:p>
    <w:tbl>
      <w:tblPr>
        <w:tblStyle w:val="20"/>
        <w:tblW w:w="85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2"/>
        <w:gridCol w:w="1552"/>
        <w:gridCol w:w="1033"/>
        <w:gridCol w:w="5215"/>
      </w:tblGrid>
      <w:tr w14:paraId="3BC47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32" w:type="dxa"/>
            <w:vAlign w:val="top"/>
          </w:tcPr>
          <w:p w14:paraId="222DA5D4">
            <w:pPr>
              <w:keepNext w:val="0"/>
              <w:keepLines w:val="0"/>
              <w:pageBreakBefore w:val="0"/>
              <w:kinsoku/>
              <w:wordWrap w:val="0"/>
              <w:overflowPunct/>
              <w:topLinePunct w:val="0"/>
              <w:bidi w:val="0"/>
              <w:spacing w:before="40" w:line="208" w:lineRule="auto"/>
              <w:ind w:left="19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552" w:type="dxa"/>
            <w:vAlign w:val="top"/>
          </w:tcPr>
          <w:p w14:paraId="0C91E542">
            <w:pPr>
              <w:keepNext w:val="0"/>
              <w:keepLines w:val="0"/>
              <w:pageBreakBefore w:val="0"/>
              <w:kinsoku/>
              <w:wordWrap w:val="0"/>
              <w:overflowPunct/>
              <w:topLinePunct w:val="0"/>
              <w:bidi w:val="0"/>
              <w:spacing w:before="40" w:line="208" w:lineRule="auto"/>
              <w:ind w:left="26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评分因素</w:t>
            </w:r>
          </w:p>
        </w:tc>
        <w:tc>
          <w:tcPr>
            <w:tcW w:w="1033" w:type="dxa"/>
            <w:vAlign w:val="top"/>
          </w:tcPr>
          <w:p w14:paraId="4F9DE700">
            <w:pPr>
              <w:keepNext w:val="0"/>
              <w:keepLines w:val="0"/>
              <w:pageBreakBefore w:val="0"/>
              <w:kinsoku/>
              <w:wordWrap w:val="0"/>
              <w:overflowPunct/>
              <w:topLinePunct w:val="0"/>
              <w:bidi w:val="0"/>
              <w:spacing w:before="40" w:line="208" w:lineRule="auto"/>
              <w:ind w:firstLine="232"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分值</w:t>
            </w:r>
          </w:p>
        </w:tc>
        <w:tc>
          <w:tcPr>
            <w:tcW w:w="5215" w:type="dxa"/>
            <w:vAlign w:val="top"/>
          </w:tcPr>
          <w:p w14:paraId="0A8A7EE1">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细则</w:t>
            </w:r>
          </w:p>
        </w:tc>
      </w:tr>
      <w:tr w14:paraId="0CCCE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32" w:type="dxa"/>
            <w:vAlign w:val="center"/>
          </w:tcPr>
          <w:p w14:paraId="2572D367">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552" w:type="dxa"/>
            <w:vAlign w:val="center"/>
          </w:tcPr>
          <w:p w14:paraId="2BF3B592">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报价</w:t>
            </w:r>
            <w:r>
              <w:rPr>
                <w:rFonts w:hint="eastAsia" w:asciiTheme="minorEastAsia" w:hAnsiTheme="minorEastAsia" w:eastAsiaTheme="minorEastAsia" w:cstheme="minorEastAsia"/>
                <w:spacing w:val="-3"/>
                <w:sz w:val="24"/>
                <w:szCs w:val="24"/>
                <w:lang w:val="en-US" w:eastAsia="zh-CN"/>
              </w:rPr>
              <w:t>部分</w:t>
            </w:r>
          </w:p>
          <w:p w14:paraId="767522FB">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spacing w:val="-3"/>
                <w:sz w:val="24"/>
                <w:szCs w:val="24"/>
                <w:lang w:val="en-US" w:eastAsia="zh-CN"/>
              </w:rPr>
              <w:t>满分15分</w:t>
            </w:r>
            <w:r>
              <w:rPr>
                <w:rFonts w:hint="eastAsia" w:asciiTheme="minorEastAsia" w:hAnsiTheme="minorEastAsia" w:eastAsiaTheme="minorEastAsia" w:cstheme="minorEastAsia"/>
                <w:spacing w:val="-3"/>
                <w:sz w:val="24"/>
                <w:szCs w:val="24"/>
                <w:lang w:eastAsia="zh-CN"/>
              </w:rPr>
              <w:t>）</w:t>
            </w:r>
          </w:p>
        </w:tc>
        <w:tc>
          <w:tcPr>
            <w:tcW w:w="1033" w:type="dxa"/>
            <w:vAlign w:val="center"/>
          </w:tcPr>
          <w:p w14:paraId="19596A63">
            <w:pPr>
              <w:pStyle w:val="21"/>
              <w:keepNext w:val="0"/>
              <w:keepLines w:val="0"/>
              <w:pageBreakBefore w:val="0"/>
              <w:kinsoku/>
              <w:wordWrap w:val="0"/>
              <w:overflowPunct/>
              <w:topLinePunct w:val="0"/>
              <w:bidi w:val="0"/>
              <w:jc w:val="center"/>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磋商</w:t>
            </w:r>
            <w:r>
              <w:rPr>
                <w:rFonts w:hint="eastAsia" w:ascii="宋体" w:hAnsi="宋体" w:eastAsia="宋体" w:cs="宋体"/>
                <w:spacing w:val="-3"/>
                <w:sz w:val="24"/>
                <w:szCs w:val="24"/>
              </w:rPr>
              <w:t>报价</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15分</w:t>
            </w:r>
            <w:r>
              <w:rPr>
                <w:rFonts w:hint="eastAsia" w:ascii="宋体" w:hAnsi="宋体" w:eastAsia="宋体" w:cs="宋体"/>
                <w:spacing w:val="-3"/>
                <w:sz w:val="24"/>
                <w:szCs w:val="24"/>
                <w:lang w:eastAsia="zh-CN"/>
              </w:rPr>
              <w:t>）</w:t>
            </w:r>
          </w:p>
        </w:tc>
        <w:tc>
          <w:tcPr>
            <w:tcW w:w="5215" w:type="dxa"/>
            <w:vAlign w:val="top"/>
          </w:tcPr>
          <w:p w14:paraId="2EB22854">
            <w:pPr>
              <w:keepNext w:val="0"/>
              <w:keepLines w:val="0"/>
              <w:pageBreakBefore w:val="0"/>
              <w:kinsoku/>
              <w:wordWrap w:val="0"/>
              <w:overflowPunct/>
              <w:topLinePunct w:val="0"/>
              <w:bidi w:val="0"/>
              <w:spacing w:before="191" w:line="235" w:lineRule="auto"/>
              <w:ind w:left="113" w:right="103" w:firstLine="52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0"/>
                <w:sz w:val="24"/>
                <w:szCs w:val="24"/>
              </w:rPr>
              <w:t>文件要求且</w:t>
            </w:r>
            <w:r>
              <w:rPr>
                <w:rFonts w:hint="eastAsia" w:asciiTheme="minorEastAsia" w:hAnsiTheme="minorEastAsia" w:eastAsiaTheme="minorEastAsia" w:cstheme="minorEastAsia"/>
                <w:spacing w:val="10"/>
                <w:sz w:val="24"/>
                <w:szCs w:val="24"/>
                <w:lang w:val="en-US" w:eastAsia="zh-CN"/>
              </w:rPr>
              <w:t>磋商</w:t>
            </w:r>
            <w:r>
              <w:rPr>
                <w:rFonts w:hint="eastAsia" w:asciiTheme="minorEastAsia" w:hAnsiTheme="minorEastAsia" w:eastAsiaTheme="minorEastAsia" w:cstheme="minorEastAsia"/>
                <w:spacing w:val="10"/>
                <w:sz w:val="24"/>
                <w:szCs w:val="24"/>
              </w:rPr>
              <w:t>价格最低</w:t>
            </w:r>
            <w:r>
              <w:rPr>
                <w:rFonts w:hint="eastAsia" w:asciiTheme="minorEastAsia" w:hAnsiTheme="minorEastAsia" w:eastAsiaTheme="minorEastAsia" w:cstheme="minorEastAsia"/>
                <w:spacing w:val="-13"/>
                <w:sz w:val="24"/>
                <w:szCs w:val="24"/>
              </w:rPr>
              <w:t>的</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rPr>
              <w:t>报价为评标基准价，其价格分</w:t>
            </w:r>
            <w:r>
              <w:rPr>
                <w:rFonts w:hint="eastAsia" w:asciiTheme="minorEastAsia" w:hAnsiTheme="minorEastAsia" w:eastAsiaTheme="minorEastAsia" w:cstheme="minorEastAsia"/>
                <w:spacing w:val="-6"/>
                <w:sz w:val="24"/>
                <w:szCs w:val="24"/>
              </w:rPr>
              <w:t>为满分。其他</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6"/>
                <w:sz w:val="24"/>
                <w:szCs w:val="24"/>
              </w:rPr>
              <w:t>的价格分统一按</w:t>
            </w:r>
            <w:r>
              <w:rPr>
                <w:rFonts w:hint="eastAsia" w:asciiTheme="minorEastAsia" w:hAnsiTheme="minorEastAsia" w:eastAsiaTheme="minorEastAsia" w:cstheme="minorEastAsia"/>
                <w:spacing w:val="-8"/>
                <w:sz w:val="24"/>
                <w:szCs w:val="24"/>
              </w:rPr>
              <w:t>照下列公式计算：</w:t>
            </w:r>
          </w:p>
          <w:p w14:paraId="6F633F54">
            <w:pPr>
              <w:pStyle w:val="21"/>
              <w:keepNext w:val="0"/>
              <w:keepLines w:val="0"/>
              <w:pageBreakBefore w:val="0"/>
              <w:kinsoku/>
              <w:wordWrap w:val="0"/>
              <w:overflowPunct/>
              <w:topLinePunct w:val="0"/>
              <w:bidi w:val="0"/>
              <w:spacing w:before="26" w:line="228" w:lineRule="auto"/>
              <w:ind w:left="111" w:right="103" w:firstLine="508"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报价得分</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7"/>
                <w:sz w:val="24"/>
                <w:szCs w:val="24"/>
              </w:rPr>
              <w:t>评标基准价/</w:t>
            </w: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12"/>
                <w:sz w:val="24"/>
                <w:szCs w:val="24"/>
              </w:rPr>
              <w:t>报价）×</w:t>
            </w:r>
            <w:r>
              <w:rPr>
                <w:rFonts w:hint="eastAsia" w:asciiTheme="minorEastAsia" w:hAnsiTheme="minorEastAsia" w:eastAsiaTheme="minorEastAsia" w:cstheme="minorEastAsia"/>
                <w:spacing w:val="-12"/>
                <w:sz w:val="24"/>
                <w:szCs w:val="24"/>
                <w:lang w:val="en-US" w:eastAsia="zh-CN"/>
              </w:rPr>
              <w:t>15分</w:t>
            </w:r>
            <w:r>
              <w:rPr>
                <w:rFonts w:hint="eastAsia" w:asciiTheme="minorEastAsia" w:hAnsiTheme="minorEastAsia" w:eastAsiaTheme="minorEastAsia" w:cstheme="minorEastAsia"/>
                <w:spacing w:val="-12"/>
                <w:sz w:val="24"/>
                <w:szCs w:val="24"/>
              </w:rPr>
              <w:t>。</w:t>
            </w:r>
          </w:p>
        </w:tc>
      </w:tr>
      <w:tr w14:paraId="37AEA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restart"/>
            <w:vAlign w:val="center"/>
          </w:tcPr>
          <w:p w14:paraId="62421450">
            <w:pPr>
              <w:pStyle w:val="21"/>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w:t>
            </w:r>
          </w:p>
        </w:tc>
        <w:tc>
          <w:tcPr>
            <w:tcW w:w="1552" w:type="dxa"/>
            <w:vMerge w:val="restart"/>
            <w:vAlign w:val="center"/>
          </w:tcPr>
          <w:p w14:paraId="11AABC73">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方案部分</w:t>
            </w:r>
          </w:p>
          <w:p w14:paraId="04B5B2BD">
            <w:pPr>
              <w:keepNext w:val="0"/>
              <w:keepLines w:val="0"/>
              <w:pageBreakBefore w:val="0"/>
              <w:kinsoku/>
              <w:wordWrap w:val="0"/>
              <w:overflowPunct/>
              <w:topLinePunct w:val="0"/>
              <w:bidi w:val="0"/>
              <w:spacing w:before="78" w:line="219" w:lineRule="auto"/>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（满分49分）</w:t>
            </w:r>
          </w:p>
        </w:tc>
        <w:tc>
          <w:tcPr>
            <w:tcW w:w="1033" w:type="dxa"/>
            <w:vAlign w:val="center"/>
          </w:tcPr>
          <w:p w14:paraId="212847EE">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项目整体服务方案</w:t>
            </w:r>
          </w:p>
          <w:p w14:paraId="1F9F0D46">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（1</w:t>
            </w:r>
            <w:r>
              <w:rPr>
                <w:rFonts w:hint="eastAsia" w:ascii="宋体" w:hAnsi="宋体" w:eastAsia="宋体" w:cs="宋体"/>
                <w:snapToGrid w:val="0"/>
                <w:color w:val="000000"/>
                <w:spacing w:val="-13"/>
                <w:kern w:val="0"/>
                <w:sz w:val="24"/>
                <w:szCs w:val="24"/>
                <w:lang w:val="en-US" w:eastAsia="zh-CN" w:bidi="ar-SA"/>
              </w:rPr>
              <w:t>0</w:t>
            </w:r>
            <w:r>
              <w:rPr>
                <w:rFonts w:hint="eastAsia" w:ascii="宋体" w:hAnsi="宋体" w:eastAsia="宋体" w:cs="宋体"/>
                <w:snapToGrid w:val="0"/>
                <w:color w:val="000000"/>
                <w:spacing w:val="-13"/>
                <w:kern w:val="0"/>
                <w:sz w:val="24"/>
                <w:szCs w:val="24"/>
                <w:lang w:val="en-US" w:eastAsia="en-US" w:bidi="ar-SA"/>
              </w:rPr>
              <w:t>分）</w:t>
            </w:r>
          </w:p>
        </w:tc>
        <w:tc>
          <w:tcPr>
            <w:tcW w:w="5215" w:type="dxa"/>
            <w:vAlign w:val="top"/>
          </w:tcPr>
          <w:p w14:paraId="3A0CD1BC">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针对本项目的工作思路和方案，</w:t>
            </w:r>
            <w:r>
              <w:rPr>
                <w:rFonts w:hint="eastAsia" w:asciiTheme="minorEastAsia" w:hAnsiTheme="minorEastAsia" w:eastAsiaTheme="minorEastAsia" w:cstheme="minorEastAsia"/>
                <w:snapToGrid w:val="0"/>
                <w:color w:val="000000"/>
                <w:spacing w:val="-13"/>
                <w:kern w:val="0"/>
                <w:sz w:val="24"/>
                <w:szCs w:val="24"/>
                <w:lang w:val="en-US" w:eastAsia="zh-CN" w:bidi="ar-SA"/>
              </w:rPr>
              <w:t>结合</w:t>
            </w:r>
            <w:r>
              <w:rPr>
                <w:rFonts w:hint="eastAsia" w:asciiTheme="minorEastAsia" w:hAnsiTheme="minorEastAsia" w:eastAsiaTheme="minorEastAsia" w:cstheme="minorEastAsia"/>
                <w:snapToGrid w:val="0"/>
                <w:color w:val="000000"/>
                <w:spacing w:val="-13"/>
                <w:kern w:val="0"/>
                <w:sz w:val="24"/>
                <w:szCs w:val="24"/>
                <w:lang w:val="en-US" w:eastAsia="en-US" w:bidi="ar-SA"/>
              </w:rPr>
              <w:t>服务模式、服务机制、人员配备、人员管理等情况。深入分析，能够体现本项目特点，明确服务重点和管理重点，提出明确可行的管理服务模式和机制，科学拟定组织机构和运作方案。方案须具有合理性、详细性、可操作性。</w:t>
            </w:r>
          </w:p>
          <w:p w14:paraId="52B295C8">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服务</w:t>
            </w:r>
            <w:r>
              <w:rPr>
                <w:rFonts w:hint="eastAsia" w:asciiTheme="minorEastAsia" w:hAnsiTheme="minorEastAsia" w:eastAsiaTheme="minorEastAsia" w:cstheme="minorEastAsia"/>
                <w:snapToGrid w:val="0"/>
                <w:color w:val="000000"/>
                <w:spacing w:val="-13"/>
                <w:kern w:val="0"/>
                <w:sz w:val="24"/>
                <w:szCs w:val="24"/>
                <w:lang w:val="en-US" w:eastAsia="en-US" w:bidi="ar-SA"/>
              </w:rPr>
              <w:t>方案</w:t>
            </w:r>
            <w:r>
              <w:rPr>
                <w:rFonts w:hint="eastAsia" w:asciiTheme="minorEastAsia" w:hAnsiTheme="minorEastAsia" w:eastAsiaTheme="minorEastAsia" w:cstheme="minorEastAsia"/>
                <w:snapToGrid w:val="0"/>
                <w:color w:val="000000"/>
                <w:spacing w:val="-13"/>
                <w:kern w:val="0"/>
                <w:sz w:val="24"/>
                <w:szCs w:val="24"/>
                <w:lang w:val="en-US" w:eastAsia="zh-CN" w:bidi="ar-SA"/>
              </w:rPr>
              <w:t>科学</w:t>
            </w:r>
            <w:r>
              <w:rPr>
                <w:rFonts w:hint="eastAsia" w:asciiTheme="minorEastAsia" w:hAnsiTheme="minorEastAsia" w:eastAsiaTheme="minorEastAsia" w:cstheme="minorEastAsia"/>
                <w:snapToGrid w:val="0"/>
                <w:color w:val="000000"/>
                <w:spacing w:val="-13"/>
                <w:kern w:val="0"/>
                <w:sz w:val="24"/>
                <w:szCs w:val="24"/>
                <w:lang w:val="en-US" w:eastAsia="en-US" w:bidi="ar-SA"/>
              </w:rPr>
              <w:t>合理、</w:t>
            </w:r>
            <w:r>
              <w:rPr>
                <w:rFonts w:hint="eastAsia" w:asciiTheme="minorEastAsia" w:hAnsiTheme="minorEastAsia" w:eastAsiaTheme="minorEastAsia" w:cstheme="minorEastAsia"/>
                <w:snapToGrid w:val="0"/>
                <w:color w:val="000000"/>
                <w:spacing w:val="-13"/>
                <w:kern w:val="0"/>
                <w:sz w:val="24"/>
                <w:szCs w:val="24"/>
                <w:lang w:val="en-US" w:eastAsia="zh-CN" w:bidi="ar-SA"/>
              </w:rPr>
              <w:t>内容</w:t>
            </w:r>
            <w:r>
              <w:rPr>
                <w:rFonts w:hint="eastAsia" w:asciiTheme="minorEastAsia" w:hAnsiTheme="minorEastAsia" w:eastAsiaTheme="minorEastAsia" w:cstheme="minorEastAsia"/>
                <w:snapToGrid w:val="0"/>
                <w:color w:val="000000"/>
                <w:spacing w:val="-13"/>
                <w:kern w:val="0"/>
                <w:sz w:val="24"/>
                <w:szCs w:val="24"/>
                <w:lang w:val="en-US" w:eastAsia="en-US" w:bidi="ar-SA"/>
              </w:rPr>
              <w:t>完整，</w:t>
            </w:r>
            <w:r>
              <w:rPr>
                <w:rFonts w:hint="eastAsia" w:asciiTheme="minorEastAsia" w:hAnsiTheme="minorEastAsia" w:eastAsiaTheme="minorEastAsia" w:cstheme="minorEastAsia"/>
                <w:snapToGrid w:val="0"/>
                <w:color w:val="000000"/>
                <w:spacing w:val="-13"/>
                <w:kern w:val="0"/>
                <w:sz w:val="24"/>
                <w:szCs w:val="24"/>
                <w:lang w:val="en-US" w:eastAsia="zh-CN" w:bidi="ar-SA"/>
              </w:rPr>
              <w:t>能够紧扣项目特点，</w:t>
            </w:r>
            <w:r>
              <w:rPr>
                <w:rFonts w:hint="eastAsia" w:asciiTheme="minorEastAsia" w:hAnsiTheme="minorEastAsia" w:eastAsiaTheme="minorEastAsia" w:cstheme="minorEastAsia"/>
                <w:snapToGrid w:val="0"/>
                <w:color w:val="000000"/>
                <w:spacing w:val="-13"/>
                <w:kern w:val="0"/>
                <w:sz w:val="24"/>
                <w:szCs w:val="24"/>
                <w:lang w:val="en-US" w:eastAsia="en-US" w:bidi="ar-SA"/>
              </w:rPr>
              <w:t>完全满足服务需求的得1</w:t>
            </w:r>
            <w:r>
              <w:rPr>
                <w:rFonts w:hint="eastAsia" w:asciiTheme="minorEastAsia" w:hAnsiTheme="minorEastAsia" w:eastAsiaTheme="minorEastAsia" w:cstheme="minorEastAsia"/>
                <w:snapToGrid w:val="0"/>
                <w:color w:val="000000"/>
                <w:spacing w:val="-13"/>
                <w:kern w:val="0"/>
                <w:sz w:val="24"/>
                <w:szCs w:val="24"/>
                <w:lang w:val="en-US" w:eastAsia="zh-CN" w:bidi="ar-SA"/>
              </w:rPr>
              <w:t>0</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3EB6366B">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方案、措施基本完整、合理，</w:t>
            </w:r>
            <w:r>
              <w:rPr>
                <w:rFonts w:hint="eastAsia" w:asciiTheme="minorEastAsia" w:hAnsiTheme="minorEastAsia" w:eastAsiaTheme="minorEastAsia" w:cstheme="minorEastAsia"/>
                <w:snapToGrid w:val="0"/>
                <w:color w:val="000000"/>
                <w:spacing w:val="-13"/>
                <w:kern w:val="0"/>
                <w:sz w:val="24"/>
                <w:szCs w:val="24"/>
                <w:lang w:val="en-US" w:eastAsia="zh-CN" w:bidi="ar-SA"/>
              </w:rPr>
              <w:t>能从实际出发，</w:t>
            </w:r>
            <w:r>
              <w:rPr>
                <w:rFonts w:hint="eastAsia" w:asciiTheme="minorEastAsia" w:hAnsiTheme="minorEastAsia" w:eastAsiaTheme="minorEastAsia" w:cstheme="minorEastAsia"/>
                <w:snapToGrid w:val="0"/>
                <w:color w:val="000000"/>
                <w:spacing w:val="-13"/>
                <w:kern w:val="0"/>
                <w:sz w:val="24"/>
                <w:szCs w:val="24"/>
                <w:lang w:val="en-US" w:eastAsia="en-US" w:bidi="ar-SA"/>
              </w:rPr>
              <w:t>基本满足服务需求的得</w:t>
            </w:r>
            <w:r>
              <w:rPr>
                <w:rFonts w:hint="eastAsia" w:asciiTheme="minorEastAsia" w:hAnsiTheme="minorEastAsia" w:eastAsiaTheme="minorEastAsia" w:cstheme="minorEastAsia"/>
                <w:snapToGrid w:val="0"/>
                <w:color w:val="000000"/>
                <w:spacing w:val="-13"/>
                <w:kern w:val="0"/>
                <w:sz w:val="24"/>
                <w:szCs w:val="24"/>
                <w:lang w:val="en-US" w:eastAsia="zh-CN" w:bidi="ar-SA"/>
              </w:rPr>
              <w:t>7</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425FC391">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方案、措施</w:t>
            </w:r>
            <w:r>
              <w:rPr>
                <w:rFonts w:hint="eastAsia" w:asciiTheme="minorEastAsia" w:hAnsiTheme="minorEastAsia" w:eastAsiaTheme="minorEastAsia" w:cstheme="minorEastAsia"/>
                <w:snapToGrid w:val="0"/>
                <w:color w:val="000000"/>
                <w:spacing w:val="-13"/>
                <w:kern w:val="0"/>
                <w:sz w:val="24"/>
                <w:szCs w:val="24"/>
                <w:lang w:val="en-US" w:eastAsia="zh-CN" w:bidi="ar-SA"/>
              </w:rPr>
              <w:t>内容粗略、</w:t>
            </w:r>
            <w:r>
              <w:rPr>
                <w:rFonts w:hint="eastAsia" w:asciiTheme="minorEastAsia" w:hAnsiTheme="minorEastAsia" w:eastAsiaTheme="minorEastAsia" w:cstheme="minorEastAsia"/>
                <w:snapToGrid w:val="0"/>
                <w:color w:val="000000"/>
                <w:spacing w:val="-13"/>
                <w:kern w:val="0"/>
                <w:sz w:val="24"/>
                <w:szCs w:val="24"/>
                <w:lang w:val="en-US" w:eastAsia="en-US" w:bidi="ar-SA"/>
              </w:rPr>
              <w:t>笼统，</w:t>
            </w:r>
            <w:r>
              <w:rPr>
                <w:rFonts w:hint="eastAsia" w:asciiTheme="minorEastAsia" w:hAnsiTheme="minorEastAsia" w:eastAsiaTheme="minorEastAsia" w:cstheme="minorEastAsia"/>
                <w:snapToGrid w:val="0"/>
                <w:color w:val="000000"/>
                <w:spacing w:val="-13"/>
                <w:kern w:val="0"/>
                <w:sz w:val="24"/>
                <w:szCs w:val="24"/>
                <w:lang w:val="en-US" w:eastAsia="zh-CN" w:bidi="ar-SA"/>
              </w:rPr>
              <w:t>缺乏</w:t>
            </w:r>
            <w:r>
              <w:rPr>
                <w:rFonts w:hint="eastAsia" w:asciiTheme="minorEastAsia" w:hAnsiTheme="minorEastAsia" w:eastAsiaTheme="minorEastAsia" w:cstheme="minorEastAsia"/>
                <w:snapToGrid w:val="0"/>
                <w:color w:val="000000"/>
                <w:spacing w:val="-13"/>
                <w:kern w:val="0"/>
                <w:sz w:val="24"/>
                <w:szCs w:val="24"/>
                <w:lang w:val="en-US" w:eastAsia="en-US" w:bidi="ar-SA"/>
              </w:rPr>
              <w:t>实用性</w:t>
            </w:r>
            <w:r>
              <w:rPr>
                <w:rFonts w:hint="eastAsia" w:asciiTheme="minorEastAsia" w:hAnsiTheme="minorEastAsia" w:eastAsiaTheme="minorEastAsia" w:cstheme="minorEastAsia"/>
                <w:snapToGrid w:val="0"/>
                <w:color w:val="000000"/>
                <w:spacing w:val="-13"/>
                <w:kern w:val="0"/>
                <w:sz w:val="24"/>
                <w:szCs w:val="24"/>
                <w:lang w:val="en-US" w:eastAsia="zh-CN" w:bidi="ar-SA"/>
              </w:rPr>
              <w:t>、针对性</w:t>
            </w:r>
            <w:r>
              <w:rPr>
                <w:rFonts w:hint="eastAsia" w:asciiTheme="minorEastAsia" w:hAnsiTheme="minorEastAsia" w:eastAsiaTheme="minorEastAsia" w:cstheme="minorEastAsia"/>
                <w:snapToGrid w:val="0"/>
                <w:color w:val="000000"/>
                <w:spacing w:val="-13"/>
                <w:kern w:val="0"/>
                <w:sz w:val="24"/>
                <w:szCs w:val="24"/>
                <w:lang w:val="en-US" w:eastAsia="en-US" w:bidi="ar-SA"/>
              </w:rPr>
              <w:t>，需要改进的得4分；</w:t>
            </w:r>
          </w:p>
          <w:p w14:paraId="375B645D">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有方案但可行性差</w:t>
            </w:r>
            <w:r>
              <w:rPr>
                <w:rFonts w:hint="eastAsia" w:asciiTheme="minorEastAsia" w:hAnsiTheme="minorEastAsia" w:eastAsiaTheme="minorEastAsia" w:cstheme="minorEastAsia"/>
                <w:snapToGrid w:val="0"/>
                <w:color w:val="000000"/>
                <w:spacing w:val="-13"/>
                <w:kern w:val="0"/>
                <w:sz w:val="24"/>
                <w:szCs w:val="24"/>
                <w:lang w:val="en-US" w:eastAsia="zh-CN" w:bidi="ar-SA"/>
              </w:rPr>
              <w:t>，无法满足项目需求</w:t>
            </w:r>
            <w:r>
              <w:rPr>
                <w:rFonts w:hint="eastAsia" w:asciiTheme="minorEastAsia" w:hAnsiTheme="minorEastAsia" w:eastAsiaTheme="minorEastAsia" w:cstheme="minorEastAsia"/>
                <w:snapToGrid w:val="0"/>
                <w:color w:val="000000"/>
                <w:spacing w:val="-13"/>
                <w:kern w:val="0"/>
                <w:sz w:val="24"/>
                <w:szCs w:val="24"/>
                <w:lang w:val="en-US" w:eastAsia="en-US" w:bidi="ar-SA"/>
              </w:rPr>
              <w:t>的</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eastAsia" w:asciiTheme="minorEastAsia" w:hAnsiTheme="minorEastAsia" w:eastAsiaTheme="minorEastAsia" w:cstheme="minorEastAsia"/>
                <w:snapToGrid w:val="0"/>
                <w:color w:val="000000"/>
                <w:spacing w:val="-13"/>
                <w:kern w:val="0"/>
                <w:sz w:val="24"/>
                <w:szCs w:val="24"/>
                <w:lang w:val="en-US" w:eastAsia="en-US" w:bidi="ar-SA"/>
              </w:rPr>
              <w:t>得1分；</w:t>
            </w:r>
          </w:p>
          <w:p w14:paraId="248E97B2">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4043D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continue"/>
            <w:vAlign w:val="center"/>
          </w:tcPr>
          <w:p w14:paraId="227BAB8D">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52" w:type="dxa"/>
            <w:vMerge w:val="continue"/>
            <w:vAlign w:val="center"/>
          </w:tcPr>
          <w:p w14:paraId="3478866B">
            <w:pPr>
              <w:keepNext w:val="0"/>
              <w:keepLines w:val="0"/>
              <w:pageBreakBefore w:val="0"/>
              <w:kinsoku/>
              <w:wordWrap w:val="0"/>
              <w:overflowPunct/>
              <w:topLinePunct w:val="0"/>
              <w:bidi w:val="0"/>
              <w:spacing w:before="78" w:line="219"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33" w:type="dxa"/>
            <w:vAlign w:val="center"/>
          </w:tcPr>
          <w:p w14:paraId="63B6E46F">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项目规章制度</w:t>
            </w:r>
          </w:p>
          <w:p w14:paraId="454950A2">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（10分）</w:t>
            </w:r>
          </w:p>
        </w:tc>
        <w:tc>
          <w:tcPr>
            <w:tcW w:w="5215" w:type="dxa"/>
            <w:vAlign w:val="top"/>
          </w:tcPr>
          <w:p w14:paraId="1F6F85BA">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依据各供应商安保管理制度（各项工作制度、岗位责任制度、考核监督制度等）、档案管理制度及其他综合管理制度是否科学合理、健全完备，是否体现高标准、高质量要求等方面进行评审。</w:t>
            </w:r>
          </w:p>
          <w:p w14:paraId="3FC0D8E8">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规章制度内容完善、</w:t>
            </w:r>
            <w:r>
              <w:rPr>
                <w:rFonts w:hint="eastAsia" w:asciiTheme="minorEastAsia" w:hAnsiTheme="minorEastAsia" w:eastAsiaTheme="minorEastAsia" w:cstheme="minorEastAsia"/>
                <w:snapToGrid w:val="0"/>
                <w:color w:val="000000"/>
                <w:spacing w:val="-13"/>
                <w:kern w:val="0"/>
                <w:sz w:val="24"/>
                <w:szCs w:val="24"/>
                <w:lang w:val="en-US" w:eastAsia="en-US" w:bidi="ar-SA"/>
              </w:rPr>
              <w:t>科学可行，管理标准高，职责划分清晰，考核严密的得10分；</w:t>
            </w:r>
          </w:p>
          <w:p w14:paraId="1804D4E8">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管理制度</w:t>
            </w:r>
            <w:r>
              <w:rPr>
                <w:rFonts w:hint="eastAsia" w:asciiTheme="minorEastAsia" w:hAnsiTheme="minorEastAsia" w:eastAsiaTheme="minorEastAsia" w:cstheme="minorEastAsia"/>
                <w:snapToGrid w:val="0"/>
                <w:color w:val="000000"/>
                <w:spacing w:val="-13"/>
                <w:kern w:val="0"/>
                <w:sz w:val="24"/>
                <w:szCs w:val="24"/>
                <w:lang w:val="en-US" w:eastAsia="zh-CN" w:bidi="ar-SA"/>
              </w:rPr>
              <w:t>较为完整、</w:t>
            </w:r>
            <w:r>
              <w:rPr>
                <w:rFonts w:hint="eastAsia" w:asciiTheme="minorEastAsia" w:hAnsiTheme="minorEastAsia" w:eastAsiaTheme="minorEastAsia" w:cstheme="minorEastAsia"/>
                <w:snapToGrid w:val="0"/>
                <w:color w:val="000000"/>
                <w:spacing w:val="-13"/>
                <w:kern w:val="0"/>
                <w:sz w:val="24"/>
                <w:szCs w:val="24"/>
                <w:lang w:val="en-US" w:eastAsia="en-US" w:bidi="ar-SA"/>
              </w:rPr>
              <w:t>合理，可操作性</w:t>
            </w:r>
            <w:r>
              <w:rPr>
                <w:rFonts w:hint="eastAsia" w:asciiTheme="minorEastAsia" w:hAnsiTheme="minorEastAsia" w:eastAsiaTheme="minorEastAsia" w:cstheme="minorEastAsia"/>
                <w:snapToGrid w:val="0"/>
                <w:color w:val="000000"/>
                <w:spacing w:val="-13"/>
                <w:kern w:val="0"/>
                <w:sz w:val="24"/>
                <w:szCs w:val="24"/>
                <w:lang w:val="en-US" w:eastAsia="zh-CN" w:bidi="ar-SA"/>
              </w:rPr>
              <w:t>较强</w:t>
            </w:r>
            <w:r>
              <w:rPr>
                <w:rFonts w:hint="eastAsia" w:asciiTheme="minorEastAsia" w:hAnsiTheme="minorEastAsia" w:eastAsiaTheme="minorEastAsia" w:cstheme="minorEastAsia"/>
                <w:snapToGrid w:val="0"/>
                <w:color w:val="000000"/>
                <w:spacing w:val="-13"/>
                <w:kern w:val="0"/>
                <w:sz w:val="24"/>
                <w:szCs w:val="24"/>
                <w:lang w:val="en-US" w:eastAsia="en-US" w:bidi="ar-SA"/>
              </w:rPr>
              <w:t>，有完整的工作标准、岗位考核等</w:t>
            </w:r>
            <w:r>
              <w:rPr>
                <w:rFonts w:hint="eastAsia" w:asciiTheme="minorEastAsia" w:hAnsiTheme="minorEastAsia" w:eastAsiaTheme="minorEastAsia" w:cstheme="minorEastAsia"/>
                <w:snapToGrid w:val="0"/>
                <w:color w:val="000000"/>
                <w:spacing w:val="-13"/>
                <w:kern w:val="0"/>
                <w:sz w:val="24"/>
                <w:szCs w:val="24"/>
                <w:lang w:val="en-US" w:eastAsia="zh-CN" w:bidi="ar-SA"/>
              </w:rPr>
              <w:t>内容</w:t>
            </w:r>
            <w:r>
              <w:rPr>
                <w:rFonts w:hint="eastAsia" w:asciiTheme="minorEastAsia" w:hAnsiTheme="minorEastAsia" w:eastAsiaTheme="minorEastAsia" w:cstheme="minorEastAsia"/>
                <w:snapToGrid w:val="0"/>
                <w:color w:val="000000"/>
                <w:spacing w:val="-13"/>
                <w:kern w:val="0"/>
                <w:sz w:val="24"/>
                <w:szCs w:val="24"/>
                <w:lang w:val="en-US" w:eastAsia="en-US" w:bidi="ar-SA"/>
              </w:rPr>
              <w:t>，得7分；</w:t>
            </w:r>
          </w:p>
          <w:p w14:paraId="47BA14CB">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管理制度</w:t>
            </w:r>
            <w:r>
              <w:rPr>
                <w:rFonts w:hint="eastAsia" w:asciiTheme="minorEastAsia" w:hAnsiTheme="minorEastAsia" w:eastAsiaTheme="minorEastAsia" w:cstheme="minorEastAsia"/>
                <w:snapToGrid w:val="0"/>
                <w:color w:val="000000"/>
                <w:spacing w:val="-13"/>
                <w:kern w:val="0"/>
                <w:sz w:val="24"/>
                <w:szCs w:val="24"/>
                <w:lang w:val="en-US" w:eastAsia="zh-CN" w:bidi="ar-SA"/>
              </w:rPr>
              <w:t>简单</w:t>
            </w:r>
            <w:r>
              <w:rPr>
                <w:rFonts w:hint="eastAsia" w:asciiTheme="minorEastAsia" w:hAnsiTheme="minorEastAsia" w:eastAsiaTheme="minorEastAsia" w:cstheme="minorEastAsia"/>
                <w:snapToGrid w:val="0"/>
                <w:color w:val="000000"/>
                <w:spacing w:val="-13"/>
                <w:kern w:val="0"/>
                <w:sz w:val="24"/>
                <w:szCs w:val="24"/>
                <w:lang w:val="en-US" w:eastAsia="en-US" w:bidi="ar-SA"/>
              </w:rPr>
              <w:t>，可操作性</w:t>
            </w:r>
            <w:r>
              <w:rPr>
                <w:rFonts w:hint="eastAsia" w:asciiTheme="minorEastAsia" w:hAnsiTheme="minorEastAsia" w:eastAsiaTheme="minorEastAsia" w:cstheme="minorEastAsia"/>
                <w:snapToGrid w:val="0"/>
                <w:color w:val="000000"/>
                <w:spacing w:val="-13"/>
                <w:kern w:val="0"/>
                <w:sz w:val="24"/>
                <w:szCs w:val="24"/>
                <w:lang w:val="en-US" w:eastAsia="zh-CN" w:bidi="ar-SA"/>
              </w:rPr>
              <w:t>一般</w:t>
            </w:r>
            <w:r>
              <w:rPr>
                <w:rFonts w:hint="eastAsia" w:asciiTheme="minorEastAsia" w:hAnsiTheme="minorEastAsia" w:eastAsiaTheme="minorEastAsia" w:cstheme="minorEastAsia"/>
                <w:snapToGrid w:val="0"/>
                <w:color w:val="000000"/>
                <w:spacing w:val="-13"/>
                <w:kern w:val="0"/>
                <w:sz w:val="24"/>
                <w:szCs w:val="24"/>
                <w:lang w:val="en-US" w:eastAsia="en-US" w:bidi="ar-SA"/>
              </w:rPr>
              <w:t>，工作标准、岗位考核等</w:t>
            </w:r>
            <w:r>
              <w:rPr>
                <w:rFonts w:hint="eastAsia" w:asciiTheme="minorEastAsia" w:hAnsiTheme="minorEastAsia" w:eastAsiaTheme="minorEastAsia" w:cstheme="minorEastAsia"/>
                <w:snapToGrid w:val="0"/>
                <w:color w:val="000000"/>
                <w:spacing w:val="-13"/>
                <w:kern w:val="0"/>
                <w:sz w:val="24"/>
                <w:szCs w:val="24"/>
                <w:lang w:val="en-US" w:eastAsia="zh-CN" w:bidi="ar-SA"/>
              </w:rPr>
              <w:t>内容乏操作性的</w:t>
            </w:r>
            <w:r>
              <w:rPr>
                <w:rFonts w:hint="eastAsia" w:asciiTheme="minorEastAsia" w:hAnsiTheme="minorEastAsia" w:eastAsiaTheme="minorEastAsia" w:cstheme="minorEastAsia"/>
                <w:snapToGrid w:val="0"/>
                <w:color w:val="000000"/>
                <w:spacing w:val="-13"/>
                <w:kern w:val="0"/>
                <w:sz w:val="24"/>
                <w:szCs w:val="24"/>
                <w:lang w:val="en-US" w:eastAsia="en-US" w:bidi="ar-SA"/>
              </w:rPr>
              <w:t>，得4分；</w:t>
            </w:r>
          </w:p>
          <w:p w14:paraId="787DF414">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管理制度</w:t>
            </w:r>
            <w:r>
              <w:rPr>
                <w:rFonts w:hint="eastAsia" w:asciiTheme="minorEastAsia" w:hAnsiTheme="minorEastAsia" w:eastAsiaTheme="minorEastAsia" w:cstheme="minorEastAsia"/>
                <w:snapToGrid w:val="0"/>
                <w:color w:val="000000"/>
                <w:spacing w:val="-13"/>
                <w:kern w:val="0"/>
                <w:sz w:val="24"/>
                <w:szCs w:val="24"/>
                <w:lang w:val="en-US" w:eastAsia="en-US" w:bidi="ar-SA"/>
              </w:rPr>
              <w:t>岗位责任划分不清晰，考核简单，管理标准</w:t>
            </w:r>
            <w:r>
              <w:rPr>
                <w:rFonts w:hint="eastAsia" w:asciiTheme="minorEastAsia" w:hAnsiTheme="minorEastAsia" w:eastAsiaTheme="minorEastAsia" w:cstheme="minorEastAsia"/>
                <w:snapToGrid w:val="0"/>
                <w:color w:val="000000"/>
                <w:spacing w:val="-13"/>
                <w:kern w:val="0"/>
                <w:sz w:val="24"/>
                <w:szCs w:val="24"/>
                <w:lang w:val="en-US" w:eastAsia="zh-CN" w:bidi="ar-SA"/>
              </w:rPr>
              <w:t>混乱，无法满足需求</w:t>
            </w:r>
            <w:r>
              <w:rPr>
                <w:rFonts w:hint="eastAsia" w:asciiTheme="minorEastAsia" w:hAnsiTheme="minorEastAsia" w:eastAsiaTheme="minorEastAsia" w:cstheme="minorEastAsia"/>
                <w:snapToGrid w:val="0"/>
                <w:color w:val="000000"/>
                <w:spacing w:val="-13"/>
                <w:kern w:val="0"/>
                <w:sz w:val="24"/>
                <w:szCs w:val="24"/>
                <w:lang w:val="en-US" w:eastAsia="en-US" w:bidi="ar-SA"/>
              </w:rPr>
              <w:t>的得1分；</w:t>
            </w:r>
          </w:p>
          <w:p w14:paraId="4E965CCF">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38653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continue"/>
            <w:vAlign w:val="center"/>
          </w:tcPr>
          <w:p w14:paraId="42B41E1F">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52" w:type="dxa"/>
            <w:vMerge w:val="continue"/>
            <w:vAlign w:val="center"/>
          </w:tcPr>
          <w:p w14:paraId="70A8171F">
            <w:pPr>
              <w:keepNext w:val="0"/>
              <w:keepLines w:val="0"/>
              <w:pageBreakBefore w:val="0"/>
              <w:kinsoku/>
              <w:wordWrap w:val="0"/>
              <w:overflowPunct/>
              <w:topLinePunct w:val="0"/>
              <w:bidi w:val="0"/>
              <w:spacing w:before="78" w:line="219"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33" w:type="dxa"/>
            <w:vAlign w:val="center"/>
          </w:tcPr>
          <w:p w14:paraId="77C11E5D">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安保服务固定岗及巡逻岗服务的方案（</w:t>
            </w:r>
            <w:r>
              <w:rPr>
                <w:rFonts w:hint="eastAsia" w:ascii="宋体" w:hAnsi="宋体" w:eastAsia="宋体" w:cs="宋体"/>
                <w:snapToGrid w:val="0"/>
                <w:color w:val="000000"/>
                <w:spacing w:val="-13"/>
                <w:kern w:val="0"/>
                <w:sz w:val="24"/>
                <w:szCs w:val="24"/>
                <w:lang w:val="en-US" w:eastAsia="zh-CN" w:bidi="ar-SA"/>
              </w:rPr>
              <w:t>7</w:t>
            </w:r>
            <w:r>
              <w:rPr>
                <w:rFonts w:hint="eastAsia" w:ascii="宋体" w:hAnsi="宋体" w:eastAsia="宋体" w:cs="宋体"/>
                <w:snapToGrid w:val="0"/>
                <w:color w:val="000000"/>
                <w:spacing w:val="-13"/>
                <w:kern w:val="0"/>
                <w:sz w:val="24"/>
                <w:szCs w:val="24"/>
                <w:lang w:val="en-US" w:eastAsia="en-US" w:bidi="ar-SA"/>
              </w:rPr>
              <w:t>分）</w:t>
            </w:r>
          </w:p>
        </w:tc>
        <w:tc>
          <w:tcPr>
            <w:tcW w:w="5215" w:type="dxa"/>
            <w:vAlign w:val="top"/>
          </w:tcPr>
          <w:p w14:paraId="6C6BE537">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依据供应商针对本项目所提出的安保服务固定岗及巡逻岗服务方案及运行管理方法进行评审。</w:t>
            </w:r>
          </w:p>
          <w:p w14:paraId="6E9050C3">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方案详细科学，深入分析，能够紧扣本项目特点，明确服务和管理重点，具备很强合理性、可行性，完全满足服务需求的，得</w:t>
            </w:r>
            <w:r>
              <w:rPr>
                <w:rFonts w:hint="eastAsia" w:asciiTheme="minorEastAsia" w:hAnsiTheme="minorEastAsia" w:eastAsiaTheme="minorEastAsia" w:cstheme="minorEastAsia"/>
                <w:snapToGrid w:val="0"/>
                <w:color w:val="000000"/>
                <w:spacing w:val="-13"/>
                <w:kern w:val="0"/>
                <w:sz w:val="24"/>
                <w:szCs w:val="24"/>
                <w:lang w:val="en-US" w:eastAsia="zh-CN" w:bidi="ar-SA"/>
              </w:rPr>
              <w:t>7</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438FE852">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方案基本合理完整，可执行性较强，基本满足服务需求的，得</w:t>
            </w: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426FDBE2">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方案笼统、内容简单且脱离实际，科学性欠缺，实用性不强，明显须改进的，得</w:t>
            </w:r>
            <w:r>
              <w:rPr>
                <w:rFonts w:hint="eastAsia" w:asciiTheme="minorEastAsia" w:hAnsiTheme="minorEastAsia" w:eastAsiaTheme="minorEastAsia" w:cstheme="minorEastAsia"/>
                <w:snapToGrid w:val="0"/>
                <w:color w:val="000000"/>
                <w:spacing w:val="-13"/>
                <w:kern w:val="0"/>
                <w:sz w:val="24"/>
                <w:szCs w:val="24"/>
                <w:lang w:val="en-US" w:eastAsia="zh-CN" w:bidi="ar-SA"/>
              </w:rPr>
              <w:t>1</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60606CAA">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618E63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continue"/>
            <w:vAlign w:val="center"/>
          </w:tcPr>
          <w:p w14:paraId="726D4B9C">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52" w:type="dxa"/>
            <w:vMerge w:val="continue"/>
            <w:vAlign w:val="center"/>
          </w:tcPr>
          <w:p w14:paraId="2598F52E">
            <w:pPr>
              <w:keepNext w:val="0"/>
              <w:keepLines w:val="0"/>
              <w:pageBreakBefore w:val="0"/>
              <w:kinsoku/>
              <w:wordWrap w:val="0"/>
              <w:overflowPunct/>
              <w:topLinePunct w:val="0"/>
              <w:bidi w:val="0"/>
              <w:spacing w:before="78" w:line="219"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33" w:type="dxa"/>
            <w:vAlign w:val="center"/>
          </w:tcPr>
          <w:p w14:paraId="779D1CB4">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消防控制室日常管理方案</w:t>
            </w:r>
          </w:p>
          <w:p w14:paraId="4488FE01">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w:t>
            </w:r>
            <w:r>
              <w:rPr>
                <w:rFonts w:hint="eastAsia" w:ascii="宋体" w:hAnsi="宋体" w:eastAsia="宋体" w:cs="宋体"/>
                <w:snapToGrid w:val="0"/>
                <w:color w:val="000000"/>
                <w:spacing w:val="-13"/>
                <w:kern w:val="0"/>
                <w:sz w:val="24"/>
                <w:szCs w:val="24"/>
                <w:lang w:val="en-US" w:eastAsia="zh-CN" w:bidi="ar-SA"/>
              </w:rPr>
              <w:t>7</w:t>
            </w:r>
            <w:r>
              <w:rPr>
                <w:rFonts w:hint="eastAsia" w:ascii="宋体" w:hAnsi="宋体" w:eastAsia="宋体" w:cs="宋体"/>
                <w:snapToGrid w:val="0"/>
                <w:color w:val="000000"/>
                <w:spacing w:val="-13"/>
                <w:kern w:val="0"/>
                <w:sz w:val="24"/>
                <w:szCs w:val="24"/>
                <w:lang w:val="en-US" w:eastAsia="en-US" w:bidi="ar-SA"/>
              </w:rPr>
              <w:t>分）</w:t>
            </w:r>
          </w:p>
        </w:tc>
        <w:tc>
          <w:tcPr>
            <w:tcW w:w="5215" w:type="dxa"/>
            <w:vAlign w:val="top"/>
          </w:tcPr>
          <w:p w14:paraId="712C47AE">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投标人制定合理可行的消防控制室日常管理方案，应包括消防工作管理、消防器材管理和使用、消防知识培训、消防基本能力训练、消防安全检查、重点部位消防安全等内容。</w:t>
            </w:r>
          </w:p>
          <w:p w14:paraId="22E4E82E">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方案及措施科学合理且可操作性强的得</w:t>
            </w:r>
            <w:r>
              <w:rPr>
                <w:rFonts w:hint="eastAsia" w:asciiTheme="minorEastAsia" w:hAnsiTheme="minorEastAsia" w:eastAsiaTheme="minorEastAsia" w:cstheme="minorEastAsia"/>
                <w:snapToGrid w:val="0"/>
                <w:color w:val="000000"/>
                <w:spacing w:val="-13"/>
                <w:kern w:val="0"/>
                <w:sz w:val="24"/>
                <w:szCs w:val="24"/>
                <w:lang w:val="en-US" w:eastAsia="zh-CN" w:bidi="ar-SA"/>
              </w:rPr>
              <w:t>7</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4775C2FB">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方案及措施较为合理可行</w:t>
            </w:r>
            <w:r>
              <w:rPr>
                <w:rFonts w:hint="eastAsia" w:asciiTheme="minorEastAsia" w:hAnsiTheme="minorEastAsia" w:eastAsiaTheme="minorEastAsia" w:cstheme="minorEastAsia"/>
                <w:snapToGrid w:val="0"/>
                <w:color w:val="000000"/>
                <w:spacing w:val="-13"/>
                <w:kern w:val="0"/>
                <w:sz w:val="24"/>
                <w:szCs w:val="24"/>
                <w:lang w:val="en-US" w:eastAsia="zh-CN" w:bidi="ar-SA"/>
              </w:rPr>
              <w:t>，有一定操作性</w:t>
            </w:r>
            <w:r>
              <w:rPr>
                <w:rFonts w:hint="eastAsia" w:asciiTheme="minorEastAsia" w:hAnsiTheme="minorEastAsia" w:eastAsiaTheme="minorEastAsia" w:cstheme="minorEastAsia"/>
                <w:snapToGrid w:val="0"/>
                <w:color w:val="000000"/>
                <w:spacing w:val="-13"/>
                <w:kern w:val="0"/>
                <w:sz w:val="24"/>
                <w:szCs w:val="24"/>
                <w:lang w:val="en-US" w:eastAsia="en-US" w:bidi="ar-SA"/>
              </w:rPr>
              <w:t>的得4分；</w:t>
            </w:r>
          </w:p>
          <w:p w14:paraId="257F46DA">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方案内容笼统片面</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eastAsia" w:asciiTheme="minorEastAsia" w:hAnsiTheme="minorEastAsia" w:eastAsiaTheme="minorEastAsia" w:cstheme="minorEastAsia"/>
                <w:snapToGrid w:val="0"/>
                <w:color w:val="000000"/>
                <w:spacing w:val="-13"/>
                <w:kern w:val="0"/>
                <w:sz w:val="24"/>
                <w:szCs w:val="24"/>
                <w:lang w:val="en-US" w:eastAsia="en-US" w:bidi="ar-SA"/>
              </w:rPr>
              <w:t>可操作性一般、</w:t>
            </w:r>
            <w:r>
              <w:rPr>
                <w:rFonts w:hint="eastAsia" w:asciiTheme="minorEastAsia" w:hAnsiTheme="minorEastAsia" w:eastAsiaTheme="minorEastAsia" w:cstheme="minorEastAsia"/>
                <w:snapToGrid w:val="0"/>
                <w:color w:val="000000"/>
                <w:spacing w:val="-13"/>
                <w:kern w:val="0"/>
                <w:sz w:val="24"/>
                <w:szCs w:val="24"/>
                <w:lang w:val="en-US" w:eastAsia="zh-CN" w:bidi="ar-SA"/>
              </w:rPr>
              <w:t>明显需要改进</w:t>
            </w:r>
            <w:r>
              <w:rPr>
                <w:rFonts w:hint="eastAsia" w:asciiTheme="minorEastAsia" w:hAnsiTheme="minorEastAsia" w:eastAsiaTheme="minorEastAsia" w:cstheme="minorEastAsia"/>
                <w:snapToGrid w:val="0"/>
                <w:color w:val="000000"/>
                <w:spacing w:val="-13"/>
                <w:kern w:val="0"/>
                <w:sz w:val="24"/>
                <w:szCs w:val="24"/>
                <w:lang w:val="en-US" w:eastAsia="en-US" w:bidi="ar-SA"/>
              </w:rPr>
              <w:t>的得</w:t>
            </w:r>
            <w:r>
              <w:rPr>
                <w:rFonts w:hint="eastAsia" w:asciiTheme="minorEastAsia" w:hAnsiTheme="minorEastAsia" w:eastAsiaTheme="minorEastAsia" w:cstheme="minorEastAsia"/>
                <w:snapToGrid w:val="0"/>
                <w:color w:val="000000"/>
                <w:spacing w:val="-13"/>
                <w:kern w:val="0"/>
                <w:sz w:val="24"/>
                <w:szCs w:val="24"/>
                <w:lang w:val="en-US" w:eastAsia="zh-CN" w:bidi="ar-SA"/>
              </w:rPr>
              <w:t>1</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756AE7FC">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48987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continue"/>
            <w:vAlign w:val="center"/>
          </w:tcPr>
          <w:p w14:paraId="373ABDBC">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52" w:type="dxa"/>
            <w:vMerge w:val="continue"/>
            <w:vAlign w:val="center"/>
          </w:tcPr>
          <w:p w14:paraId="3C551223">
            <w:pPr>
              <w:keepNext w:val="0"/>
              <w:keepLines w:val="0"/>
              <w:pageBreakBefore w:val="0"/>
              <w:kinsoku/>
              <w:wordWrap w:val="0"/>
              <w:overflowPunct/>
              <w:topLinePunct w:val="0"/>
              <w:bidi w:val="0"/>
              <w:spacing w:before="78" w:line="219"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33" w:type="dxa"/>
            <w:vAlign w:val="center"/>
          </w:tcPr>
          <w:p w14:paraId="731F13C0">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人员培训方案</w:t>
            </w:r>
          </w:p>
          <w:p w14:paraId="4768E50F">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w:t>
            </w:r>
            <w:r>
              <w:rPr>
                <w:rFonts w:hint="eastAsia" w:ascii="宋体" w:hAnsi="宋体" w:eastAsia="宋体" w:cs="宋体"/>
                <w:snapToGrid w:val="0"/>
                <w:color w:val="000000"/>
                <w:spacing w:val="-13"/>
                <w:kern w:val="0"/>
                <w:sz w:val="24"/>
                <w:szCs w:val="24"/>
                <w:lang w:val="en-US" w:eastAsia="zh-CN" w:bidi="ar-SA"/>
              </w:rPr>
              <w:t>7</w:t>
            </w:r>
            <w:r>
              <w:rPr>
                <w:rFonts w:hint="eastAsia" w:ascii="宋体" w:hAnsi="宋体" w:eastAsia="宋体" w:cs="宋体"/>
                <w:snapToGrid w:val="0"/>
                <w:color w:val="000000"/>
                <w:spacing w:val="-13"/>
                <w:kern w:val="0"/>
                <w:sz w:val="24"/>
                <w:szCs w:val="24"/>
                <w:lang w:val="en-US" w:eastAsia="en-US" w:bidi="ar-SA"/>
              </w:rPr>
              <w:t>分）</w:t>
            </w:r>
          </w:p>
        </w:tc>
        <w:tc>
          <w:tcPr>
            <w:tcW w:w="5215" w:type="dxa"/>
            <w:vAlign w:val="top"/>
          </w:tcPr>
          <w:p w14:paraId="14DBCED8">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根据供应商的提供的人员培训方案（包括：培训时间、地点、内容、方式、措施）进行评审。</w:t>
            </w:r>
          </w:p>
          <w:p w14:paraId="69CE1144">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人员的培训方案</w:t>
            </w:r>
            <w:r>
              <w:rPr>
                <w:rFonts w:hint="eastAsia" w:asciiTheme="minorEastAsia" w:hAnsiTheme="minorEastAsia" w:eastAsiaTheme="minorEastAsia" w:cstheme="minorEastAsia"/>
                <w:snapToGrid w:val="0"/>
                <w:color w:val="000000"/>
                <w:spacing w:val="-13"/>
                <w:kern w:val="0"/>
                <w:sz w:val="24"/>
                <w:szCs w:val="24"/>
                <w:lang w:val="en-US" w:eastAsia="zh-CN" w:bidi="ar-SA"/>
              </w:rPr>
              <w:t>及</w:t>
            </w:r>
            <w:r>
              <w:rPr>
                <w:rFonts w:hint="eastAsia" w:asciiTheme="minorEastAsia" w:hAnsiTheme="minorEastAsia" w:eastAsiaTheme="minorEastAsia" w:cstheme="minorEastAsia"/>
                <w:snapToGrid w:val="0"/>
                <w:color w:val="000000"/>
                <w:spacing w:val="-13"/>
                <w:kern w:val="0"/>
                <w:sz w:val="24"/>
                <w:szCs w:val="24"/>
                <w:lang w:val="en-US" w:eastAsia="en-US" w:bidi="ar-SA"/>
              </w:rPr>
              <w:t>措施特别全面</w:t>
            </w:r>
            <w:r>
              <w:rPr>
                <w:rFonts w:hint="eastAsia" w:asciiTheme="minorEastAsia" w:hAnsiTheme="minorEastAsia" w:eastAsiaTheme="minorEastAsia" w:cstheme="minorEastAsia"/>
                <w:snapToGrid w:val="0"/>
                <w:color w:val="000000"/>
                <w:spacing w:val="-13"/>
                <w:kern w:val="0"/>
                <w:sz w:val="24"/>
                <w:szCs w:val="24"/>
                <w:lang w:val="en-US" w:eastAsia="zh-CN" w:bidi="ar-SA"/>
              </w:rPr>
              <w:t>详细</w:t>
            </w: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培训计划及内容科学</w:t>
            </w:r>
            <w:r>
              <w:rPr>
                <w:rFonts w:hint="eastAsia" w:asciiTheme="minorEastAsia" w:hAnsiTheme="minorEastAsia" w:eastAsiaTheme="minorEastAsia" w:cstheme="minorEastAsia"/>
                <w:snapToGrid w:val="0"/>
                <w:color w:val="000000"/>
                <w:spacing w:val="-13"/>
                <w:kern w:val="0"/>
                <w:sz w:val="24"/>
                <w:szCs w:val="24"/>
                <w:lang w:val="en-US" w:eastAsia="en-US" w:bidi="ar-SA"/>
              </w:rPr>
              <w:t>合理、可实施性强，满足本项目要求的</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7</w:t>
            </w:r>
            <w:r>
              <w:rPr>
                <w:rFonts w:hint="eastAsia" w:asciiTheme="minorEastAsia" w:hAnsiTheme="minorEastAsia" w:eastAsiaTheme="minorEastAsia" w:cstheme="minorEastAsia"/>
                <w:snapToGrid w:val="0"/>
                <w:color w:val="000000"/>
                <w:spacing w:val="-13"/>
                <w:kern w:val="0"/>
                <w:sz w:val="24"/>
                <w:szCs w:val="24"/>
                <w:lang w:val="en-US" w:eastAsia="en-US" w:bidi="ar-SA"/>
              </w:rPr>
              <w:t xml:space="preserve">分； </w:t>
            </w:r>
          </w:p>
          <w:p w14:paraId="32DB07B6">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人员的培训方案的各方面安排比较合理，对保安人员有制定详细培训计划，</w:t>
            </w:r>
            <w:r>
              <w:rPr>
                <w:rFonts w:hint="eastAsia" w:asciiTheme="minorEastAsia" w:hAnsiTheme="minorEastAsia" w:eastAsiaTheme="minorEastAsia" w:cstheme="minorEastAsia"/>
                <w:snapToGrid w:val="0"/>
                <w:color w:val="000000"/>
                <w:spacing w:val="-13"/>
                <w:kern w:val="0"/>
                <w:sz w:val="24"/>
                <w:szCs w:val="24"/>
                <w:lang w:val="en-US" w:eastAsia="zh-CN" w:bidi="ar-SA"/>
              </w:rPr>
              <w:t>具备较强可操作性</w:t>
            </w:r>
            <w:r>
              <w:rPr>
                <w:rFonts w:hint="eastAsia" w:asciiTheme="minorEastAsia" w:hAnsiTheme="minorEastAsia" w:eastAsiaTheme="minorEastAsia" w:cstheme="minorEastAsia"/>
                <w:snapToGrid w:val="0"/>
                <w:color w:val="000000"/>
                <w:spacing w:val="-13"/>
                <w:kern w:val="0"/>
                <w:sz w:val="24"/>
                <w:szCs w:val="24"/>
                <w:lang w:val="en-US" w:eastAsia="en-US" w:bidi="ar-SA"/>
              </w:rPr>
              <w:t>的</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 xml:space="preserve">分； </w:t>
            </w:r>
          </w:p>
          <w:p w14:paraId="58B26A83">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人员的培训方案的各个方面安排合理度一般，但内容与本项目实际</w:t>
            </w:r>
            <w:r>
              <w:rPr>
                <w:rFonts w:hint="eastAsia" w:asciiTheme="minorEastAsia" w:hAnsiTheme="minorEastAsia" w:eastAsiaTheme="minorEastAsia" w:cstheme="minorEastAsia"/>
                <w:snapToGrid w:val="0"/>
                <w:color w:val="000000"/>
                <w:spacing w:val="-13"/>
                <w:kern w:val="0"/>
                <w:sz w:val="24"/>
                <w:szCs w:val="24"/>
                <w:lang w:val="en-US" w:eastAsia="zh-CN" w:bidi="ar-SA"/>
              </w:rPr>
              <w:t>符合性低</w:t>
            </w:r>
            <w:r>
              <w:rPr>
                <w:rFonts w:hint="eastAsia" w:asciiTheme="minorEastAsia" w:hAnsiTheme="minorEastAsia" w:eastAsiaTheme="minorEastAsia" w:cstheme="minorEastAsia"/>
                <w:snapToGrid w:val="0"/>
                <w:color w:val="000000"/>
                <w:spacing w:val="-13"/>
                <w:kern w:val="0"/>
                <w:sz w:val="24"/>
                <w:szCs w:val="24"/>
                <w:lang w:val="en-US" w:eastAsia="en-US" w:bidi="ar-SA"/>
              </w:rPr>
              <w:t>，实践实施度</w:t>
            </w:r>
            <w:r>
              <w:rPr>
                <w:rFonts w:hint="eastAsia" w:asciiTheme="minorEastAsia" w:hAnsiTheme="minorEastAsia" w:eastAsiaTheme="minorEastAsia" w:cstheme="minorEastAsia"/>
                <w:snapToGrid w:val="0"/>
                <w:color w:val="000000"/>
                <w:spacing w:val="-13"/>
                <w:kern w:val="0"/>
                <w:sz w:val="24"/>
                <w:szCs w:val="24"/>
                <w:lang w:val="en-US" w:eastAsia="zh-CN" w:bidi="ar-SA"/>
              </w:rPr>
              <w:t>较差</w:t>
            </w:r>
            <w:r>
              <w:rPr>
                <w:rFonts w:hint="eastAsia" w:asciiTheme="minorEastAsia" w:hAnsiTheme="minorEastAsia" w:eastAsiaTheme="minorEastAsia" w:cstheme="minorEastAsia"/>
                <w:snapToGrid w:val="0"/>
                <w:color w:val="000000"/>
                <w:spacing w:val="-13"/>
                <w:kern w:val="0"/>
                <w:sz w:val="24"/>
                <w:szCs w:val="24"/>
                <w:lang w:val="en-US" w:eastAsia="en-US" w:bidi="ar-SA"/>
              </w:rPr>
              <w:t>的得</w:t>
            </w:r>
            <w:r>
              <w:rPr>
                <w:rFonts w:hint="eastAsia" w:asciiTheme="minorEastAsia" w:hAnsiTheme="minorEastAsia" w:eastAsiaTheme="minorEastAsia" w:cstheme="minorEastAsia"/>
                <w:snapToGrid w:val="0"/>
                <w:color w:val="000000"/>
                <w:spacing w:val="-13"/>
                <w:kern w:val="0"/>
                <w:sz w:val="24"/>
                <w:szCs w:val="24"/>
                <w:lang w:val="en-US" w:eastAsia="zh-CN" w:bidi="ar-SA"/>
              </w:rPr>
              <w:t>1</w:t>
            </w:r>
            <w:r>
              <w:rPr>
                <w:rFonts w:hint="eastAsia" w:asciiTheme="minorEastAsia" w:hAnsiTheme="minorEastAsia" w:eastAsiaTheme="minorEastAsia" w:cstheme="minorEastAsia"/>
                <w:snapToGrid w:val="0"/>
                <w:color w:val="000000"/>
                <w:spacing w:val="-13"/>
                <w:kern w:val="0"/>
                <w:sz w:val="24"/>
                <w:szCs w:val="24"/>
                <w:lang w:val="en-US" w:eastAsia="en-US" w:bidi="ar-SA"/>
              </w:rPr>
              <w:t xml:space="preserve">分； </w:t>
            </w:r>
          </w:p>
          <w:p w14:paraId="252CE246">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4C168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continue"/>
            <w:vAlign w:val="center"/>
          </w:tcPr>
          <w:p w14:paraId="2BE935D9">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52" w:type="dxa"/>
            <w:vMerge w:val="continue"/>
            <w:vAlign w:val="center"/>
          </w:tcPr>
          <w:p w14:paraId="65C2EEB5">
            <w:pPr>
              <w:keepNext w:val="0"/>
              <w:keepLines w:val="0"/>
              <w:pageBreakBefore w:val="0"/>
              <w:kinsoku/>
              <w:wordWrap w:val="0"/>
              <w:overflowPunct/>
              <w:topLinePunct w:val="0"/>
              <w:bidi w:val="0"/>
              <w:spacing w:before="78" w:line="219"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33" w:type="dxa"/>
            <w:vAlign w:val="center"/>
          </w:tcPr>
          <w:p w14:paraId="61FE4D62">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应急预案（8分）</w:t>
            </w:r>
          </w:p>
        </w:tc>
        <w:tc>
          <w:tcPr>
            <w:tcW w:w="5215" w:type="dxa"/>
            <w:vAlign w:val="top"/>
          </w:tcPr>
          <w:p w14:paraId="5D4CC5A8">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投标人根据本项目实际情况制定合理可行的应急预案，包括但不限以下内容：突发自然灾害应急预案、消防应急预案（包含消防报警信号处理、初期火警处理、火灾紧急处理、火灾事故应急等内容）、常见情况的应急处理（包含紧急事件处理、殴打暴力事件处理、盗窃等破坏事件处理、学校组织重大活动期间的应急、新生入学及学生毕业期间保安服务工作、非常时期安全保卫工作）等内容。</w:t>
            </w:r>
          </w:p>
          <w:p w14:paraId="73FAE086">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供应商提供的应急方案内容全面完整，方案合理、规范，可操作性强，</w:t>
            </w:r>
            <w:r>
              <w:rPr>
                <w:rFonts w:hint="eastAsia" w:asciiTheme="minorEastAsia" w:hAnsiTheme="minorEastAsia" w:eastAsiaTheme="minorEastAsia" w:cstheme="minorEastAsia"/>
                <w:snapToGrid w:val="0"/>
                <w:color w:val="000000"/>
                <w:spacing w:val="-13"/>
                <w:kern w:val="0"/>
                <w:sz w:val="24"/>
                <w:szCs w:val="24"/>
                <w:lang w:val="en-US" w:eastAsia="zh-CN" w:bidi="ar-SA"/>
              </w:rPr>
              <w:t>能有效应对各类事件，</w:t>
            </w:r>
            <w:r>
              <w:rPr>
                <w:rFonts w:hint="eastAsia" w:asciiTheme="minorEastAsia" w:hAnsiTheme="minorEastAsia" w:eastAsiaTheme="minorEastAsia" w:cstheme="minorEastAsia"/>
                <w:snapToGrid w:val="0"/>
                <w:color w:val="000000"/>
                <w:spacing w:val="-13"/>
                <w:kern w:val="0"/>
                <w:sz w:val="24"/>
                <w:szCs w:val="24"/>
                <w:lang w:val="en-US" w:eastAsia="en-US" w:bidi="ar-SA"/>
              </w:rPr>
              <w:t>完全满足采购文件的要求得8分；</w:t>
            </w:r>
          </w:p>
          <w:p w14:paraId="2239C3A2">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供应商提供的应急方案内容较</w:t>
            </w:r>
            <w:r>
              <w:rPr>
                <w:rFonts w:hint="eastAsia" w:asciiTheme="minorEastAsia" w:hAnsiTheme="minorEastAsia" w:eastAsiaTheme="minorEastAsia" w:cstheme="minorEastAsia"/>
                <w:snapToGrid w:val="0"/>
                <w:color w:val="000000"/>
                <w:spacing w:val="-13"/>
                <w:kern w:val="0"/>
                <w:sz w:val="24"/>
                <w:szCs w:val="24"/>
                <w:lang w:val="en-US" w:eastAsia="zh-CN" w:bidi="ar-SA"/>
              </w:rPr>
              <w:t>为规范</w:t>
            </w:r>
            <w:r>
              <w:rPr>
                <w:rFonts w:hint="eastAsia" w:asciiTheme="minorEastAsia" w:hAnsiTheme="minorEastAsia" w:eastAsiaTheme="minorEastAsia" w:cstheme="minorEastAsia"/>
                <w:snapToGrid w:val="0"/>
                <w:color w:val="000000"/>
                <w:spacing w:val="-13"/>
                <w:kern w:val="0"/>
                <w:sz w:val="24"/>
                <w:szCs w:val="24"/>
                <w:lang w:val="en-US" w:eastAsia="en-US" w:bidi="ar-SA"/>
              </w:rPr>
              <w:t>全面，方案较为合理</w:t>
            </w:r>
            <w:r>
              <w:rPr>
                <w:rFonts w:hint="eastAsia" w:asciiTheme="minorEastAsia" w:hAnsiTheme="minorEastAsia" w:eastAsiaTheme="minorEastAsia" w:cstheme="minorEastAsia"/>
                <w:snapToGrid w:val="0"/>
                <w:color w:val="000000"/>
                <w:spacing w:val="-13"/>
                <w:kern w:val="0"/>
                <w:sz w:val="24"/>
                <w:szCs w:val="24"/>
                <w:lang w:val="en-US" w:eastAsia="zh-CN" w:bidi="ar-SA"/>
              </w:rPr>
              <w:t>、完整</w:t>
            </w:r>
            <w:r>
              <w:rPr>
                <w:rFonts w:hint="eastAsia" w:asciiTheme="minorEastAsia" w:hAnsiTheme="minorEastAsia" w:eastAsiaTheme="minorEastAsia" w:cstheme="minorEastAsia"/>
                <w:snapToGrid w:val="0"/>
                <w:color w:val="000000"/>
                <w:spacing w:val="-13"/>
                <w:kern w:val="0"/>
                <w:sz w:val="24"/>
                <w:szCs w:val="24"/>
                <w:lang w:val="en-US" w:eastAsia="en-US" w:bidi="ar-SA"/>
              </w:rPr>
              <w:t>，有可操作性，能满足采购文件的要求得</w:t>
            </w:r>
            <w:r>
              <w:rPr>
                <w:rFonts w:hint="eastAsia" w:asciiTheme="minorEastAsia" w:hAnsiTheme="minorEastAsia" w:eastAsiaTheme="minorEastAsia" w:cstheme="minorEastAsia"/>
                <w:snapToGrid w:val="0"/>
                <w:color w:val="000000"/>
                <w:spacing w:val="-13"/>
                <w:kern w:val="0"/>
                <w:sz w:val="24"/>
                <w:szCs w:val="24"/>
                <w:lang w:val="en-US" w:eastAsia="zh-CN" w:bidi="ar-SA"/>
              </w:rPr>
              <w:t>5</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093EA234">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供应商提供的应急方案不全面，内容不完整、合理，可行</w:t>
            </w:r>
            <w:r>
              <w:rPr>
                <w:rFonts w:hint="eastAsia" w:asciiTheme="minorEastAsia" w:hAnsiTheme="minorEastAsia" w:eastAsiaTheme="minorEastAsia" w:cstheme="minorEastAsia"/>
                <w:snapToGrid w:val="0"/>
                <w:color w:val="000000"/>
                <w:spacing w:val="-13"/>
                <w:kern w:val="0"/>
                <w:sz w:val="24"/>
                <w:szCs w:val="24"/>
                <w:lang w:val="en-US" w:eastAsia="zh-CN" w:bidi="ar-SA"/>
              </w:rPr>
              <w:t>性差的，</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2</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4B524105">
            <w:pPr>
              <w:pStyle w:val="21"/>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1E8E8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restart"/>
            <w:vAlign w:val="center"/>
          </w:tcPr>
          <w:p w14:paraId="6A6BF209">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3</w:t>
            </w:r>
          </w:p>
        </w:tc>
        <w:tc>
          <w:tcPr>
            <w:tcW w:w="1552" w:type="dxa"/>
            <w:vMerge w:val="restart"/>
            <w:vAlign w:val="center"/>
          </w:tcPr>
          <w:p w14:paraId="7A6D8B75">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综合实力</w:t>
            </w:r>
          </w:p>
          <w:p w14:paraId="0FA19A45">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
                <w:sz w:val="24"/>
                <w:szCs w:val="24"/>
                <w:lang w:val="en-US" w:eastAsia="zh-CN"/>
              </w:rPr>
              <w:t>（满分36分）</w:t>
            </w:r>
          </w:p>
        </w:tc>
        <w:tc>
          <w:tcPr>
            <w:tcW w:w="1033" w:type="dxa"/>
            <w:vAlign w:val="center"/>
          </w:tcPr>
          <w:p w14:paraId="403484AE">
            <w:pPr>
              <w:pStyle w:val="21"/>
              <w:keepNext w:val="0"/>
              <w:keepLines w:val="0"/>
              <w:pageBreakBefore w:val="0"/>
              <w:kinsoku/>
              <w:wordWrap w:val="0"/>
              <w:overflowPunct/>
              <w:topLinePunct w:val="0"/>
              <w:bidi w:val="0"/>
              <w:jc w:val="center"/>
              <w:rPr>
                <w:rFonts w:hint="eastAsia" w:ascii="宋体" w:hAnsi="宋体" w:eastAsia="宋体" w:cs="宋体"/>
                <w:snapToGrid w:val="0"/>
                <w:color w:val="auto"/>
                <w:spacing w:val="-13"/>
                <w:kern w:val="0"/>
                <w:sz w:val="24"/>
                <w:szCs w:val="24"/>
                <w:lang w:val="en-US" w:eastAsia="en-US" w:bidi="ar-SA"/>
              </w:rPr>
            </w:pPr>
            <w:r>
              <w:rPr>
                <w:rFonts w:hint="eastAsia" w:ascii="宋体" w:hAnsi="宋体" w:eastAsia="宋体" w:cs="宋体"/>
                <w:snapToGrid w:val="0"/>
                <w:color w:val="auto"/>
                <w:spacing w:val="-13"/>
                <w:kern w:val="0"/>
                <w:sz w:val="24"/>
                <w:szCs w:val="24"/>
                <w:lang w:val="en-US" w:eastAsia="en-US" w:bidi="ar-SA"/>
              </w:rPr>
              <w:t>业绩</w:t>
            </w:r>
          </w:p>
          <w:p w14:paraId="77AC346B">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auto"/>
                <w:spacing w:val="-13"/>
                <w:kern w:val="0"/>
                <w:sz w:val="24"/>
                <w:szCs w:val="24"/>
                <w:lang w:val="en-US" w:eastAsia="en-US" w:bidi="ar-SA"/>
              </w:rPr>
              <w:t>（</w:t>
            </w:r>
            <w:r>
              <w:rPr>
                <w:rFonts w:hint="eastAsia" w:ascii="宋体" w:hAnsi="宋体" w:eastAsia="宋体" w:cs="宋体"/>
                <w:snapToGrid w:val="0"/>
                <w:color w:val="auto"/>
                <w:spacing w:val="-13"/>
                <w:kern w:val="0"/>
                <w:sz w:val="24"/>
                <w:szCs w:val="24"/>
                <w:lang w:val="en-US" w:eastAsia="zh-CN" w:bidi="ar-SA"/>
              </w:rPr>
              <w:t>6</w:t>
            </w:r>
            <w:r>
              <w:rPr>
                <w:rFonts w:hint="eastAsia" w:ascii="宋体" w:hAnsi="宋体" w:eastAsia="宋体" w:cs="宋体"/>
                <w:snapToGrid w:val="0"/>
                <w:color w:val="auto"/>
                <w:spacing w:val="-13"/>
                <w:kern w:val="0"/>
                <w:sz w:val="24"/>
                <w:szCs w:val="24"/>
                <w:lang w:val="en-US" w:eastAsia="en-US" w:bidi="ar-SA"/>
              </w:rPr>
              <w:t>分）</w:t>
            </w:r>
          </w:p>
        </w:tc>
        <w:tc>
          <w:tcPr>
            <w:tcW w:w="5215" w:type="dxa"/>
            <w:vAlign w:val="top"/>
          </w:tcPr>
          <w:p w14:paraId="1A2631F2">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供应商提供2022年1月1日以来类似（</w:t>
            </w:r>
            <w:r>
              <w:rPr>
                <w:rFonts w:hint="eastAsia" w:asciiTheme="minorEastAsia" w:hAnsiTheme="minorEastAsia" w:eastAsiaTheme="minorEastAsia" w:cstheme="minorEastAsia"/>
                <w:snapToGrid w:val="0"/>
                <w:color w:val="000000"/>
                <w:spacing w:val="-13"/>
                <w:kern w:val="0"/>
                <w:sz w:val="24"/>
                <w:szCs w:val="24"/>
                <w:lang w:val="en-US" w:eastAsia="zh-CN" w:bidi="ar-SA"/>
              </w:rPr>
              <w:t>校园安保</w:t>
            </w:r>
            <w:r>
              <w:rPr>
                <w:rFonts w:hint="default" w:asciiTheme="minorEastAsia" w:hAnsiTheme="minorEastAsia" w:eastAsiaTheme="minorEastAsia" w:cstheme="minorEastAsia"/>
                <w:snapToGrid w:val="0"/>
                <w:color w:val="000000"/>
                <w:spacing w:val="-13"/>
                <w:kern w:val="0"/>
                <w:sz w:val="24"/>
                <w:szCs w:val="24"/>
                <w:lang w:val="en-US" w:eastAsia="zh-CN" w:bidi="ar-SA"/>
              </w:rPr>
              <w:t>服务类）项目业绩的，每提供一份业绩合同得2分，本项最多得</w:t>
            </w:r>
            <w:r>
              <w:rPr>
                <w:rFonts w:hint="eastAsia" w:asciiTheme="minorEastAsia" w:hAnsiTheme="minorEastAsia" w:eastAsiaTheme="minorEastAsia" w:cstheme="minorEastAsia"/>
                <w:snapToGrid w:val="0"/>
                <w:color w:val="000000"/>
                <w:spacing w:val="-13"/>
                <w:kern w:val="0"/>
                <w:sz w:val="24"/>
                <w:szCs w:val="24"/>
                <w:lang w:val="en-US" w:eastAsia="zh-CN" w:bidi="ar-SA"/>
              </w:rPr>
              <w:t>6</w:t>
            </w:r>
            <w:r>
              <w:rPr>
                <w:rFonts w:hint="default" w:asciiTheme="minorEastAsia" w:hAnsiTheme="minorEastAsia" w:eastAsiaTheme="minorEastAsia" w:cstheme="minorEastAsia"/>
                <w:snapToGrid w:val="0"/>
                <w:color w:val="000000"/>
                <w:spacing w:val="-13"/>
                <w:kern w:val="0"/>
                <w:sz w:val="24"/>
                <w:szCs w:val="24"/>
                <w:lang w:val="en-US" w:eastAsia="zh-CN" w:bidi="ar-SA"/>
              </w:rPr>
              <w:t>分。（须提供业绩合同扫描件，时间以合同签订时间为准，未按要求提供或未提供不得分）</w:t>
            </w:r>
          </w:p>
        </w:tc>
      </w:tr>
      <w:tr w14:paraId="750AC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continue"/>
            <w:vAlign w:val="center"/>
          </w:tcPr>
          <w:p w14:paraId="09563E54">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p>
        </w:tc>
        <w:tc>
          <w:tcPr>
            <w:tcW w:w="1552" w:type="dxa"/>
            <w:vMerge w:val="continue"/>
            <w:vAlign w:val="center"/>
          </w:tcPr>
          <w:p w14:paraId="2D3EF12B">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1033" w:type="dxa"/>
            <w:shd w:val="clear" w:color="auto" w:fill="auto"/>
            <w:vAlign w:val="center"/>
          </w:tcPr>
          <w:p w14:paraId="3DD3C1AF">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color w:val="auto"/>
                <w:sz w:val="24"/>
                <w:szCs w:val="24"/>
                <w:lang w:val="en-US" w:eastAsia="zh-CN" w:bidi="ar-SA"/>
              </w:rPr>
              <w:t>标书制作（3分）</w:t>
            </w:r>
          </w:p>
        </w:tc>
        <w:tc>
          <w:tcPr>
            <w:tcW w:w="5215" w:type="dxa"/>
            <w:shd w:val="clear" w:color="auto" w:fill="auto"/>
            <w:vAlign w:val="top"/>
          </w:tcPr>
          <w:p w14:paraId="6BF405DA">
            <w:pPr>
              <w:pStyle w:val="4"/>
              <w:keepNext w:val="0"/>
              <w:keepLines w:val="0"/>
              <w:widowControl/>
              <w:suppressLineNumbers w:val="0"/>
              <w:spacing w:before="0" w:beforeAutospacing="0" w:after="0" w:afterAutospacing="0"/>
              <w:ind w:left="0" w:leftChars="0" w:right="0" w:rightChars="0" w:firstLine="480" w:firstLineChars="200"/>
              <w:outlineLvl w:val="0"/>
              <w:rPr>
                <w:rFonts w:hint="default" w:ascii="宋体" w:hAnsi="宋体" w:eastAsia="宋体" w:cs="宋体"/>
                <w:b w:val="0"/>
                <w:bCs w:val="0"/>
                <w:snapToGrid w:val="0"/>
                <w:color w:val="000000"/>
                <w:spacing w:val="-13"/>
                <w:kern w:val="0"/>
                <w:sz w:val="24"/>
                <w:szCs w:val="24"/>
                <w:lang w:val="en-US" w:eastAsia="zh-CN" w:bidi="ar-SA"/>
              </w:rPr>
            </w:pPr>
            <w:r>
              <w:rPr>
                <w:rFonts w:hint="eastAsia" w:cs="宋体"/>
                <w:b w:val="0"/>
                <w:bCs w:val="0"/>
                <w:color w:val="auto"/>
                <w:sz w:val="24"/>
                <w:szCs w:val="24"/>
                <w:lang w:val="en-US" w:eastAsia="zh-CN" w:bidi="ar-SA"/>
              </w:rPr>
              <w:t>1.</w:t>
            </w:r>
            <w:r>
              <w:rPr>
                <w:rFonts w:hint="eastAsia" w:ascii="宋体" w:hAnsi="宋体" w:eastAsia="宋体" w:cs="宋体"/>
                <w:b w:val="0"/>
                <w:bCs w:val="0"/>
                <w:color w:val="auto"/>
                <w:sz w:val="24"/>
                <w:szCs w:val="24"/>
                <w:lang w:val="en-US" w:eastAsia="zh-CN" w:bidi="ar-SA"/>
              </w:rPr>
              <w:t>投标文件符合招标文件所有条款，标书制作规范</w:t>
            </w:r>
            <w:r>
              <w:rPr>
                <w:rFonts w:hint="eastAsia" w:cs="宋体"/>
                <w:b w:val="0"/>
                <w:bCs w:val="0"/>
                <w:color w:val="auto"/>
                <w:sz w:val="24"/>
                <w:szCs w:val="24"/>
                <w:lang w:val="en-US" w:eastAsia="zh-CN" w:bidi="ar-SA"/>
              </w:rPr>
              <w:t>的，</w:t>
            </w:r>
            <w:r>
              <w:rPr>
                <w:rFonts w:hint="eastAsia" w:ascii="宋体" w:hAnsi="宋体" w:eastAsia="宋体" w:cs="宋体"/>
                <w:b w:val="0"/>
                <w:bCs w:val="0"/>
                <w:color w:val="auto"/>
                <w:sz w:val="24"/>
                <w:szCs w:val="24"/>
                <w:lang w:val="en-US" w:eastAsia="zh-CN" w:bidi="ar-SA"/>
              </w:rPr>
              <w:t>得3分；</w:t>
            </w:r>
            <w:r>
              <w:rPr>
                <w:rFonts w:hint="eastAsia" w:cs="宋体"/>
                <w:b w:val="0"/>
                <w:bCs w:val="0"/>
                <w:color w:val="auto"/>
                <w:sz w:val="24"/>
                <w:szCs w:val="24"/>
                <w:lang w:val="en-US" w:eastAsia="zh-CN" w:bidi="ar-SA"/>
              </w:rPr>
              <w:t>2.</w:t>
            </w:r>
            <w:r>
              <w:rPr>
                <w:rFonts w:hint="eastAsia" w:ascii="宋体" w:hAnsi="宋体" w:eastAsia="宋体" w:cs="宋体"/>
                <w:b w:val="0"/>
                <w:bCs w:val="0"/>
                <w:color w:val="auto"/>
                <w:sz w:val="24"/>
                <w:szCs w:val="24"/>
                <w:lang w:val="en-US" w:eastAsia="zh-CN" w:bidi="ar-SA"/>
              </w:rPr>
              <w:t>若投标文件与招标文件要求有偏离，但不影响实质性响应</w:t>
            </w:r>
            <w:r>
              <w:rPr>
                <w:rFonts w:hint="eastAsia" w:cs="宋体"/>
                <w:b w:val="0"/>
                <w:bCs w:val="0"/>
                <w:color w:val="auto"/>
                <w:sz w:val="24"/>
                <w:szCs w:val="24"/>
                <w:lang w:val="en-US" w:eastAsia="zh-CN" w:bidi="ar-SA"/>
              </w:rPr>
              <w:t>的</w:t>
            </w:r>
            <w:r>
              <w:rPr>
                <w:rFonts w:hint="eastAsia" w:ascii="宋体" w:hAnsi="宋体" w:eastAsia="宋体" w:cs="宋体"/>
                <w:b w:val="0"/>
                <w:bCs w:val="0"/>
                <w:color w:val="auto"/>
                <w:sz w:val="24"/>
                <w:szCs w:val="24"/>
                <w:lang w:val="en-US" w:eastAsia="zh-CN" w:bidi="ar-SA"/>
              </w:rPr>
              <w:t>，评委会根据情况扣1-2分</w:t>
            </w:r>
            <w:r>
              <w:rPr>
                <w:rFonts w:hint="eastAsia" w:cs="宋体"/>
                <w:b w:val="0"/>
                <w:bCs w:val="0"/>
                <w:color w:val="auto"/>
                <w:sz w:val="24"/>
                <w:szCs w:val="24"/>
                <w:lang w:val="en-US" w:eastAsia="zh-CN" w:bidi="ar-SA"/>
              </w:rPr>
              <w:t>。</w:t>
            </w:r>
          </w:p>
        </w:tc>
      </w:tr>
      <w:tr w14:paraId="1FB34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continue"/>
            <w:vAlign w:val="center"/>
          </w:tcPr>
          <w:p w14:paraId="627143A5">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kern w:val="0"/>
                <w:sz w:val="21"/>
                <w:szCs w:val="21"/>
                <w:lang w:val="en-US" w:eastAsia="zh-CN" w:bidi="ar-SA"/>
              </w:rPr>
            </w:pPr>
          </w:p>
        </w:tc>
        <w:tc>
          <w:tcPr>
            <w:tcW w:w="1552" w:type="dxa"/>
            <w:vMerge w:val="continue"/>
            <w:vAlign w:val="center"/>
          </w:tcPr>
          <w:p w14:paraId="1827FA35">
            <w:pPr>
              <w:keepNext w:val="0"/>
              <w:keepLines w:val="0"/>
              <w:pageBreakBefore w:val="0"/>
              <w:kinsoku/>
              <w:wordWrap w:val="0"/>
              <w:overflowPunct/>
              <w:topLinePunct w:val="0"/>
              <w:bidi w:val="0"/>
              <w:spacing w:before="157" w:line="220" w:lineRule="auto"/>
              <w:ind w:left="148" w:leftChars="0"/>
              <w:jc w:val="both"/>
              <w:rPr>
                <w:rFonts w:hint="eastAsia" w:asciiTheme="minorEastAsia" w:hAnsiTheme="minorEastAsia" w:eastAsiaTheme="minorEastAsia" w:cstheme="minorEastAsia"/>
                <w:snapToGrid w:val="0"/>
                <w:color w:val="000000"/>
                <w:kern w:val="0"/>
                <w:sz w:val="24"/>
                <w:szCs w:val="24"/>
                <w:lang w:val="en-US" w:eastAsia="zh-CN" w:bidi="ar-SA"/>
              </w:rPr>
            </w:pPr>
          </w:p>
        </w:tc>
        <w:tc>
          <w:tcPr>
            <w:tcW w:w="1033" w:type="dxa"/>
            <w:vAlign w:val="center"/>
          </w:tcPr>
          <w:p w14:paraId="1FCAEE93">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项目负责人配备</w:t>
            </w:r>
          </w:p>
          <w:p w14:paraId="34682E75">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（4分）</w:t>
            </w:r>
          </w:p>
        </w:tc>
        <w:tc>
          <w:tcPr>
            <w:tcW w:w="5215" w:type="dxa"/>
            <w:vAlign w:val="top"/>
          </w:tcPr>
          <w:p w14:paraId="6A4A86BC">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投标人拟派项目负责人即保安队长（提供2025年1月1日以来所在本单位任意一个月的社保证明材料，否则不得分），</w:t>
            </w:r>
            <w:r>
              <w:rPr>
                <w:rFonts w:hint="eastAsia" w:asciiTheme="minorEastAsia" w:hAnsiTheme="minorEastAsia" w:eastAsiaTheme="minorEastAsia" w:cstheme="minorEastAsia"/>
                <w:snapToGrid w:val="0"/>
                <w:color w:val="auto"/>
                <w:spacing w:val="-13"/>
                <w:kern w:val="0"/>
                <w:sz w:val="24"/>
                <w:szCs w:val="24"/>
                <w:lang w:val="en-US" w:eastAsia="zh-CN" w:bidi="ar-SA"/>
              </w:rPr>
              <w:t>45</w:t>
            </w:r>
            <w:r>
              <w:rPr>
                <w:rFonts w:hint="default" w:asciiTheme="minorEastAsia" w:hAnsiTheme="minorEastAsia" w:eastAsiaTheme="minorEastAsia" w:cstheme="minorEastAsia"/>
                <w:snapToGrid w:val="0"/>
                <w:color w:val="auto"/>
                <w:spacing w:val="-13"/>
                <w:kern w:val="0"/>
                <w:sz w:val="24"/>
                <w:szCs w:val="24"/>
                <w:lang w:val="en-US" w:eastAsia="zh-CN" w:bidi="ar-SA"/>
              </w:rPr>
              <w:t>周岁以下、大专及以上学历、具有消防证或是退役军人、具有3年以上类似项目管理经验。</w:t>
            </w:r>
            <w:r>
              <w:rPr>
                <w:rFonts w:hint="eastAsia" w:asciiTheme="minorEastAsia" w:hAnsiTheme="minorEastAsia" w:eastAsiaTheme="minorEastAsia" w:cstheme="minorEastAsia"/>
                <w:snapToGrid w:val="0"/>
                <w:color w:val="auto"/>
                <w:spacing w:val="-13"/>
                <w:kern w:val="0"/>
                <w:sz w:val="24"/>
                <w:szCs w:val="24"/>
                <w:lang w:val="en-US" w:eastAsia="zh-CN" w:bidi="ar-SA"/>
              </w:rPr>
              <w:t>以上四项每满足一项得一分，</w:t>
            </w:r>
            <w:r>
              <w:rPr>
                <w:rFonts w:hint="default" w:asciiTheme="minorEastAsia" w:hAnsiTheme="minorEastAsia" w:eastAsiaTheme="minorEastAsia" w:cstheme="minorEastAsia"/>
                <w:snapToGrid w:val="0"/>
                <w:color w:val="auto"/>
                <w:spacing w:val="-13"/>
                <w:kern w:val="0"/>
                <w:sz w:val="24"/>
                <w:szCs w:val="24"/>
                <w:lang w:val="en-US" w:eastAsia="zh-CN" w:bidi="ar-SA"/>
              </w:rPr>
              <w:t>完全满足得</w:t>
            </w:r>
            <w:r>
              <w:rPr>
                <w:rFonts w:hint="eastAsia" w:asciiTheme="minorEastAsia" w:hAnsiTheme="minorEastAsia" w:eastAsiaTheme="minorEastAsia" w:cstheme="minorEastAsia"/>
                <w:snapToGrid w:val="0"/>
                <w:color w:val="auto"/>
                <w:spacing w:val="-13"/>
                <w:kern w:val="0"/>
                <w:sz w:val="24"/>
                <w:szCs w:val="24"/>
                <w:lang w:val="en-US" w:eastAsia="zh-CN" w:bidi="ar-SA"/>
              </w:rPr>
              <w:t xml:space="preserve"> </w:t>
            </w:r>
            <w:r>
              <w:rPr>
                <w:rFonts w:hint="default" w:asciiTheme="minorEastAsia" w:hAnsiTheme="minorEastAsia" w:eastAsiaTheme="minorEastAsia" w:cstheme="minorEastAsia"/>
                <w:snapToGrid w:val="0"/>
                <w:color w:val="auto"/>
                <w:spacing w:val="-13"/>
                <w:kern w:val="0"/>
                <w:sz w:val="24"/>
                <w:szCs w:val="24"/>
                <w:lang w:val="en-US" w:eastAsia="zh-CN" w:bidi="ar-SA"/>
              </w:rPr>
              <w:t>4</w:t>
            </w:r>
            <w:r>
              <w:rPr>
                <w:rFonts w:hint="eastAsia" w:asciiTheme="minorEastAsia" w:hAnsiTheme="minorEastAsia" w:eastAsiaTheme="minorEastAsia" w:cstheme="minorEastAsia"/>
                <w:snapToGrid w:val="0"/>
                <w:color w:val="auto"/>
                <w:spacing w:val="-13"/>
                <w:kern w:val="0"/>
                <w:sz w:val="24"/>
                <w:szCs w:val="24"/>
                <w:lang w:val="en-US" w:eastAsia="zh-CN" w:bidi="ar-SA"/>
              </w:rPr>
              <w:t xml:space="preserve"> </w:t>
            </w:r>
            <w:r>
              <w:rPr>
                <w:rFonts w:hint="default" w:asciiTheme="minorEastAsia" w:hAnsiTheme="minorEastAsia" w:eastAsiaTheme="minorEastAsia" w:cstheme="minorEastAsia"/>
                <w:snapToGrid w:val="0"/>
                <w:color w:val="auto"/>
                <w:spacing w:val="-13"/>
                <w:kern w:val="0"/>
                <w:sz w:val="24"/>
                <w:szCs w:val="24"/>
                <w:lang w:val="en-US" w:eastAsia="zh-CN" w:bidi="ar-SA"/>
              </w:rPr>
              <w:t>分。</w:t>
            </w:r>
            <w:r>
              <w:rPr>
                <w:rFonts w:hint="default" w:asciiTheme="minorEastAsia" w:hAnsiTheme="minorEastAsia" w:eastAsiaTheme="minorEastAsia" w:cstheme="minorEastAsia"/>
                <w:snapToGrid w:val="0"/>
                <w:color w:val="000000"/>
                <w:spacing w:val="-13"/>
                <w:kern w:val="0"/>
                <w:sz w:val="24"/>
                <w:szCs w:val="24"/>
                <w:lang w:val="en-US" w:eastAsia="zh-CN" w:bidi="ar-SA"/>
              </w:rPr>
              <w:t>提供身份证、学历证明、相关证件、管理经验证明，需提供相关证件原件扫描，未提供的不得分。</w:t>
            </w:r>
          </w:p>
        </w:tc>
      </w:tr>
      <w:tr w14:paraId="5CC60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continue"/>
            <w:vAlign w:val="center"/>
          </w:tcPr>
          <w:p w14:paraId="2D0AFAD2">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552" w:type="dxa"/>
            <w:vMerge w:val="continue"/>
            <w:vAlign w:val="center"/>
          </w:tcPr>
          <w:p w14:paraId="64274D4D">
            <w:pPr>
              <w:keepNext w:val="0"/>
              <w:keepLines w:val="0"/>
              <w:pageBreakBefore w:val="0"/>
              <w:kinsoku/>
              <w:wordWrap w:val="0"/>
              <w:overflowPunct/>
              <w:topLinePunct w:val="0"/>
              <w:bidi w:val="0"/>
              <w:spacing w:before="157" w:line="22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1033" w:type="dxa"/>
            <w:vAlign w:val="center"/>
          </w:tcPr>
          <w:p w14:paraId="7861EBCB">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拟投入的设备设施（7分）</w:t>
            </w:r>
          </w:p>
        </w:tc>
        <w:tc>
          <w:tcPr>
            <w:tcW w:w="5215" w:type="dxa"/>
            <w:vAlign w:val="top"/>
          </w:tcPr>
          <w:p w14:paraId="18C1C099">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投标人应提供保障项目顺利实施所需的设备设施（包含但不限于器械、工具、通讯、安保及消防设备、防爆盾牌、橡胶棒等），根据提供的设备的数量、齐备性、先进性等打分。</w:t>
            </w:r>
          </w:p>
          <w:p w14:paraId="2E2B72BE">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拟投入设备种类、数量齐全</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default" w:asciiTheme="minorEastAsia" w:hAnsiTheme="minorEastAsia" w:eastAsiaTheme="minorEastAsia" w:cstheme="minorEastAsia"/>
                <w:snapToGrid w:val="0"/>
                <w:color w:val="000000"/>
                <w:spacing w:val="-13"/>
                <w:kern w:val="0"/>
                <w:sz w:val="24"/>
                <w:szCs w:val="24"/>
                <w:lang w:val="en-US" w:eastAsia="zh-CN" w:bidi="ar-SA"/>
              </w:rPr>
              <w:t>配置合理，完全满足采购需求的得7分；</w:t>
            </w:r>
          </w:p>
          <w:p w14:paraId="2CCFCFB6">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拟投入设备种类、数量较齐全</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default" w:asciiTheme="minorEastAsia" w:hAnsiTheme="minorEastAsia" w:eastAsiaTheme="minorEastAsia" w:cstheme="minorEastAsia"/>
                <w:snapToGrid w:val="0"/>
                <w:color w:val="000000"/>
                <w:spacing w:val="-13"/>
                <w:kern w:val="0"/>
                <w:sz w:val="24"/>
                <w:szCs w:val="24"/>
                <w:lang w:val="en-US" w:eastAsia="zh-CN" w:bidi="ar-SA"/>
              </w:rPr>
              <w:t>配置基本合理，能满足采购需求的得</w:t>
            </w: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default" w:asciiTheme="minorEastAsia" w:hAnsiTheme="minorEastAsia" w:eastAsiaTheme="minorEastAsia" w:cstheme="minorEastAsia"/>
                <w:snapToGrid w:val="0"/>
                <w:color w:val="000000"/>
                <w:spacing w:val="-13"/>
                <w:kern w:val="0"/>
                <w:sz w:val="24"/>
                <w:szCs w:val="24"/>
                <w:lang w:val="en-US" w:eastAsia="zh-CN" w:bidi="ar-SA"/>
              </w:rPr>
              <w:t>分；</w:t>
            </w:r>
          </w:p>
          <w:p w14:paraId="62A55AB3">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拟投入设备不够齐全，种类、数量有欠缺，分配不够合理的得1分；</w:t>
            </w:r>
          </w:p>
          <w:p w14:paraId="06AD416A">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此项未提供不得分。</w:t>
            </w:r>
          </w:p>
          <w:p w14:paraId="44AEEEC7">
            <w:pPr>
              <w:pStyle w:val="21"/>
              <w:keepNext w:val="0"/>
              <w:keepLines w:val="0"/>
              <w:pageBreakBefore w:val="0"/>
              <w:kinsoku/>
              <w:wordWrap w:val="0"/>
              <w:overflowPunct/>
              <w:topLinePunct w:val="0"/>
              <w:bidi w:val="0"/>
              <w:spacing w:before="33" w:line="235" w:lineRule="auto"/>
              <w:ind w:left="76" w:right="23" w:firstLine="430"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b/>
                <w:bCs/>
                <w:snapToGrid w:val="0"/>
                <w:color w:val="000000"/>
                <w:spacing w:val="-13"/>
                <w:kern w:val="0"/>
                <w:sz w:val="24"/>
                <w:szCs w:val="24"/>
                <w:lang w:val="en-US" w:eastAsia="zh-CN" w:bidi="ar-SA"/>
              </w:rPr>
              <w:t>注：须提供设备照片、购置发票复印件等材料并加盖章供应商公章，未提供者不得分。</w:t>
            </w:r>
          </w:p>
        </w:tc>
      </w:tr>
      <w:tr w14:paraId="5FD40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continue"/>
            <w:vAlign w:val="center"/>
          </w:tcPr>
          <w:p w14:paraId="2BE4380E">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552" w:type="dxa"/>
            <w:vMerge w:val="continue"/>
            <w:vAlign w:val="center"/>
          </w:tcPr>
          <w:p w14:paraId="1E3AD485">
            <w:pPr>
              <w:keepNext w:val="0"/>
              <w:keepLines w:val="0"/>
              <w:pageBreakBefore w:val="0"/>
              <w:kinsoku/>
              <w:wordWrap w:val="0"/>
              <w:overflowPunct/>
              <w:topLinePunct w:val="0"/>
              <w:bidi w:val="0"/>
              <w:spacing w:before="157" w:line="22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1033" w:type="dxa"/>
            <w:vAlign w:val="center"/>
          </w:tcPr>
          <w:p w14:paraId="36ACF036">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人员配备</w:t>
            </w:r>
          </w:p>
          <w:p w14:paraId="5698C887">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（8分）</w:t>
            </w:r>
          </w:p>
        </w:tc>
        <w:tc>
          <w:tcPr>
            <w:tcW w:w="5215" w:type="dxa"/>
            <w:vAlign w:val="top"/>
          </w:tcPr>
          <w:p w14:paraId="6FBE4370">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根据供应商拟投入本项目的人员安排、从业人员岗位分配、时间安排等方面进行评审：</w:t>
            </w:r>
          </w:p>
          <w:p w14:paraId="0CD6E475">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人员安排合理，配备专门服务团队，组织架构完整、人员分工明确、</w:t>
            </w:r>
            <w:r>
              <w:rPr>
                <w:rFonts w:hint="eastAsia" w:asciiTheme="minorEastAsia" w:hAnsiTheme="minorEastAsia" w:eastAsiaTheme="minorEastAsia" w:cstheme="minorEastAsia"/>
                <w:snapToGrid w:val="0"/>
                <w:color w:val="000000"/>
                <w:spacing w:val="-13"/>
                <w:kern w:val="0"/>
                <w:sz w:val="24"/>
                <w:szCs w:val="24"/>
                <w:lang w:val="en-US" w:eastAsia="zh-CN" w:bidi="ar-SA"/>
              </w:rPr>
              <w:t>职责明晰，</w:t>
            </w:r>
            <w:r>
              <w:rPr>
                <w:rFonts w:hint="default" w:asciiTheme="minorEastAsia" w:hAnsiTheme="minorEastAsia" w:eastAsiaTheme="minorEastAsia" w:cstheme="minorEastAsia"/>
                <w:snapToGrid w:val="0"/>
                <w:color w:val="000000"/>
                <w:spacing w:val="-13"/>
                <w:kern w:val="0"/>
                <w:sz w:val="24"/>
                <w:szCs w:val="24"/>
                <w:lang w:val="en-US" w:eastAsia="zh-CN" w:bidi="ar-SA"/>
              </w:rPr>
              <w:t>完全满足采购需求的得8分；</w:t>
            </w:r>
          </w:p>
          <w:p w14:paraId="02382D44">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人员安排较合理，分工较明确、可行，基本满足采购需求的得</w:t>
            </w:r>
            <w:r>
              <w:rPr>
                <w:rFonts w:hint="eastAsia" w:asciiTheme="minorEastAsia" w:hAnsiTheme="minorEastAsia" w:eastAsiaTheme="minorEastAsia" w:cstheme="minorEastAsia"/>
                <w:snapToGrid w:val="0"/>
                <w:color w:val="000000"/>
                <w:spacing w:val="-13"/>
                <w:kern w:val="0"/>
                <w:sz w:val="24"/>
                <w:szCs w:val="24"/>
                <w:lang w:val="en-US" w:eastAsia="zh-CN" w:bidi="ar-SA"/>
              </w:rPr>
              <w:t>5</w:t>
            </w:r>
            <w:r>
              <w:rPr>
                <w:rFonts w:hint="default" w:asciiTheme="minorEastAsia" w:hAnsiTheme="minorEastAsia" w:eastAsiaTheme="minorEastAsia" w:cstheme="minorEastAsia"/>
                <w:snapToGrid w:val="0"/>
                <w:color w:val="000000"/>
                <w:spacing w:val="-13"/>
                <w:kern w:val="0"/>
                <w:sz w:val="24"/>
                <w:szCs w:val="24"/>
                <w:lang w:val="en-US" w:eastAsia="zh-CN" w:bidi="ar-SA"/>
              </w:rPr>
              <w:t>分；</w:t>
            </w:r>
          </w:p>
          <w:p w14:paraId="2151494C">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人员配备方案简单，安排及分工缺乏</w:t>
            </w:r>
            <w:r>
              <w:rPr>
                <w:rFonts w:hint="eastAsia" w:asciiTheme="minorEastAsia" w:hAnsiTheme="minorEastAsia" w:eastAsiaTheme="minorEastAsia" w:cstheme="minorEastAsia"/>
                <w:snapToGrid w:val="0"/>
                <w:color w:val="000000"/>
                <w:spacing w:val="-13"/>
                <w:kern w:val="0"/>
                <w:sz w:val="24"/>
                <w:szCs w:val="24"/>
                <w:lang w:val="en-US" w:eastAsia="zh-CN" w:bidi="ar-SA"/>
              </w:rPr>
              <w:t>合理</w:t>
            </w:r>
            <w:r>
              <w:rPr>
                <w:rFonts w:hint="default" w:asciiTheme="minorEastAsia" w:hAnsiTheme="minorEastAsia" w:eastAsiaTheme="minorEastAsia" w:cstheme="minorEastAsia"/>
                <w:snapToGrid w:val="0"/>
                <w:color w:val="000000"/>
                <w:spacing w:val="-13"/>
                <w:kern w:val="0"/>
                <w:sz w:val="24"/>
                <w:szCs w:val="24"/>
                <w:lang w:val="en-US" w:eastAsia="zh-CN" w:bidi="ar-SA"/>
              </w:rPr>
              <w:t>性</w:t>
            </w:r>
            <w:r>
              <w:rPr>
                <w:rFonts w:hint="eastAsia" w:asciiTheme="minorEastAsia" w:hAnsiTheme="minorEastAsia" w:eastAsiaTheme="minorEastAsia" w:cstheme="minorEastAsia"/>
                <w:snapToGrid w:val="0"/>
                <w:color w:val="000000"/>
                <w:spacing w:val="-13"/>
                <w:kern w:val="0"/>
                <w:sz w:val="24"/>
                <w:szCs w:val="24"/>
                <w:lang w:val="en-US" w:eastAsia="zh-CN" w:bidi="ar-SA"/>
              </w:rPr>
              <w:t>、针对性难以满足采购需求</w:t>
            </w:r>
            <w:r>
              <w:rPr>
                <w:rFonts w:hint="default"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default" w:asciiTheme="minorEastAsia" w:hAnsiTheme="minorEastAsia" w:eastAsiaTheme="minorEastAsia" w:cstheme="minorEastAsia"/>
                <w:snapToGrid w:val="0"/>
                <w:color w:val="000000"/>
                <w:spacing w:val="-13"/>
                <w:kern w:val="0"/>
                <w:sz w:val="24"/>
                <w:szCs w:val="24"/>
                <w:lang w:val="en-US" w:eastAsia="zh-CN" w:bidi="ar-SA"/>
              </w:rPr>
              <w:t>得2分；</w:t>
            </w:r>
          </w:p>
          <w:p w14:paraId="4DFBC070">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此项未提供不得分。</w:t>
            </w:r>
          </w:p>
        </w:tc>
      </w:tr>
      <w:tr w14:paraId="0FBEE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continue"/>
            <w:vAlign w:val="center"/>
          </w:tcPr>
          <w:p w14:paraId="123FBB02">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552" w:type="dxa"/>
            <w:vMerge w:val="continue"/>
            <w:vAlign w:val="center"/>
          </w:tcPr>
          <w:p w14:paraId="7B9D0419">
            <w:pPr>
              <w:keepNext w:val="0"/>
              <w:keepLines w:val="0"/>
              <w:pageBreakBefore w:val="0"/>
              <w:kinsoku/>
              <w:wordWrap w:val="0"/>
              <w:overflowPunct/>
              <w:topLinePunct w:val="0"/>
              <w:bidi w:val="0"/>
              <w:spacing w:before="157" w:line="22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1033" w:type="dxa"/>
            <w:vAlign w:val="center"/>
          </w:tcPr>
          <w:p w14:paraId="16163B4B">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信用评价</w:t>
            </w:r>
          </w:p>
          <w:p w14:paraId="0F4373AB">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（2分）</w:t>
            </w:r>
          </w:p>
        </w:tc>
        <w:tc>
          <w:tcPr>
            <w:tcW w:w="5215" w:type="dxa"/>
            <w:vAlign w:val="top"/>
          </w:tcPr>
          <w:p w14:paraId="321D7C92">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诚信指数高的供应商，在参加南阳市本级的政府采购活动时，享受政策支持，在采用综合评分法的项目中，诚信评价为满分的得 2 分，0-99 分（不含 90 分）之间得 1 分，90 分以下的不得分。供应商可在公告发布之日到投标截止期间，登录“南阳市政府采购信用管理系统”在线打印《南阳市政府采购供应商信用记录表》，作为投标(响应)文件的组成部分提交，评审时作为享受政策支持的依据。</w:t>
            </w:r>
          </w:p>
        </w:tc>
      </w:tr>
      <w:tr w14:paraId="7D7A3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32" w:type="dxa"/>
            <w:vMerge w:val="continue"/>
            <w:vAlign w:val="center"/>
          </w:tcPr>
          <w:p w14:paraId="7AEE21CC">
            <w:pPr>
              <w:pStyle w:val="21"/>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552" w:type="dxa"/>
            <w:vMerge w:val="continue"/>
            <w:vAlign w:val="center"/>
          </w:tcPr>
          <w:p w14:paraId="2372262B">
            <w:pPr>
              <w:keepNext w:val="0"/>
              <w:keepLines w:val="0"/>
              <w:pageBreakBefore w:val="0"/>
              <w:kinsoku/>
              <w:wordWrap w:val="0"/>
              <w:overflowPunct/>
              <w:topLinePunct w:val="0"/>
              <w:bidi w:val="0"/>
              <w:spacing w:before="157" w:line="22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1033" w:type="dxa"/>
            <w:vAlign w:val="center"/>
          </w:tcPr>
          <w:p w14:paraId="4C07E8D7">
            <w:pPr>
              <w:pStyle w:val="21"/>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4"/>
                <w:szCs w:val="24"/>
                <w:lang w:val="en-US" w:eastAsia="en-US" w:bidi="ar-SA"/>
              </w:rPr>
            </w:pPr>
            <w:r>
              <w:rPr>
                <w:rFonts w:hint="eastAsia" w:ascii="宋体" w:hAnsi="宋体" w:eastAsia="宋体" w:cs="宋体"/>
                <w:snapToGrid w:val="0"/>
                <w:color w:val="000000"/>
                <w:spacing w:val="-13"/>
                <w:kern w:val="0"/>
                <w:sz w:val="24"/>
                <w:szCs w:val="24"/>
                <w:lang w:val="en-US" w:eastAsia="en-US" w:bidi="ar-SA"/>
              </w:rPr>
              <w:t>服务质量保障承诺（6分）</w:t>
            </w:r>
          </w:p>
        </w:tc>
        <w:tc>
          <w:tcPr>
            <w:tcW w:w="5215" w:type="dxa"/>
            <w:vAlign w:val="top"/>
          </w:tcPr>
          <w:p w14:paraId="54CF27F4">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评委根据供应商针对项目的特点和要求，结合自身的条件，</w:t>
            </w:r>
            <w:r>
              <w:rPr>
                <w:rFonts w:hint="eastAsia" w:asciiTheme="minorEastAsia" w:hAnsiTheme="minorEastAsia" w:eastAsiaTheme="minorEastAsia" w:cstheme="minorEastAsia"/>
                <w:snapToGrid w:val="0"/>
                <w:color w:val="000000"/>
                <w:spacing w:val="-13"/>
                <w:kern w:val="0"/>
                <w:sz w:val="24"/>
                <w:szCs w:val="24"/>
                <w:lang w:val="en-US" w:eastAsia="zh-CN" w:bidi="ar-SA"/>
              </w:rPr>
              <w:t>对所提出的</w:t>
            </w:r>
            <w:r>
              <w:rPr>
                <w:rFonts w:hint="default" w:asciiTheme="minorEastAsia" w:hAnsiTheme="minorEastAsia" w:eastAsiaTheme="minorEastAsia" w:cstheme="minorEastAsia"/>
                <w:snapToGrid w:val="0"/>
                <w:color w:val="000000"/>
                <w:spacing w:val="-13"/>
                <w:kern w:val="0"/>
                <w:sz w:val="24"/>
                <w:szCs w:val="24"/>
                <w:lang w:val="en-US" w:eastAsia="zh-CN" w:bidi="ar-SA"/>
              </w:rPr>
              <w:t>有利于保障和提高服务质量等方面的承诺进行评分：</w:t>
            </w:r>
          </w:p>
          <w:p w14:paraId="0435962C">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方案详细，科学合理、可操作性强的得6分；</w:t>
            </w:r>
          </w:p>
          <w:p w14:paraId="70E5A89F">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方案较详细，较科学合理、有可操作性的得4分；</w:t>
            </w:r>
          </w:p>
          <w:p w14:paraId="4C49F3CF">
            <w:pPr>
              <w:pStyle w:val="21"/>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方案不够详细，不够科学合理、操作性不强的得</w:t>
            </w:r>
            <w:r>
              <w:rPr>
                <w:rFonts w:hint="eastAsia" w:asciiTheme="minorEastAsia" w:hAnsiTheme="minorEastAsia" w:eastAsiaTheme="minorEastAsia" w:cstheme="minorEastAsia"/>
                <w:snapToGrid w:val="0"/>
                <w:color w:val="000000"/>
                <w:spacing w:val="-13"/>
                <w:kern w:val="0"/>
                <w:sz w:val="24"/>
                <w:szCs w:val="24"/>
                <w:lang w:val="en-US" w:eastAsia="zh-CN" w:bidi="ar-SA"/>
              </w:rPr>
              <w:t>2</w:t>
            </w:r>
            <w:r>
              <w:rPr>
                <w:rFonts w:hint="default" w:asciiTheme="minorEastAsia" w:hAnsiTheme="minorEastAsia" w:eastAsiaTheme="minorEastAsia" w:cstheme="minorEastAsia"/>
                <w:snapToGrid w:val="0"/>
                <w:color w:val="000000"/>
                <w:spacing w:val="-13"/>
                <w:kern w:val="0"/>
                <w:sz w:val="24"/>
                <w:szCs w:val="24"/>
                <w:lang w:val="en-US" w:eastAsia="zh-CN" w:bidi="ar-SA"/>
              </w:rPr>
              <w:t>分；</w:t>
            </w:r>
          </w:p>
          <w:p w14:paraId="48E2C899">
            <w:pPr>
              <w:pStyle w:val="21"/>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此项未提供不得分。</w:t>
            </w:r>
          </w:p>
        </w:tc>
      </w:tr>
      <w:tr w14:paraId="24E3A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284" w:type="dxa"/>
            <w:gridSpan w:val="2"/>
            <w:vAlign w:val="top"/>
          </w:tcPr>
          <w:p w14:paraId="27AC93C5">
            <w:pPr>
              <w:keepNext w:val="0"/>
              <w:keepLines w:val="0"/>
              <w:pageBreakBefore w:val="0"/>
              <w:kinsoku/>
              <w:wordWrap w:val="0"/>
              <w:overflowPunct/>
              <w:topLinePunct w:val="0"/>
              <w:bidi w:val="0"/>
              <w:spacing w:before="42" w:line="206" w:lineRule="auto"/>
              <w:ind w:left="93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合计</w:t>
            </w:r>
          </w:p>
        </w:tc>
        <w:tc>
          <w:tcPr>
            <w:tcW w:w="1033" w:type="dxa"/>
            <w:vAlign w:val="top"/>
          </w:tcPr>
          <w:p w14:paraId="24E062BD">
            <w:pPr>
              <w:pStyle w:val="21"/>
              <w:keepNext w:val="0"/>
              <w:keepLines w:val="0"/>
              <w:pageBreakBefore w:val="0"/>
              <w:kinsoku/>
              <w:wordWrap w:val="0"/>
              <w:overflowPunct/>
              <w:topLinePunct w:val="0"/>
              <w:bidi w:val="0"/>
              <w:spacing w:before="59" w:line="202" w:lineRule="auto"/>
              <w:ind w:left="26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100</w:t>
            </w:r>
          </w:p>
        </w:tc>
        <w:tc>
          <w:tcPr>
            <w:tcW w:w="5215" w:type="dxa"/>
            <w:vAlign w:val="top"/>
          </w:tcPr>
          <w:p w14:paraId="085D491C">
            <w:pPr>
              <w:pStyle w:val="21"/>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0FF578A4">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616C23E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有下列情况之一的，</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宣布本项目终止：</w:t>
      </w:r>
    </w:p>
    <w:p w14:paraId="4D2EB5C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11.1 </w:t>
      </w:r>
      <w:r>
        <w:rPr>
          <w:rFonts w:hint="eastAsia" w:ascii="宋体" w:hAnsi="宋体" w:eastAsia="宋体" w:cs="宋体"/>
          <w:snapToGrid w:val="0"/>
          <w:color w:val="000000"/>
          <w:kern w:val="0"/>
          <w:sz w:val="24"/>
          <w:szCs w:val="24"/>
          <w:lang w:val="en-US" w:eastAsia="en-US" w:bidi="ar-SA"/>
        </w:rPr>
        <w:t>因情况变化，不再符合规定的竞争性磋商采购方式适用情形的；</w:t>
      </w:r>
    </w:p>
    <w:p w14:paraId="43DD4FB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11.2 </w:t>
      </w:r>
      <w:r>
        <w:rPr>
          <w:rFonts w:hint="eastAsia" w:ascii="宋体" w:hAnsi="宋体" w:eastAsia="宋体" w:cs="宋体"/>
          <w:snapToGrid w:val="0"/>
          <w:color w:val="000000"/>
          <w:kern w:val="0"/>
          <w:sz w:val="24"/>
          <w:szCs w:val="24"/>
          <w:lang w:val="en-US" w:eastAsia="en-US" w:bidi="ar-SA"/>
        </w:rPr>
        <w:t>出现影响采购公正的违法、违规行为的；</w:t>
      </w:r>
    </w:p>
    <w:p w14:paraId="77992702">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11.3 </w:t>
      </w:r>
      <w:r>
        <w:rPr>
          <w:rFonts w:hint="eastAsia" w:ascii="宋体" w:hAnsi="宋体" w:eastAsia="宋体" w:cs="宋体"/>
          <w:snapToGrid w:val="0"/>
          <w:color w:val="000000"/>
          <w:kern w:val="0"/>
          <w:sz w:val="24"/>
          <w:szCs w:val="24"/>
          <w:lang w:val="en-US" w:eastAsia="en-US" w:bidi="ar-SA"/>
        </w:rPr>
        <w:t>法律法规规定的其他情况。</w:t>
      </w:r>
    </w:p>
    <w:p w14:paraId="5ED1CCE9">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lang w:val="en-US" w:eastAsia="zh-CN"/>
        </w:rPr>
      </w:pPr>
      <w:r>
        <w:rPr>
          <w:rFonts w:hint="eastAsia" w:ascii="宋体" w:hAnsi="宋体" w:eastAsia="宋体" w:cs="宋体"/>
          <w:snapToGrid w:val="0"/>
          <w:color w:val="000000"/>
          <w:kern w:val="0"/>
          <w:sz w:val="24"/>
          <w:szCs w:val="24"/>
          <w:lang w:val="en-US" w:eastAsia="zh-CN" w:bidi="ar-SA"/>
        </w:rPr>
        <w:t>12.</w:t>
      </w:r>
      <w:r>
        <w:rPr>
          <w:rFonts w:hint="eastAsia" w:ascii="宋体" w:hAnsi="宋体" w:eastAsia="宋体" w:cs="宋体"/>
          <w:snapToGrid w:val="0"/>
          <w:color w:val="000000"/>
          <w:kern w:val="0"/>
          <w:sz w:val="24"/>
          <w:szCs w:val="24"/>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w:t>
      </w:r>
      <w:r>
        <w:rPr>
          <w:rFonts w:hint="eastAsia" w:asciiTheme="minorEastAsia" w:hAnsiTheme="minorEastAsia" w:eastAsiaTheme="minorEastAsia" w:cstheme="minorEastAsia"/>
          <w:spacing w:val="-13"/>
          <w:sz w:val="24"/>
          <w:szCs w:val="24"/>
          <w:lang w:val="en-US" w:eastAsia="zh-CN"/>
        </w:rPr>
        <w:t>15</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napToGrid w:val="0"/>
          <w:color w:val="000000"/>
          <w:kern w:val="0"/>
          <w:sz w:val="24"/>
          <w:szCs w:val="24"/>
          <w:lang w:val="en-US" w:eastAsia="en-US" w:bidi="ar-SA"/>
        </w:rPr>
        <w:t>124号）等规定执行。</w:t>
      </w:r>
    </w:p>
    <w:p w14:paraId="351C2E2F">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zh-CN" w:bidi="ar-SA"/>
        </w:rPr>
      </w:pPr>
    </w:p>
    <w:p w14:paraId="04B3A83F">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p>
    <w:p w14:paraId="507D10C6">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14:paraId="6C81815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将在“河南省政府采购网”和“</w:t>
      </w:r>
      <w:r>
        <w:rPr>
          <w:rFonts w:hint="eastAsia" w:ascii="宋体" w:hAnsi="宋体" w:eastAsia="宋体" w:cs="宋体"/>
          <w:snapToGrid w:val="0"/>
          <w:color w:val="000000"/>
          <w:kern w:val="0"/>
          <w:sz w:val="24"/>
          <w:szCs w:val="24"/>
          <w:lang w:val="en-US" w:eastAsia="zh-CN" w:bidi="ar-SA"/>
        </w:rPr>
        <w:t>全国公共资源交易平台（河南省·南阳市）</w:t>
      </w:r>
      <w:r>
        <w:rPr>
          <w:rFonts w:hint="eastAsia" w:ascii="宋体" w:hAnsi="宋体" w:eastAsia="宋体" w:cs="宋体"/>
          <w:snapToGrid w:val="0"/>
          <w:color w:val="000000"/>
          <w:kern w:val="0"/>
          <w:sz w:val="24"/>
          <w:szCs w:val="24"/>
          <w:lang w:val="en-US" w:eastAsia="en-US" w:bidi="ar-SA"/>
        </w:rPr>
        <w:t>”上发布成交公告。</w:t>
      </w:r>
    </w:p>
    <w:p w14:paraId="40050F3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14:paraId="5DDCED4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14:paraId="0134FB13">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通过“南阳市公共资源交易中心</w:t>
      </w:r>
      <w:r>
        <w:rPr>
          <w:rFonts w:hint="eastAsia" w:ascii="宋体" w:hAnsi="宋体" w:eastAsia="宋体" w:cs="宋体"/>
          <w:snapToGrid w:val="0"/>
          <w:color w:val="000000"/>
          <w:kern w:val="0"/>
          <w:sz w:val="24"/>
          <w:szCs w:val="24"/>
          <w:lang w:val="en-US" w:eastAsia="zh-CN" w:bidi="ar-SA"/>
        </w:rPr>
        <w:t>公共服务平台</w:t>
      </w:r>
      <w:r>
        <w:rPr>
          <w:rFonts w:hint="eastAsia" w:ascii="宋体" w:hAnsi="宋体" w:eastAsia="宋体" w:cs="宋体"/>
          <w:snapToGrid w:val="0"/>
          <w:color w:val="000000"/>
          <w:kern w:val="0"/>
          <w:sz w:val="24"/>
          <w:szCs w:val="24"/>
          <w:lang w:val="en-US" w:eastAsia="en-US" w:bidi="ar-SA"/>
        </w:rPr>
        <w:t>”向成交供应商发出电子成交通知书，成交供应商可登陆</w:t>
      </w:r>
      <w:r>
        <w:rPr>
          <w:rFonts w:hint="eastAsia" w:ascii="宋体" w:hAnsi="宋体" w:eastAsia="宋体" w:cs="宋体"/>
          <w:snapToGrid w:val="0"/>
          <w:color w:val="000000"/>
          <w:kern w:val="0"/>
          <w:sz w:val="24"/>
          <w:szCs w:val="24"/>
          <w:lang w:val="en-US" w:eastAsia="zh-CN" w:bidi="ar-SA"/>
        </w:rPr>
        <w:t>南阳市公共资源交易平台会员系统</w:t>
      </w:r>
      <w:r>
        <w:rPr>
          <w:rFonts w:hint="eastAsia" w:ascii="宋体" w:hAnsi="宋体" w:eastAsia="宋体" w:cs="宋体"/>
          <w:snapToGrid w:val="0"/>
          <w:color w:val="000000"/>
          <w:kern w:val="0"/>
          <w:sz w:val="24"/>
          <w:szCs w:val="24"/>
          <w:lang w:val="en-US" w:eastAsia="en-US" w:bidi="ar-SA"/>
        </w:rPr>
        <w:t>，自行打印加盖电子签章的成交通知书。</w:t>
      </w:r>
    </w:p>
    <w:p w14:paraId="3044D94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14:paraId="3087B31C">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14:paraId="04625BB0">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签订政府采购合同，逾期无故不签订的，按《政府采购竞争性磋商采购方式管理暂行办法》及有关规定处理。</w:t>
      </w:r>
    </w:p>
    <w:p w14:paraId="1CF229F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竞争性磋商文件、响应文件、供应商在磋商过程中的承诺以及确认材料，均为合同的有效组成部分。</w:t>
      </w:r>
    </w:p>
    <w:p w14:paraId="2094D90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如果成交供应商不按其响应文件承诺和竞争性磋商文件要求签订政府采购合同，采购人将取消其成交资格。</w:t>
      </w:r>
    </w:p>
    <w:p w14:paraId="387574E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p>
    <w:p w14:paraId="49D404FD">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p>
    <w:p w14:paraId="34422F6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2A14589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1BAC642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39A0AD0A">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379E86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5041D59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69B233C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7FD0E4EC">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zh-CN" w:bidi="ar-SA"/>
        </w:rPr>
      </w:pPr>
    </w:p>
    <w:p w14:paraId="42164761">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p>
    <w:p w14:paraId="02E952D3">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14:paraId="3B5E559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供应商必须由法定代表人或授权代表参加磋商，随时接受磋商小组的询问、质疑，并按照磋商小组的要求答复。</w:t>
      </w:r>
    </w:p>
    <w:p w14:paraId="7640620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供应商自行承担参加竞争性磋商的全部费用。</w:t>
      </w:r>
    </w:p>
    <w:p w14:paraId="4E18E67F">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本竞争性磋商文件最终解释权归</w:t>
      </w:r>
      <w:r>
        <w:rPr>
          <w:rFonts w:hint="eastAsia" w:ascii="宋体" w:hAnsi="宋体" w:eastAsia="宋体" w:cs="宋体"/>
          <w:snapToGrid w:val="0"/>
          <w:color w:val="000000"/>
          <w:kern w:val="0"/>
          <w:sz w:val="24"/>
          <w:szCs w:val="24"/>
          <w:lang w:val="en-US" w:eastAsia="zh-CN" w:bidi="ar-SA"/>
        </w:rPr>
        <w:t>采购代理机构</w:t>
      </w:r>
      <w:r>
        <w:rPr>
          <w:rFonts w:hint="eastAsia" w:ascii="宋体" w:hAnsi="宋体" w:eastAsia="宋体" w:cs="宋体"/>
          <w:snapToGrid w:val="0"/>
          <w:color w:val="000000"/>
          <w:kern w:val="0"/>
          <w:sz w:val="24"/>
          <w:szCs w:val="24"/>
          <w:lang w:val="en-US" w:eastAsia="en-US" w:bidi="ar-SA"/>
        </w:rPr>
        <w:t>。</w:t>
      </w:r>
    </w:p>
    <w:p w14:paraId="4B12D4A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309B322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22151B0D">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81BCE9A">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449E4B36">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3B91658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79F0E83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6E2B5644">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0C67A56F">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2207B06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167511C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246B4900">
      <w:pPr>
        <w:keepNext w:val="0"/>
        <w:keepLines w:val="0"/>
        <w:pageBreakBefore w:val="0"/>
        <w:kinsoku/>
        <w:wordWrap w:val="0"/>
        <w:overflowPunct/>
        <w:topLinePunct w:val="0"/>
        <w:bidi w:val="0"/>
        <w:spacing w:after="0" w:line="360" w:lineRule="auto"/>
        <w:jc w:val="center"/>
        <w:rPr>
          <w:rFonts w:ascii="Arial"/>
          <w:sz w:val="21"/>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p>
    <w:p w14:paraId="255074CB">
      <w:pPr>
        <w:spacing w:line="360" w:lineRule="auto"/>
        <w:jc w:val="center"/>
        <w:rPr>
          <w:rFonts w:hint="eastAsia" w:ascii="仿宋" w:hAnsi="仿宋" w:eastAsia="仿宋" w:cs="仿宋"/>
          <w:b/>
          <w:bCs/>
          <w:sz w:val="44"/>
          <w:szCs w:val="44"/>
          <w:lang w:eastAsia="zh-CN"/>
        </w:rPr>
      </w:pPr>
      <w:r>
        <w:rPr>
          <w:rFonts w:hint="eastAsia" w:ascii="仿宋" w:hAnsi="仿宋" w:eastAsia="仿宋" w:cs="仿宋"/>
          <w:b/>
          <w:bCs/>
          <w:sz w:val="44"/>
          <w:szCs w:val="44"/>
          <w:lang w:eastAsia="zh-CN"/>
        </w:rPr>
        <w:t>南阳市第一实验幼儿园保安服务项目</w:t>
      </w:r>
    </w:p>
    <w:p w14:paraId="64EB6C2C">
      <w:pPr>
        <w:spacing w:line="360" w:lineRule="auto"/>
        <w:jc w:val="center"/>
        <w:rPr>
          <w:rFonts w:hint="eastAsia" w:ascii="仿宋" w:hAnsi="仿宋" w:eastAsia="仿宋" w:cs="仿宋"/>
          <w:b/>
          <w:bCs/>
          <w:sz w:val="44"/>
          <w:szCs w:val="44"/>
        </w:rPr>
      </w:pPr>
      <w:r>
        <w:rPr>
          <w:rFonts w:hint="eastAsia" w:ascii="仿宋" w:hAnsi="仿宋" w:eastAsia="仿宋" w:cs="仿宋"/>
          <w:b/>
          <w:bCs/>
          <w:sz w:val="44"/>
          <w:szCs w:val="44"/>
          <w:lang w:val="en-US" w:eastAsia="zh-CN"/>
        </w:rPr>
        <w:t>服务</w:t>
      </w:r>
      <w:r>
        <w:rPr>
          <w:rFonts w:hint="eastAsia" w:ascii="仿宋" w:hAnsi="仿宋" w:eastAsia="仿宋" w:cs="仿宋"/>
          <w:b/>
          <w:bCs/>
          <w:sz w:val="44"/>
          <w:szCs w:val="44"/>
        </w:rPr>
        <w:t>合同</w:t>
      </w:r>
    </w:p>
    <w:p w14:paraId="5F4F6097">
      <w:pPr>
        <w:pStyle w:val="2"/>
        <w:spacing w:line="360" w:lineRule="auto"/>
        <w:ind w:left="8" w:right="23" w:hanging="8"/>
        <w:jc w:val="center"/>
        <w:rPr>
          <w:sz w:val="28"/>
          <w:szCs w:val="28"/>
        </w:rPr>
      </w:pPr>
    </w:p>
    <w:p w14:paraId="1B4DCB12">
      <w:pPr>
        <w:shd w:val="clear" w:color="auto" w:fill="auto"/>
        <w:spacing w:before="309" w:line="360" w:lineRule="auto"/>
        <w:ind w:left="1957"/>
        <w:rPr>
          <w:rFonts w:hint="eastAsia" w:ascii="仿宋" w:hAnsi="仿宋" w:eastAsia="仿宋" w:cs="仿宋"/>
          <w:b/>
          <w:bCs/>
          <w:color w:val="auto"/>
          <w:sz w:val="36"/>
          <w:szCs w:val="36"/>
        </w:rPr>
      </w:pPr>
      <w:r>
        <w:rPr>
          <w:rFonts w:hint="eastAsia" w:ascii="仿宋" w:hAnsi="仿宋" w:eastAsia="仿宋" w:cs="仿宋"/>
          <w:b/>
          <w:bCs/>
          <w:color w:val="auto"/>
          <w:spacing w:val="-7"/>
          <w:position w:val="-4"/>
          <w:sz w:val="36"/>
          <w:szCs w:val="36"/>
        </w:rPr>
        <w:t>政</w:t>
      </w:r>
      <w:r>
        <w:rPr>
          <w:rFonts w:hint="eastAsia" w:ascii="仿宋" w:hAnsi="仿宋" w:eastAsia="仿宋" w:cs="仿宋"/>
          <w:b/>
          <w:bCs/>
          <w:color w:val="auto"/>
          <w:spacing w:val="-7"/>
          <w:position w:val="-4"/>
          <w:sz w:val="36"/>
          <w:szCs w:val="36"/>
          <w:lang w:val="en-US" w:eastAsia="zh-CN"/>
        </w:rPr>
        <w:t xml:space="preserve">   </w:t>
      </w:r>
      <w:r>
        <w:rPr>
          <w:rFonts w:hint="eastAsia" w:ascii="仿宋" w:hAnsi="仿宋" w:eastAsia="仿宋" w:cs="仿宋"/>
          <w:b/>
          <w:bCs/>
          <w:color w:val="auto"/>
          <w:spacing w:val="-7"/>
          <w:position w:val="-4"/>
          <w:sz w:val="36"/>
          <w:szCs w:val="36"/>
        </w:rPr>
        <w:t>府</w:t>
      </w:r>
      <w:r>
        <w:rPr>
          <w:rFonts w:hint="eastAsia" w:ascii="仿宋" w:hAnsi="仿宋" w:eastAsia="仿宋" w:cs="仿宋"/>
          <w:b/>
          <w:bCs/>
          <w:color w:val="auto"/>
          <w:spacing w:val="-7"/>
          <w:position w:val="-4"/>
          <w:sz w:val="36"/>
          <w:szCs w:val="36"/>
          <w:lang w:val="en-US" w:eastAsia="zh-CN"/>
        </w:rPr>
        <w:t xml:space="preserve">   </w:t>
      </w:r>
      <w:r>
        <w:rPr>
          <w:rFonts w:hint="eastAsia" w:ascii="仿宋" w:hAnsi="仿宋" w:eastAsia="仿宋" w:cs="仿宋"/>
          <w:b/>
          <w:bCs/>
          <w:color w:val="auto"/>
          <w:spacing w:val="-7"/>
          <w:position w:val="-4"/>
          <w:sz w:val="36"/>
          <w:szCs w:val="36"/>
        </w:rPr>
        <w:t>采</w:t>
      </w:r>
      <w:r>
        <w:rPr>
          <w:rFonts w:hint="eastAsia" w:ascii="仿宋" w:hAnsi="仿宋" w:eastAsia="仿宋" w:cs="仿宋"/>
          <w:b/>
          <w:bCs/>
          <w:color w:val="auto"/>
          <w:spacing w:val="-7"/>
          <w:position w:val="-4"/>
          <w:sz w:val="36"/>
          <w:szCs w:val="36"/>
          <w:lang w:val="en-US" w:eastAsia="zh-CN"/>
        </w:rPr>
        <w:t xml:space="preserve">   </w:t>
      </w:r>
      <w:r>
        <w:rPr>
          <w:rFonts w:hint="eastAsia" w:ascii="仿宋" w:hAnsi="仿宋" w:eastAsia="仿宋" w:cs="仿宋"/>
          <w:b/>
          <w:bCs/>
          <w:color w:val="auto"/>
          <w:spacing w:val="-7"/>
          <w:position w:val="-4"/>
          <w:sz w:val="36"/>
          <w:szCs w:val="36"/>
        </w:rPr>
        <w:t>购</w:t>
      </w:r>
      <w:r>
        <w:rPr>
          <w:rFonts w:hint="eastAsia" w:ascii="仿宋" w:hAnsi="仿宋" w:eastAsia="仿宋" w:cs="仿宋"/>
          <w:b/>
          <w:bCs/>
          <w:color w:val="auto"/>
          <w:spacing w:val="-7"/>
          <w:position w:val="-4"/>
          <w:sz w:val="36"/>
          <w:szCs w:val="36"/>
          <w:lang w:val="en-US" w:eastAsia="zh-CN"/>
        </w:rPr>
        <w:t xml:space="preserve">   </w:t>
      </w:r>
      <w:r>
        <w:rPr>
          <w:rFonts w:hint="eastAsia" w:ascii="仿宋" w:hAnsi="仿宋" w:eastAsia="仿宋" w:cs="仿宋"/>
          <w:b/>
          <w:bCs/>
          <w:color w:val="auto"/>
          <w:spacing w:val="-7"/>
          <w:position w:val="-4"/>
          <w:sz w:val="36"/>
          <w:szCs w:val="36"/>
        </w:rPr>
        <w:t>合</w:t>
      </w:r>
      <w:r>
        <w:rPr>
          <w:rFonts w:hint="eastAsia" w:ascii="仿宋" w:hAnsi="仿宋" w:eastAsia="仿宋" w:cs="仿宋"/>
          <w:b/>
          <w:bCs/>
          <w:color w:val="auto"/>
          <w:spacing w:val="-7"/>
          <w:position w:val="-4"/>
          <w:sz w:val="36"/>
          <w:szCs w:val="36"/>
          <w:lang w:val="en-US" w:eastAsia="zh-CN"/>
        </w:rPr>
        <w:t xml:space="preserve">   </w:t>
      </w:r>
      <w:r>
        <w:rPr>
          <w:rFonts w:hint="eastAsia" w:ascii="仿宋" w:hAnsi="仿宋" w:eastAsia="仿宋" w:cs="仿宋"/>
          <w:b/>
          <w:bCs/>
          <w:color w:val="auto"/>
          <w:spacing w:val="-7"/>
          <w:position w:val="-4"/>
          <w:sz w:val="36"/>
          <w:szCs w:val="36"/>
        </w:rPr>
        <w:t>同</w:t>
      </w:r>
    </w:p>
    <w:p w14:paraId="04751916">
      <w:pPr>
        <w:pStyle w:val="2"/>
        <w:spacing w:line="276" w:lineRule="auto"/>
      </w:pPr>
    </w:p>
    <w:p w14:paraId="6DA27D0A">
      <w:pPr>
        <w:pStyle w:val="2"/>
        <w:spacing w:line="276" w:lineRule="auto"/>
      </w:pPr>
    </w:p>
    <w:p w14:paraId="3C58A298">
      <w:pPr>
        <w:pStyle w:val="2"/>
        <w:spacing w:line="277" w:lineRule="auto"/>
      </w:pPr>
    </w:p>
    <w:p w14:paraId="36E44A79">
      <w:pPr>
        <w:spacing w:before="101" w:line="225" w:lineRule="auto"/>
        <w:ind w:left="1434"/>
        <w:rPr>
          <w:rFonts w:hint="eastAsia" w:ascii="仿宋" w:hAnsi="仿宋" w:eastAsia="仿宋" w:cs="仿宋"/>
          <w:b/>
          <w:bCs/>
          <w:spacing w:val="0"/>
          <w:sz w:val="28"/>
          <w:szCs w:val="28"/>
        </w:rPr>
      </w:pPr>
      <w:r>
        <w:rPr>
          <w:rFonts w:hint="eastAsia" w:ascii="仿宋" w:hAnsi="仿宋" w:eastAsia="仿宋" w:cs="仿宋"/>
          <w:b/>
          <w:bCs/>
          <w:spacing w:val="0"/>
          <w:sz w:val="28"/>
          <w:szCs w:val="28"/>
        </w:rPr>
        <w:t>项目名称：</w:t>
      </w:r>
    </w:p>
    <w:p w14:paraId="64361159">
      <w:pPr>
        <w:spacing w:before="101" w:line="225" w:lineRule="auto"/>
        <w:ind w:left="1434"/>
        <w:rPr>
          <w:rFonts w:hint="eastAsia" w:ascii="仿宋" w:hAnsi="仿宋" w:eastAsia="仿宋" w:cs="仿宋"/>
          <w:b/>
          <w:bCs/>
          <w:spacing w:val="0"/>
          <w:sz w:val="28"/>
          <w:szCs w:val="28"/>
        </w:rPr>
      </w:pPr>
      <w:r>
        <w:rPr>
          <w:rFonts w:hint="eastAsia" w:ascii="仿宋" w:hAnsi="仿宋" w:eastAsia="仿宋" w:cs="仿宋"/>
          <w:b/>
          <w:bCs/>
          <w:spacing w:val="0"/>
          <w:sz w:val="28"/>
          <w:szCs w:val="28"/>
        </w:rPr>
        <w:t xml:space="preserve">采购文件编号： </w:t>
      </w:r>
    </w:p>
    <w:p w14:paraId="0BE04154">
      <w:pPr>
        <w:spacing w:before="101" w:line="225" w:lineRule="auto"/>
        <w:ind w:left="1434"/>
        <w:rPr>
          <w:rFonts w:hint="eastAsia" w:ascii="仿宋" w:hAnsi="仿宋" w:eastAsia="仿宋" w:cs="仿宋"/>
          <w:b/>
          <w:bCs/>
          <w:spacing w:val="0"/>
          <w:sz w:val="28"/>
          <w:szCs w:val="28"/>
        </w:rPr>
      </w:pPr>
      <w:r>
        <w:rPr>
          <w:rFonts w:hint="eastAsia" w:ascii="仿宋" w:hAnsi="仿宋" w:eastAsia="仿宋" w:cs="仿宋"/>
          <w:b/>
          <w:bCs/>
          <w:spacing w:val="0"/>
          <w:sz w:val="28"/>
          <w:szCs w:val="28"/>
        </w:rPr>
        <w:t>甲方合同编号：</w:t>
      </w:r>
    </w:p>
    <w:p w14:paraId="4066A1B1">
      <w:pPr>
        <w:spacing w:before="101" w:line="225" w:lineRule="auto"/>
        <w:ind w:left="1434"/>
        <w:rPr>
          <w:rFonts w:hint="eastAsia" w:ascii="仿宋" w:hAnsi="仿宋" w:eastAsia="仿宋" w:cs="仿宋"/>
          <w:b/>
          <w:bCs/>
          <w:spacing w:val="0"/>
          <w:sz w:val="28"/>
          <w:szCs w:val="28"/>
          <w:lang w:eastAsia="zh-CN"/>
        </w:rPr>
      </w:pPr>
      <w:r>
        <w:rPr>
          <w:rFonts w:hint="eastAsia" w:ascii="仿宋" w:hAnsi="仿宋" w:eastAsia="仿宋" w:cs="仿宋"/>
          <w:b/>
          <w:bCs/>
          <w:spacing w:val="0"/>
          <w:sz w:val="28"/>
          <w:szCs w:val="28"/>
          <w:lang w:eastAsia="zh-CN"/>
        </w:rPr>
        <w:t>甲方：</w:t>
      </w:r>
    </w:p>
    <w:p w14:paraId="6D07E301">
      <w:pPr>
        <w:spacing w:before="101" w:line="225" w:lineRule="auto"/>
        <w:ind w:left="1434"/>
        <w:rPr>
          <w:rFonts w:hint="eastAsia" w:ascii="仿宋" w:hAnsi="仿宋" w:eastAsia="仿宋" w:cs="仿宋"/>
          <w:b/>
          <w:bCs/>
          <w:spacing w:val="0"/>
          <w:sz w:val="28"/>
          <w:szCs w:val="28"/>
        </w:rPr>
      </w:pPr>
      <w:r>
        <w:rPr>
          <w:rFonts w:hint="eastAsia" w:ascii="仿宋" w:hAnsi="仿宋" w:eastAsia="仿宋" w:cs="仿宋"/>
          <w:b/>
          <w:bCs/>
          <w:spacing w:val="0"/>
          <w:sz w:val="28"/>
          <w:szCs w:val="28"/>
        </w:rPr>
        <w:t>乙方：</w:t>
      </w:r>
    </w:p>
    <w:p w14:paraId="4F9D683D">
      <w:pPr>
        <w:spacing w:before="101" w:line="225" w:lineRule="auto"/>
        <w:ind w:left="1434"/>
        <w:rPr>
          <w:rFonts w:hint="eastAsia" w:ascii="仿宋" w:hAnsi="仿宋" w:eastAsia="仿宋" w:cs="仿宋"/>
          <w:b/>
          <w:bCs/>
          <w:spacing w:val="0"/>
          <w:sz w:val="28"/>
          <w:szCs w:val="28"/>
        </w:rPr>
      </w:pPr>
    </w:p>
    <w:p w14:paraId="11166D9D">
      <w:pPr>
        <w:pStyle w:val="2"/>
        <w:spacing w:line="254" w:lineRule="auto"/>
        <w:rPr>
          <w:b/>
          <w:bCs/>
        </w:rPr>
      </w:pPr>
    </w:p>
    <w:p w14:paraId="1D7E7CC5">
      <w:pPr>
        <w:pStyle w:val="2"/>
        <w:spacing w:line="254" w:lineRule="auto"/>
        <w:rPr>
          <w:b/>
          <w:bCs/>
        </w:rPr>
      </w:pPr>
    </w:p>
    <w:p w14:paraId="1DBB202D">
      <w:pPr>
        <w:pStyle w:val="2"/>
        <w:spacing w:line="254" w:lineRule="auto"/>
        <w:rPr>
          <w:b/>
          <w:bCs/>
        </w:rPr>
      </w:pPr>
    </w:p>
    <w:p w14:paraId="1FAA7E57">
      <w:pPr>
        <w:pStyle w:val="2"/>
        <w:spacing w:line="254" w:lineRule="auto"/>
        <w:rPr>
          <w:b/>
          <w:bCs/>
        </w:rPr>
      </w:pPr>
    </w:p>
    <w:p w14:paraId="0791D577">
      <w:pPr>
        <w:pStyle w:val="2"/>
        <w:spacing w:line="254" w:lineRule="auto"/>
        <w:rPr>
          <w:b/>
          <w:bCs/>
        </w:rPr>
      </w:pPr>
    </w:p>
    <w:p w14:paraId="07E4B8BE">
      <w:pPr>
        <w:pStyle w:val="2"/>
        <w:spacing w:line="254" w:lineRule="auto"/>
        <w:rPr>
          <w:b/>
          <w:bCs/>
        </w:rPr>
      </w:pPr>
    </w:p>
    <w:p w14:paraId="58FDF9FF">
      <w:pPr>
        <w:spacing w:before="101" w:line="225" w:lineRule="auto"/>
        <w:ind w:left="1763"/>
        <w:rPr>
          <w:rFonts w:hint="eastAsia" w:ascii="仿宋" w:hAnsi="仿宋" w:eastAsia="仿宋" w:cs="仿宋"/>
          <w:b/>
          <w:bCs/>
          <w:sz w:val="28"/>
          <w:szCs w:val="28"/>
        </w:rPr>
      </w:pPr>
      <w:r>
        <w:rPr>
          <w:rFonts w:hint="eastAsia" w:ascii="仿宋" w:hAnsi="仿宋" w:eastAsia="仿宋" w:cs="仿宋"/>
          <w:b/>
          <w:bCs/>
          <w:spacing w:val="-34"/>
          <w:sz w:val="28"/>
          <w:szCs w:val="28"/>
        </w:rPr>
        <w:t>签订时间：</w:t>
      </w:r>
      <w:r>
        <w:rPr>
          <w:rFonts w:hint="eastAsia" w:ascii="仿宋" w:hAnsi="仿宋" w:eastAsia="仿宋" w:cs="仿宋"/>
          <w:b/>
          <w:bCs/>
          <w:spacing w:val="19"/>
          <w:sz w:val="28"/>
          <w:szCs w:val="28"/>
        </w:rPr>
        <w:t xml:space="preserve">       </w:t>
      </w:r>
      <w:r>
        <w:rPr>
          <w:rFonts w:hint="eastAsia" w:ascii="仿宋" w:hAnsi="仿宋" w:eastAsia="仿宋" w:cs="仿宋"/>
          <w:b/>
          <w:bCs/>
          <w:spacing w:val="-34"/>
          <w:sz w:val="28"/>
          <w:szCs w:val="28"/>
        </w:rPr>
        <w:t>年</w:t>
      </w:r>
      <w:r>
        <w:rPr>
          <w:rFonts w:hint="eastAsia" w:ascii="仿宋" w:hAnsi="仿宋" w:eastAsia="仿宋" w:cs="仿宋"/>
          <w:b/>
          <w:bCs/>
          <w:spacing w:val="33"/>
          <w:sz w:val="28"/>
          <w:szCs w:val="28"/>
        </w:rPr>
        <w:t xml:space="preserve">    </w:t>
      </w:r>
      <w:r>
        <w:rPr>
          <w:rFonts w:hint="eastAsia" w:ascii="仿宋" w:hAnsi="仿宋" w:eastAsia="仿宋" w:cs="仿宋"/>
          <w:b/>
          <w:bCs/>
          <w:spacing w:val="-34"/>
          <w:sz w:val="28"/>
          <w:szCs w:val="28"/>
        </w:rPr>
        <w:t>月</w:t>
      </w:r>
      <w:r>
        <w:rPr>
          <w:rFonts w:hint="eastAsia" w:ascii="仿宋" w:hAnsi="仿宋" w:eastAsia="仿宋" w:cs="仿宋"/>
          <w:b/>
          <w:bCs/>
          <w:spacing w:val="20"/>
          <w:sz w:val="28"/>
          <w:szCs w:val="28"/>
        </w:rPr>
        <w:t xml:space="preserve">     </w:t>
      </w:r>
      <w:r>
        <w:rPr>
          <w:rFonts w:hint="eastAsia" w:ascii="仿宋" w:hAnsi="仿宋" w:eastAsia="仿宋" w:cs="仿宋"/>
          <w:b/>
          <w:bCs/>
          <w:spacing w:val="-34"/>
          <w:sz w:val="28"/>
          <w:szCs w:val="28"/>
        </w:rPr>
        <w:t>日</w:t>
      </w:r>
    </w:p>
    <w:p w14:paraId="3EF42D51">
      <w:pPr>
        <w:spacing w:line="225" w:lineRule="auto"/>
        <w:rPr>
          <w:rFonts w:ascii="宋体" w:hAnsi="宋体" w:eastAsia="宋体" w:cs="宋体"/>
          <w:sz w:val="31"/>
          <w:szCs w:val="31"/>
        </w:rPr>
        <w:sectPr>
          <w:footerReference r:id="rId6" w:type="default"/>
          <w:pgSz w:w="11911" w:h="16840"/>
          <w:pgMar w:top="1431" w:right="1786" w:bottom="1304" w:left="1786" w:header="0" w:footer="1135" w:gutter="0"/>
          <w:cols w:space="720" w:num="1"/>
        </w:sectPr>
      </w:pPr>
    </w:p>
    <w:p w14:paraId="2214D1E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采购合同编号：</w:t>
      </w:r>
    </w:p>
    <w:p w14:paraId="620676B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采购人（甲方）：</w:t>
      </w:r>
    </w:p>
    <w:p w14:paraId="413962A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（乙方）：</w:t>
      </w:r>
    </w:p>
    <w:p w14:paraId="65477AF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为了保护甲、乙双方合法权益，根据《中华人民共和国</w:t>
      </w:r>
      <w:r>
        <w:rPr>
          <w:rFonts w:hint="eastAsia" w:ascii="仿宋" w:hAnsi="仿宋" w:eastAsia="仿宋" w:cs="仿宋"/>
          <w:color w:val="auto"/>
          <w:sz w:val="24"/>
          <w:highlight w:val="none"/>
          <w:lang w:eastAsia="zh-CN"/>
        </w:rPr>
        <w:t>政府</w:t>
      </w:r>
      <w:r>
        <w:rPr>
          <w:rFonts w:hint="eastAsia" w:ascii="仿宋" w:hAnsi="仿宋" w:eastAsia="仿宋" w:cs="仿宋"/>
          <w:color w:val="auto"/>
          <w:sz w:val="24"/>
          <w:highlight w:val="none"/>
        </w:rPr>
        <w:t>采购法》及其他有关法律、法规、规章，双方签订本合同协议书。</w:t>
      </w:r>
    </w:p>
    <w:p w14:paraId="3A2A5496">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 项目信息 </w:t>
      </w:r>
    </w:p>
    <w:p w14:paraId="3C602667">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（1）采购项目名称：</w:t>
      </w:r>
    </w:p>
    <w:p w14:paraId="1CCA8A23">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（2）采购计划编号：</w:t>
      </w:r>
    </w:p>
    <w:p w14:paraId="785A0F14">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（3）项目内容：</w:t>
      </w:r>
    </w:p>
    <w:p w14:paraId="32EA9D8B">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 合同金额</w:t>
      </w:r>
    </w:p>
    <w:p w14:paraId="1A0EDD83">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（1）合同金额小写：        大写：</w:t>
      </w:r>
    </w:p>
    <w:p w14:paraId="63179184">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（2）具体标的见附件。</w:t>
      </w:r>
    </w:p>
    <w:p w14:paraId="3AE9BF37">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（3）合同价格形式</w:t>
      </w:r>
      <w:r>
        <w:rPr>
          <w:rFonts w:hint="eastAsia" w:ascii="仿宋" w:hAnsi="仿宋" w:eastAsia="仿宋" w:cs="仿宋"/>
          <w:color w:val="auto"/>
          <w:sz w:val="24"/>
          <w:highlight w:val="none"/>
          <w:u w:val="none"/>
        </w:rPr>
        <w:t>：</w:t>
      </w:r>
    </w:p>
    <w:p w14:paraId="762D19BF">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 履行合同的时间、地点及方式 </w:t>
      </w:r>
    </w:p>
    <w:p w14:paraId="0A3A4A97">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起始日期：</w:t>
      </w:r>
    </w:p>
    <w:p w14:paraId="3205B366">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地点：</w:t>
      </w:r>
    </w:p>
    <w:p w14:paraId="59C5A0A0">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方式：</w:t>
      </w:r>
    </w:p>
    <w:p w14:paraId="7DC1B0FF">
      <w:pPr>
        <w:spacing w:line="50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4.付款方式：</w:t>
      </w:r>
    </w:p>
    <w:p w14:paraId="6ADB283C">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解决合同纠纷方式</w:t>
      </w:r>
    </w:p>
    <w:p w14:paraId="668C9FA3">
      <w:pPr>
        <w:spacing w:line="50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首先通过双方协商解决，协商解决不成，则通过以下途径之一解决纠纷</w:t>
      </w:r>
      <w:r>
        <w:rPr>
          <w:rFonts w:hint="eastAsia" w:ascii="仿宋" w:hAnsi="仿宋" w:eastAsia="仿宋" w:cs="仿宋"/>
          <w:color w:val="auto"/>
          <w:sz w:val="24"/>
          <w:highlight w:val="none"/>
          <w:lang w:eastAsia="zh-CN"/>
        </w:rPr>
        <w:t>：</w:t>
      </w:r>
    </w:p>
    <w:p w14:paraId="2B72A8F1">
      <w:pPr>
        <w:spacing w:line="50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lang w:val="en-US" w:eastAsia="zh-CN"/>
        </w:rPr>
        <w:t>；</w:t>
      </w:r>
      <w:r>
        <w:rPr>
          <w:rFonts w:hint="eastAsia" w:ascii="仿宋" w:hAnsi="仿宋" w:eastAsia="仿宋" w:cs="仿宋"/>
          <w:color w:val="auto"/>
          <w:sz w:val="24"/>
          <w:highlight w:val="none"/>
          <w:lang w:val="en-US" w:eastAsia="zh-CN"/>
        </w:rPr>
        <w:t xml:space="preserve">      </w:t>
      </w:r>
    </w:p>
    <w:p w14:paraId="2A234ED7">
      <w:pPr>
        <w:spacing w:line="50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lang w:val="en-US" w:eastAsia="zh-CN"/>
        </w:rPr>
        <w:t>；</w:t>
      </w:r>
    </w:p>
    <w:p w14:paraId="72D95A11">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组成合同的文件</w:t>
      </w:r>
    </w:p>
    <w:p w14:paraId="78EC71C1">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本协议书与下列文件一起构成合同文件，如下述文件之间有任何抵触、矛盾或歧义，应按以下顺序解释：</w:t>
      </w:r>
    </w:p>
    <w:p w14:paraId="2445F2A0">
      <w:pPr>
        <w:spacing w:line="5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（1）在采购或合同履行过程中乙方作出的承诺以及双方协商达成的变更或补充协议</w:t>
      </w:r>
      <w:r>
        <w:rPr>
          <w:rFonts w:hint="eastAsia" w:ascii="仿宋" w:hAnsi="仿宋" w:eastAsia="仿宋" w:cs="仿宋"/>
          <w:color w:val="auto"/>
          <w:sz w:val="24"/>
          <w:highlight w:val="none"/>
          <w:lang w:val="en-US" w:eastAsia="zh-CN"/>
        </w:rPr>
        <w:t>.</w:t>
      </w:r>
    </w:p>
    <w:p w14:paraId="1A233B4E">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（2）中标通知书</w:t>
      </w:r>
    </w:p>
    <w:p w14:paraId="45BBF859">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w:t>
      </w:r>
    </w:p>
    <w:p w14:paraId="40383641">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（4）政府采购合同格式条款及其附件</w:t>
      </w:r>
    </w:p>
    <w:p w14:paraId="41BB5733">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（5）专用合同条款</w:t>
      </w:r>
    </w:p>
    <w:p w14:paraId="7CFC0081">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（6）通用合同条款（如果有）</w:t>
      </w:r>
    </w:p>
    <w:p w14:paraId="04D9E1AE">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（7）标准、规范及有关技术文件</w:t>
      </w:r>
    </w:p>
    <w:p w14:paraId="5D5E5C0D">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（8）其他合同文件。</w:t>
      </w:r>
    </w:p>
    <w:p w14:paraId="25E23221">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 合同生效</w:t>
      </w:r>
    </w:p>
    <w:p w14:paraId="63C6A067">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本合同经双方签字盖章生效。</w:t>
      </w:r>
    </w:p>
    <w:p w14:paraId="14DB6276">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 合同份数</w:t>
      </w:r>
    </w:p>
    <w:p w14:paraId="03A84AC3">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合同订立时间：</w:t>
      </w:r>
    </w:p>
    <w:p w14:paraId="07C6C655">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合同订立地点：</w:t>
      </w:r>
    </w:p>
    <w:p w14:paraId="2E360B89">
      <w:pPr>
        <w:spacing w:line="500" w:lineRule="exact"/>
        <w:rPr>
          <w:rFonts w:hAnsi="宋体" w:cs="宋体"/>
          <w:color w:val="auto"/>
          <w:sz w:val="24"/>
          <w:highlight w:val="none"/>
        </w:rPr>
      </w:pPr>
    </w:p>
    <w:p w14:paraId="0B912576">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rPr>
      </w:pPr>
      <w:r>
        <w:rPr>
          <w:rFonts w:hint="eastAsia" w:ascii="仿宋" w:hAnsi="仿宋" w:eastAsia="仿宋"/>
          <w:color w:val="auto"/>
          <w:sz w:val="28"/>
          <w:szCs w:val="18"/>
          <w:highlight w:val="none"/>
          <w:lang w:val="en-US" w:eastAsia="zh-CN"/>
        </w:rPr>
        <w:t>本合同一式</w:t>
      </w:r>
      <w:r>
        <w:rPr>
          <w:rFonts w:hint="eastAsia" w:ascii="仿宋" w:hAnsi="仿宋" w:eastAsia="仿宋"/>
          <w:color w:val="auto"/>
          <w:sz w:val="28"/>
          <w:szCs w:val="18"/>
          <w:highlight w:val="none"/>
          <w:u w:val="single"/>
          <w:lang w:val="en-US" w:eastAsia="zh-CN"/>
        </w:rPr>
        <w:t xml:space="preserve">      </w:t>
      </w:r>
      <w:r>
        <w:rPr>
          <w:rFonts w:hint="eastAsia" w:ascii="仿宋" w:hAnsi="仿宋" w:eastAsia="仿宋"/>
          <w:color w:val="auto"/>
          <w:sz w:val="28"/>
          <w:szCs w:val="18"/>
          <w:highlight w:val="none"/>
          <w:lang w:val="en-US" w:eastAsia="zh-CN"/>
        </w:rPr>
        <w:t>份，甲、乙双方各执</w:t>
      </w:r>
      <w:r>
        <w:rPr>
          <w:rFonts w:hint="eastAsia" w:ascii="仿宋" w:hAnsi="仿宋" w:eastAsia="仿宋"/>
          <w:color w:val="auto"/>
          <w:sz w:val="28"/>
          <w:szCs w:val="18"/>
          <w:highlight w:val="none"/>
          <w:u w:val="single"/>
          <w:lang w:val="en-US" w:eastAsia="zh-CN"/>
        </w:rPr>
        <w:t xml:space="preserve">      </w:t>
      </w:r>
      <w:r>
        <w:rPr>
          <w:rFonts w:hint="eastAsia" w:ascii="仿宋" w:hAnsi="仿宋" w:eastAsia="仿宋"/>
          <w:color w:val="auto"/>
          <w:sz w:val="28"/>
          <w:szCs w:val="18"/>
          <w:highlight w:val="none"/>
          <w:lang w:val="en-US" w:eastAsia="zh-CN"/>
        </w:rPr>
        <w:t>份。</w:t>
      </w:r>
    </w:p>
    <w:p w14:paraId="7FAED642">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甲方：                       乙方：</w:t>
      </w:r>
    </w:p>
    <w:p w14:paraId="44027343">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法定代表人：                 法定代表人：</w:t>
      </w:r>
    </w:p>
    <w:p w14:paraId="67D26038">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 xml:space="preserve">授权代表（签字）：            授权代表（签字）: </w:t>
      </w:r>
    </w:p>
    <w:p w14:paraId="4363247B">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开户银行：                   开户银行：</w:t>
      </w:r>
    </w:p>
    <w:p w14:paraId="244C57B8">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账号：                       账 号：</w:t>
      </w:r>
    </w:p>
    <w:p w14:paraId="5F7C5FB9">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电话：                       电话：</w:t>
      </w:r>
    </w:p>
    <w:p w14:paraId="0412C864">
      <w:pPr>
        <w:spacing w:line="360" w:lineRule="auto"/>
        <w:jc w:val="center"/>
        <w:rPr>
          <w:rFonts w:hint="default" w:ascii="仿宋" w:hAnsi="仿宋" w:eastAsia="仿宋" w:cs="仿宋"/>
          <w:b/>
          <w:bCs/>
          <w:spacing w:val="-6"/>
          <w:sz w:val="28"/>
          <w:szCs w:val="28"/>
          <w:lang w:val="en-US" w:eastAsia="zh-CN"/>
        </w:rPr>
      </w:pPr>
      <w:r>
        <w:rPr>
          <w:rFonts w:hint="eastAsia" w:ascii="仿宋" w:hAnsi="仿宋" w:eastAsia="仿宋" w:cs="仿宋"/>
          <w:b/>
          <w:bCs/>
          <w:spacing w:val="-6"/>
          <w:sz w:val="28"/>
          <w:szCs w:val="28"/>
          <w:lang w:val="en-US" w:eastAsia="zh-CN"/>
        </w:rPr>
        <w:t>（仅供参考，以实际签订为准，与实际情况不符合的条款可自行进行调整）</w:t>
      </w:r>
    </w:p>
    <w:p w14:paraId="00DE2E05"/>
    <w:p w14:paraId="418481F2"/>
    <w:p w14:paraId="2E6B6AFE">
      <w:pPr>
        <w:pStyle w:val="2"/>
        <w:keepNext w:val="0"/>
        <w:keepLines w:val="0"/>
        <w:pageBreakBefore w:val="0"/>
        <w:kinsoku/>
        <w:wordWrap w:val="0"/>
        <w:overflowPunct/>
        <w:topLinePunct w:val="0"/>
        <w:bidi w:val="0"/>
        <w:spacing w:before="353" w:line="360" w:lineRule="auto"/>
        <w:ind w:left="2654"/>
        <w:jc w:val="both"/>
        <w:rPr>
          <w:spacing w:val="-5"/>
          <w:sz w:val="36"/>
          <w:szCs w:val="36"/>
          <w14:textOutline w14:w="2306" w14:cap="flat" w14:cmpd="sng">
            <w14:solidFill>
              <w14:srgbClr w14:val="000000"/>
            </w14:solidFill>
            <w14:prstDash w14:val="solid"/>
            <w14:miter w14:val="0"/>
          </w14:textOutline>
        </w:rPr>
      </w:pPr>
    </w:p>
    <w:p w14:paraId="45EF2BB8">
      <w:pPr>
        <w:pStyle w:val="2"/>
        <w:keepNext w:val="0"/>
        <w:keepLines w:val="0"/>
        <w:pageBreakBefore w:val="0"/>
        <w:kinsoku/>
        <w:wordWrap w:val="0"/>
        <w:overflowPunct/>
        <w:topLinePunct w:val="0"/>
        <w:bidi w:val="0"/>
        <w:spacing w:before="353" w:line="360" w:lineRule="auto"/>
        <w:ind w:left="2654"/>
        <w:jc w:val="both"/>
        <w:rPr>
          <w:spacing w:val="-5"/>
          <w:sz w:val="36"/>
          <w:szCs w:val="36"/>
          <w14:textOutline w14:w="2306" w14:cap="flat" w14:cmpd="sng">
            <w14:solidFill>
              <w14:srgbClr w14:val="000000"/>
            </w14:solidFill>
            <w14:prstDash w14:val="solid"/>
            <w14:miter w14:val="0"/>
          </w14:textOutline>
        </w:rPr>
      </w:pPr>
    </w:p>
    <w:p w14:paraId="55AE9FFD">
      <w:pPr>
        <w:pStyle w:val="2"/>
        <w:keepNext w:val="0"/>
        <w:keepLines w:val="0"/>
        <w:pageBreakBefore w:val="0"/>
        <w:kinsoku/>
        <w:wordWrap w:val="0"/>
        <w:overflowPunct/>
        <w:topLinePunct w:val="0"/>
        <w:bidi w:val="0"/>
        <w:spacing w:before="353" w:line="360" w:lineRule="auto"/>
        <w:ind w:left="2654"/>
        <w:jc w:val="both"/>
        <w:rPr>
          <w:rFonts w:ascii="Arial"/>
          <w:sz w:val="21"/>
        </w:rPr>
      </w:pPr>
      <w:r>
        <w:rPr>
          <w:spacing w:val="-5"/>
          <w:sz w:val="36"/>
          <w:szCs w:val="36"/>
          <w14:textOutline w14:w="2306" w14:cap="flat" w14:cmpd="sng">
            <w14:solidFill>
              <w14:srgbClr w14:val="000000"/>
            </w14:solidFill>
            <w14:prstDash w14:val="solid"/>
            <w14:miter w14:val="0"/>
          </w14:textOutline>
        </w:rPr>
        <w:t>第六章</w:t>
      </w:r>
      <w:r>
        <w:rPr>
          <w:rFonts w:hint="eastAsia"/>
          <w:spacing w:val="-5"/>
          <w:sz w:val="36"/>
          <w:szCs w:val="36"/>
          <w:lang w:val="en-US" w:eastAsia="zh-CN"/>
          <w14:textOutline w14:w="2306" w14:cap="flat" w14:cmpd="sng">
            <w14:solidFill>
              <w14:srgbClr w14:val="000000"/>
            </w14:solidFill>
            <w14:prstDash w14:val="solid"/>
            <w14:miter w14:val="0"/>
          </w14:textOutline>
        </w:rPr>
        <w:t xml:space="preserve"> </w:t>
      </w:r>
      <w:r>
        <w:rPr>
          <w:spacing w:val="-5"/>
          <w:sz w:val="36"/>
          <w:szCs w:val="36"/>
          <w14:textOutline w14:w="2306" w14:cap="flat" w14:cmpd="sng">
            <w14:solidFill>
              <w14:srgbClr w14:val="000000"/>
            </w14:solidFill>
            <w14:prstDash w14:val="solid"/>
            <w14:miter w14:val="0"/>
          </w14:textOutline>
        </w:rPr>
        <w:t>响应文件格式</w:t>
      </w:r>
    </w:p>
    <w:p w14:paraId="65C270D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spacing w:val="-1"/>
          <w:sz w:val="24"/>
          <w:szCs w:val="24"/>
          <w14:textOutline w14:w="1537" w14:cap="flat" w14:cmpd="sng">
            <w14:solidFill>
              <w14:srgbClr w14:val="000000"/>
            </w14:solidFill>
            <w14:prstDash w14:val="solid"/>
            <w14:miter w14:val="0"/>
          </w14:textOutline>
        </w:rPr>
        <w:t>供应商编制文件须知</w:t>
      </w:r>
    </w:p>
    <w:p w14:paraId="7AD415E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val="en-US"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56DAE8A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rFonts w:hint="eastAsia" w:ascii="Arial" w:hAnsi="Arial" w:eastAsia="宋体" w:cs="Arial"/>
          <w:spacing w:val="-1"/>
          <w:sz w:val="24"/>
          <w:szCs w:val="24"/>
          <w:lang w:val="en-US" w:eastAsia="zh-CN"/>
        </w:rPr>
        <w:t>2.</w:t>
      </w:r>
      <w:r>
        <w:rPr>
          <w:spacing w:val="-1"/>
          <w:sz w:val="24"/>
          <w:szCs w:val="24"/>
        </w:rPr>
        <w:t>全部声明和问题的回答及所附材料必须是真实的、准确的和完整</w:t>
      </w:r>
      <w:r>
        <w:rPr>
          <w:spacing w:val="-2"/>
          <w:sz w:val="24"/>
          <w:szCs w:val="24"/>
        </w:rPr>
        <w:t>的。</w:t>
      </w:r>
    </w:p>
    <w:p w14:paraId="69C671B5">
      <w:pPr>
        <w:keepNext w:val="0"/>
        <w:keepLines w:val="0"/>
        <w:pageBreakBefore w:val="0"/>
        <w:kinsoku/>
        <w:wordWrap w:val="0"/>
        <w:overflowPunct/>
        <w:topLinePunct w:val="0"/>
        <w:bidi w:val="0"/>
        <w:spacing w:line="219" w:lineRule="auto"/>
        <w:jc w:val="both"/>
        <w:rPr>
          <w:sz w:val="24"/>
          <w:szCs w:val="24"/>
        </w:rPr>
        <w:sectPr>
          <w:headerReference r:id="rId7" w:type="default"/>
          <w:footerReference r:id="rId8" w:type="default"/>
          <w:pgSz w:w="11907" w:h="16840"/>
          <w:pgMar w:top="1440" w:right="1800" w:bottom="1440" w:left="1800" w:header="878" w:footer="886" w:gutter="0"/>
          <w:pgNumType w:fmt="decimal"/>
          <w:cols w:space="720" w:num="1"/>
        </w:sectPr>
      </w:pPr>
    </w:p>
    <w:p w14:paraId="1A80A6A3">
      <w:pPr>
        <w:keepNext w:val="0"/>
        <w:keepLines w:val="0"/>
        <w:pageBreakBefore w:val="0"/>
        <w:numPr>
          <w:ilvl w:val="0"/>
          <w:numId w:val="0"/>
        </w:numPr>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响应函格式</w:t>
      </w:r>
    </w:p>
    <w:p w14:paraId="131B0C5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18C10F0B">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w:t>
      </w:r>
    </w:p>
    <w:p w14:paraId="2E38D667">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24B64CA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14:paraId="1BED7C79">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根据贵方项目编号为____________的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000000"/>
          <w:spacing w:val="-3"/>
          <w:kern w:val="0"/>
          <w:sz w:val="24"/>
          <w:szCs w:val="24"/>
          <w:lang w:val="en-US" w:eastAsia="zh-CN" w:bidi="ar-SA"/>
        </w:rPr>
        <w:t>1</w:t>
      </w:r>
      <w:r>
        <w:rPr>
          <w:rFonts w:hint="eastAsia" w:asciiTheme="minorEastAsia" w:hAnsiTheme="minorEastAsia" w:eastAsiaTheme="minorEastAsia" w:cstheme="minorEastAsia"/>
          <w:snapToGrid w:val="0"/>
          <w:color w:val="000000"/>
          <w:spacing w:val="-3"/>
          <w:kern w:val="0"/>
          <w:sz w:val="24"/>
          <w:szCs w:val="24"/>
          <w:lang w:val="en-US" w:eastAsia="en-US" w:bidi="ar-SA"/>
        </w:rPr>
        <w:t>项至第</w:t>
      </w:r>
      <w:r>
        <w:rPr>
          <w:rFonts w:hint="eastAsia" w:asciiTheme="minorEastAsia" w:hAnsiTheme="minorEastAsia" w:eastAsiaTheme="minorEastAsia" w:cstheme="minorEastAsia"/>
          <w:snapToGrid w:val="0"/>
          <w:color w:val="000000"/>
          <w:spacing w:val="-3"/>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3"/>
          <w:kern w:val="0"/>
          <w:sz w:val="24"/>
          <w:szCs w:val="24"/>
          <w:lang w:val="en-US" w:eastAsia="en-US" w:bidi="ar-SA"/>
        </w:rPr>
        <w:t>项的响应文件电子版本一份。</w:t>
      </w:r>
    </w:p>
    <w:p w14:paraId="2EA561FB">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据此函，签字代表宣布同意并郑重承诺如下：</w:t>
      </w:r>
    </w:p>
    <w:p w14:paraId="0C4A200C">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1、我方递交的响应文件中所有的资料均为真实的、准确的，无任何虚假内容。若存在有虚假内容，我方愿意承担法律责任。</w:t>
      </w:r>
    </w:p>
    <w:p w14:paraId="69320CDE">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2、我方已详细审查全部</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，包括修改文件（如有的话）以及全部参考资料和有关附件。我们完全理解并同意放弃对这方面有不明白及误解的权利。</w:t>
      </w:r>
    </w:p>
    <w:p w14:paraId="2EA5D98D">
      <w:pPr>
        <w:pStyle w:val="2"/>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3、若成交，我方将按照</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的具体规定与采购人签订供货安装调试</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质量符合</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要求，并提供优质服务。如果在合同执行过程中，发现问题，我方一定尽快对其进行调整，并承担相应的经济责任。</w:t>
      </w:r>
    </w:p>
    <w:p w14:paraId="11D137D7">
      <w:pPr>
        <w:pStyle w:val="2"/>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4、我方保证，严格遵守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w:t>
      </w:r>
      <w:r>
        <w:rPr>
          <w:rFonts w:hint="eastAsia" w:ascii="宋体" w:hAnsi="宋体" w:eastAsia="宋体" w:cs="宋体"/>
          <w:snapToGrid w:val="0"/>
          <w:color w:val="000000"/>
          <w:kern w:val="0"/>
          <w:sz w:val="24"/>
          <w:szCs w:val="24"/>
          <w:lang w:val="en-US" w:eastAsia="en-US" w:bidi="ar-SA"/>
        </w:rPr>
        <w:t>《政府采购竞争性磋商采购方式管理暂行办法》</w:t>
      </w:r>
      <w:r>
        <w:rPr>
          <w:rFonts w:hint="eastAsia" w:asciiTheme="minorEastAsia" w:hAnsiTheme="minorEastAsia" w:eastAsiaTheme="minorEastAsia" w:cstheme="minorEastAsia"/>
          <w:snapToGrid w:val="0"/>
          <w:color w:val="000000"/>
          <w:spacing w:val="-3"/>
          <w:kern w:val="0"/>
          <w:sz w:val="24"/>
          <w:szCs w:val="24"/>
          <w:lang w:val="en-US" w:eastAsia="en-US" w:bidi="ar-SA"/>
        </w:rPr>
        <w:t>及其他相关法律法规的规定，若有违反上述法律法规的行为，愿意接受处罚并承担相应的法律责任。</w:t>
      </w:r>
    </w:p>
    <w:p w14:paraId="5E118CE6">
      <w:pPr>
        <w:pStyle w:val="2"/>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5、本承诺将成为合同不可分割的一部分，与合同具有同等的法律效力。</w:t>
      </w:r>
    </w:p>
    <w:p w14:paraId="35AF53FC">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35877FB">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14:paraId="4350C23A">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14:paraId="0CE78702">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DD2683C">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28B797BE">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7E95AF3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2523C81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二、法定代表人或负责人授权委托书格式：</w:t>
      </w:r>
    </w:p>
    <w:p w14:paraId="3B05DC03">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28ED46FB">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法定代表人或负责人授权委托书</w:t>
      </w:r>
    </w:p>
    <w:p w14:paraId="2347849B">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619513A2">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14:paraId="237B9831">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w:t>
      </w:r>
      <w:r>
        <w:rPr>
          <w:rFonts w:hint="eastAsia" w:asciiTheme="minorEastAsia" w:hAnsiTheme="minorEastAsia" w:eastAsiaTheme="minorEastAsia" w:cstheme="minorEastAsia"/>
          <w:snapToGrid w:val="0"/>
          <w:color w:val="000000"/>
          <w:spacing w:val="-3"/>
          <w:kern w:val="0"/>
          <w:sz w:val="24"/>
          <w:szCs w:val="24"/>
          <w:lang w:val="en-US" w:eastAsia="en-US" w:bidi="ar-SA"/>
        </w:rPr>
        <w:t>活动，并代表我方全权办理针对上述项目的具体事务和签署相关文件。我方对被授权人的签名事项负全部责任。</w:t>
      </w:r>
    </w:p>
    <w:p w14:paraId="5AE631D1">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在撤销授权的书面通知以前，本授权书一直有效。被授权人在授权书有效期内签署的所有文件不因授权的撤销而失效。</w:t>
      </w:r>
    </w:p>
    <w:p w14:paraId="69EE395F">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被授权人无转委托权，特此委托。</w:t>
      </w:r>
    </w:p>
    <w:p w14:paraId="7D92506A">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C986A6D">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法定代表人或负责人签名（或盖章）：</w:t>
      </w:r>
    </w:p>
    <w:p w14:paraId="6C0A9AAF">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被授权人签名（或盖章）：</w:t>
      </w:r>
    </w:p>
    <w:p w14:paraId="51B64524">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职务：</w:t>
      </w:r>
    </w:p>
    <w:p w14:paraId="6F2076F7">
      <w:pPr>
        <w:keepNext w:val="0"/>
        <w:keepLines w:val="0"/>
        <w:pageBreakBefore w:val="0"/>
        <w:kinsoku/>
        <w:wordWrap w:val="0"/>
        <w:overflowPunct/>
        <w:topLinePunct w:val="0"/>
        <w:bidi w:val="0"/>
        <w:spacing w:after="0" w:line="360" w:lineRule="auto"/>
        <w:ind w:firstLine="2634" w:firstLineChars="1126"/>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联系电话：</w:t>
      </w:r>
    </w:p>
    <w:p w14:paraId="024A3B0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25EC075">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法定代表人或负责人、被授权人身份证复印件</w:t>
      </w:r>
    </w:p>
    <w:p w14:paraId="3FC7A8F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423AC516">
      <w:pPr>
        <w:keepNext w:val="0"/>
        <w:keepLines w:val="0"/>
        <w:pageBreakBefore w:val="0"/>
        <w:kinsoku/>
        <w:wordWrap w:val="0"/>
        <w:overflowPunct/>
        <w:topLinePunct w:val="0"/>
        <w:bidi w:val="0"/>
        <w:spacing w:after="0" w:line="360" w:lineRule="auto"/>
        <w:ind w:firstLine="6786" w:firstLineChars="29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183A1ED7">
      <w:pPr>
        <w:keepNext w:val="0"/>
        <w:keepLines w:val="0"/>
        <w:pageBreakBefore w:val="0"/>
        <w:kinsoku/>
        <w:wordWrap w:val="0"/>
        <w:overflowPunct/>
        <w:topLinePunct w:val="0"/>
        <w:bidi w:val="0"/>
        <w:spacing w:after="0" w:line="360" w:lineRule="auto"/>
        <w:ind w:firstLine="5382" w:firstLineChars="2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供应商公章：</w:t>
      </w:r>
    </w:p>
    <w:p w14:paraId="38CBE935">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5B1FF1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sectPr>
          <w:headerReference r:id="rId9" w:type="default"/>
          <w:footerReference r:id="rId10" w:type="default"/>
          <w:pgSz w:w="11906" w:h="16838"/>
          <w:pgMar w:top="1440" w:right="1800" w:bottom="1440" w:left="1800" w:header="851" w:footer="992" w:gutter="0"/>
          <w:pgNumType w:fmt="decimal"/>
          <w:cols w:space="720" w:num="1"/>
          <w:docGrid w:type="lines" w:linePitch="312" w:charSpace="0"/>
        </w:sectPr>
      </w:pPr>
    </w:p>
    <w:p w14:paraId="31E47AD2">
      <w:pPr>
        <w:keepNext w:val="0"/>
        <w:keepLines w:val="0"/>
        <w:pageBreakBefore w:val="0"/>
        <w:numPr>
          <w:ilvl w:val="0"/>
          <w:numId w:val="1"/>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报价一览表格式：</w:t>
      </w:r>
    </w:p>
    <w:tbl>
      <w:tblPr>
        <w:tblStyle w:val="15"/>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14:paraId="6930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7CE402D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1E369C2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5873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E470E8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46B4DE2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49B2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CE48A9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2C5EA3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008B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8BFD8A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磋商报价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6D71D6B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14:paraId="7B1E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5C9002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服务期限</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07825A9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2EFB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F7179D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服务质量</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7C91F40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547F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89B725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4A75B3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482E8D3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bl>
    <w:p w14:paraId="0C26410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供应商（公章）：法定代表人（负责人）或授权代表（签字）：</w:t>
      </w:r>
    </w:p>
    <w:p w14:paraId="636FB25D">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63CF879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1AA577F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7782B2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15D1722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28576CC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0C9E31C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37EF4C4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7296FF0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57EE3A30">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79011B50">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0E24685">
      <w:pPr>
        <w:keepNext w:val="0"/>
        <w:keepLines w:val="0"/>
        <w:pageBreakBefore w:val="0"/>
        <w:widowControl/>
        <w:numPr>
          <w:ilvl w:val="0"/>
          <w:numId w:val="1"/>
        </w:numPr>
        <w:kinsoku/>
        <w:wordWrap w:val="0"/>
        <w:overflowPunct/>
        <w:topLinePunct w:val="0"/>
        <w:autoSpaceDE w:val="0"/>
        <w:autoSpaceDN w:val="0"/>
        <w:bidi w:val="0"/>
        <w:adjustRightInd w:val="0"/>
        <w:snapToGrid w:val="0"/>
        <w:spacing w:line="360" w:lineRule="auto"/>
        <w:ind w:left="0" w:leftChars="0" w:firstLine="0" w:firstLineChars="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4"/>
          <w:szCs w:val="24"/>
          <w:lang w:val="en-US" w:eastAsia="zh-CN" w:bidi="ar-SA"/>
        </w:rPr>
        <w:t>近三年内在经营活动</w:t>
      </w:r>
    </w:p>
    <w:p w14:paraId="1A56276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中没有重大违法记录的声明等；</w:t>
      </w:r>
    </w:p>
    <w:p w14:paraId="6E4442B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val="en-US" w:eastAsia="zh-CN"/>
        </w:rPr>
      </w:pPr>
    </w:p>
    <w:p w14:paraId="794964B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审计或财务报告</w:t>
      </w:r>
      <w:r>
        <w:rPr>
          <w:rFonts w:hint="eastAsia" w:asciiTheme="minorEastAsia" w:hAnsiTheme="minorEastAsia" w:eastAsiaTheme="minorEastAsia" w:cstheme="minorEastAsia"/>
          <w:b w:val="0"/>
          <w:bCs w:val="0"/>
          <w:sz w:val="24"/>
          <w:szCs w:val="24"/>
          <w:lang w:eastAsia="zh-CN"/>
        </w:rPr>
        <w:t>说明：</w:t>
      </w:r>
    </w:p>
    <w:p w14:paraId="053C2162">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与银行之间业务往来正常，企业信誉良好等。</w:t>
      </w:r>
    </w:p>
    <w:p w14:paraId="6253A8FE">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提供企业有关财务会计制度。</w:t>
      </w:r>
    </w:p>
    <w:p w14:paraId="2D1A73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p>
    <w:p w14:paraId="1E3D44B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近三年内在经营活动中没有重大违法记录的声明（格式）</w:t>
      </w:r>
    </w:p>
    <w:p w14:paraId="618323D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64411A8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声明函</w:t>
      </w:r>
    </w:p>
    <w:p w14:paraId="13E087E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5D3C02B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公司全称）向本项目的采购人和采购代理机构郑重声明如下：</w:t>
      </w:r>
    </w:p>
    <w:p w14:paraId="01E9DE0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14:paraId="0DB8AEE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14:paraId="1BF2D98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3E43206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71599C7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14:paraId="55904D8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14:paraId="2165C5E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067A4B7F">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18A09395">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7DE9A87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6EF7A06">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66CC2FC0">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AC771C0">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90AE11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五、商务偏差表；</w:t>
      </w:r>
    </w:p>
    <w:p w14:paraId="5D3206F9">
      <w:pPr>
        <w:keepNext w:val="0"/>
        <w:keepLines w:val="0"/>
        <w:pageBreakBefore w:val="0"/>
        <w:kinsoku/>
        <w:wordWrap w:val="0"/>
        <w:overflowPunct/>
        <w:topLinePunct w:val="0"/>
        <w:bidi w:val="0"/>
        <w:spacing w:line="240" w:lineRule="atLeast"/>
        <w:ind w:firstLine="2650" w:firstLineChars="1100"/>
        <w:jc w:val="both"/>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商务偏差表</w:t>
      </w:r>
    </w:p>
    <w:p w14:paraId="3D881048">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3CE4ACC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353C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14:paraId="28DF71A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21EE001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文件</w:t>
            </w:r>
          </w:p>
          <w:p w14:paraId="38BE70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6C38405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p>
          <w:p w14:paraId="40E21DF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64E079C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410DE6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7EF3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6AFEC42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1F6D87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81E7B1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A7E0C7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DA6FBD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0B58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4EC8B0E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3F2A61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71C9F1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24E302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24C7A7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09F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F7A17A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ABCDD0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79C7215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CAD04B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7D79DD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40AA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EDBB5B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4E8548F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C4E8EA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6AF93F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C3E89E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516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6E6158C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88AC05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BFEE9F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C8A750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F8DFCF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4C9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840865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006046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737A44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6E5250A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4FB1D2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49C1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0BFC0F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18526A0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51B6FE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055F88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BE2A91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4155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401BE6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225304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73743AB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13D725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56CF18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43E9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64380E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720099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219023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01B5C5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622943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08CF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29A7FFF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C9AF7F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B6048D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DA6E9E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D57B56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EB3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D8B518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D62CDA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15D548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A22931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DD2899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4319477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bCs/>
          <w:spacing w:val="2"/>
          <w:sz w:val="24"/>
          <w:szCs w:val="24"/>
        </w:rPr>
        <w:t>供应商</w:t>
      </w:r>
      <w:r>
        <w:rPr>
          <w:rFonts w:hint="eastAsia" w:asciiTheme="minorEastAsia" w:hAnsiTheme="minorEastAsia" w:eastAsiaTheme="minorEastAsia" w:cstheme="minorEastAsia"/>
          <w:b/>
          <w:sz w:val="24"/>
          <w:szCs w:val="24"/>
          <w:lang w:eastAsia="zh-CN"/>
        </w:rPr>
        <w:t>（公章）：法定代表人（负责人）或授权代表（签字）：</w:t>
      </w:r>
    </w:p>
    <w:p w14:paraId="5E8A68B7">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51C8801E">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rPr>
        <w:sectPr>
          <w:headerReference r:id="rId11" w:type="default"/>
          <w:footerReference r:id="rId12" w:type="default"/>
          <w:pgSz w:w="11907" w:h="16840"/>
          <w:pgMar w:top="1440" w:right="1800" w:bottom="1440" w:left="1800" w:header="851" w:footer="992" w:gutter="0"/>
          <w:pgNumType w:fmt="decimal"/>
          <w:cols w:space="720" w:num="1"/>
          <w:docGrid w:linePitch="332" w:charSpace="0"/>
        </w:sectPr>
      </w:pPr>
    </w:p>
    <w:p w14:paraId="1178D85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六、项目整体服务方案、项目规章制度、安保服务固定岗及巡逻岗服务的方案、消防控制室日常管理方案、人员培训方案、应急预案。</w:t>
      </w:r>
    </w:p>
    <w:p w14:paraId="501AC2FA">
      <w:pPr>
        <w:pStyle w:val="2"/>
        <w:keepNext w:val="0"/>
        <w:keepLines w:val="0"/>
        <w:pageBreakBefore w:val="0"/>
        <w:widowControl/>
        <w:overflowPunct/>
        <w:topLinePunct w:val="0"/>
        <w:autoSpaceDE w:val="0"/>
        <w:autoSpaceDN w:val="0"/>
        <w:bidi w:val="0"/>
        <w:adjustRightInd w:val="0"/>
        <w:snapToGrid w:val="0"/>
        <w:spacing w:line="360" w:lineRule="auto"/>
        <w:textAlignment w:val="baseline"/>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七、业绩</w:t>
      </w:r>
    </w:p>
    <w:p w14:paraId="0F0B1C34">
      <w:pPr>
        <w:pStyle w:val="2"/>
        <w:keepNext w:val="0"/>
        <w:keepLines w:val="0"/>
        <w:pageBreakBefore w:val="0"/>
        <w:widowControl/>
        <w:overflowPunct/>
        <w:topLinePunct w:val="0"/>
        <w:autoSpaceDE w:val="0"/>
        <w:autoSpaceDN w:val="0"/>
        <w:bidi w:val="0"/>
        <w:adjustRightInd w:val="0"/>
        <w:snapToGrid w:val="0"/>
        <w:spacing w:line="360" w:lineRule="auto"/>
        <w:textAlignment w:val="baseline"/>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八、项目负责人配备、人员配备、拟投入的设备设施</w:t>
      </w:r>
    </w:p>
    <w:p w14:paraId="6DEBBF6E">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九、服务质量保障承诺</w:t>
      </w:r>
    </w:p>
    <w:p w14:paraId="35F5A83F">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60F6FFF7">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十、供应商诚信承诺书</w:t>
      </w:r>
    </w:p>
    <w:p w14:paraId="6C4A92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14:paraId="78C55F7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诚信承诺书</w:t>
      </w:r>
    </w:p>
    <w:p w14:paraId="2D404AFC">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5CCBA87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39644BA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74E794D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7D855D4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3B0C4647">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448D89C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14:paraId="05E1964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14:paraId="15B649C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14:paraId="1D2085F1">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6E56921">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57C4A7F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33520F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6BA0E8B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5FB8E90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十一、供应商认为需要的其他文件资料</w:t>
      </w:r>
    </w:p>
    <w:p w14:paraId="5FEAB04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中小企业声明函（服务）格式</w:t>
      </w:r>
    </w:p>
    <w:p w14:paraId="1F40B51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3645AC2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14:paraId="743D6C2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14:paraId="16630B9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14:paraId="0F6AA52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14:paraId="59B59A2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394342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01185FA7">
      <w:pPr>
        <w:pStyle w:val="2"/>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14:paraId="75F829F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14:paraId="31D9CC9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14:paraId="7C31DB7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1698D08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46536F0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14:paraId="1C238BBD">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3F7083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14:paraId="5487039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14:paraId="0DF890E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14:paraId="5742DFE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6085C1C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35BCD4C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0F35E6C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31593E4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57D64A0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640777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EF2D7DA">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6343BEAD">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A4418B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rPr>
      </w:pPr>
    </w:p>
    <w:p w14:paraId="408F374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5220625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07C257E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2CF4248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4063EF9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A72E9E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2B4E22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CAF040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4660A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F8C477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2B813B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14:paraId="1AF55FA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5DEC9F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0C11522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3DB2A307">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14:paraId="3B248661">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14:paraId="5894D4D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0E69D81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p>
    <w:p w14:paraId="1F378214">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eastAsia="zh-CN"/>
        </w:rPr>
      </w:pPr>
    </w:p>
    <w:p w14:paraId="7F6041D8">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eastAsia="zh-CN"/>
        </w:rPr>
      </w:pPr>
    </w:p>
    <w:p w14:paraId="655EDF0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对于市本级政府采购项目，全部实施供应商资格信用承诺，供应商</w:t>
      </w:r>
      <w:r>
        <w:rPr>
          <w:rFonts w:hint="eastAsia" w:asciiTheme="minorEastAsia" w:hAnsiTheme="minorEastAsia" w:eastAsiaTheme="minorEastAsia" w:cstheme="minorEastAsia"/>
          <w:b/>
          <w:bCs/>
          <w:sz w:val="24"/>
          <w:szCs w:val="24"/>
          <w:lang w:eastAsia="zh-CN"/>
        </w:rPr>
        <w:t>在</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第四</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14:paraId="35843DB4">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14:paraId="75A112C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14:paraId="198AC341">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44A64D1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3ABD85E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4EE6866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2E13ED6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4B922F7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782C487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t>南阳市政府采购供应商信用承诺函（格式）</w:t>
      </w:r>
    </w:p>
    <w:p w14:paraId="3694A0B8">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0DC4BDE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526DD55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10D30F9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4539A82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383818A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394ECDE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08AACB15">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13A9FFF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2C1432F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5AA5E85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78896B5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1E63B35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5A5A66D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22C0129A">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14:paraId="78F309E4">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1470FBA1">
      <w:pPr>
        <w:keepNext w:val="0"/>
        <w:keepLines w:val="0"/>
        <w:pageBreakBefore w:val="0"/>
        <w:widowControl w:val="0"/>
        <w:kinsoku/>
        <w:wordWrap w:val="0"/>
        <w:overflowPunct/>
        <w:topLinePunct w:val="0"/>
        <w:autoSpaceDE w:val="0"/>
        <w:autoSpaceDN w:val="0"/>
        <w:bidi w:val="0"/>
        <w:adjustRightInd w:val="0"/>
        <w:spacing w:line="360" w:lineRule="auto"/>
        <w:ind w:firstLine="3360" w:firstLineChars="14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13AFA33D">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B6FDB4D">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14:paraId="0340707F">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28B501E4">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0EC68D2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sectPr>
      <w:headerReference r:id="rId13" w:type="default"/>
      <w:footerReference r:id="rId14"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DF245">
    <w:pPr>
      <w:pStyle w:val="2"/>
      <w:spacing w:line="184" w:lineRule="auto"/>
      <w:ind w:left="4105"/>
      <w:rPr>
        <w:sz w:val="18"/>
        <w:szCs w:val="18"/>
      </w:rPr>
    </w:pPr>
    <w:r>
      <w:rPr>
        <w:spacing w:val="-10"/>
        <w:sz w:val="18"/>
        <w:szCs w:val="18"/>
      </w:rPr>
      <w:t>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241D2">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CB1FE">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3A4CB1FE">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DFE82">
                          <w:pPr>
                            <w:pStyle w:val="10"/>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59264;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goR2GDM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vsSv1QAAAAgBAAAPAAAAAAAAAAEAIAAAACIAAABkcnMvZG93bnJldi54bWxQ&#10;SwECFAAUAAAACACHTuJAgoR2GDMCAABjBAAADgAAAAAAAAABACAAAAAkAQAAZHJzL2Uyb0RvYy54&#10;bWxQSwUGAAAAAAYABgBZAQAAyQUAAAAA&#10;">
              <v:fill on="f" focussize="0,0"/>
              <v:stroke on="f" weight="0.5pt"/>
              <v:imagedata o:title=""/>
              <o:lock v:ext="edit" aspectratio="f"/>
              <v:textbox inset="0mm,0mm,0mm,0mm" style="mso-fit-shape-to-text:t;">
                <w:txbxContent>
                  <w:p w14:paraId="37DDFE82">
                    <w:pPr>
                      <w:pStyle w:val="10"/>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985DB">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8571F">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F18571F">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97A1E">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B663CC">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DB663CC">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04C5F">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E5AECE">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6EE5AECE">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97F42">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D46FC">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3D4C0">
    <w:pPr>
      <w:pStyle w:val="1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07585">
    <w:pPr>
      <w:pStyle w:val="11"/>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2CFED">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43FA8D"/>
    <w:multiLevelType w:val="singleLevel"/>
    <w:tmpl w:val="6643FA8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U5ODFjOGEyNWRlYTNkMjA0OTNkYmM2YTBlNjc3YTEifQ=="/>
  </w:docVars>
  <w:rsids>
    <w:rsidRoot w:val="00000000"/>
    <w:rsid w:val="02812F76"/>
    <w:rsid w:val="02980B47"/>
    <w:rsid w:val="0304627B"/>
    <w:rsid w:val="03F005BF"/>
    <w:rsid w:val="049308F0"/>
    <w:rsid w:val="05C82C12"/>
    <w:rsid w:val="064B2778"/>
    <w:rsid w:val="06731CDB"/>
    <w:rsid w:val="06BD7DF4"/>
    <w:rsid w:val="08743EB7"/>
    <w:rsid w:val="08896F10"/>
    <w:rsid w:val="08DF64FD"/>
    <w:rsid w:val="095962AF"/>
    <w:rsid w:val="09A84B40"/>
    <w:rsid w:val="09A960A9"/>
    <w:rsid w:val="0A2175C7"/>
    <w:rsid w:val="0A4E3858"/>
    <w:rsid w:val="0A530F50"/>
    <w:rsid w:val="0A7D7363"/>
    <w:rsid w:val="0A8874C1"/>
    <w:rsid w:val="0ADC6029"/>
    <w:rsid w:val="0BA47589"/>
    <w:rsid w:val="0C152235"/>
    <w:rsid w:val="0C272EF4"/>
    <w:rsid w:val="0C450913"/>
    <w:rsid w:val="0CE23D47"/>
    <w:rsid w:val="0CF167FE"/>
    <w:rsid w:val="0E3E7CBD"/>
    <w:rsid w:val="0EB9334C"/>
    <w:rsid w:val="0EE06B2A"/>
    <w:rsid w:val="0EE83C0B"/>
    <w:rsid w:val="0F130CAE"/>
    <w:rsid w:val="0FF95996"/>
    <w:rsid w:val="0FFF7484"/>
    <w:rsid w:val="10417A9D"/>
    <w:rsid w:val="10832DEB"/>
    <w:rsid w:val="11E54B27"/>
    <w:rsid w:val="11F10D0E"/>
    <w:rsid w:val="120B59A8"/>
    <w:rsid w:val="13504EE3"/>
    <w:rsid w:val="13D318D3"/>
    <w:rsid w:val="14184102"/>
    <w:rsid w:val="146A4EE4"/>
    <w:rsid w:val="147A2410"/>
    <w:rsid w:val="14B05372"/>
    <w:rsid w:val="156F62EF"/>
    <w:rsid w:val="15C27640"/>
    <w:rsid w:val="16655340"/>
    <w:rsid w:val="16882EF5"/>
    <w:rsid w:val="16FD3ABE"/>
    <w:rsid w:val="172F0E42"/>
    <w:rsid w:val="18277578"/>
    <w:rsid w:val="196A0814"/>
    <w:rsid w:val="19B27315"/>
    <w:rsid w:val="1BFF6021"/>
    <w:rsid w:val="1C587110"/>
    <w:rsid w:val="1CC05665"/>
    <w:rsid w:val="1D7F2147"/>
    <w:rsid w:val="1D996CC8"/>
    <w:rsid w:val="1DA01659"/>
    <w:rsid w:val="1E6454A8"/>
    <w:rsid w:val="1FCD677B"/>
    <w:rsid w:val="1FCF1E87"/>
    <w:rsid w:val="208E4164"/>
    <w:rsid w:val="20CA763A"/>
    <w:rsid w:val="21A07893"/>
    <w:rsid w:val="232D76C1"/>
    <w:rsid w:val="23554AEF"/>
    <w:rsid w:val="23645F64"/>
    <w:rsid w:val="23F5677C"/>
    <w:rsid w:val="23FB5E39"/>
    <w:rsid w:val="244A2A1D"/>
    <w:rsid w:val="2564491D"/>
    <w:rsid w:val="25B83A87"/>
    <w:rsid w:val="262E75B3"/>
    <w:rsid w:val="266463E7"/>
    <w:rsid w:val="266D2A2A"/>
    <w:rsid w:val="26E9311B"/>
    <w:rsid w:val="27DB3EDB"/>
    <w:rsid w:val="28032F0B"/>
    <w:rsid w:val="295C4BB2"/>
    <w:rsid w:val="2A005E7B"/>
    <w:rsid w:val="2A3D0E7D"/>
    <w:rsid w:val="2A924A38"/>
    <w:rsid w:val="2AE32E31"/>
    <w:rsid w:val="2CD208B5"/>
    <w:rsid w:val="2D0637A8"/>
    <w:rsid w:val="2E6C7ED8"/>
    <w:rsid w:val="2EA57FA1"/>
    <w:rsid w:val="2EF243BC"/>
    <w:rsid w:val="2F884949"/>
    <w:rsid w:val="303872F6"/>
    <w:rsid w:val="30EF0857"/>
    <w:rsid w:val="3140197F"/>
    <w:rsid w:val="31E05F1C"/>
    <w:rsid w:val="320C16C0"/>
    <w:rsid w:val="32672625"/>
    <w:rsid w:val="32831B16"/>
    <w:rsid w:val="32E93950"/>
    <w:rsid w:val="32F6583E"/>
    <w:rsid w:val="333A48FA"/>
    <w:rsid w:val="334A1323"/>
    <w:rsid w:val="33D92F7A"/>
    <w:rsid w:val="348E47AF"/>
    <w:rsid w:val="34B2130C"/>
    <w:rsid w:val="34BD6E42"/>
    <w:rsid w:val="350E12EA"/>
    <w:rsid w:val="354173ED"/>
    <w:rsid w:val="355552CD"/>
    <w:rsid w:val="35992C99"/>
    <w:rsid w:val="360F3354"/>
    <w:rsid w:val="373D426B"/>
    <w:rsid w:val="37BD0585"/>
    <w:rsid w:val="37CA6352"/>
    <w:rsid w:val="38533A18"/>
    <w:rsid w:val="396226AE"/>
    <w:rsid w:val="3AB900AC"/>
    <w:rsid w:val="3B223EA3"/>
    <w:rsid w:val="3BAF7174"/>
    <w:rsid w:val="3CA32DC2"/>
    <w:rsid w:val="3D660BE0"/>
    <w:rsid w:val="3EB41E07"/>
    <w:rsid w:val="3FD339BE"/>
    <w:rsid w:val="413C5593"/>
    <w:rsid w:val="41F66AB4"/>
    <w:rsid w:val="425B7C9B"/>
    <w:rsid w:val="43D372D6"/>
    <w:rsid w:val="44B74AB0"/>
    <w:rsid w:val="44C27AD5"/>
    <w:rsid w:val="45300AE7"/>
    <w:rsid w:val="453E72E0"/>
    <w:rsid w:val="4594599D"/>
    <w:rsid w:val="463F4C16"/>
    <w:rsid w:val="46832AB5"/>
    <w:rsid w:val="46942B8F"/>
    <w:rsid w:val="472709BB"/>
    <w:rsid w:val="487675DC"/>
    <w:rsid w:val="48914416"/>
    <w:rsid w:val="498A3D49"/>
    <w:rsid w:val="499F3065"/>
    <w:rsid w:val="4A43165D"/>
    <w:rsid w:val="4A471230"/>
    <w:rsid w:val="4BBB7B8C"/>
    <w:rsid w:val="4CB97E79"/>
    <w:rsid w:val="4CBA2C7D"/>
    <w:rsid w:val="4CDB2104"/>
    <w:rsid w:val="4E5C03B2"/>
    <w:rsid w:val="4F652159"/>
    <w:rsid w:val="4FA36E2B"/>
    <w:rsid w:val="4FE23C6B"/>
    <w:rsid w:val="50CD1D3A"/>
    <w:rsid w:val="50DF62FA"/>
    <w:rsid w:val="51397B44"/>
    <w:rsid w:val="514A7858"/>
    <w:rsid w:val="528648C0"/>
    <w:rsid w:val="538452A3"/>
    <w:rsid w:val="53A25729"/>
    <w:rsid w:val="554A067A"/>
    <w:rsid w:val="562B2D19"/>
    <w:rsid w:val="566F2249"/>
    <w:rsid w:val="571C70F4"/>
    <w:rsid w:val="578C1E3F"/>
    <w:rsid w:val="58122B18"/>
    <w:rsid w:val="582157B7"/>
    <w:rsid w:val="583737A8"/>
    <w:rsid w:val="59791FCF"/>
    <w:rsid w:val="59C70462"/>
    <w:rsid w:val="5B942EAB"/>
    <w:rsid w:val="5BFB1656"/>
    <w:rsid w:val="5C2A2760"/>
    <w:rsid w:val="5C805C3A"/>
    <w:rsid w:val="5CED210B"/>
    <w:rsid w:val="5DD33159"/>
    <w:rsid w:val="5E401EE1"/>
    <w:rsid w:val="5E862024"/>
    <w:rsid w:val="5FE54AEF"/>
    <w:rsid w:val="5FE62E42"/>
    <w:rsid w:val="604F0C94"/>
    <w:rsid w:val="60811390"/>
    <w:rsid w:val="60E905BC"/>
    <w:rsid w:val="611C486A"/>
    <w:rsid w:val="612C3317"/>
    <w:rsid w:val="613320B7"/>
    <w:rsid w:val="61DC62AA"/>
    <w:rsid w:val="64B4350F"/>
    <w:rsid w:val="64C17C5F"/>
    <w:rsid w:val="64E32222"/>
    <w:rsid w:val="660C0310"/>
    <w:rsid w:val="674A54CB"/>
    <w:rsid w:val="68324E76"/>
    <w:rsid w:val="68740EAF"/>
    <w:rsid w:val="691A37DC"/>
    <w:rsid w:val="695F7E2D"/>
    <w:rsid w:val="6A443604"/>
    <w:rsid w:val="6ACC2E0B"/>
    <w:rsid w:val="6B413622"/>
    <w:rsid w:val="6B6B37C9"/>
    <w:rsid w:val="6B9F656F"/>
    <w:rsid w:val="6BBF6B7A"/>
    <w:rsid w:val="6DAF0580"/>
    <w:rsid w:val="6DD02520"/>
    <w:rsid w:val="6DE17F47"/>
    <w:rsid w:val="6E1128F7"/>
    <w:rsid w:val="6E6B7F83"/>
    <w:rsid w:val="6EA77C40"/>
    <w:rsid w:val="6EE2110B"/>
    <w:rsid w:val="70411D13"/>
    <w:rsid w:val="70A41317"/>
    <w:rsid w:val="717C360A"/>
    <w:rsid w:val="718B602C"/>
    <w:rsid w:val="7222612A"/>
    <w:rsid w:val="727D45B0"/>
    <w:rsid w:val="727F5D14"/>
    <w:rsid w:val="728C1627"/>
    <w:rsid w:val="72D8486C"/>
    <w:rsid w:val="74143D3D"/>
    <w:rsid w:val="7571756C"/>
    <w:rsid w:val="75EA0EAB"/>
    <w:rsid w:val="76102BC1"/>
    <w:rsid w:val="768D73E4"/>
    <w:rsid w:val="77761842"/>
    <w:rsid w:val="778B45A3"/>
    <w:rsid w:val="77AC443F"/>
    <w:rsid w:val="786749F3"/>
    <w:rsid w:val="78F607B2"/>
    <w:rsid w:val="79A15AC2"/>
    <w:rsid w:val="7B1B79EC"/>
    <w:rsid w:val="7BC65611"/>
    <w:rsid w:val="7C2C76E7"/>
    <w:rsid w:val="7DAB214F"/>
    <w:rsid w:val="7DC51E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33"/>
      <w:szCs w:val="33"/>
      <w:lang w:val="en-US" w:eastAsia="zh-CN" w:bidi="ar"/>
    </w:rPr>
  </w:style>
  <w:style w:type="paragraph" w:styleId="5">
    <w:name w:val="heading 2"/>
    <w:basedOn w:val="1"/>
    <w:next w:val="1"/>
    <w:qFormat/>
    <w:uiPriority w:val="0"/>
    <w:pPr>
      <w:keepNext/>
      <w:keepLines/>
      <w:spacing w:line="360" w:lineRule="auto"/>
      <w:outlineLvl w:val="1"/>
    </w:pPr>
    <w:rPr>
      <w:rFonts w:ascii="Arial" w:hAnsi="Arial"/>
      <w:b/>
      <w:bCs/>
      <w:sz w:val="24"/>
      <w:szCs w:val="32"/>
    </w:rPr>
  </w:style>
  <w:style w:type="character" w:default="1" w:styleId="16">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rPr>
      <w:rFonts w:ascii="宋体" w:hAnsi="宋体" w:eastAsia="宋体" w:cs="宋体"/>
      <w:sz w:val="31"/>
      <w:szCs w:val="31"/>
      <w:lang w:val="en-US" w:eastAsia="en-US" w:bidi="ar-SA"/>
    </w:rPr>
  </w:style>
  <w:style w:type="paragraph" w:styleId="3">
    <w:name w:val="Body Text 2"/>
    <w:basedOn w:val="1"/>
    <w:next w:val="2"/>
    <w:semiHidden/>
    <w:qFormat/>
    <w:uiPriority w:val="99"/>
    <w:pPr>
      <w:spacing w:after="120" w:line="480" w:lineRule="auto"/>
    </w:pPr>
  </w:style>
  <w:style w:type="paragraph" w:styleId="6">
    <w:name w:val="annotation text"/>
    <w:basedOn w:val="1"/>
    <w:autoRedefine/>
    <w:qFormat/>
    <w:uiPriority w:val="0"/>
    <w:pPr>
      <w:jc w:val="left"/>
    </w:pPr>
  </w:style>
  <w:style w:type="paragraph" w:styleId="7">
    <w:name w:val="Body Text Indent"/>
    <w:basedOn w:val="1"/>
    <w:next w:val="2"/>
    <w:autoRedefine/>
    <w:qFormat/>
    <w:uiPriority w:val="0"/>
    <w:pPr>
      <w:tabs>
        <w:tab w:val="left" w:pos="0"/>
      </w:tabs>
      <w:ind w:firstLine="538" w:firstLineChars="192"/>
    </w:pPr>
    <w:rPr>
      <w:rFonts w:ascii="Tahoma" w:hAnsi="Tahoma"/>
      <w:kern w:val="2"/>
      <w:sz w:val="28"/>
      <w:szCs w:val="24"/>
    </w:rPr>
  </w:style>
  <w:style w:type="paragraph" w:styleId="8">
    <w:name w:val="Plain Text"/>
    <w:basedOn w:val="1"/>
    <w:qFormat/>
    <w:uiPriority w:val="0"/>
    <w:rPr>
      <w:rFonts w:ascii="宋体" w:hAnsi="Courier New" w:cs="Courier New"/>
      <w:szCs w:val="21"/>
    </w:rPr>
  </w:style>
  <w:style w:type="paragraph" w:styleId="9">
    <w:name w:val="Date"/>
    <w:basedOn w:val="1"/>
    <w:next w:val="1"/>
    <w:qFormat/>
    <w:uiPriority w:val="0"/>
    <w:rPr>
      <w:kern w:val="2"/>
      <w:sz w:val="21"/>
      <w:lang w:eastAsia="zh-CN" w:bidi="ar-SA"/>
    </w:rPr>
  </w:style>
  <w:style w:type="paragraph" w:styleId="10">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2">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3">
    <w:name w:val="Body Text First Indent 2"/>
    <w:basedOn w:val="7"/>
    <w:next w:val="14"/>
    <w:autoRedefine/>
    <w:unhideWhenUsed/>
    <w:qFormat/>
    <w:uiPriority w:val="99"/>
    <w:pPr>
      <w:spacing w:after="120"/>
      <w:ind w:left="420" w:leftChars="200" w:firstLine="420" w:firstLineChars="200"/>
    </w:pPr>
    <w:rPr>
      <w:rFonts w:ascii="宋体" w:hAnsi="Courier New"/>
      <w:spacing w:val="-4"/>
      <w:kern w:val="2"/>
      <w:sz w:val="21"/>
      <w:szCs w:val="24"/>
    </w:rPr>
  </w:style>
  <w:style w:type="paragraph" w:customStyle="1" w:styleId="14">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1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8">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19">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0">
    <w:name w:val="Table Normal"/>
    <w:autoRedefine/>
    <w:semiHidden/>
    <w:unhideWhenUsed/>
    <w:qFormat/>
    <w:uiPriority w:val="0"/>
    <w:tblPr>
      <w:tblCellMar>
        <w:top w:w="0" w:type="dxa"/>
        <w:left w:w="0" w:type="dxa"/>
        <w:bottom w:w="0" w:type="dxa"/>
        <w:right w:w="0" w:type="dxa"/>
      </w:tblCellMar>
    </w:tblPr>
  </w:style>
  <w:style w:type="paragraph" w:customStyle="1" w:styleId="21">
    <w:name w:val="Table Text"/>
    <w:basedOn w:val="1"/>
    <w:autoRedefine/>
    <w:semiHidden/>
    <w:qFormat/>
    <w:uiPriority w:val="0"/>
    <w:rPr>
      <w:rFonts w:ascii="Arial" w:hAnsi="Arial" w:eastAsia="Arial" w:cs="Arial"/>
      <w:sz w:val="21"/>
      <w:szCs w:val="21"/>
      <w:lang w:val="en-US" w:eastAsia="en-US" w:bidi="ar-SA"/>
    </w:rPr>
  </w:style>
  <w:style w:type="paragraph" w:customStyle="1" w:styleId="22">
    <w:name w:val="列出段落1"/>
    <w:basedOn w:val="1"/>
    <w:autoRedefine/>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44</Pages>
  <Words>11612</Words>
  <Characters>12539</Characters>
  <TotalTime>4</TotalTime>
  <ScaleCrop>false</ScaleCrop>
  <LinksUpToDate>false</LinksUpToDate>
  <CharactersWithSpaces>12876</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JJoey</cp:lastModifiedBy>
  <dcterms:modified xsi:type="dcterms:W3CDTF">2025-11-25T06:44:06Z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2052-12.1.0.23542</vt:lpwstr>
  </property>
  <property fmtid="{D5CDD505-2E9C-101B-9397-08002B2CF9AE}" pid="5" name="ICV">
    <vt:lpwstr>59339DB245864723986E4752F9A394A8_13</vt:lpwstr>
  </property>
  <property fmtid="{D5CDD505-2E9C-101B-9397-08002B2CF9AE}" pid="6" name="KSOTemplateDocerSaveRecord">
    <vt:lpwstr>eyJoZGlkIjoiYTUyM2UwYjBmYzc3YmM3ZjI1ODg2NTk3ZGJhZGNiNGIiLCJ1c2VySWQiOiI0MTY3MTE2MDgifQ==</vt:lpwstr>
  </property>
</Properties>
</file>