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B28A0">
      <w:pPr>
        <w:widowControl w:val="0"/>
        <w:snapToGrid w:val="0"/>
        <w:spacing w:line="560" w:lineRule="exact"/>
        <w:ind w:firstLine="241" w:firstLineChars="50"/>
        <w:jc w:val="center"/>
        <w:rPr>
          <w:rFonts w:eastAsia="黑体"/>
          <w:b/>
          <w:spacing w:val="40"/>
          <w:sz w:val="40"/>
          <w:szCs w:val="40"/>
        </w:rPr>
      </w:pPr>
    </w:p>
    <w:p w14:paraId="2EF89D5C">
      <w:pPr>
        <w:widowControl w:val="0"/>
        <w:snapToGrid w:val="0"/>
        <w:spacing w:line="560" w:lineRule="exact"/>
        <w:ind w:firstLine="241" w:firstLineChars="50"/>
        <w:jc w:val="center"/>
        <w:rPr>
          <w:rFonts w:eastAsia="黑体"/>
          <w:b/>
          <w:spacing w:val="40"/>
          <w:sz w:val="40"/>
          <w:szCs w:val="40"/>
        </w:rPr>
      </w:pPr>
    </w:p>
    <w:p w14:paraId="07FC957D">
      <w:pPr>
        <w:widowControl w:val="0"/>
        <w:snapToGrid w:val="0"/>
        <w:spacing w:line="560" w:lineRule="exact"/>
        <w:ind w:firstLine="241" w:firstLineChars="50"/>
        <w:jc w:val="center"/>
        <w:rPr>
          <w:rFonts w:eastAsia="黑体"/>
          <w:b/>
          <w:spacing w:val="40"/>
          <w:sz w:val="40"/>
          <w:szCs w:val="40"/>
        </w:rPr>
      </w:pPr>
    </w:p>
    <w:p w14:paraId="2EFC4D87">
      <w:pPr>
        <w:widowControl w:val="0"/>
        <w:snapToGrid w:val="0"/>
        <w:spacing w:line="560" w:lineRule="exact"/>
        <w:ind w:firstLine="221" w:firstLineChars="50"/>
        <w:jc w:val="center"/>
        <w:rPr>
          <w:rFonts w:ascii="黑体" w:eastAsia="黑体"/>
          <w:b/>
          <w:color w:val="000000" w:themeColor="text1"/>
          <w:spacing w:val="40"/>
          <w:sz w:val="44"/>
          <w:szCs w:val="44"/>
          <w14:textFill>
            <w14:solidFill>
              <w14:schemeClr w14:val="tx1"/>
            </w14:solidFill>
          </w14:textFill>
        </w:rPr>
      </w:pPr>
      <w:r>
        <w:rPr>
          <w:rFonts w:hint="eastAsia" w:ascii="黑体" w:eastAsia="黑体"/>
          <w:b/>
          <w:color w:val="000000" w:themeColor="text1"/>
          <w:sz w:val="44"/>
          <w:szCs w:val="44"/>
          <w14:textFill>
            <w14:solidFill>
              <w14:schemeClr w14:val="tx1"/>
            </w14:solidFill>
          </w14:textFill>
        </w:rPr>
        <w:t>安阳职业技术学院东校区扩建室外高压配电工程项目</w:t>
      </w:r>
    </w:p>
    <w:p w14:paraId="3C0444B3">
      <w:pPr>
        <w:widowControl w:val="0"/>
        <w:snapToGrid w:val="0"/>
        <w:spacing w:line="560" w:lineRule="exact"/>
        <w:ind w:firstLine="261" w:firstLineChars="50"/>
        <w:jc w:val="center"/>
        <w:rPr>
          <w:rFonts w:ascii="黑体" w:eastAsia="黑体"/>
          <w:b/>
          <w:color w:val="000000" w:themeColor="text1"/>
          <w:spacing w:val="40"/>
          <w:sz w:val="44"/>
          <w:szCs w:val="44"/>
          <w14:textFill>
            <w14:solidFill>
              <w14:schemeClr w14:val="tx1"/>
            </w14:solidFill>
          </w14:textFill>
        </w:rPr>
      </w:pPr>
    </w:p>
    <w:p w14:paraId="69B522DE">
      <w:pPr>
        <w:widowControl w:val="0"/>
        <w:snapToGrid w:val="0"/>
        <w:spacing w:before="240" w:beforeLines="100" w:line="560" w:lineRule="exact"/>
        <w:jc w:val="center"/>
        <w:rPr>
          <w:rFonts w:eastAsia="黑体"/>
          <w:b/>
          <w:color w:val="000000" w:themeColor="text1"/>
          <w:sz w:val="44"/>
          <w14:textFill>
            <w14:solidFill>
              <w14:schemeClr w14:val="tx1"/>
            </w14:solidFill>
          </w14:textFill>
        </w:rPr>
      </w:pPr>
    </w:p>
    <w:p w14:paraId="2E6D6310">
      <w:pPr>
        <w:widowControl w:val="0"/>
        <w:snapToGrid w:val="0"/>
        <w:spacing w:before="240" w:beforeLines="100" w:line="240" w:lineRule="auto"/>
        <w:jc w:val="center"/>
        <w:rPr>
          <w:rFonts w:eastAsia="黑体"/>
          <w:b/>
          <w:color w:val="000000" w:themeColor="text1"/>
          <w:sz w:val="44"/>
          <w14:textFill>
            <w14:solidFill>
              <w14:schemeClr w14:val="tx1"/>
            </w14:solidFill>
          </w14:textFill>
        </w:rPr>
      </w:pPr>
    </w:p>
    <w:p w14:paraId="497DB3D7">
      <w:pPr>
        <w:widowControl w:val="0"/>
        <w:snapToGrid w:val="0"/>
        <w:spacing w:before="240" w:beforeLines="100" w:line="240" w:lineRule="auto"/>
        <w:jc w:val="center"/>
        <w:rPr>
          <w:rFonts w:eastAsia="黑体"/>
          <w:b/>
          <w:color w:val="000000" w:themeColor="text1"/>
          <w:sz w:val="44"/>
          <w14:textFill>
            <w14:solidFill>
              <w14:schemeClr w14:val="tx1"/>
            </w14:solidFill>
          </w14:textFill>
        </w:rPr>
      </w:pPr>
    </w:p>
    <w:p w14:paraId="42EAD007">
      <w:pPr>
        <w:widowControl w:val="0"/>
        <w:snapToGrid w:val="0"/>
        <w:spacing w:before="240" w:beforeLines="100" w:line="240" w:lineRule="auto"/>
        <w:jc w:val="center"/>
        <w:rPr>
          <w:rFonts w:ascii="华文新魏" w:hAnsi="微软雅黑" w:eastAsia="华文新魏"/>
          <w:b/>
          <w:color w:val="000000" w:themeColor="text1"/>
          <w:sz w:val="116"/>
          <w:szCs w:val="116"/>
          <w14:textFill>
            <w14:solidFill>
              <w14:schemeClr w14:val="tx1"/>
            </w14:solidFill>
          </w14:textFill>
        </w:rPr>
      </w:pPr>
      <w:r>
        <w:rPr>
          <w:rFonts w:hint="eastAsia" w:ascii="华文新魏" w:hAnsi="微软雅黑" w:eastAsia="华文新魏"/>
          <w:b/>
          <w:color w:val="000000" w:themeColor="text1"/>
          <w:sz w:val="116"/>
          <w:szCs w:val="116"/>
          <w14:textFill>
            <w14:solidFill>
              <w14:schemeClr w14:val="tx1"/>
            </w14:solidFill>
          </w14:textFill>
        </w:rPr>
        <w:t>谈</w:t>
      </w:r>
      <w:r>
        <w:rPr>
          <w:rFonts w:ascii="华文新魏" w:hAnsi="微软雅黑" w:eastAsia="华文新魏"/>
          <w:b/>
          <w:color w:val="000000" w:themeColor="text1"/>
          <w:sz w:val="116"/>
          <w:szCs w:val="116"/>
          <w14:textFill>
            <w14:solidFill>
              <w14:schemeClr w14:val="tx1"/>
            </w14:solidFill>
          </w14:textFill>
        </w:rPr>
        <w:t xml:space="preserve"> </w:t>
      </w:r>
      <w:r>
        <w:rPr>
          <w:rFonts w:hint="eastAsia" w:ascii="华文新魏" w:hAnsi="微软雅黑" w:eastAsia="华文新魏"/>
          <w:b/>
          <w:color w:val="000000" w:themeColor="text1"/>
          <w:sz w:val="116"/>
          <w:szCs w:val="116"/>
          <w14:textFill>
            <w14:solidFill>
              <w14:schemeClr w14:val="tx1"/>
            </w14:solidFill>
          </w14:textFill>
        </w:rPr>
        <w:t>判</w:t>
      </w:r>
      <w:r>
        <w:rPr>
          <w:rFonts w:ascii="华文新魏" w:hAnsi="微软雅黑" w:eastAsia="华文新魏"/>
          <w:b/>
          <w:color w:val="000000" w:themeColor="text1"/>
          <w:sz w:val="116"/>
          <w:szCs w:val="116"/>
          <w14:textFill>
            <w14:solidFill>
              <w14:schemeClr w14:val="tx1"/>
            </w14:solidFill>
          </w14:textFill>
        </w:rPr>
        <w:t xml:space="preserve"> </w:t>
      </w:r>
      <w:r>
        <w:rPr>
          <w:rFonts w:hint="eastAsia" w:ascii="华文新魏" w:hAnsi="微软雅黑" w:eastAsia="华文新魏"/>
          <w:b/>
          <w:color w:val="000000" w:themeColor="text1"/>
          <w:sz w:val="116"/>
          <w:szCs w:val="116"/>
          <w14:textFill>
            <w14:solidFill>
              <w14:schemeClr w14:val="tx1"/>
            </w14:solidFill>
          </w14:textFill>
        </w:rPr>
        <w:t>文</w:t>
      </w:r>
      <w:r>
        <w:rPr>
          <w:rFonts w:ascii="华文新魏" w:hAnsi="微软雅黑" w:eastAsia="华文新魏"/>
          <w:b/>
          <w:color w:val="000000" w:themeColor="text1"/>
          <w:sz w:val="116"/>
          <w:szCs w:val="116"/>
          <w14:textFill>
            <w14:solidFill>
              <w14:schemeClr w14:val="tx1"/>
            </w14:solidFill>
          </w14:textFill>
        </w:rPr>
        <w:t xml:space="preserve"> </w:t>
      </w:r>
      <w:r>
        <w:rPr>
          <w:rFonts w:hint="eastAsia" w:ascii="华文新魏" w:hAnsi="微软雅黑" w:eastAsia="华文新魏"/>
          <w:b/>
          <w:color w:val="000000" w:themeColor="text1"/>
          <w:sz w:val="116"/>
          <w:szCs w:val="116"/>
          <w14:textFill>
            <w14:solidFill>
              <w14:schemeClr w14:val="tx1"/>
            </w14:solidFill>
          </w14:textFill>
        </w:rPr>
        <w:t>件</w:t>
      </w:r>
    </w:p>
    <w:p w14:paraId="346CC50C">
      <w:pPr>
        <w:widowControl w:val="0"/>
        <w:snapToGrid w:val="0"/>
        <w:spacing w:before="240" w:beforeLines="100" w:line="560" w:lineRule="exact"/>
        <w:jc w:val="center"/>
        <w:rPr>
          <w:rFonts w:hint="default" w:ascii="宋体" w:hAnsi="宋体" w:eastAsia="宋体"/>
          <w:b/>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项目编号：安财竞谈</w:t>
      </w:r>
      <w:r>
        <w:rPr>
          <w:rFonts w:hint="eastAsia" w:ascii="宋体" w:hAnsi="宋体"/>
          <w:color w:val="000000" w:themeColor="text1"/>
          <w:sz w:val="32"/>
          <w:szCs w:val="32"/>
          <w:lang w:val="en-US" w:eastAsia="zh-CN"/>
          <w14:textFill>
            <w14:solidFill>
              <w14:schemeClr w14:val="tx1"/>
            </w14:solidFill>
          </w14:textFill>
        </w:rPr>
        <w:t>-2025-11</w:t>
      </w:r>
    </w:p>
    <w:p w14:paraId="5FB55561">
      <w:pPr>
        <w:widowControl w:val="0"/>
        <w:snapToGrid w:val="0"/>
        <w:spacing w:before="240" w:beforeLines="100" w:line="560" w:lineRule="exact"/>
        <w:jc w:val="center"/>
        <w:rPr>
          <w:rFonts w:eastAsia="黑体"/>
          <w:b/>
          <w:color w:val="000000" w:themeColor="text1"/>
          <w:sz w:val="44"/>
          <w14:textFill>
            <w14:solidFill>
              <w14:schemeClr w14:val="tx1"/>
            </w14:solidFill>
          </w14:textFill>
        </w:rPr>
      </w:pPr>
    </w:p>
    <w:p w14:paraId="7ECBD290">
      <w:pPr>
        <w:widowControl w:val="0"/>
        <w:snapToGrid w:val="0"/>
        <w:spacing w:before="240" w:beforeLines="100" w:line="560" w:lineRule="exact"/>
        <w:jc w:val="center"/>
        <w:rPr>
          <w:rFonts w:eastAsia="黑体"/>
          <w:b/>
          <w:color w:val="000000" w:themeColor="text1"/>
          <w:sz w:val="44"/>
          <w14:textFill>
            <w14:solidFill>
              <w14:schemeClr w14:val="tx1"/>
            </w14:solidFill>
          </w14:textFill>
        </w:rPr>
      </w:pPr>
    </w:p>
    <w:p w14:paraId="144F69BD">
      <w:pPr>
        <w:widowControl w:val="0"/>
        <w:snapToGrid w:val="0"/>
        <w:spacing w:before="240" w:beforeLines="100" w:line="560" w:lineRule="exact"/>
        <w:jc w:val="center"/>
        <w:rPr>
          <w:rFonts w:eastAsia="黑体"/>
          <w:b/>
          <w:color w:val="000000" w:themeColor="text1"/>
          <w:sz w:val="44"/>
          <w14:textFill>
            <w14:solidFill>
              <w14:schemeClr w14:val="tx1"/>
            </w14:solidFill>
          </w14:textFill>
        </w:rPr>
      </w:pPr>
    </w:p>
    <w:p w14:paraId="4A05772B">
      <w:pPr>
        <w:widowControl w:val="0"/>
        <w:snapToGrid w:val="0"/>
        <w:spacing w:before="240" w:beforeLines="100" w:line="560" w:lineRule="exact"/>
        <w:rPr>
          <w:rFonts w:eastAsia="黑体"/>
          <w:b/>
          <w:color w:val="000000" w:themeColor="text1"/>
          <w:sz w:val="44"/>
          <w14:textFill>
            <w14:solidFill>
              <w14:schemeClr w14:val="tx1"/>
            </w14:solidFill>
          </w14:textFill>
        </w:rPr>
      </w:pPr>
    </w:p>
    <w:p w14:paraId="3FDC5F61">
      <w:pPr>
        <w:widowControl w:val="0"/>
        <w:snapToGrid w:val="0"/>
        <w:spacing w:line="660" w:lineRule="exact"/>
        <w:ind w:firstLine="540" w:firstLineChars="168"/>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采购人：安阳职业技术学院</w:t>
      </w:r>
    </w:p>
    <w:p w14:paraId="61358499">
      <w:pPr>
        <w:widowControl w:val="0"/>
        <w:snapToGrid w:val="0"/>
        <w:spacing w:line="660" w:lineRule="exact"/>
        <w:ind w:firstLine="540" w:firstLineChars="168"/>
        <w:rPr>
          <w:rFonts w:ascii="黑体" w:hAnsi="黑体" w:eastAsia="黑体"/>
          <w:b/>
          <w:color w:val="000000" w:themeColor="text1"/>
          <w:sz w:val="32"/>
          <w:szCs w:val="32"/>
          <w14:textFill>
            <w14:solidFill>
              <w14:schemeClr w14:val="tx1"/>
            </w14:solidFill>
          </w14:textFill>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000000" w:themeColor="text1"/>
          <w:sz w:val="32"/>
          <w:szCs w:val="32"/>
          <w14:textFill>
            <w14:solidFill>
              <w14:schemeClr w14:val="tx1"/>
            </w14:solidFill>
          </w14:textFill>
        </w:rPr>
        <w:t>代理机构：安阳市方正招标采购服务有限责任公司</w:t>
      </w:r>
    </w:p>
    <w:p w14:paraId="3FAEB027">
      <w:pPr>
        <w:widowControl w:val="0"/>
        <w:snapToGrid w:val="0"/>
        <w:spacing w:line="660" w:lineRule="exact"/>
        <w:ind w:firstLine="540" w:firstLineChars="168"/>
        <w:rPr>
          <w:rFonts w:ascii="黑体" w:hAnsi="黑体" w:eastAsia="黑体"/>
          <w:b/>
          <w:color w:val="000000" w:themeColor="text1"/>
          <w:sz w:val="32"/>
          <w:szCs w:val="32"/>
          <w14:textFill>
            <w14:solidFill>
              <w14:schemeClr w14:val="tx1"/>
            </w14:solidFill>
          </w14:textFill>
        </w:rPr>
      </w:pPr>
    </w:p>
    <w:p w14:paraId="5DB38FD7">
      <w:pPr>
        <w:pStyle w:val="48"/>
        <w:jc w:val="center"/>
      </w:pPr>
      <w:r>
        <w:rPr>
          <w:rFonts w:hint="eastAsia" w:ascii="黑体" w:hAnsi="黑体" w:eastAsia="黑体"/>
          <w:color w:val="000000" w:themeColor="text1"/>
          <w:sz w:val="36"/>
          <w:szCs w:val="36"/>
          <w:lang w:val="zh-CN"/>
          <w14:textFill>
            <w14:solidFill>
              <w14:schemeClr w14:val="tx1"/>
            </w14:solidFill>
          </w14:textFill>
        </w:rPr>
        <w:t>目录</w:t>
      </w:r>
      <w:r>
        <w:fldChar w:fldCharType="begin"/>
      </w:r>
      <w:r>
        <w:instrText xml:space="preserve"> TOC \o "1-3" \h \z \u </w:instrText>
      </w:r>
      <w:r>
        <w:fldChar w:fldCharType="separate"/>
      </w:r>
    </w:p>
    <w:p w14:paraId="014112C9">
      <w:pPr>
        <w:pStyle w:val="11"/>
        <w:tabs>
          <w:tab w:val="right" w:leader="dot" w:pos="9371"/>
        </w:tabs>
        <w:rPr>
          <w:rFonts w:ascii="Calibri" w:hAnsi="Calibri"/>
          <w:color w:val="auto"/>
          <w:kern w:val="2"/>
          <w:szCs w:val="22"/>
        </w:rPr>
      </w:pPr>
      <w:r>
        <w:fldChar w:fldCharType="begin"/>
      </w:r>
      <w:r>
        <w:instrText xml:space="preserve"> HYPERLINK \l "_Toc65679073" </w:instrText>
      </w:r>
      <w:r>
        <w:fldChar w:fldCharType="separate"/>
      </w:r>
      <w:r>
        <w:rPr>
          <w:rStyle w:val="20"/>
          <w:rFonts w:hint="eastAsia" w:eastAsia="黑体"/>
          <w:b/>
        </w:rPr>
        <w:t>第一章</w:t>
      </w:r>
      <w:r>
        <w:rPr>
          <w:rStyle w:val="20"/>
          <w:rFonts w:eastAsia="黑体"/>
          <w:b/>
        </w:rPr>
        <w:t xml:space="preserve"> </w:t>
      </w:r>
      <w:r>
        <w:rPr>
          <w:rStyle w:val="20"/>
          <w:rFonts w:hint="eastAsia" w:eastAsia="黑体"/>
          <w:b/>
        </w:rPr>
        <w:t>谈判公告</w:t>
      </w:r>
      <w:r>
        <w:tab/>
      </w:r>
      <w:r>
        <w:fldChar w:fldCharType="begin"/>
      </w:r>
      <w:r>
        <w:instrText xml:space="preserve"> PAGEREF _Toc65679073 \h </w:instrText>
      </w:r>
      <w:r>
        <w:fldChar w:fldCharType="separate"/>
      </w:r>
      <w:r>
        <w:t>- 1 -</w:t>
      </w:r>
      <w:r>
        <w:fldChar w:fldCharType="end"/>
      </w:r>
      <w:r>
        <w:fldChar w:fldCharType="end"/>
      </w:r>
    </w:p>
    <w:p w14:paraId="70C340DB">
      <w:pPr>
        <w:pStyle w:val="11"/>
        <w:tabs>
          <w:tab w:val="right" w:leader="dot" w:pos="9371"/>
        </w:tabs>
        <w:rPr>
          <w:rFonts w:ascii="Calibri" w:hAnsi="Calibri"/>
          <w:color w:val="auto"/>
          <w:kern w:val="2"/>
          <w:szCs w:val="22"/>
        </w:rPr>
      </w:pPr>
      <w:r>
        <w:fldChar w:fldCharType="begin"/>
      </w:r>
      <w:r>
        <w:instrText xml:space="preserve"> HYPERLINK \l "_Toc65679074" </w:instrText>
      </w:r>
      <w:r>
        <w:fldChar w:fldCharType="separate"/>
      </w:r>
      <w:r>
        <w:rPr>
          <w:rStyle w:val="20"/>
          <w:rFonts w:hint="eastAsia" w:eastAsia="黑体"/>
          <w:b/>
        </w:rPr>
        <w:t>第二章</w:t>
      </w:r>
      <w:r>
        <w:rPr>
          <w:rStyle w:val="20"/>
          <w:rFonts w:eastAsia="黑体"/>
          <w:b/>
        </w:rPr>
        <w:t xml:space="preserve"> </w:t>
      </w:r>
      <w:r>
        <w:rPr>
          <w:rStyle w:val="20"/>
          <w:rFonts w:hint="eastAsia" w:eastAsia="黑体"/>
          <w:b/>
        </w:rPr>
        <w:t>采购项目及技术服务要求</w:t>
      </w:r>
      <w:r>
        <w:tab/>
      </w:r>
      <w:r>
        <w:fldChar w:fldCharType="begin"/>
      </w:r>
      <w:r>
        <w:instrText xml:space="preserve"> PAGEREF _Toc65679074 \h </w:instrText>
      </w:r>
      <w:r>
        <w:fldChar w:fldCharType="separate"/>
      </w:r>
      <w:r>
        <w:t>- 11 -</w:t>
      </w:r>
      <w:r>
        <w:fldChar w:fldCharType="end"/>
      </w:r>
      <w:r>
        <w:fldChar w:fldCharType="end"/>
      </w:r>
    </w:p>
    <w:p w14:paraId="75505C4F">
      <w:pPr>
        <w:pStyle w:val="12"/>
        <w:tabs>
          <w:tab w:val="right" w:leader="dot" w:pos="9371"/>
        </w:tabs>
        <w:rPr>
          <w:rFonts w:ascii="Calibri" w:hAnsi="Calibri"/>
          <w:color w:val="auto"/>
          <w:kern w:val="2"/>
          <w:szCs w:val="22"/>
        </w:rPr>
      </w:pPr>
      <w:r>
        <w:fldChar w:fldCharType="begin"/>
      </w:r>
      <w:r>
        <w:instrText xml:space="preserve"> HYPERLINK \l "_Toc65679075" </w:instrText>
      </w:r>
      <w:r>
        <w:fldChar w:fldCharType="separate"/>
      </w:r>
      <w:r>
        <w:rPr>
          <w:rStyle w:val="20"/>
          <w:rFonts w:ascii="黑体" w:hAnsi="黑体" w:eastAsia="黑体"/>
          <w:b/>
        </w:rPr>
        <w:t xml:space="preserve">1. </w:t>
      </w:r>
      <w:r>
        <w:rPr>
          <w:rStyle w:val="20"/>
          <w:rFonts w:hint="eastAsia" w:ascii="黑体" w:hAnsi="黑体" w:eastAsia="黑体"/>
          <w:b/>
        </w:rPr>
        <w:t>采购项目、标段（包）划分、投标报价</w:t>
      </w:r>
      <w:r>
        <w:tab/>
      </w:r>
      <w:r>
        <w:fldChar w:fldCharType="begin"/>
      </w:r>
      <w:r>
        <w:instrText xml:space="preserve"> PAGEREF _Toc65679075 \h </w:instrText>
      </w:r>
      <w:r>
        <w:fldChar w:fldCharType="separate"/>
      </w:r>
      <w:r>
        <w:t>- 11 -</w:t>
      </w:r>
      <w:r>
        <w:fldChar w:fldCharType="end"/>
      </w:r>
      <w:r>
        <w:fldChar w:fldCharType="end"/>
      </w:r>
    </w:p>
    <w:p w14:paraId="5139A3DB">
      <w:pPr>
        <w:pStyle w:val="12"/>
        <w:tabs>
          <w:tab w:val="right" w:leader="dot" w:pos="9371"/>
        </w:tabs>
        <w:rPr>
          <w:rFonts w:ascii="Calibri" w:hAnsi="Calibri"/>
          <w:color w:val="auto"/>
          <w:kern w:val="2"/>
          <w:szCs w:val="22"/>
        </w:rPr>
      </w:pPr>
      <w:r>
        <w:fldChar w:fldCharType="begin"/>
      </w:r>
      <w:r>
        <w:instrText xml:space="preserve"> HYPERLINK \l "_Toc65679076" </w:instrText>
      </w:r>
      <w:r>
        <w:fldChar w:fldCharType="separate"/>
      </w:r>
      <w:r>
        <w:rPr>
          <w:rStyle w:val="20"/>
          <w:rFonts w:ascii="黑体" w:hAnsi="黑体" w:eastAsia="黑体"/>
          <w:b/>
        </w:rPr>
        <w:t xml:space="preserve">2. </w:t>
      </w:r>
      <w:r>
        <w:rPr>
          <w:rStyle w:val="20"/>
          <w:rFonts w:hint="eastAsia" w:ascii="黑体" w:hAnsi="黑体" w:eastAsia="黑体"/>
          <w:b/>
        </w:rPr>
        <w:t>标段（包）内容（范围）及基本技术要求</w:t>
      </w:r>
      <w:r>
        <w:tab/>
      </w:r>
      <w:r>
        <w:fldChar w:fldCharType="begin"/>
      </w:r>
      <w:r>
        <w:instrText xml:space="preserve"> PAGEREF _Toc65679076 \h </w:instrText>
      </w:r>
      <w:r>
        <w:fldChar w:fldCharType="separate"/>
      </w:r>
      <w:r>
        <w:t>- 12 -</w:t>
      </w:r>
      <w:r>
        <w:fldChar w:fldCharType="end"/>
      </w:r>
      <w:r>
        <w:fldChar w:fldCharType="end"/>
      </w:r>
    </w:p>
    <w:p w14:paraId="7E56D1F2">
      <w:pPr>
        <w:pStyle w:val="11"/>
        <w:tabs>
          <w:tab w:val="right" w:leader="dot" w:pos="9371"/>
        </w:tabs>
        <w:rPr>
          <w:rFonts w:ascii="Calibri" w:hAnsi="Calibri"/>
          <w:color w:val="auto"/>
          <w:kern w:val="2"/>
          <w:szCs w:val="22"/>
        </w:rPr>
      </w:pPr>
      <w:r>
        <w:fldChar w:fldCharType="begin"/>
      </w:r>
      <w:r>
        <w:instrText xml:space="preserve"> HYPERLINK \l "_Toc65679077" </w:instrText>
      </w:r>
      <w:r>
        <w:fldChar w:fldCharType="separate"/>
      </w:r>
      <w:r>
        <w:rPr>
          <w:rStyle w:val="20"/>
          <w:rFonts w:hint="eastAsia" w:eastAsia="黑体"/>
          <w:b/>
        </w:rPr>
        <w:t>第三章</w:t>
      </w:r>
      <w:r>
        <w:rPr>
          <w:rStyle w:val="20"/>
          <w:rFonts w:eastAsia="黑体"/>
          <w:b/>
        </w:rPr>
        <w:t xml:space="preserve"> </w:t>
      </w:r>
      <w:r>
        <w:rPr>
          <w:rStyle w:val="20"/>
          <w:rFonts w:hint="eastAsia" w:eastAsia="黑体"/>
          <w:b/>
        </w:rPr>
        <w:t>投标人须知</w:t>
      </w:r>
      <w:r>
        <w:tab/>
      </w:r>
      <w:r>
        <w:fldChar w:fldCharType="begin"/>
      </w:r>
      <w:r>
        <w:instrText xml:space="preserve"> PAGEREF _Toc65679077 \h </w:instrText>
      </w:r>
      <w:r>
        <w:fldChar w:fldCharType="separate"/>
      </w:r>
      <w:r>
        <w:t>- 16 -</w:t>
      </w:r>
      <w:r>
        <w:fldChar w:fldCharType="end"/>
      </w:r>
      <w:r>
        <w:fldChar w:fldCharType="end"/>
      </w:r>
    </w:p>
    <w:p w14:paraId="52A39BAA">
      <w:pPr>
        <w:pStyle w:val="12"/>
        <w:tabs>
          <w:tab w:val="right" w:leader="dot" w:pos="9371"/>
        </w:tabs>
        <w:rPr>
          <w:rFonts w:ascii="Calibri" w:hAnsi="Calibri"/>
          <w:color w:val="auto"/>
          <w:kern w:val="2"/>
          <w:szCs w:val="22"/>
        </w:rPr>
      </w:pPr>
      <w:r>
        <w:fldChar w:fldCharType="begin"/>
      </w:r>
      <w:r>
        <w:instrText xml:space="preserve"> HYPERLINK \l "_Toc65679078" </w:instrText>
      </w:r>
      <w:r>
        <w:fldChar w:fldCharType="separate"/>
      </w:r>
      <w:r>
        <w:rPr>
          <w:rStyle w:val="20"/>
          <w:rFonts w:hint="eastAsia" w:eastAsia="黑体"/>
          <w:b/>
        </w:rPr>
        <w:t>投标人须知前附表</w:t>
      </w:r>
      <w:r>
        <w:tab/>
      </w:r>
      <w:r>
        <w:fldChar w:fldCharType="begin"/>
      </w:r>
      <w:r>
        <w:instrText xml:space="preserve"> PAGEREF _Toc65679078 \h </w:instrText>
      </w:r>
      <w:r>
        <w:fldChar w:fldCharType="separate"/>
      </w:r>
      <w:r>
        <w:t>- 16 -</w:t>
      </w:r>
      <w:r>
        <w:fldChar w:fldCharType="end"/>
      </w:r>
      <w:r>
        <w:fldChar w:fldCharType="end"/>
      </w:r>
    </w:p>
    <w:p w14:paraId="49EEEF94">
      <w:pPr>
        <w:pStyle w:val="12"/>
        <w:tabs>
          <w:tab w:val="right" w:leader="dot" w:pos="9371"/>
        </w:tabs>
        <w:rPr>
          <w:rFonts w:ascii="Calibri" w:hAnsi="Calibri"/>
          <w:color w:val="auto"/>
          <w:kern w:val="2"/>
          <w:szCs w:val="22"/>
        </w:rPr>
      </w:pPr>
      <w:r>
        <w:fldChar w:fldCharType="begin"/>
      </w:r>
      <w:r>
        <w:instrText xml:space="preserve"> HYPERLINK \l "_Toc65679079" </w:instrText>
      </w:r>
      <w:r>
        <w:fldChar w:fldCharType="separate"/>
      </w:r>
      <w:r>
        <w:rPr>
          <w:rStyle w:val="20"/>
          <w:rFonts w:ascii="黑体" w:hAnsi="黑体" w:eastAsia="黑体" w:cs="楷体_GB2312"/>
          <w:b/>
          <w:bCs/>
          <w:lang w:val="zh-CN"/>
        </w:rPr>
        <w:t xml:space="preserve">1. </w:t>
      </w:r>
      <w:r>
        <w:rPr>
          <w:rStyle w:val="20"/>
          <w:rFonts w:hint="eastAsia" w:ascii="黑体" w:hAnsi="黑体" w:eastAsia="黑体" w:cs="楷体_GB2312"/>
          <w:b/>
          <w:bCs/>
          <w:lang w:val="zh-CN"/>
        </w:rPr>
        <w:t>总则</w:t>
      </w:r>
      <w:r>
        <w:tab/>
      </w:r>
      <w:r>
        <w:fldChar w:fldCharType="begin"/>
      </w:r>
      <w:r>
        <w:instrText xml:space="preserve"> PAGEREF _Toc65679079 \h </w:instrText>
      </w:r>
      <w:r>
        <w:fldChar w:fldCharType="separate"/>
      </w:r>
      <w:r>
        <w:t>- 20 -</w:t>
      </w:r>
      <w:r>
        <w:fldChar w:fldCharType="end"/>
      </w:r>
      <w:r>
        <w:fldChar w:fldCharType="end"/>
      </w:r>
    </w:p>
    <w:p w14:paraId="0DFAD6C5">
      <w:pPr>
        <w:pStyle w:val="12"/>
        <w:tabs>
          <w:tab w:val="right" w:leader="dot" w:pos="9371"/>
        </w:tabs>
        <w:rPr>
          <w:rFonts w:ascii="Calibri" w:hAnsi="Calibri"/>
          <w:color w:val="auto"/>
          <w:kern w:val="2"/>
          <w:szCs w:val="22"/>
        </w:rPr>
      </w:pPr>
      <w:r>
        <w:fldChar w:fldCharType="begin"/>
      </w:r>
      <w:r>
        <w:instrText xml:space="preserve"> HYPERLINK \l "_Toc65679080" </w:instrText>
      </w:r>
      <w:r>
        <w:fldChar w:fldCharType="separate"/>
      </w:r>
      <w:r>
        <w:rPr>
          <w:rStyle w:val="20"/>
          <w:rFonts w:ascii="黑体" w:hAnsi="黑体" w:eastAsia="黑体" w:cs="楷体_GB2312"/>
          <w:b/>
          <w:bCs/>
          <w:lang w:val="zh-CN"/>
        </w:rPr>
        <w:t xml:space="preserve">2. </w:t>
      </w:r>
      <w:r>
        <w:rPr>
          <w:rStyle w:val="20"/>
          <w:rFonts w:hint="eastAsia" w:ascii="黑体" w:hAnsi="黑体" w:eastAsia="黑体" w:cs="楷体_GB2312"/>
          <w:b/>
          <w:bCs/>
          <w:lang w:val="zh-CN"/>
        </w:rPr>
        <w:t>谈判文件</w:t>
      </w:r>
      <w:r>
        <w:tab/>
      </w:r>
      <w:r>
        <w:fldChar w:fldCharType="begin"/>
      </w:r>
      <w:r>
        <w:instrText xml:space="preserve"> PAGEREF _Toc65679080 \h </w:instrText>
      </w:r>
      <w:r>
        <w:fldChar w:fldCharType="separate"/>
      </w:r>
      <w:r>
        <w:t>- 23 -</w:t>
      </w:r>
      <w:r>
        <w:fldChar w:fldCharType="end"/>
      </w:r>
      <w:r>
        <w:fldChar w:fldCharType="end"/>
      </w:r>
    </w:p>
    <w:p w14:paraId="03781D65">
      <w:pPr>
        <w:pStyle w:val="12"/>
        <w:tabs>
          <w:tab w:val="right" w:leader="dot" w:pos="9371"/>
        </w:tabs>
        <w:rPr>
          <w:rFonts w:ascii="Calibri" w:hAnsi="Calibri"/>
          <w:color w:val="auto"/>
          <w:kern w:val="2"/>
          <w:szCs w:val="22"/>
        </w:rPr>
      </w:pPr>
      <w:r>
        <w:fldChar w:fldCharType="begin"/>
      </w:r>
      <w:r>
        <w:instrText xml:space="preserve"> HYPERLINK \l "_Toc65679081" </w:instrText>
      </w:r>
      <w:r>
        <w:fldChar w:fldCharType="separate"/>
      </w:r>
      <w:r>
        <w:rPr>
          <w:rStyle w:val="20"/>
          <w:rFonts w:ascii="黑体" w:hAnsi="黑体" w:eastAsia="黑体" w:cs="楷体_GB2312"/>
          <w:b/>
          <w:bCs/>
          <w:lang w:val="zh-CN"/>
        </w:rPr>
        <w:t xml:space="preserve">3. </w:t>
      </w:r>
      <w:r>
        <w:rPr>
          <w:rStyle w:val="20"/>
          <w:rFonts w:hint="eastAsia" w:ascii="黑体" w:hAnsi="黑体" w:eastAsia="黑体" w:cs="楷体_GB2312"/>
          <w:b/>
          <w:bCs/>
          <w:lang w:val="zh-CN"/>
        </w:rPr>
        <w:t>投标文件（响应文件）</w:t>
      </w:r>
      <w:r>
        <w:tab/>
      </w:r>
      <w:r>
        <w:fldChar w:fldCharType="begin"/>
      </w:r>
      <w:r>
        <w:instrText xml:space="preserve"> PAGEREF _Toc65679081 \h </w:instrText>
      </w:r>
      <w:r>
        <w:fldChar w:fldCharType="separate"/>
      </w:r>
      <w:r>
        <w:t>- 24 -</w:t>
      </w:r>
      <w:r>
        <w:fldChar w:fldCharType="end"/>
      </w:r>
      <w:r>
        <w:fldChar w:fldCharType="end"/>
      </w:r>
    </w:p>
    <w:p w14:paraId="77C76243">
      <w:pPr>
        <w:pStyle w:val="12"/>
        <w:tabs>
          <w:tab w:val="right" w:leader="dot" w:pos="9371"/>
        </w:tabs>
        <w:rPr>
          <w:rFonts w:ascii="Calibri" w:hAnsi="Calibri"/>
          <w:color w:val="auto"/>
          <w:kern w:val="2"/>
          <w:szCs w:val="22"/>
        </w:rPr>
      </w:pPr>
      <w:r>
        <w:fldChar w:fldCharType="begin"/>
      </w:r>
      <w:r>
        <w:instrText xml:space="preserve"> HYPERLINK \l "_Toc65679082" </w:instrText>
      </w:r>
      <w:r>
        <w:fldChar w:fldCharType="separate"/>
      </w:r>
      <w:r>
        <w:rPr>
          <w:rStyle w:val="20"/>
          <w:rFonts w:ascii="黑体" w:hAnsi="黑体" w:eastAsia="黑体" w:cs="楷体_GB2312"/>
          <w:b/>
          <w:bCs/>
          <w:lang w:val="zh-CN"/>
        </w:rPr>
        <w:t xml:space="preserve">4. </w:t>
      </w:r>
      <w:r>
        <w:rPr>
          <w:rStyle w:val="20"/>
          <w:rFonts w:hint="eastAsia" w:ascii="黑体" w:hAnsi="黑体" w:eastAsia="黑体" w:cs="楷体_GB2312"/>
          <w:b/>
          <w:bCs/>
          <w:lang w:val="zh-CN"/>
        </w:rPr>
        <w:t>投标（响应文件的递交）</w:t>
      </w:r>
      <w:r>
        <w:tab/>
      </w:r>
      <w:r>
        <w:fldChar w:fldCharType="begin"/>
      </w:r>
      <w:r>
        <w:instrText xml:space="preserve"> PAGEREF _Toc65679082 \h </w:instrText>
      </w:r>
      <w:r>
        <w:fldChar w:fldCharType="separate"/>
      </w:r>
      <w:r>
        <w:t>- 27 -</w:t>
      </w:r>
      <w:r>
        <w:fldChar w:fldCharType="end"/>
      </w:r>
      <w:r>
        <w:fldChar w:fldCharType="end"/>
      </w:r>
    </w:p>
    <w:p w14:paraId="5708B461">
      <w:pPr>
        <w:pStyle w:val="12"/>
        <w:tabs>
          <w:tab w:val="right" w:leader="dot" w:pos="9371"/>
        </w:tabs>
        <w:rPr>
          <w:rFonts w:ascii="Calibri" w:hAnsi="Calibri"/>
          <w:color w:val="auto"/>
          <w:kern w:val="2"/>
          <w:szCs w:val="22"/>
        </w:rPr>
      </w:pPr>
      <w:r>
        <w:fldChar w:fldCharType="begin"/>
      </w:r>
      <w:r>
        <w:instrText xml:space="preserve"> HYPERLINK \l "_Toc65679083" </w:instrText>
      </w:r>
      <w:r>
        <w:fldChar w:fldCharType="separate"/>
      </w:r>
      <w:r>
        <w:rPr>
          <w:rStyle w:val="20"/>
          <w:rFonts w:ascii="黑体" w:hAnsi="黑体" w:eastAsia="黑体" w:cs="楷体_GB2312"/>
          <w:b/>
          <w:bCs/>
          <w:lang w:val="zh-CN"/>
        </w:rPr>
        <w:t xml:space="preserve">5. </w:t>
      </w:r>
      <w:r>
        <w:rPr>
          <w:rStyle w:val="20"/>
          <w:rFonts w:hint="eastAsia" w:ascii="黑体" w:hAnsi="黑体" w:eastAsia="黑体" w:cs="楷体_GB2312"/>
          <w:b/>
          <w:bCs/>
          <w:lang w:val="zh-CN"/>
        </w:rPr>
        <w:t>开标（响应文件的开启）</w:t>
      </w:r>
      <w:r>
        <w:tab/>
      </w:r>
      <w:r>
        <w:fldChar w:fldCharType="begin"/>
      </w:r>
      <w:r>
        <w:instrText xml:space="preserve"> PAGEREF _Toc65679083 \h </w:instrText>
      </w:r>
      <w:r>
        <w:fldChar w:fldCharType="separate"/>
      </w:r>
      <w:r>
        <w:t>- 28 -</w:t>
      </w:r>
      <w:r>
        <w:fldChar w:fldCharType="end"/>
      </w:r>
      <w:r>
        <w:fldChar w:fldCharType="end"/>
      </w:r>
    </w:p>
    <w:p w14:paraId="69BCC9D1">
      <w:pPr>
        <w:pStyle w:val="12"/>
        <w:tabs>
          <w:tab w:val="right" w:leader="dot" w:pos="9371"/>
        </w:tabs>
        <w:rPr>
          <w:rFonts w:ascii="Calibri" w:hAnsi="Calibri"/>
          <w:color w:val="auto"/>
          <w:kern w:val="2"/>
          <w:szCs w:val="22"/>
        </w:rPr>
      </w:pPr>
      <w:r>
        <w:fldChar w:fldCharType="begin"/>
      </w:r>
      <w:r>
        <w:instrText xml:space="preserve"> HYPERLINK \l "_Toc65679084" </w:instrText>
      </w:r>
      <w:r>
        <w:fldChar w:fldCharType="separate"/>
      </w:r>
      <w:r>
        <w:rPr>
          <w:rStyle w:val="20"/>
          <w:rFonts w:ascii="黑体" w:hAnsi="黑体" w:eastAsia="黑体" w:cs="楷体_GB2312"/>
          <w:b/>
          <w:bCs/>
          <w:lang w:val="zh-CN"/>
        </w:rPr>
        <w:t xml:space="preserve">6. </w:t>
      </w:r>
      <w:r>
        <w:rPr>
          <w:rStyle w:val="20"/>
          <w:rFonts w:hint="eastAsia" w:ascii="黑体" w:hAnsi="黑体" w:eastAsia="黑体" w:cs="楷体_GB2312"/>
          <w:b/>
          <w:bCs/>
          <w:lang w:val="zh-CN"/>
        </w:rPr>
        <w:t>评审</w:t>
      </w:r>
      <w:r>
        <w:tab/>
      </w:r>
      <w:r>
        <w:fldChar w:fldCharType="begin"/>
      </w:r>
      <w:r>
        <w:instrText xml:space="preserve"> PAGEREF _Toc65679084 \h </w:instrText>
      </w:r>
      <w:r>
        <w:fldChar w:fldCharType="separate"/>
      </w:r>
      <w:r>
        <w:t>- 29 -</w:t>
      </w:r>
      <w:r>
        <w:fldChar w:fldCharType="end"/>
      </w:r>
      <w:r>
        <w:fldChar w:fldCharType="end"/>
      </w:r>
    </w:p>
    <w:p w14:paraId="2D41CBF8">
      <w:pPr>
        <w:pStyle w:val="12"/>
        <w:tabs>
          <w:tab w:val="right" w:leader="dot" w:pos="9371"/>
        </w:tabs>
        <w:rPr>
          <w:rFonts w:ascii="Calibri" w:hAnsi="Calibri"/>
          <w:color w:val="auto"/>
          <w:kern w:val="2"/>
          <w:szCs w:val="22"/>
        </w:rPr>
      </w:pPr>
      <w:r>
        <w:fldChar w:fldCharType="begin"/>
      </w:r>
      <w:r>
        <w:instrText xml:space="preserve"> HYPERLINK \l "_Toc65679085" </w:instrText>
      </w:r>
      <w:r>
        <w:fldChar w:fldCharType="separate"/>
      </w:r>
      <w:r>
        <w:rPr>
          <w:rStyle w:val="20"/>
          <w:rFonts w:ascii="黑体" w:hAnsi="黑体" w:eastAsia="黑体" w:cs="楷体_GB2312"/>
          <w:b/>
          <w:bCs/>
          <w:lang w:val="zh-CN"/>
        </w:rPr>
        <w:t xml:space="preserve">7. </w:t>
      </w:r>
      <w:r>
        <w:rPr>
          <w:rStyle w:val="20"/>
          <w:rFonts w:hint="eastAsia" w:ascii="黑体" w:hAnsi="黑体" w:eastAsia="黑体" w:cs="楷体_GB2312"/>
          <w:b/>
          <w:bCs/>
          <w:lang w:val="zh-CN"/>
        </w:rPr>
        <w:t>授予合同</w:t>
      </w:r>
      <w:r>
        <w:tab/>
      </w:r>
      <w:r>
        <w:fldChar w:fldCharType="begin"/>
      </w:r>
      <w:r>
        <w:instrText xml:space="preserve"> PAGEREF _Toc65679085 \h </w:instrText>
      </w:r>
      <w:r>
        <w:fldChar w:fldCharType="separate"/>
      </w:r>
      <w:r>
        <w:t>- 29 -</w:t>
      </w:r>
      <w:r>
        <w:fldChar w:fldCharType="end"/>
      </w:r>
      <w:r>
        <w:fldChar w:fldCharType="end"/>
      </w:r>
    </w:p>
    <w:p w14:paraId="612FCE35">
      <w:pPr>
        <w:pStyle w:val="12"/>
        <w:tabs>
          <w:tab w:val="right" w:leader="dot" w:pos="9371"/>
        </w:tabs>
        <w:rPr>
          <w:rFonts w:ascii="Calibri" w:hAnsi="Calibri"/>
          <w:color w:val="auto"/>
          <w:kern w:val="2"/>
          <w:szCs w:val="22"/>
        </w:rPr>
      </w:pPr>
      <w:r>
        <w:fldChar w:fldCharType="begin"/>
      </w:r>
      <w:r>
        <w:instrText xml:space="preserve"> HYPERLINK \l "_Toc65679086" </w:instrText>
      </w:r>
      <w:r>
        <w:fldChar w:fldCharType="separate"/>
      </w:r>
      <w:r>
        <w:rPr>
          <w:rStyle w:val="20"/>
          <w:rFonts w:ascii="黑体" w:hAnsi="黑体" w:eastAsia="黑体" w:cs="楷体_GB2312"/>
          <w:b/>
          <w:bCs/>
          <w:lang w:val="zh-CN"/>
        </w:rPr>
        <w:t xml:space="preserve">8. </w:t>
      </w:r>
      <w:r>
        <w:rPr>
          <w:rStyle w:val="20"/>
          <w:rFonts w:hint="eastAsia" w:ascii="黑体" w:hAnsi="黑体" w:eastAsia="黑体" w:cs="楷体_GB2312"/>
          <w:b/>
          <w:bCs/>
          <w:lang w:val="zh-CN"/>
        </w:rPr>
        <w:t>验收</w:t>
      </w:r>
      <w:r>
        <w:tab/>
      </w:r>
      <w:r>
        <w:fldChar w:fldCharType="begin"/>
      </w:r>
      <w:r>
        <w:instrText xml:space="preserve"> PAGEREF _Toc65679086 \h </w:instrText>
      </w:r>
      <w:r>
        <w:fldChar w:fldCharType="separate"/>
      </w:r>
      <w:r>
        <w:t>- 31 -</w:t>
      </w:r>
      <w:r>
        <w:fldChar w:fldCharType="end"/>
      </w:r>
      <w:r>
        <w:fldChar w:fldCharType="end"/>
      </w:r>
    </w:p>
    <w:p w14:paraId="6AB5F65E">
      <w:pPr>
        <w:pStyle w:val="12"/>
        <w:tabs>
          <w:tab w:val="right" w:leader="dot" w:pos="9371"/>
        </w:tabs>
        <w:rPr>
          <w:rFonts w:ascii="Calibri" w:hAnsi="Calibri"/>
          <w:color w:val="auto"/>
          <w:kern w:val="2"/>
          <w:szCs w:val="22"/>
        </w:rPr>
      </w:pPr>
      <w:r>
        <w:fldChar w:fldCharType="begin"/>
      </w:r>
      <w:r>
        <w:instrText xml:space="preserve"> HYPERLINK \l "_Toc65679087" </w:instrText>
      </w:r>
      <w:r>
        <w:fldChar w:fldCharType="separate"/>
      </w:r>
      <w:r>
        <w:rPr>
          <w:rStyle w:val="20"/>
          <w:rFonts w:ascii="黑体" w:hAnsi="黑体" w:eastAsia="黑体" w:cs="楷体_GB2312"/>
          <w:b/>
          <w:bCs/>
          <w:lang w:val="zh-CN"/>
        </w:rPr>
        <w:t>9.</w:t>
      </w:r>
      <w:r>
        <w:rPr>
          <w:rStyle w:val="20"/>
          <w:rFonts w:hint="eastAsia" w:ascii="黑体" w:hAnsi="黑体" w:eastAsia="黑体" w:cs="楷体_GB2312"/>
          <w:b/>
          <w:bCs/>
          <w:lang w:val="zh-CN"/>
        </w:rPr>
        <w:t>付款</w:t>
      </w:r>
      <w:r>
        <w:tab/>
      </w:r>
      <w:r>
        <w:fldChar w:fldCharType="begin"/>
      </w:r>
      <w:r>
        <w:instrText xml:space="preserve"> PAGEREF _Toc65679087 \h </w:instrText>
      </w:r>
      <w:r>
        <w:fldChar w:fldCharType="separate"/>
      </w:r>
      <w:r>
        <w:t>- 32 -</w:t>
      </w:r>
      <w:r>
        <w:fldChar w:fldCharType="end"/>
      </w:r>
      <w:r>
        <w:fldChar w:fldCharType="end"/>
      </w:r>
    </w:p>
    <w:p w14:paraId="5981DB49">
      <w:pPr>
        <w:pStyle w:val="12"/>
        <w:tabs>
          <w:tab w:val="right" w:leader="dot" w:pos="9371"/>
        </w:tabs>
        <w:rPr>
          <w:rFonts w:ascii="Calibri" w:hAnsi="Calibri"/>
          <w:color w:val="auto"/>
          <w:kern w:val="2"/>
          <w:szCs w:val="22"/>
        </w:rPr>
      </w:pPr>
      <w:r>
        <w:fldChar w:fldCharType="begin"/>
      </w:r>
      <w:r>
        <w:instrText xml:space="preserve"> HYPERLINK \l "_Toc65679088" </w:instrText>
      </w:r>
      <w:r>
        <w:fldChar w:fldCharType="separate"/>
      </w:r>
      <w:r>
        <w:rPr>
          <w:rStyle w:val="20"/>
          <w:rFonts w:ascii="黑体" w:hAnsi="黑体" w:eastAsia="黑体" w:cs="楷体_GB2312"/>
          <w:b/>
          <w:bCs/>
          <w:lang w:val="zh-CN"/>
        </w:rPr>
        <w:t xml:space="preserve">10. </w:t>
      </w:r>
      <w:r>
        <w:rPr>
          <w:rStyle w:val="20"/>
          <w:rFonts w:hint="eastAsia" w:ascii="黑体" w:hAnsi="黑体" w:eastAsia="黑体" w:cs="楷体_GB2312"/>
          <w:b/>
          <w:bCs/>
          <w:lang w:val="zh-CN"/>
        </w:rPr>
        <w:t>其他</w:t>
      </w:r>
      <w:r>
        <w:tab/>
      </w:r>
      <w:r>
        <w:fldChar w:fldCharType="begin"/>
      </w:r>
      <w:r>
        <w:instrText xml:space="preserve"> PAGEREF _Toc65679088 \h </w:instrText>
      </w:r>
      <w:r>
        <w:fldChar w:fldCharType="separate"/>
      </w:r>
      <w:r>
        <w:t>- 32 -</w:t>
      </w:r>
      <w:r>
        <w:fldChar w:fldCharType="end"/>
      </w:r>
      <w:r>
        <w:fldChar w:fldCharType="end"/>
      </w:r>
    </w:p>
    <w:p w14:paraId="0CA843A6">
      <w:pPr>
        <w:pStyle w:val="12"/>
        <w:tabs>
          <w:tab w:val="right" w:leader="dot" w:pos="9371"/>
        </w:tabs>
        <w:rPr>
          <w:rFonts w:ascii="Calibri" w:hAnsi="Calibri"/>
          <w:color w:val="auto"/>
          <w:kern w:val="2"/>
          <w:szCs w:val="22"/>
        </w:rPr>
      </w:pPr>
      <w:r>
        <w:fldChar w:fldCharType="begin"/>
      </w:r>
      <w:r>
        <w:instrText xml:space="preserve"> HYPERLINK \l "_Toc65679089" </w:instrText>
      </w:r>
      <w:r>
        <w:fldChar w:fldCharType="separate"/>
      </w:r>
      <w:r>
        <w:rPr>
          <w:rStyle w:val="20"/>
          <w:rFonts w:ascii="黑体" w:hAnsi="黑体" w:eastAsia="黑体" w:cs="楷体_GB2312"/>
          <w:b/>
          <w:bCs/>
          <w:lang w:val="zh-CN"/>
        </w:rPr>
        <w:t xml:space="preserve">11. </w:t>
      </w:r>
      <w:r>
        <w:rPr>
          <w:rStyle w:val="20"/>
          <w:rFonts w:hint="eastAsia" w:ascii="黑体" w:hAnsi="黑体" w:eastAsia="黑体" w:cs="楷体_GB2312"/>
          <w:b/>
          <w:bCs/>
          <w:lang w:val="zh-CN"/>
        </w:rPr>
        <w:t>河南省政府采购合同融资政策告知函</w:t>
      </w:r>
      <w:r>
        <w:tab/>
      </w:r>
      <w:r>
        <w:fldChar w:fldCharType="begin"/>
      </w:r>
      <w:r>
        <w:instrText xml:space="preserve"> PAGEREF _Toc65679089 \h </w:instrText>
      </w:r>
      <w:r>
        <w:fldChar w:fldCharType="separate"/>
      </w:r>
      <w:r>
        <w:t>- 32 -</w:t>
      </w:r>
      <w:r>
        <w:fldChar w:fldCharType="end"/>
      </w:r>
      <w:r>
        <w:fldChar w:fldCharType="end"/>
      </w:r>
    </w:p>
    <w:p w14:paraId="69005641">
      <w:pPr>
        <w:pStyle w:val="11"/>
        <w:tabs>
          <w:tab w:val="right" w:leader="dot" w:pos="9371"/>
        </w:tabs>
        <w:rPr>
          <w:rFonts w:ascii="Calibri" w:hAnsi="Calibri"/>
          <w:color w:val="auto"/>
          <w:kern w:val="2"/>
          <w:szCs w:val="22"/>
        </w:rPr>
      </w:pPr>
      <w:r>
        <w:fldChar w:fldCharType="begin"/>
      </w:r>
      <w:r>
        <w:instrText xml:space="preserve"> HYPERLINK \l "_Toc65679090" </w:instrText>
      </w:r>
      <w:r>
        <w:fldChar w:fldCharType="separate"/>
      </w:r>
      <w:r>
        <w:rPr>
          <w:rStyle w:val="20"/>
          <w:rFonts w:hint="eastAsia" w:ascii="黑体" w:hAnsi="黑体" w:eastAsia="黑体"/>
          <w:b/>
          <w:lang w:val="zh-CN"/>
        </w:rPr>
        <w:t>第四章</w:t>
      </w:r>
      <w:r>
        <w:rPr>
          <w:rStyle w:val="20"/>
          <w:rFonts w:ascii="黑体" w:hAnsi="黑体" w:eastAsia="黑体"/>
          <w:b/>
          <w:lang w:val="zh-CN"/>
        </w:rPr>
        <w:t xml:space="preserve"> </w:t>
      </w:r>
      <w:r>
        <w:rPr>
          <w:rStyle w:val="20"/>
          <w:rFonts w:hint="eastAsia" w:ascii="黑体" w:hAnsi="黑体" w:eastAsia="黑体"/>
          <w:b/>
          <w:lang w:val="zh-CN"/>
        </w:rPr>
        <w:t>评审办法</w:t>
      </w:r>
      <w:r>
        <w:tab/>
      </w:r>
      <w:r>
        <w:fldChar w:fldCharType="begin"/>
      </w:r>
      <w:r>
        <w:instrText xml:space="preserve"> PAGEREF _Toc65679090 \h </w:instrText>
      </w:r>
      <w:r>
        <w:fldChar w:fldCharType="separate"/>
      </w:r>
      <w:r>
        <w:t>- 34 -</w:t>
      </w:r>
      <w:r>
        <w:fldChar w:fldCharType="end"/>
      </w:r>
      <w:r>
        <w:fldChar w:fldCharType="end"/>
      </w:r>
    </w:p>
    <w:p w14:paraId="254DE0AA">
      <w:pPr>
        <w:pStyle w:val="12"/>
        <w:tabs>
          <w:tab w:val="right" w:leader="dot" w:pos="9371"/>
        </w:tabs>
        <w:rPr>
          <w:rFonts w:ascii="Calibri" w:hAnsi="Calibri"/>
          <w:color w:val="auto"/>
          <w:kern w:val="2"/>
          <w:szCs w:val="22"/>
        </w:rPr>
      </w:pPr>
      <w:r>
        <w:fldChar w:fldCharType="begin"/>
      </w:r>
      <w:r>
        <w:instrText xml:space="preserve"> HYPERLINK \l "_Toc65679091" </w:instrText>
      </w:r>
      <w:r>
        <w:fldChar w:fldCharType="separate"/>
      </w:r>
      <w:r>
        <w:rPr>
          <w:rStyle w:val="20"/>
          <w:rFonts w:hint="eastAsia" w:ascii="黑体" w:hAnsi="黑体" w:eastAsia="黑体"/>
          <w:b/>
        </w:rPr>
        <w:t>评审办法前附表</w:t>
      </w:r>
      <w:r>
        <w:tab/>
      </w:r>
      <w:r>
        <w:fldChar w:fldCharType="begin"/>
      </w:r>
      <w:r>
        <w:instrText xml:space="preserve"> PAGEREF _Toc65679091 \h </w:instrText>
      </w:r>
      <w:r>
        <w:fldChar w:fldCharType="separate"/>
      </w:r>
      <w:r>
        <w:t>- 34 -</w:t>
      </w:r>
      <w:r>
        <w:fldChar w:fldCharType="end"/>
      </w:r>
      <w:r>
        <w:fldChar w:fldCharType="end"/>
      </w:r>
    </w:p>
    <w:p w14:paraId="7D956989">
      <w:pPr>
        <w:pStyle w:val="12"/>
        <w:tabs>
          <w:tab w:val="right" w:leader="dot" w:pos="9371"/>
        </w:tabs>
        <w:rPr>
          <w:rFonts w:ascii="Calibri" w:hAnsi="Calibri"/>
          <w:color w:val="auto"/>
          <w:kern w:val="2"/>
          <w:szCs w:val="22"/>
        </w:rPr>
      </w:pPr>
      <w:r>
        <w:fldChar w:fldCharType="begin"/>
      </w:r>
      <w:r>
        <w:instrText xml:space="preserve"> HYPERLINK \l "_Toc65679092" </w:instrText>
      </w:r>
      <w:r>
        <w:fldChar w:fldCharType="separate"/>
      </w:r>
      <w:r>
        <w:rPr>
          <w:rStyle w:val="20"/>
          <w:rFonts w:ascii="黑体" w:hAnsi="黑体" w:eastAsia="黑体" w:cs="楷体_GB2312"/>
          <w:b/>
          <w:bCs/>
          <w:lang w:val="zh-CN"/>
        </w:rPr>
        <w:t xml:space="preserve">1. </w:t>
      </w:r>
      <w:r>
        <w:rPr>
          <w:rStyle w:val="20"/>
          <w:rFonts w:hint="eastAsia" w:ascii="黑体" w:hAnsi="黑体" w:eastAsia="黑体" w:cs="楷体_GB2312"/>
          <w:b/>
          <w:bCs/>
          <w:lang w:val="zh-CN"/>
        </w:rPr>
        <w:t>评审方法（评定成交的标准）</w:t>
      </w:r>
      <w:r>
        <w:tab/>
      </w:r>
      <w:r>
        <w:fldChar w:fldCharType="begin"/>
      </w:r>
      <w:r>
        <w:instrText xml:space="preserve"> PAGEREF _Toc65679092 \h </w:instrText>
      </w:r>
      <w:r>
        <w:fldChar w:fldCharType="separate"/>
      </w:r>
      <w:r>
        <w:t>- 35 -</w:t>
      </w:r>
      <w:r>
        <w:fldChar w:fldCharType="end"/>
      </w:r>
      <w:r>
        <w:fldChar w:fldCharType="end"/>
      </w:r>
    </w:p>
    <w:p w14:paraId="38AB4052">
      <w:pPr>
        <w:pStyle w:val="12"/>
        <w:tabs>
          <w:tab w:val="right" w:leader="dot" w:pos="9371"/>
        </w:tabs>
        <w:rPr>
          <w:rFonts w:ascii="Calibri" w:hAnsi="Calibri"/>
          <w:color w:val="auto"/>
          <w:kern w:val="2"/>
          <w:szCs w:val="22"/>
        </w:rPr>
      </w:pPr>
      <w:r>
        <w:fldChar w:fldCharType="begin"/>
      </w:r>
      <w:r>
        <w:instrText xml:space="preserve"> HYPERLINK \l "_Toc65679093" </w:instrText>
      </w:r>
      <w:r>
        <w:fldChar w:fldCharType="separate"/>
      </w:r>
      <w:r>
        <w:rPr>
          <w:rStyle w:val="20"/>
          <w:rFonts w:ascii="黑体" w:hAnsi="黑体" w:eastAsia="黑体" w:cs="楷体_GB2312"/>
          <w:b/>
          <w:bCs/>
          <w:lang w:val="zh-CN"/>
        </w:rPr>
        <w:t xml:space="preserve">2. </w:t>
      </w:r>
      <w:r>
        <w:rPr>
          <w:rStyle w:val="20"/>
          <w:rFonts w:hint="eastAsia" w:ascii="黑体" w:hAnsi="黑体" w:eastAsia="黑体" w:cs="楷体_GB2312"/>
          <w:b/>
          <w:bCs/>
          <w:lang w:val="zh-CN"/>
        </w:rPr>
        <w:t>评审标准</w:t>
      </w:r>
      <w:r>
        <w:tab/>
      </w:r>
      <w:r>
        <w:fldChar w:fldCharType="begin"/>
      </w:r>
      <w:r>
        <w:instrText xml:space="preserve"> PAGEREF _Toc65679093 \h </w:instrText>
      </w:r>
      <w:r>
        <w:fldChar w:fldCharType="separate"/>
      </w:r>
      <w:r>
        <w:t>- 35 -</w:t>
      </w:r>
      <w:r>
        <w:fldChar w:fldCharType="end"/>
      </w:r>
      <w:r>
        <w:fldChar w:fldCharType="end"/>
      </w:r>
    </w:p>
    <w:p w14:paraId="5127716D">
      <w:pPr>
        <w:pStyle w:val="12"/>
        <w:tabs>
          <w:tab w:val="right" w:leader="dot" w:pos="9371"/>
        </w:tabs>
        <w:rPr>
          <w:rFonts w:ascii="Calibri" w:hAnsi="Calibri"/>
          <w:color w:val="auto"/>
          <w:kern w:val="2"/>
          <w:szCs w:val="22"/>
        </w:rPr>
      </w:pPr>
      <w:r>
        <w:fldChar w:fldCharType="begin"/>
      </w:r>
      <w:r>
        <w:instrText xml:space="preserve"> HYPERLINK \l "_Toc65679094" </w:instrText>
      </w:r>
      <w:r>
        <w:fldChar w:fldCharType="separate"/>
      </w:r>
      <w:r>
        <w:rPr>
          <w:rStyle w:val="20"/>
          <w:rFonts w:ascii="黑体" w:hAnsi="黑体" w:eastAsia="黑体" w:cs="楷体_GB2312"/>
          <w:b/>
          <w:bCs/>
          <w:lang w:val="zh-CN"/>
        </w:rPr>
        <w:t xml:space="preserve">3. </w:t>
      </w:r>
      <w:r>
        <w:rPr>
          <w:rStyle w:val="20"/>
          <w:rFonts w:hint="eastAsia" w:ascii="黑体" w:hAnsi="黑体" w:eastAsia="黑体" w:cs="楷体_GB2312"/>
          <w:b/>
          <w:bCs/>
          <w:lang w:val="zh-CN"/>
        </w:rPr>
        <w:t>评审程序</w:t>
      </w:r>
      <w:r>
        <w:tab/>
      </w:r>
      <w:r>
        <w:fldChar w:fldCharType="begin"/>
      </w:r>
      <w:r>
        <w:instrText xml:space="preserve"> PAGEREF _Toc65679094 \h </w:instrText>
      </w:r>
      <w:r>
        <w:fldChar w:fldCharType="separate"/>
      </w:r>
      <w:r>
        <w:t>- 35 -</w:t>
      </w:r>
      <w:r>
        <w:fldChar w:fldCharType="end"/>
      </w:r>
      <w:r>
        <w:fldChar w:fldCharType="end"/>
      </w:r>
    </w:p>
    <w:p w14:paraId="3770D7D9">
      <w:pPr>
        <w:pStyle w:val="12"/>
        <w:tabs>
          <w:tab w:val="right" w:leader="dot" w:pos="9371"/>
        </w:tabs>
        <w:rPr>
          <w:rFonts w:ascii="Calibri" w:hAnsi="Calibri"/>
          <w:color w:val="auto"/>
          <w:kern w:val="2"/>
          <w:szCs w:val="22"/>
        </w:rPr>
      </w:pPr>
      <w:r>
        <w:fldChar w:fldCharType="begin"/>
      </w:r>
      <w:r>
        <w:instrText xml:space="preserve"> HYPERLINK \l "_Toc65679095" </w:instrText>
      </w:r>
      <w:r>
        <w:fldChar w:fldCharType="separate"/>
      </w:r>
      <w:r>
        <w:rPr>
          <w:rStyle w:val="20"/>
          <w:rFonts w:ascii="黑体" w:hAnsi="黑体" w:eastAsia="黑体" w:cs="楷体_GB2312"/>
          <w:b/>
          <w:bCs/>
          <w:lang w:val="zh-CN"/>
        </w:rPr>
        <w:t xml:space="preserve">4. </w:t>
      </w:r>
      <w:r>
        <w:rPr>
          <w:rStyle w:val="20"/>
          <w:rFonts w:hint="eastAsia" w:ascii="黑体" w:hAnsi="黑体" w:eastAsia="黑体" w:cs="楷体_GB2312"/>
          <w:b/>
          <w:bCs/>
          <w:lang w:val="zh-CN"/>
        </w:rPr>
        <w:t>政府采购促进中小企业发展扶持政策</w:t>
      </w:r>
      <w:r>
        <w:tab/>
      </w:r>
      <w:r>
        <w:fldChar w:fldCharType="begin"/>
      </w:r>
      <w:r>
        <w:instrText xml:space="preserve"> PAGEREF _Toc65679095 \h </w:instrText>
      </w:r>
      <w:r>
        <w:fldChar w:fldCharType="separate"/>
      </w:r>
      <w:r>
        <w:t>- 39 -</w:t>
      </w:r>
      <w:r>
        <w:fldChar w:fldCharType="end"/>
      </w:r>
      <w:r>
        <w:fldChar w:fldCharType="end"/>
      </w:r>
    </w:p>
    <w:p w14:paraId="08FE68FA">
      <w:pPr>
        <w:pStyle w:val="11"/>
        <w:tabs>
          <w:tab w:val="right" w:leader="dot" w:pos="9371"/>
        </w:tabs>
        <w:rPr>
          <w:rFonts w:ascii="Calibri" w:hAnsi="Calibri"/>
          <w:color w:val="auto"/>
          <w:kern w:val="2"/>
          <w:szCs w:val="22"/>
        </w:rPr>
      </w:pPr>
      <w:r>
        <w:fldChar w:fldCharType="begin"/>
      </w:r>
      <w:r>
        <w:instrText xml:space="preserve"> HYPERLINK \l "_Toc65679096" </w:instrText>
      </w:r>
      <w:r>
        <w:fldChar w:fldCharType="separate"/>
      </w:r>
      <w:r>
        <w:rPr>
          <w:rStyle w:val="20"/>
          <w:rFonts w:hint="eastAsia" w:ascii="黑体" w:eastAsia="黑体"/>
          <w:b/>
        </w:rPr>
        <w:t>第五章</w:t>
      </w:r>
      <w:r>
        <w:rPr>
          <w:rStyle w:val="20"/>
          <w:rFonts w:ascii="黑体" w:eastAsia="黑体"/>
          <w:b/>
        </w:rPr>
        <w:t xml:space="preserve"> </w:t>
      </w:r>
      <w:r>
        <w:rPr>
          <w:rStyle w:val="20"/>
          <w:rFonts w:hint="eastAsia" w:ascii="黑体" w:eastAsia="黑体"/>
          <w:b/>
        </w:rPr>
        <w:t>合同主要条款</w:t>
      </w:r>
      <w:r>
        <w:tab/>
      </w:r>
      <w:r>
        <w:fldChar w:fldCharType="begin"/>
      </w:r>
      <w:r>
        <w:instrText xml:space="preserve"> PAGEREF _Toc65679096 \h </w:instrText>
      </w:r>
      <w:r>
        <w:fldChar w:fldCharType="separate"/>
      </w:r>
      <w:r>
        <w:t>- 42 -</w:t>
      </w:r>
      <w:r>
        <w:fldChar w:fldCharType="end"/>
      </w:r>
      <w:r>
        <w:fldChar w:fldCharType="end"/>
      </w:r>
    </w:p>
    <w:p w14:paraId="37B76039">
      <w:pPr>
        <w:pStyle w:val="11"/>
        <w:tabs>
          <w:tab w:val="right" w:leader="dot" w:pos="9371"/>
        </w:tabs>
        <w:rPr>
          <w:rFonts w:ascii="Calibri" w:hAnsi="Calibri"/>
          <w:color w:val="auto"/>
          <w:kern w:val="2"/>
          <w:szCs w:val="22"/>
        </w:rPr>
      </w:pPr>
      <w:r>
        <w:fldChar w:fldCharType="begin"/>
      </w:r>
      <w:r>
        <w:instrText xml:space="preserve"> HYPERLINK \l "_Toc65679097" </w:instrText>
      </w:r>
      <w:r>
        <w:fldChar w:fldCharType="separate"/>
      </w:r>
      <w:r>
        <w:rPr>
          <w:rStyle w:val="20"/>
          <w:rFonts w:hint="eastAsia" w:ascii="黑体" w:hAnsi="黑体" w:eastAsia="黑体"/>
          <w:b/>
          <w:lang w:val="zh-CN"/>
        </w:rPr>
        <w:t>第六章</w:t>
      </w:r>
      <w:r>
        <w:rPr>
          <w:rStyle w:val="20"/>
          <w:rFonts w:ascii="黑体" w:hAnsi="黑体" w:eastAsia="黑体"/>
          <w:b/>
          <w:lang w:val="zh-CN"/>
        </w:rPr>
        <w:t xml:space="preserve"> </w:t>
      </w:r>
      <w:r>
        <w:rPr>
          <w:rStyle w:val="20"/>
          <w:rFonts w:hint="eastAsia" w:ascii="黑体" w:hAnsi="黑体" w:eastAsia="黑体"/>
          <w:b/>
          <w:lang w:val="zh-CN"/>
        </w:rPr>
        <w:t>投标文件格式</w:t>
      </w:r>
      <w:r>
        <w:tab/>
      </w:r>
      <w:r>
        <w:fldChar w:fldCharType="begin"/>
      </w:r>
      <w:r>
        <w:instrText xml:space="preserve"> PAGEREF _Toc65679097 \h </w:instrText>
      </w:r>
      <w:r>
        <w:fldChar w:fldCharType="separate"/>
      </w:r>
      <w:r>
        <w:t>- 44 -</w:t>
      </w:r>
      <w:r>
        <w:fldChar w:fldCharType="end"/>
      </w:r>
      <w:r>
        <w:fldChar w:fldCharType="end"/>
      </w:r>
    </w:p>
    <w:p w14:paraId="0CD0408E">
      <w:r>
        <w:fldChar w:fldCharType="end"/>
      </w:r>
    </w:p>
    <w:p w14:paraId="31461EC2">
      <w:pPr>
        <w:widowControl w:val="0"/>
        <w:snapToGrid w:val="0"/>
        <w:spacing w:line="660" w:lineRule="exact"/>
        <w:ind w:firstLine="607" w:firstLineChars="168"/>
        <w:rPr>
          <w:rFonts w:ascii="黑体" w:hAnsi="黑体" w:eastAsia="黑体"/>
          <w:b/>
          <w:color w:val="auto"/>
          <w:sz w:val="36"/>
          <w:szCs w:val="36"/>
        </w:rPr>
      </w:pPr>
    </w:p>
    <w:p w14:paraId="3E24D487">
      <w:pPr>
        <w:widowControl w:val="0"/>
        <w:snapToGrid w:val="0"/>
        <w:spacing w:line="560" w:lineRule="exact"/>
        <w:ind w:firstLine="181" w:firstLineChars="50"/>
        <w:rPr>
          <w:rFonts w:ascii="黑体" w:eastAsia="黑体"/>
          <w:b/>
          <w:color w:val="FF0000"/>
          <w:sz w:val="36"/>
          <w:szCs w:val="36"/>
        </w:rPr>
        <w:sectPr>
          <w:pgSz w:w="11905" w:h="16837"/>
          <w:pgMar w:top="1418" w:right="1106" w:bottom="1418" w:left="1418" w:header="567" w:footer="567" w:gutter="0"/>
          <w:pgNumType w:fmt="numberInDash" w:start="0"/>
          <w:cols w:space="720" w:num="1"/>
          <w:titlePg/>
        </w:sectPr>
      </w:pPr>
    </w:p>
    <w:p w14:paraId="4B2F8D66">
      <w:pPr>
        <w:widowControl w:val="0"/>
        <w:snapToGrid w:val="0"/>
        <w:spacing w:line="560" w:lineRule="exact"/>
        <w:jc w:val="left"/>
        <w:rPr>
          <w:rFonts w:ascii="宋体"/>
          <w:b/>
          <w:color w:val="00B050"/>
          <w:sz w:val="24"/>
          <w:szCs w:val="24"/>
        </w:rPr>
      </w:pPr>
    </w:p>
    <w:p w14:paraId="21D0B7BB">
      <w:pPr>
        <w:widowControl w:val="0"/>
        <w:snapToGrid w:val="0"/>
        <w:spacing w:line="560" w:lineRule="exact"/>
        <w:jc w:val="center"/>
        <w:outlineLvl w:val="0"/>
        <w:rPr>
          <w:sz w:val="36"/>
          <w:szCs w:val="36"/>
        </w:rPr>
      </w:pPr>
      <w:bookmarkStart w:id="0" w:name="_Toc65679073"/>
      <w:r>
        <w:rPr>
          <w:rFonts w:hint="eastAsia" w:eastAsia="黑体"/>
          <w:b/>
          <w:sz w:val="36"/>
          <w:szCs w:val="36"/>
        </w:rPr>
        <w:t>第一章</w:t>
      </w:r>
      <w:r>
        <w:rPr>
          <w:rFonts w:eastAsia="黑体"/>
          <w:b/>
          <w:sz w:val="36"/>
          <w:szCs w:val="36"/>
        </w:rPr>
        <w:t xml:space="preserve"> </w:t>
      </w:r>
      <w:r>
        <w:rPr>
          <w:rFonts w:hint="eastAsia" w:eastAsia="黑体"/>
          <w:b/>
          <w:sz w:val="36"/>
          <w:szCs w:val="36"/>
        </w:rPr>
        <w:t>谈判公告</w:t>
      </w:r>
      <w:bookmarkEnd w:id="0"/>
    </w:p>
    <w:p w14:paraId="0DFC6A39">
      <w:pPr>
        <w:widowControl w:val="0"/>
        <w:snapToGrid w:val="0"/>
        <w:spacing w:line="360" w:lineRule="auto"/>
        <w:ind w:firstLine="566"/>
        <w:rPr>
          <w:sz w:val="28"/>
          <w:szCs w:val="28"/>
        </w:rPr>
      </w:pPr>
    </w:p>
    <w:p w14:paraId="286E1F77">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14:paraId="7BD663F8">
      <w:pPr>
        <w:widowControl w:val="0"/>
        <w:adjustRightInd w:val="0"/>
        <w:snapToGrid w:val="0"/>
        <w:spacing w:line="360" w:lineRule="auto"/>
        <w:ind w:firstLine="540" w:firstLineChars="225"/>
        <w:jc w:val="left"/>
        <w:rPr>
          <w:rFonts w:ascii="宋体" w:hAnsi="宋体"/>
          <w:color w:val="FF0000"/>
          <w:sz w:val="24"/>
          <w:szCs w:val="24"/>
        </w:rPr>
      </w:pPr>
      <w:r>
        <w:rPr>
          <w:rFonts w:ascii="宋体" w:hAnsi="宋体"/>
          <w:color w:val="auto"/>
          <w:sz w:val="24"/>
          <w:szCs w:val="24"/>
        </w:rPr>
        <w:t>1.1</w:t>
      </w:r>
      <w:r>
        <w:rPr>
          <w:rFonts w:hint="eastAsia" w:ascii="宋体" w:hAnsi="宋体"/>
          <w:color w:val="auto"/>
          <w:sz w:val="24"/>
          <w:szCs w:val="24"/>
        </w:rPr>
        <w:t>项目编号：安财竞谈-2025-11</w:t>
      </w:r>
    </w:p>
    <w:p w14:paraId="7C879FB9">
      <w:pPr>
        <w:widowControl w:val="0"/>
        <w:adjustRightInd w:val="0"/>
        <w:snapToGrid w:val="0"/>
        <w:spacing w:line="360" w:lineRule="auto"/>
        <w:ind w:firstLine="540" w:firstLineChars="225"/>
        <w:jc w:val="left"/>
        <w:rPr>
          <w:rFonts w:hint="eastAsia" w:eastAsia="宋体"/>
          <w:color w:val="000000" w:themeColor="text1"/>
          <w:sz w:val="24"/>
          <w:szCs w:val="24"/>
          <w:lang w:val="en-US" w:eastAsia="zh-CN"/>
          <w14:textFill>
            <w14:solidFill>
              <w14:schemeClr w14:val="tx1"/>
            </w14:solidFill>
          </w14:textFill>
        </w:rPr>
      </w:pPr>
      <w:r>
        <w:rPr>
          <w:rFonts w:ascii="宋体" w:hAnsi="宋体"/>
          <w:color w:val="auto"/>
          <w:sz w:val="24"/>
          <w:szCs w:val="24"/>
        </w:rPr>
        <w:t>1.2</w:t>
      </w:r>
      <w:r>
        <w:rPr>
          <w:rFonts w:hint="eastAsia" w:ascii="宋体" w:hAnsi="宋体"/>
          <w:color w:val="auto"/>
          <w:sz w:val="24"/>
          <w:szCs w:val="24"/>
        </w:rPr>
        <w:t>项目名称：</w:t>
      </w:r>
      <w:bookmarkStart w:id="1" w:name="OLE_LINK3"/>
      <w:r>
        <w:rPr>
          <w:rFonts w:hint="eastAsia"/>
          <w:color w:val="000000" w:themeColor="text1"/>
          <w:sz w:val="24"/>
          <w:szCs w:val="24"/>
          <w14:textFill>
            <w14:solidFill>
              <w14:schemeClr w14:val="tx1"/>
            </w14:solidFill>
          </w14:textFill>
        </w:rPr>
        <w:t>安阳职业技术学院东校区扩建室外高压配电工程</w:t>
      </w:r>
      <w:r>
        <w:rPr>
          <w:rFonts w:hint="eastAsia"/>
          <w:color w:val="000000" w:themeColor="text1"/>
          <w:sz w:val="24"/>
          <w:szCs w:val="24"/>
          <w:lang w:val="en-US" w:eastAsia="zh-CN"/>
          <w14:textFill>
            <w14:solidFill>
              <w14:schemeClr w14:val="tx1"/>
            </w14:solidFill>
          </w14:textFill>
        </w:rPr>
        <w:t>项目</w:t>
      </w:r>
      <w:bookmarkEnd w:id="1"/>
    </w:p>
    <w:p w14:paraId="1D77EAAA">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1.3采购方式：竞争性谈判</w:t>
      </w:r>
    </w:p>
    <w:p w14:paraId="2C01B313">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4预算金额：</w:t>
      </w:r>
      <w:r>
        <w:rPr>
          <w:rFonts w:ascii="宋体" w:hAnsi="宋体"/>
          <w:color w:val="000000" w:themeColor="text1"/>
          <w:sz w:val="24"/>
          <w:szCs w:val="24"/>
          <w14:textFill>
            <w14:solidFill>
              <w14:schemeClr w14:val="tx1"/>
            </w14:solidFill>
          </w14:textFill>
        </w:rPr>
        <w:t>877275.89</w:t>
      </w:r>
      <w:r>
        <w:rPr>
          <w:rFonts w:hint="eastAsia" w:ascii="宋体" w:hAnsi="宋体"/>
          <w:color w:val="000000" w:themeColor="text1"/>
          <w:sz w:val="24"/>
          <w:szCs w:val="24"/>
          <w14:textFill>
            <w14:solidFill>
              <w14:schemeClr w14:val="tx1"/>
            </w14:solidFill>
          </w14:textFill>
        </w:rPr>
        <w:t>元</w:t>
      </w:r>
      <w:r>
        <w:rPr>
          <w:rFonts w:ascii="宋体" w:hAnsi="宋体"/>
          <w:color w:val="000000" w:themeColor="text1"/>
          <w:sz w:val="24"/>
          <w:szCs w:val="24"/>
          <w14:textFill>
            <w14:solidFill>
              <w14:schemeClr w14:val="tx1"/>
            </w14:solidFill>
          </w14:textFill>
        </w:rPr>
        <w:t xml:space="preserve"> </w:t>
      </w:r>
    </w:p>
    <w:p w14:paraId="6E930A61">
      <w:pPr>
        <w:adjustRightInd w:val="0"/>
        <w:snapToGrid w:val="0"/>
        <w:spacing w:line="360" w:lineRule="auto"/>
        <w:ind w:firstLine="540" w:firstLineChars="225"/>
        <w:rPr>
          <w:rFonts w:ascii="宋体"/>
          <w:b/>
          <w:color w:val="000000" w:themeColor="text1"/>
          <w:szCs w:val="2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1.5采购需求：</w:t>
      </w:r>
      <w:r>
        <w:rPr>
          <w:rFonts w:hint="eastAsia"/>
          <w:color w:val="000000" w:themeColor="text1"/>
          <w:sz w:val="24"/>
          <w:szCs w:val="24"/>
          <w14:textFill>
            <w14:solidFill>
              <w14:schemeClr w14:val="tx1"/>
            </w14:solidFill>
          </w14:textFill>
        </w:rPr>
        <w:t>东校区扩建室外高压配电工程</w:t>
      </w:r>
      <w:r>
        <w:rPr>
          <w:rFonts w:hint="eastAsia" w:ascii="宋体" w:hAnsi="宋体"/>
          <w:color w:val="000000" w:themeColor="text1"/>
          <w:sz w:val="24"/>
          <w:szCs w:val="24"/>
          <w14:textFill>
            <w14:solidFill>
              <w14:schemeClr w14:val="tx1"/>
            </w14:solidFill>
          </w14:textFill>
        </w:rPr>
        <w:t>，技术参数详见《谈判文件》“基本技术要求”</w:t>
      </w:r>
    </w:p>
    <w:p w14:paraId="038D73F4">
      <w:pPr>
        <w:adjustRightInd w:val="0"/>
        <w:snapToGrid w:val="0"/>
        <w:spacing w:line="360" w:lineRule="auto"/>
        <w:ind w:firstLine="540" w:firstLineChars="225"/>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1.6合同履行期限：</w:t>
      </w:r>
      <w:r>
        <w:rPr>
          <w:rFonts w:hint="eastAsia"/>
          <w:color w:val="000000" w:themeColor="text1"/>
          <w:sz w:val="24"/>
          <w:szCs w:val="24"/>
          <w14:textFill>
            <w14:solidFill>
              <w14:schemeClr w14:val="tx1"/>
            </w14:solidFill>
          </w14:textFill>
        </w:rPr>
        <w:t>合同签订日起</w:t>
      </w: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日内</w:t>
      </w:r>
    </w:p>
    <w:p w14:paraId="11D290CA">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1.7本项目（是/否）接受联合体投标：否</w:t>
      </w:r>
    </w:p>
    <w:p w14:paraId="3041B65B">
      <w:pPr>
        <w:widowControl w:val="0"/>
        <w:adjustRightInd w:val="0"/>
        <w:snapToGrid w:val="0"/>
        <w:spacing w:line="360" w:lineRule="auto"/>
        <w:ind w:firstLine="540" w:firstLineChars="225"/>
        <w:jc w:val="lef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1.8是否接受进口产品：否</w:t>
      </w:r>
    </w:p>
    <w:p w14:paraId="304548B6">
      <w:pPr>
        <w:widowControl w:val="0"/>
        <w:snapToGrid w:val="0"/>
        <w:spacing w:line="360" w:lineRule="auto"/>
        <w:ind w:firstLine="566"/>
        <w:rPr>
          <w:color w:val="000000" w:themeColor="text1"/>
          <w:sz w:val="28"/>
          <w:szCs w:val="28"/>
          <w14:textFill>
            <w14:solidFill>
              <w14:schemeClr w14:val="tx1"/>
            </w14:solidFill>
          </w14:textFill>
        </w:rPr>
      </w:pPr>
    </w:p>
    <w:p w14:paraId="46F039B1">
      <w:pPr>
        <w:widowControl w:val="0"/>
        <w:snapToGrid w:val="0"/>
        <w:spacing w:line="360" w:lineRule="auto"/>
        <w:ind w:firstLine="562" w:firstLineChars="200"/>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2.申请人的资格要求：</w:t>
      </w:r>
    </w:p>
    <w:p w14:paraId="43FDF267">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2.1满足《中华人民共和国政府采购法》第二十二条规定；</w:t>
      </w:r>
    </w:p>
    <w:p w14:paraId="3EC2156D">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落实政府采购政策需满足的资格要求：无专项资格要求。</w:t>
      </w:r>
    </w:p>
    <w:p w14:paraId="0B00554B">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2.3本项目的特定资格要求：</w:t>
      </w:r>
    </w:p>
    <w:p w14:paraId="51C8109D">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满足《中华人民共和国政府采购法》第二十二条第</w:t>
      </w:r>
      <w:r>
        <w:rPr>
          <w:rFonts w:ascii="宋体" w:hAnsi="宋体"/>
          <w:color w:val="000000" w:themeColor="text1"/>
          <w:sz w:val="24"/>
          <w:szCs w:val="24"/>
          <w14:textFill>
            <w14:solidFill>
              <w14:schemeClr w14:val="tx1"/>
            </w14:solidFill>
          </w14:textFill>
        </w:rPr>
        <w:t>一款</w:t>
      </w:r>
      <w:r>
        <w:rPr>
          <w:rFonts w:hint="eastAsia" w:ascii="宋体" w:hAnsi="宋体"/>
          <w:color w:val="000000" w:themeColor="text1"/>
          <w:sz w:val="24"/>
          <w:szCs w:val="24"/>
          <w14:textFill>
            <w14:solidFill>
              <w14:schemeClr w14:val="tx1"/>
            </w14:solidFill>
          </w14:textFill>
        </w:rPr>
        <w:t>规定的</w:t>
      </w:r>
      <w:r>
        <w:rPr>
          <w:rFonts w:ascii="宋体" w:hAnsi="宋体"/>
          <w:color w:val="000000" w:themeColor="text1"/>
          <w:sz w:val="24"/>
          <w:szCs w:val="24"/>
          <w14:textFill>
            <w14:solidFill>
              <w14:schemeClr w14:val="tx1"/>
            </w14:solidFill>
          </w14:textFill>
        </w:rPr>
        <w:t>供应商基础性</w:t>
      </w:r>
      <w:r>
        <w:rPr>
          <w:rFonts w:hint="eastAsia" w:ascii="宋体" w:hAnsi="宋体"/>
          <w:color w:val="000000" w:themeColor="text1"/>
          <w:sz w:val="24"/>
          <w:szCs w:val="24"/>
          <w14:textFill>
            <w14:solidFill>
              <w14:schemeClr w14:val="tx1"/>
            </w14:solidFill>
          </w14:textFill>
        </w:rPr>
        <w:t>资格要求；供应商自行承诺并承担后果，承诺书不实的，按《政府采购法》有关提供虚假材料的有关规定给予处罚。</w:t>
      </w:r>
    </w:p>
    <w:p w14:paraId="1301B925">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2对供</w:t>
      </w:r>
      <w:r>
        <w:rPr>
          <w:rFonts w:ascii="宋体" w:hAnsi="宋体"/>
          <w:color w:val="000000" w:themeColor="text1"/>
          <w:sz w:val="24"/>
          <w:szCs w:val="24"/>
          <w14:textFill>
            <w14:solidFill>
              <w14:schemeClr w14:val="tx1"/>
            </w14:solidFill>
          </w14:textFill>
        </w:rPr>
        <w:t>应商的限制性规定</w:t>
      </w:r>
    </w:p>
    <w:p w14:paraId="3AAF2F69">
      <w:pPr>
        <w:widowControl w:val="0"/>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（1）供应商应当无不良信用记录。</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在“信用中国”</w:t>
      </w:r>
      <w:r>
        <w:rPr>
          <w:rFonts w:ascii="宋体" w:hAnsi="宋体"/>
          <w:color w:val="000000" w:themeColor="text1"/>
          <w:sz w:val="24"/>
          <w:szCs w:val="24"/>
          <w14:textFill>
            <w14:solidFill>
              <w14:schemeClr w14:val="tx1"/>
            </w14:solidFill>
          </w14:textFill>
        </w:rPr>
        <w:t>&lt;www.creditchina.gov.cn&gt;</w:t>
      </w:r>
      <w:r>
        <w:rPr>
          <w:rFonts w:hint="eastAsia" w:ascii="宋体" w:hAnsi="宋体"/>
          <w:color w:val="000000" w:themeColor="text1"/>
          <w:sz w:val="24"/>
          <w:szCs w:val="24"/>
          <w14:textFill>
            <w14:solidFill>
              <w14:schemeClr w14:val="tx1"/>
            </w14:solidFill>
          </w14:textFill>
        </w:rPr>
        <w:t>网站的“失信被执行人”和“重大税收违法失信主体”及“中国政府采购网”</w:t>
      </w:r>
      <w:r>
        <w:rPr>
          <w:rFonts w:ascii="宋体" w:hAnsi="宋体"/>
          <w:color w:val="000000" w:themeColor="text1"/>
          <w:sz w:val="24"/>
          <w:szCs w:val="24"/>
          <w14:textFill>
            <w14:solidFill>
              <w14:schemeClr w14:val="tx1"/>
            </w14:solidFill>
          </w14:textFill>
        </w:rPr>
        <w:t>&lt;www.ccgp.gov.cn&gt;</w:t>
      </w:r>
      <w:r>
        <w:rPr>
          <w:rFonts w:hint="eastAsia" w:ascii="宋体" w:hAnsi="宋体"/>
          <w:color w:val="000000" w:themeColor="text1"/>
          <w:sz w:val="24"/>
          <w:szCs w:val="24"/>
          <w14:textFill>
            <w14:solidFill>
              <w14:schemeClr w14:val="tx1"/>
            </w14:solidFill>
          </w14:textFill>
        </w:rPr>
        <w:t>网站的“政府采购严重违法失信行为记录名单”</w:t>
      </w:r>
      <w:r>
        <w:rPr>
          <w:rFonts w:hint="eastAsia" w:ascii="宋体" w:hAnsi="宋体"/>
          <w:b/>
          <w:color w:val="000000" w:themeColor="text1"/>
          <w:sz w:val="24"/>
          <w:szCs w:val="24"/>
          <w14:textFill>
            <w14:solidFill>
              <w14:schemeClr w14:val="tx1"/>
            </w14:solidFill>
          </w14:textFill>
        </w:rPr>
        <w:t>均未列入</w:t>
      </w:r>
      <w:r>
        <w:rPr>
          <w:rFonts w:ascii="宋体" w:hAnsi="宋体"/>
          <w:color w:val="000000" w:themeColor="text1"/>
          <w:sz w:val="24"/>
          <w:szCs w:val="24"/>
          <w14:textFill>
            <w14:solidFill>
              <w14:schemeClr w14:val="tx1"/>
            </w14:solidFill>
          </w14:textFill>
        </w:rPr>
        <w:t>)</w:t>
      </w:r>
    </w:p>
    <w:p w14:paraId="752823AA">
      <w:pPr>
        <w:widowControl w:val="0"/>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000000" w:themeColor="text1"/>
          <w:sz w:val="24"/>
          <w:szCs w:val="24"/>
          <w14:textFill>
            <w14:solidFill>
              <w14:schemeClr w14:val="tx1"/>
            </w14:solidFill>
          </w14:textFill>
        </w:rPr>
        <w:t>投标将被</w:t>
      </w:r>
      <w:r>
        <w:rPr>
          <w:rFonts w:hint="eastAsia" w:ascii="宋体" w:hAnsi="宋体"/>
          <w:color w:val="000000" w:themeColor="text1"/>
          <w:sz w:val="24"/>
          <w:szCs w:val="24"/>
          <w14:textFill>
            <w14:solidFill>
              <w14:schemeClr w14:val="tx1"/>
            </w14:solidFill>
          </w14:textFill>
        </w:rPr>
        <w:t>拒</w:t>
      </w:r>
      <w:r>
        <w:rPr>
          <w:rFonts w:ascii="宋体" w:hAnsi="宋体"/>
          <w:color w:val="000000" w:themeColor="text1"/>
          <w:sz w:val="24"/>
          <w:szCs w:val="24"/>
          <w14:textFill>
            <w14:solidFill>
              <w14:schemeClr w14:val="tx1"/>
            </w14:solidFill>
          </w14:textFill>
        </w:rPr>
        <w:t>绝</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为无效投</w:t>
      </w:r>
      <w:r>
        <w:rPr>
          <w:rFonts w:hint="eastAsia" w:ascii="宋体" w:hAnsi="宋体"/>
          <w:color w:val="000000" w:themeColor="text1"/>
          <w:sz w:val="24"/>
          <w:szCs w:val="24"/>
          <w14:textFill>
            <w14:solidFill>
              <w14:schemeClr w14:val="tx1"/>
            </w14:solidFill>
          </w14:textFill>
        </w:rPr>
        <w:t>标。查询的网页内容将以截图或者拍照作为证据留存。</w:t>
      </w:r>
    </w:p>
    <w:p w14:paraId="79F65D90">
      <w:pPr>
        <w:widowControl w:val="0"/>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1469F4F4">
      <w:pPr>
        <w:widowControl w:val="0"/>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0F75DA65">
      <w:pPr>
        <w:widowControl w:val="0"/>
        <w:snapToGrid w:val="0"/>
        <w:spacing w:line="360" w:lineRule="auto"/>
        <w:ind w:firstLine="540" w:firstLineChars="225"/>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3项目的特定资格要求：</w:t>
      </w:r>
    </w:p>
    <w:p w14:paraId="2FEE7EEB">
      <w:pPr>
        <w:widowControl w:val="0"/>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（1）具备电力工程施工总承包三级及以上、输变电工程施工专业承包三级及以上和承装（修）试电力设施许可证四级及以上；并具有有效的安全生产许可证。■提供相应证书。</w:t>
      </w:r>
    </w:p>
    <w:p w14:paraId="47475A67">
      <w:pPr>
        <w:widowControl w:val="0"/>
        <w:snapToGrid w:val="0"/>
        <w:spacing w:line="360" w:lineRule="auto"/>
        <w:ind w:firstLine="540" w:firstLineChars="225"/>
        <w:rPr>
          <w:rFonts w:ascii="宋体" w:hAnsi="宋体"/>
          <w:color w:val="FF0000"/>
          <w:sz w:val="24"/>
          <w:szCs w:val="24"/>
        </w:rPr>
      </w:pPr>
      <w:r>
        <w:rPr>
          <w:rFonts w:hint="eastAsia" w:ascii="宋体" w:hAnsi="宋体"/>
          <w:color w:val="000000" w:themeColor="text1"/>
          <w:sz w:val="24"/>
          <w:szCs w:val="24"/>
          <w14:textFill>
            <w14:solidFill>
              <w14:schemeClr w14:val="tx1"/>
            </w14:solidFill>
          </w14:textFill>
        </w:rPr>
        <w:t>（2）拟派项目经理须具备机电工程专业二级注册建造师执业资格，具备有效的安全生产考核合格证书，且未担任其他在施工工程项目的项目经理。■提供相应证书。</w:t>
      </w:r>
    </w:p>
    <w:p w14:paraId="686B9F23">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（3）本项目（是/否）接受联合体投标：同“项目基本情况”1.7款要求。</w:t>
      </w:r>
    </w:p>
    <w:p w14:paraId="6603C915">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（4）具备法律、行政法规规定的其他条件。</w:t>
      </w:r>
    </w:p>
    <w:p w14:paraId="78DE96E5">
      <w:pPr>
        <w:pStyle w:val="14"/>
        <w:shd w:val="clear" w:color="auto" w:fill="FFFFFF"/>
        <w:adjustRightInd w:val="0"/>
        <w:spacing w:before="50" w:beforeAutospacing="0" w:after="0" w:afterAutospacing="0" w:line="300" w:lineRule="auto"/>
        <w:ind w:firstLine="540" w:firstLineChars="225"/>
        <w:rPr>
          <w:color w:val="auto"/>
        </w:rPr>
      </w:pPr>
      <w:bookmarkStart w:id="2" w:name="OLE_LINK5"/>
      <w:r>
        <w:rPr>
          <w:rFonts w:hint="eastAsia"/>
          <w:color w:val="auto"/>
        </w:rPr>
        <w:t>注：（1）所有证照均应为有效的证照；文中“近”、“前”指距投标截止时间。</w:t>
      </w:r>
    </w:p>
    <w:p w14:paraId="237732C0">
      <w:pPr>
        <w:pStyle w:val="14"/>
        <w:shd w:val="clear" w:color="auto" w:fill="FFFFFF"/>
        <w:adjustRightInd w:val="0"/>
        <w:spacing w:before="50" w:beforeAutospacing="0" w:after="0" w:afterAutospacing="0" w:line="300" w:lineRule="auto"/>
        <w:ind w:firstLine="540" w:firstLineChars="225"/>
        <w:rPr>
          <w:color w:val="auto"/>
        </w:rPr>
      </w:pPr>
      <w:r>
        <w:rPr>
          <w:rFonts w:hint="eastAsia"/>
          <w:color w:val="auto"/>
        </w:rPr>
        <w:t>（2）资格证明材料（文件）应附于投标文件中并经投</w:t>
      </w:r>
      <w:r>
        <w:rPr>
          <w:color w:val="auto"/>
        </w:rPr>
        <w:t>标人</w:t>
      </w:r>
      <w:r>
        <w:rPr>
          <w:rFonts w:hint="eastAsia"/>
          <w:color w:val="auto"/>
        </w:rPr>
        <w:t>电子签章。投标人对资格证明文件真实性有效合规承担责任，提供虚假材料的为无效投标并将进一步追究其责任。</w:t>
      </w:r>
      <w:r>
        <w:rPr>
          <w:rFonts w:hint="eastAsia"/>
          <w:color w:val="auto"/>
          <w:highlight w:val="none"/>
        </w:rPr>
        <w:t>（按</w:t>
      </w:r>
      <w:r>
        <w:rPr>
          <w:rFonts w:hint="eastAsia" w:cs="楷体_GB2312"/>
          <w:color w:val="auto"/>
          <w:highlight w:val="none"/>
          <w:lang w:val="zh-CN"/>
        </w:rPr>
        <w:t>第六章</w:t>
      </w:r>
      <w:r>
        <w:rPr>
          <w:rFonts w:hint="eastAsia"/>
          <w:color w:val="auto"/>
          <w:highlight w:val="none"/>
        </w:rPr>
        <w:t>14-1附件提供核验材料）</w:t>
      </w:r>
    </w:p>
    <w:p w14:paraId="38412A42">
      <w:pPr>
        <w:pStyle w:val="14"/>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（3）本项目采取资格后审，开标后，将由谈判小组对投标人的资格证明材料（文件）进行资格审核，未按要求逐一提供、或资格审查不合格的为无效投标，投标人应自负其风险费用。</w:t>
      </w:r>
    </w:p>
    <w:bookmarkEnd w:id="2"/>
    <w:p w14:paraId="24BCBCCE">
      <w:pPr>
        <w:pStyle w:val="14"/>
        <w:shd w:val="clear" w:color="auto" w:fill="FFFFFF"/>
        <w:adjustRightInd w:val="0"/>
        <w:spacing w:before="50" w:beforeAutospacing="0" w:after="0" w:afterAutospacing="0" w:line="300" w:lineRule="auto"/>
        <w:ind w:firstLine="542" w:firstLineChars="225"/>
        <w:rPr>
          <w:b/>
          <w:color w:val="auto"/>
        </w:rPr>
      </w:pPr>
    </w:p>
    <w:p w14:paraId="635FA563">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．获取谈判文件</w:t>
      </w:r>
    </w:p>
    <w:p w14:paraId="489492A7">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3.1</w:t>
      </w:r>
      <w:r>
        <w:rPr>
          <w:rFonts w:hint="eastAsia"/>
          <w:color w:val="auto"/>
          <w:sz w:val="24"/>
          <w:szCs w:val="24"/>
        </w:rPr>
        <w:t>时间：2025年</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7</w:t>
      </w:r>
      <w:r>
        <w:rPr>
          <w:rFonts w:hint="eastAsia"/>
          <w:color w:val="auto"/>
          <w:sz w:val="24"/>
          <w:szCs w:val="24"/>
        </w:rPr>
        <w:t>日至2025年</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11</w:t>
      </w:r>
      <w:r>
        <w:rPr>
          <w:rFonts w:hint="eastAsia"/>
          <w:color w:val="auto"/>
          <w:sz w:val="24"/>
          <w:szCs w:val="24"/>
        </w:rPr>
        <w:t>日，每天上午00：00至12：00，下午12：00至23：59（北京时间，</w:t>
      </w:r>
      <w:r>
        <w:rPr>
          <w:color w:val="auto"/>
          <w:sz w:val="24"/>
          <w:szCs w:val="24"/>
        </w:rPr>
        <w:t>法定节假日</w:t>
      </w:r>
      <w:r>
        <w:rPr>
          <w:rFonts w:hint="eastAsia"/>
          <w:color w:val="auto"/>
          <w:sz w:val="24"/>
          <w:szCs w:val="24"/>
        </w:rPr>
        <w:t>除外）</w:t>
      </w:r>
    </w:p>
    <w:p w14:paraId="61A0EB6A">
      <w:pPr>
        <w:widowControl w:val="0"/>
        <w:snapToGrid w:val="0"/>
        <w:spacing w:line="360" w:lineRule="auto"/>
        <w:ind w:left="55" w:leftChars="26" w:firstLine="540" w:firstLineChars="225"/>
        <w:rPr>
          <w:rFonts w:ascii="宋体" w:hAnsi="宋体"/>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bCs/>
          <w:color w:val="auto"/>
          <w:sz w:val="24"/>
          <w:szCs w:val="24"/>
        </w:rPr>
        <w:t>登陆安阳市公共资源交易中心网站（</w:t>
      </w:r>
      <w:r>
        <w:rPr>
          <w:b/>
          <w:bCs/>
          <w:color w:val="auto"/>
          <w:sz w:val="24"/>
          <w:szCs w:val="24"/>
        </w:rPr>
        <w:t>https://ggzy.anyang.gov.cn</w:t>
      </w:r>
      <w:r>
        <w:rPr>
          <w:rFonts w:hint="eastAsia"/>
          <w:b/>
          <w:bCs/>
          <w:color w:val="auto"/>
          <w:sz w:val="24"/>
          <w:szCs w:val="24"/>
        </w:rPr>
        <w:t>），在【交易主体登录】入口完成注册。凭数字证书下载谈判文件及其它资料。</w:t>
      </w:r>
    </w:p>
    <w:p w14:paraId="3ADFB397">
      <w:pPr>
        <w:spacing w:line="360" w:lineRule="auto"/>
        <w:ind w:firstLine="540"/>
        <w:rPr>
          <w:b/>
          <w:bCs/>
          <w:color w:val="auto"/>
          <w:sz w:val="24"/>
          <w:szCs w:val="24"/>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14:paraId="5CBE961A">
      <w:pPr>
        <w:spacing w:line="360" w:lineRule="auto"/>
        <w:ind w:firstLine="540"/>
        <w:rPr>
          <w:b/>
          <w:bCs/>
          <w:color w:val="auto"/>
          <w:sz w:val="24"/>
          <w:szCs w:val="24"/>
        </w:rPr>
      </w:pPr>
      <w:r>
        <w:rPr>
          <w:rFonts w:hint="eastAsia"/>
          <w:b/>
          <w:bCs/>
          <w:color w:val="auto"/>
          <w:sz w:val="24"/>
          <w:szCs w:val="24"/>
        </w:rPr>
        <w:t>具体流程请查询安阳市公共资源交易中心网站-服务指南-操作手册-《安阳市公共资源交易系统投标人（供应商）操作手册》。</w:t>
      </w:r>
      <w:r>
        <w:rPr>
          <w:b/>
          <w:bCs/>
          <w:color w:val="auto"/>
          <w:sz w:val="24"/>
          <w:szCs w:val="24"/>
        </w:rPr>
        <w:t>如有技术问题请咨询</w:t>
      </w:r>
      <w:r>
        <w:rPr>
          <w:rFonts w:hint="eastAsia"/>
          <w:b/>
          <w:bCs/>
          <w:color w:val="auto"/>
          <w:sz w:val="24"/>
          <w:szCs w:val="24"/>
        </w:rPr>
        <w:t>400-998-0000、0372-3387739。</w:t>
      </w:r>
    </w:p>
    <w:p w14:paraId="1B9A37A6">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14:paraId="464CFC56">
      <w:pPr>
        <w:widowControl w:val="0"/>
        <w:snapToGrid w:val="0"/>
        <w:spacing w:line="360" w:lineRule="auto"/>
        <w:rPr>
          <w:rFonts w:ascii="黑体" w:hAnsi="黑体" w:eastAsia="黑体"/>
          <w:b/>
          <w:color w:val="auto"/>
          <w:sz w:val="28"/>
          <w:szCs w:val="28"/>
        </w:rPr>
      </w:pPr>
    </w:p>
    <w:p w14:paraId="38CC553F">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．响应文件提交</w:t>
      </w:r>
    </w:p>
    <w:p w14:paraId="7EB3A88A">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4.1截止时间：2025年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12</w:t>
      </w:r>
      <w:r>
        <w:rPr>
          <w:rFonts w:hint="eastAsia" w:ascii="宋体" w:hAnsi="宋体"/>
          <w:color w:val="auto"/>
          <w:sz w:val="24"/>
          <w:szCs w:val="24"/>
        </w:rPr>
        <w:t>日09时00分（北京时间）</w:t>
      </w:r>
    </w:p>
    <w:p w14:paraId="7E63B977">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4.2地点：于安阳市公共资源交易平台网上上传递交、并由供应商在规定时间远程解密。</w:t>
      </w:r>
    </w:p>
    <w:p w14:paraId="5A65149A">
      <w:pPr>
        <w:widowControl w:val="0"/>
        <w:snapToGrid w:val="0"/>
        <w:spacing w:line="360" w:lineRule="auto"/>
        <w:rPr>
          <w:rFonts w:ascii="微软雅黑" w:hAnsi="微软雅黑" w:eastAsia="微软雅黑"/>
          <w:szCs w:val="21"/>
        </w:rPr>
      </w:pPr>
    </w:p>
    <w:p w14:paraId="67224655">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5.响应文件开启</w:t>
      </w:r>
    </w:p>
    <w:p w14:paraId="3B81A4A0">
      <w:pPr>
        <w:widowControl w:val="0"/>
        <w:adjustRightInd w:val="0"/>
        <w:spacing w:before="156" w:beforeLines="50" w:line="300" w:lineRule="auto"/>
        <w:ind w:firstLine="540" w:firstLineChars="225"/>
        <w:rPr>
          <w:color w:val="auto"/>
          <w:sz w:val="24"/>
          <w:szCs w:val="24"/>
        </w:rPr>
      </w:pPr>
      <w:r>
        <w:rPr>
          <w:rFonts w:hint="eastAsia"/>
          <w:color w:val="auto"/>
          <w:sz w:val="24"/>
          <w:szCs w:val="24"/>
        </w:rPr>
        <w:t>5.1时间：2025年</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12</w:t>
      </w:r>
      <w:r>
        <w:rPr>
          <w:rFonts w:hint="eastAsia"/>
          <w:color w:val="auto"/>
          <w:sz w:val="24"/>
          <w:szCs w:val="24"/>
        </w:rPr>
        <w:t>日09时00分（北京时间）</w:t>
      </w:r>
    </w:p>
    <w:p w14:paraId="537FCC71">
      <w:pPr>
        <w:widowControl w:val="0"/>
        <w:adjustRightInd w:val="0"/>
        <w:spacing w:before="156" w:beforeLines="50" w:line="300" w:lineRule="auto"/>
        <w:ind w:firstLine="540" w:firstLineChars="225"/>
        <w:rPr>
          <w:color w:val="auto"/>
          <w:sz w:val="24"/>
          <w:szCs w:val="24"/>
        </w:rPr>
      </w:pPr>
      <w:r>
        <w:rPr>
          <w:rFonts w:hint="eastAsia"/>
          <w:color w:val="auto"/>
          <w:sz w:val="24"/>
          <w:szCs w:val="24"/>
        </w:rPr>
        <w:t>5.2地点（管理员网上操作地点）：安阳市公共资源交易中心五楼集中开标大厅</w:t>
      </w:r>
      <w:r>
        <w:rPr>
          <w:rFonts w:hint="eastAsia"/>
          <w:color w:val="auto"/>
          <w:sz w:val="24"/>
          <w:szCs w:val="24"/>
          <w:lang w:val="en-US" w:eastAsia="zh-CN"/>
        </w:rPr>
        <w:t>7</w:t>
      </w:r>
      <w:r>
        <w:rPr>
          <w:rFonts w:hint="eastAsia"/>
          <w:color w:val="auto"/>
          <w:sz w:val="24"/>
          <w:szCs w:val="24"/>
        </w:rPr>
        <w:t>室（安阳市文峰大道东段559号安阳市民之家）。</w:t>
      </w:r>
    </w:p>
    <w:p w14:paraId="673BCA61">
      <w:pPr>
        <w:widowControl w:val="0"/>
        <w:adjustRightInd w:val="0"/>
        <w:spacing w:before="156" w:beforeLines="50" w:line="300" w:lineRule="auto"/>
        <w:ind w:firstLine="540" w:firstLineChars="225"/>
        <w:rPr>
          <w:b/>
          <w:bCs/>
          <w:color w:val="auto"/>
          <w:sz w:val="24"/>
          <w:szCs w:val="24"/>
        </w:rPr>
      </w:pPr>
      <w:r>
        <w:rPr>
          <w:rFonts w:hint="eastAsia" w:ascii="宋体" w:hAnsi="宋体"/>
          <w:color w:val="auto"/>
          <w:sz w:val="24"/>
          <w:szCs w:val="24"/>
        </w:rPr>
        <w:t>5.3</w:t>
      </w:r>
      <w:r>
        <w:rPr>
          <w:b/>
          <w:bCs/>
          <w:color w:val="auto"/>
          <w:sz w:val="24"/>
          <w:szCs w:val="24"/>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71180093">
      <w:pPr>
        <w:widowControl w:val="0"/>
        <w:snapToGrid w:val="0"/>
        <w:spacing w:line="360" w:lineRule="auto"/>
        <w:ind w:firstLine="562" w:firstLineChars="200"/>
        <w:rPr>
          <w:rFonts w:ascii="黑体" w:hAnsi="黑体" w:eastAsia="黑体"/>
          <w:b/>
          <w:color w:val="0033CC"/>
          <w:sz w:val="28"/>
          <w:szCs w:val="28"/>
        </w:rPr>
      </w:pPr>
    </w:p>
    <w:p w14:paraId="29BE79D3">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14:paraId="4BAE78F5">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本项目在“河南省政府采购网（安阳市政府采购网）”、“</w:t>
      </w:r>
      <w:r>
        <w:rPr>
          <w:rFonts w:hint="eastAsia" w:ascii="宋体" w:hAnsi="宋体" w:cs="宋体"/>
          <w:color w:val="auto"/>
          <w:sz w:val="24"/>
          <w:szCs w:val="24"/>
        </w:rPr>
        <w:t>全国公共资源交易平台（河南省·安阳市）</w:t>
      </w:r>
      <w:r>
        <w:rPr>
          <w:rFonts w:hint="eastAsia" w:ascii="宋体" w:hAnsi="宋体"/>
          <w:color w:val="auto"/>
          <w:sz w:val="24"/>
          <w:szCs w:val="24"/>
        </w:rPr>
        <w:t>安阳市公共资源交易中心”</w:t>
      </w:r>
      <w:r>
        <w:rPr>
          <w:rFonts w:hint="eastAsia" w:ascii="宋体" w:hAnsi="宋体" w:cs="宋体"/>
          <w:color w:val="auto"/>
          <w:sz w:val="24"/>
          <w:szCs w:val="24"/>
        </w:rPr>
        <w:t>、</w:t>
      </w:r>
      <w:r>
        <w:rPr>
          <w:rFonts w:hint="eastAsia" w:ascii="宋体" w:hAnsi="宋体"/>
          <w:color w:val="auto"/>
          <w:sz w:val="24"/>
          <w:szCs w:val="24"/>
        </w:rPr>
        <w:t>“安阳招标采购网”网站上同期发布。公告期限为三个工作日</w:t>
      </w:r>
      <w:r>
        <w:rPr>
          <w:rFonts w:hint="eastAsia" w:ascii="宋体" w:hAnsi="宋体" w:cs="宋体"/>
          <w:color w:val="auto"/>
          <w:sz w:val="24"/>
          <w:szCs w:val="24"/>
        </w:rPr>
        <w:t>。</w:t>
      </w:r>
    </w:p>
    <w:p w14:paraId="28358194">
      <w:pPr>
        <w:widowControl w:val="0"/>
        <w:tabs>
          <w:tab w:val="left" w:pos="39"/>
          <w:tab w:val="left" w:pos="96"/>
        </w:tabs>
        <w:snapToGrid w:val="0"/>
        <w:spacing w:line="360" w:lineRule="auto"/>
        <w:ind w:firstLine="566" w:firstLineChars="236"/>
        <w:rPr>
          <w:rFonts w:ascii="宋体" w:hAnsi="宋体" w:cs="宋体"/>
          <w:sz w:val="24"/>
          <w:szCs w:val="24"/>
        </w:rPr>
      </w:pPr>
    </w:p>
    <w:p w14:paraId="1869B350">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14:paraId="4808749A">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14:paraId="69046098">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14:paraId="6D395CBA">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0FD38AA3">
      <w:pPr>
        <w:pStyle w:val="14"/>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14:paraId="7CAE28F8">
      <w:pPr>
        <w:widowControl w:val="0"/>
        <w:tabs>
          <w:tab w:val="left" w:pos="39"/>
          <w:tab w:val="left" w:pos="96"/>
        </w:tabs>
        <w:snapToGrid w:val="0"/>
        <w:spacing w:line="360" w:lineRule="auto"/>
        <w:ind w:firstLine="590" w:firstLineChars="245"/>
        <w:rPr>
          <w:rStyle w:val="20"/>
          <w:b/>
          <w:color w:val="auto"/>
          <w:sz w:val="24"/>
          <w:szCs w:val="24"/>
        </w:rPr>
      </w:pPr>
      <w:r>
        <w:rPr>
          <w:rFonts w:hint="eastAsia" w:ascii="宋体"/>
          <w:b/>
          <w:color w:val="auto"/>
          <w:sz w:val="24"/>
          <w:szCs w:val="24"/>
        </w:rPr>
        <w:t>7</w:t>
      </w:r>
      <w:r>
        <w:rPr>
          <w:rFonts w:ascii="宋体"/>
          <w:b/>
          <w:color w:val="auto"/>
          <w:sz w:val="24"/>
          <w:szCs w:val="24"/>
        </w:rPr>
        <w:t>.</w:t>
      </w:r>
      <w:r>
        <w:rPr>
          <w:rFonts w:hint="eastAsia" w:ascii="宋体"/>
          <w:b/>
          <w:color w:val="auto"/>
          <w:sz w:val="24"/>
          <w:szCs w:val="24"/>
        </w:rPr>
        <w:t>3.</w:t>
      </w:r>
      <w:r>
        <w:rPr>
          <w:rFonts w:ascii="宋体"/>
          <w:b/>
          <w:color w:val="auto"/>
          <w:sz w:val="24"/>
          <w:szCs w:val="24"/>
        </w:rPr>
        <w:t>1</w:t>
      </w:r>
      <w:r>
        <w:rPr>
          <w:rFonts w:hint="eastAsia" w:ascii="宋体" w:hAnsi="宋体"/>
          <w:b/>
          <w:color w:val="auto"/>
          <w:sz w:val="24"/>
          <w:szCs w:val="24"/>
        </w:rPr>
        <w:t>全国公共资源交易平</w:t>
      </w:r>
      <w:r>
        <w:rPr>
          <w:rFonts w:ascii="宋体" w:hAnsi="宋体"/>
          <w:b/>
          <w:color w:val="auto"/>
          <w:sz w:val="24"/>
          <w:szCs w:val="24"/>
        </w:rPr>
        <w:t>台</w:t>
      </w:r>
      <w:r>
        <w:rPr>
          <w:rFonts w:hint="eastAsia" w:ascii="宋体" w:hAnsi="宋体"/>
          <w:b/>
          <w:color w:val="auto"/>
          <w:sz w:val="24"/>
          <w:szCs w:val="24"/>
        </w:rPr>
        <w:t>（河南</w:t>
      </w:r>
      <w:r>
        <w:rPr>
          <w:rFonts w:ascii="宋体" w:hAnsi="宋体"/>
          <w:b/>
          <w:color w:val="auto"/>
          <w:sz w:val="24"/>
          <w:szCs w:val="24"/>
        </w:rPr>
        <w:t>省</w:t>
      </w:r>
      <w:r>
        <w:rPr>
          <w:rFonts w:hint="eastAsia" w:ascii="宋体" w:hAnsi="宋体" w:cs="宋体"/>
          <w:color w:val="auto"/>
          <w:sz w:val="24"/>
          <w:szCs w:val="24"/>
        </w:rPr>
        <w:t>·</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w:t>
      </w:r>
      <w:r>
        <w:rPr>
          <w:rFonts w:ascii="宋体" w:hAnsi="宋体"/>
          <w:b/>
          <w:color w:val="auto"/>
          <w:sz w:val="24"/>
          <w:szCs w:val="24"/>
        </w:rPr>
        <w:t>）</w:t>
      </w:r>
      <w:r>
        <w:fldChar w:fldCharType="begin"/>
      </w:r>
      <w:r>
        <w:instrText xml:space="preserve"> HYPERLINK "https://ggzy.anyang.gov.cn" </w:instrText>
      </w:r>
      <w:r>
        <w:fldChar w:fldCharType="separate"/>
      </w:r>
      <w:r>
        <w:rPr>
          <w:rStyle w:val="20"/>
          <w:b/>
          <w:color w:val="auto"/>
          <w:sz w:val="24"/>
          <w:szCs w:val="24"/>
        </w:rPr>
        <w:t>https://ggzy.anyang.gov.cn</w:t>
      </w:r>
      <w:r>
        <w:rPr>
          <w:rStyle w:val="20"/>
          <w:b/>
          <w:color w:val="auto"/>
          <w:sz w:val="24"/>
          <w:szCs w:val="24"/>
        </w:rPr>
        <w:fldChar w:fldCharType="end"/>
      </w:r>
    </w:p>
    <w:p w14:paraId="04E423AB">
      <w:pPr>
        <w:widowControl w:val="0"/>
        <w:tabs>
          <w:tab w:val="left" w:pos="39"/>
          <w:tab w:val="left" w:pos="96"/>
        </w:tabs>
        <w:snapToGrid w:val="0"/>
        <w:spacing w:line="360" w:lineRule="auto"/>
        <w:ind w:firstLine="590" w:firstLineChars="245"/>
        <w:rPr>
          <w:rFonts w:ascii="宋体"/>
          <w:b/>
          <w:color w:val="auto"/>
          <w:sz w:val="24"/>
          <w:szCs w:val="24"/>
        </w:rPr>
      </w:pPr>
      <w:r>
        <w:rPr>
          <w:rFonts w:hint="eastAsia" w:ascii="宋体" w:hAnsi="宋体"/>
          <w:b/>
          <w:color w:val="auto"/>
          <w:sz w:val="24"/>
          <w:szCs w:val="24"/>
        </w:rPr>
        <w:t>谈判文件</w:t>
      </w:r>
      <w:r>
        <w:rPr>
          <w:rFonts w:ascii="宋体" w:hAnsi="宋体"/>
          <w:b/>
          <w:color w:val="auto"/>
          <w:sz w:val="24"/>
          <w:szCs w:val="24"/>
        </w:rPr>
        <w:t>简称“</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市公共资源交易平</w:t>
      </w:r>
      <w:r>
        <w:rPr>
          <w:rFonts w:ascii="宋体" w:hAnsi="宋体"/>
          <w:b/>
          <w:color w:val="auto"/>
          <w:sz w:val="24"/>
          <w:szCs w:val="24"/>
        </w:rPr>
        <w:t>台”</w:t>
      </w:r>
    </w:p>
    <w:p w14:paraId="576F4FFF">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b/>
          <w:color w:val="auto"/>
          <w:sz w:val="24"/>
          <w:szCs w:val="24"/>
        </w:rPr>
        <w:t>7</w:t>
      </w:r>
      <w:r>
        <w:rPr>
          <w:rFonts w:ascii="宋体"/>
          <w:b/>
          <w:color w:val="auto"/>
          <w:sz w:val="24"/>
          <w:szCs w:val="24"/>
        </w:rPr>
        <w:t>.</w:t>
      </w:r>
      <w:r>
        <w:rPr>
          <w:rFonts w:hint="eastAsia" w:ascii="宋体"/>
          <w:b/>
          <w:color w:val="auto"/>
          <w:sz w:val="24"/>
          <w:szCs w:val="24"/>
        </w:rPr>
        <w:t>3.</w:t>
      </w:r>
      <w:r>
        <w:rPr>
          <w:rFonts w:ascii="宋体"/>
          <w:b/>
          <w:color w:val="auto"/>
          <w:sz w:val="24"/>
          <w:szCs w:val="24"/>
        </w:rPr>
        <w:t>2</w:t>
      </w:r>
      <w:r>
        <w:rPr>
          <w:rFonts w:hint="eastAsia" w:ascii="宋体"/>
          <w:b/>
          <w:color w:val="auto"/>
          <w:sz w:val="24"/>
          <w:szCs w:val="24"/>
        </w:rPr>
        <w:t>投标文件制作软件：在安阳市公共资源交易平台进行下载、并安装投标文件制作工具，查看</w:t>
      </w:r>
      <w:r>
        <w:rPr>
          <w:rFonts w:hint="eastAsia" w:ascii="宋体" w:hAnsi="宋体"/>
          <w:b/>
          <w:color w:val="auto"/>
          <w:sz w:val="24"/>
          <w:szCs w:val="24"/>
        </w:rPr>
        <w:t>谈判</w:t>
      </w:r>
      <w:r>
        <w:rPr>
          <w:rFonts w:hint="eastAsia" w:ascii="宋体"/>
          <w:b/>
          <w:color w:val="auto"/>
          <w:sz w:val="24"/>
          <w:szCs w:val="24"/>
        </w:rPr>
        <w:t>文件和制作电子投标文件。</w:t>
      </w:r>
    </w:p>
    <w:p w14:paraId="236A6FD4">
      <w:pPr>
        <w:widowControl w:val="0"/>
        <w:snapToGrid w:val="0"/>
        <w:spacing w:line="360" w:lineRule="auto"/>
        <w:jc w:val="left"/>
        <w:rPr>
          <w:rFonts w:ascii="黑体" w:hAnsi="黑体" w:eastAsia="黑体"/>
          <w:b/>
          <w:color w:val="0033CC"/>
          <w:sz w:val="28"/>
          <w:szCs w:val="28"/>
        </w:rPr>
      </w:pPr>
    </w:p>
    <w:p w14:paraId="4613EF10">
      <w:pPr>
        <w:widowControl w:val="0"/>
        <w:snapToGrid w:val="0"/>
        <w:spacing w:line="360" w:lineRule="auto"/>
        <w:ind w:firstLine="562" w:firstLineChars="200"/>
        <w:rPr>
          <w:rFonts w:ascii="黑体" w:hAnsi="黑体" w:eastAsia="黑体"/>
          <w:b/>
          <w:color w:val="auto"/>
          <w:sz w:val="28"/>
          <w:szCs w:val="28"/>
        </w:rPr>
      </w:pPr>
      <w:bookmarkStart w:id="3" w:name="_Toc35393627"/>
      <w:bookmarkStart w:id="4" w:name="_Toc35393796"/>
      <w:bookmarkStart w:id="5" w:name="_Toc28359085"/>
      <w:bookmarkStart w:id="6" w:name="_Toc28359008"/>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3"/>
      <w:bookmarkEnd w:id="4"/>
      <w:bookmarkEnd w:id="5"/>
      <w:bookmarkEnd w:id="6"/>
    </w:p>
    <w:p w14:paraId="1244231B">
      <w:pPr>
        <w:ind w:firstLine="600" w:firstLineChars="250"/>
        <w:jc w:val="left"/>
        <w:rPr>
          <w:rFonts w:ascii="宋体" w:hAnsi="宋体"/>
          <w:color w:val="auto"/>
          <w:sz w:val="24"/>
          <w:szCs w:val="24"/>
        </w:rPr>
      </w:pPr>
      <w:r>
        <w:rPr>
          <w:rFonts w:hint="eastAsia" w:ascii="宋体" w:hAnsi="宋体" w:cs="宋体"/>
          <w:color w:val="auto"/>
          <w:sz w:val="24"/>
          <w:szCs w:val="24"/>
        </w:rPr>
        <w:t>8.1采购人信息</w:t>
      </w:r>
    </w:p>
    <w:p w14:paraId="2A1686A3">
      <w:pPr>
        <w:spacing w:line="360" w:lineRule="auto"/>
        <w:ind w:left="1079" w:leftChars="371" w:hanging="300" w:hangingChars="1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 称：安阳职业技术学院</w:t>
      </w:r>
    </w:p>
    <w:p w14:paraId="73480DDB">
      <w:pPr>
        <w:spacing w:line="360" w:lineRule="auto"/>
        <w:ind w:left="1079" w:leftChars="371" w:hanging="300" w:hangingChars="1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地址：安阳市高新技术产业开发区平原路南段461号　       　</w:t>
      </w:r>
    </w:p>
    <w:p w14:paraId="60EE7816">
      <w:pPr>
        <w:spacing w:line="360" w:lineRule="auto"/>
        <w:ind w:left="1079" w:leftChars="371" w:hanging="300" w:hangingChars="1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eastAsia="zh-CN"/>
          <w14:textFill>
            <w14:solidFill>
              <w14:schemeClr w14:val="tx1"/>
            </w14:solidFill>
          </w14:textFill>
        </w:rPr>
        <w:t>马舒</w:t>
      </w:r>
      <w:r>
        <w:rPr>
          <w:rFonts w:hint="eastAsia" w:ascii="宋体" w:hAnsi="宋体"/>
          <w:color w:val="000000" w:themeColor="text1"/>
          <w:sz w:val="24"/>
          <w:szCs w:val="24"/>
          <w14:textFill>
            <w14:solidFill>
              <w14:schemeClr w14:val="tx1"/>
            </w14:solidFill>
          </w14:textFill>
        </w:rPr>
        <w:t xml:space="preserve">   </w:t>
      </w:r>
    </w:p>
    <w:p w14:paraId="19C577D4">
      <w:pPr>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联系方式：</w:t>
      </w:r>
      <w:r>
        <w:rPr>
          <w:rFonts w:hint="eastAsia" w:ascii="宋体" w:hAnsi="宋体"/>
          <w:color w:val="000000" w:themeColor="text1"/>
          <w:sz w:val="24"/>
          <w:szCs w:val="24"/>
          <w:lang w:val="en-US" w:eastAsia="zh-CN"/>
          <w14:textFill>
            <w14:solidFill>
              <w14:schemeClr w14:val="tx1"/>
            </w14:solidFill>
          </w14:textFill>
        </w:rPr>
        <w:t>13937200271</w:t>
      </w:r>
      <w:r>
        <w:rPr>
          <w:rFonts w:hint="eastAsia" w:ascii="宋体" w:hAnsi="宋体"/>
          <w:color w:val="000000" w:themeColor="text1"/>
          <w:sz w:val="24"/>
          <w:szCs w:val="24"/>
          <w14:textFill>
            <w14:solidFill>
              <w14:schemeClr w14:val="tx1"/>
            </w14:solidFill>
          </w14:textFill>
        </w:rPr>
        <w:t xml:space="preserve">　      </w:t>
      </w:r>
      <w:bookmarkStart w:id="7" w:name="_Toc28359086"/>
      <w:bookmarkStart w:id="8" w:name="_Toc28359009"/>
    </w:p>
    <w:p w14:paraId="0605AEDF">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8.2采购代理机构信息</w:t>
      </w:r>
      <w:bookmarkEnd w:id="7"/>
      <w:bookmarkEnd w:id="8"/>
    </w:p>
    <w:p w14:paraId="42CA4885">
      <w:pPr>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 称：安阳市方正招标采购服务有限责任公司  　</w:t>
      </w:r>
    </w:p>
    <w:p w14:paraId="29AF4052">
      <w:pPr>
        <w:spacing w:line="360" w:lineRule="auto"/>
        <w:ind w:left="1798" w:leftChars="342" w:hanging="1080" w:hangingChars="4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　址：</w:t>
      </w:r>
      <w:bookmarkStart w:id="9" w:name="OLE_LINK4"/>
      <w:r>
        <w:rPr>
          <w:rFonts w:hint="eastAsia" w:ascii="宋体" w:hAnsi="宋体"/>
          <w:color w:val="000000" w:themeColor="text1"/>
          <w:sz w:val="24"/>
          <w:szCs w:val="24"/>
          <w14:textFill>
            <w14:solidFill>
              <w14:schemeClr w14:val="tx1"/>
            </w14:solidFill>
          </w14:textFill>
        </w:rPr>
        <w:t>安阳市安钢大道39号（人民大道北地下道口南侧、安阳粮食产业集团-后院办公楼五楼）</w:t>
      </w:r>
      <w:bookmarkEnd w:id="9"/>
      <w:r>
        <w:rPr>
          <w:rFonts w:hint="eastAsia" w:ascii="宋体" w:hAnsi="宋体"/>
          <w:color w:val="000000" w:themeColor="text1"/>
          <w:sz w:val="24"/>
          <w:szCs w:val="24"/>
          <w14:textFill>
            <w14:solidFill>
              <w14:schemeClr w14:val="tx1"/>
            </w14:solidFill>
          </w14:textFill>
        </w:rPr>
        <w:t>　</w:t>
      </w:r>
    </w:p>
    <w:p w14:paraId="3A2BA779">
      <w:pPr>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联系人：陶文雯</w:t>
      </w:r>
    </w:p>
    <w:p w14:paraId="37E15714">
      <w:pPr>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联系方式：</w:t>
      </w:r>
      <w:bookmarkStart w:id="10" w:name="_Toc28359087"/>
      <w:bookmarkStart w:id="11" w:name="_Toc28359010"/>
      <w:r>
        <w:rPr>
          <w:rFonts w:hint="eastAsia" w:ascii="宋体" w:hAnsi="宋体"/>
          <w:color w:val="000000" w:themeColor="text1"/>
          <w:sz w:val="24"/>
          <w:szCs w:val="24"/>
          <w14:textFill>
            <w14:solidFill>
              <w14:schemeClr w14:val="tx1"/>
            </w14:solidFill>
          </w14:textFill>
        </w:rPr>
        <w:t>0372-2283981、2283982   财务部咨询电话：0372-2283983　</w:t>
      </w:r>
    </w:p>
    <w:p w14:paraId="5FC754B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8.3项目</w:t>
      </w:r>
      <w:r>
        <w:rPr>
          <w:rFonts w:ascii="宋体" w:hAnsi="宋体" w:cs="宋体"/>
          <w:color w:val="000000" w:themeColor="text1"/>
          <w:sz w:val="24"/>
          <w:szCs w:val="24"/>
          <w14:textFill>
            <w14:solidFill>
              <w14:schemeClr w14:val="tx1"/>
            </w14:solidFill>
          </w14:textFill>
        </w:rPr>
        <w:t>联系方式</w:t>
      </w:r>
      <w:bookmarkEnd w:id="10"/>
      <w:bookmarkEnd w:id="11"/>
    </w:p>
    <w:p w14:paraId="7189A81C">
      <w:pPr>
        <w:pStyle w:val="6"/>
        <w:spacing w:line="360" w:lineRule="auto"/>
        <w:ind w:firstLine="720" w:firstLineChars="3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项目联系人：陶文雯</w:t>
      </w:r>
    </w:p>
    <w:p w14:paraId="2050D939">
      <w:pPr>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联系方式：</w:t>
      </w:r>
      <w:r>
        <w:rPr>
          <w:rFonts w:ascii="宋体" w:hAnsi="宋体"/>
          <w:color w:val="000000" w:themeColor="text1"/>
          <w:sz w:val="24"/>
          <w:szCs w:val="24"/>
          <w14:textFill>
            <w14:solidFill>
              <w14:schemeClr w14:val="tx1"/>
            </w14:solidFill>
          </w14:textFill>
        </w:rPr>
        <w:t>13937245785</w:t>
      </w:r>
      <w:r>
        <w:rPr>
          <w:rFonts w:hint="eastAsia" w:ascii="宋体" w:hAnsi="宋体"/>
          <w:color w:val="000000" w:themeColor="text1"/>
          <w:sz w:val="24"/>
          <w:szCs w:val="24"/>
          <w14:textFill>
            <w14:solidFill>
              <w14:schemeClr w14:val="tx1"/>
            </w14:solidFill>
          </w14:textFill>
        </w:rPr>
        <w:t>　</w:t>
      </w:r>
    </w:p>
    <w:p w14:paraId="4254AE39">
      <w:pPr>
        <w:pStyle w:val="14"/>
        <w:shd w:val="clear" w:color="auto" w:fill="FFFFFF"/>
        <w:adjustRightInd w:val="0"/>
        <w:spacing w:before="50" w:beforeAutospacing="0" w:after="0" w:afterAutospacing="0" w:line="300" w:lineRule="auto"/>
        <w:rPr>
          <w:color w:val="000000" w:themeColor="text1"/>
          <w14:textFill>
            <w14:solidFill>
              <w14:schemeClr w14:val="tx1"/>
            </w14:solidFill>
          </w14:textFill>
        </w:rPr>
      </w:pPr>
    </w:p>
    <w:p w14:paraId="52DE47CB">
      <w:pPr>
        <w:widowControl w:val="0"/>
        <w:snapToGrid w:val="0"/>
        <w:spacing w:line="360" w:lineRule="auto"/>
        <w:ind w:firstLine="562" w:firstLineChars="200"/>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9</w:t>
      </w:r>
      <w:r>
        <w:rPr>
          <w:rFonts w:ascii="黑体" w:hAnsi="黑体" w:eastAsia="黑体"/>
          <w:b/>
          <w:color w:val="000000" w:themeColor="text1"/>
          <w:sz w:val="28"/>
          <w:szCs w:val="28"/>
          <w14:textFill>
            <w14:solidFill>
              <w14:schemeClr w14:val="tx1"/>
            </w14:solidFill>
          </w14:textFill>
        </w:rPr>
        <w:t>.</w:t>
      </w:r>
      <w:r>
        <w:rPr>
          <w:rFonts w:hint="eastAsia" w:ascii="黑体" w:hAnsi="黑体" w:eastAsia="黑体"/>
          <w:b/>
          <w:color w:val="000000" w:themeColor="text1"/>
          <w:sz w:val="28"/>
          <w:szCs w:val="28"/>
          <w14:textFill>
            <w14:solidFill>
              <w14:schemeClr w14:val="tx1"/>
            </w14:solidFill>
          </w14:textFill>
        </w:rPr>
        <w:t>网</w:t>
      </w:r>
      <w:r>
        <w:rPr>
          <w:rFonts w:ascii="黑体" w:hAnsi="黑体" w:eastAsia="黑体"/>
          <w:b/>
          <w:color w:val="000000" w:themeColor="text1"/>
          <w:sz w:val="28"/>
          <w:szCs w:val="28"/>
          <w14:textFill>
            <w14:solidFill>
              <w14:schemeClr w14:val="tx1"/>
            </w14:solidFill>
          </w14:textFill>
        </w:rPr>
        <w:t>上</w:t>
      </w:r>
      <w:r>
        <w:rPr>
          <w:rFonts w:hint="eastAsia" w:ascii="黑体" w:hAnsi="黑体" w:eastAsia="黑体"/>
          <w:b/>
          <w:color w:val="000000" w:themeColor="text1"/>
          <w:sz w:val="28"/>
          <w:szCs w:val="28"/>
          <w14:textFill>
            <w14:solidFill>
              <w14:schemeClr w14:val="tx1"/>
            </w14:solidFill>
          </w14:textFill>
        </w:rPr>
        <w:t>电子交易提示：</w:t>
      </w:r>
      <w:r>
        <w:rPr>
          <w:rFonts w:ascii="黑体" w:hAnsi="黑体" w:eastAsia="黑体"/>
          <w:b/>
          <w:color w:val="000000" w:themeColor="text1"/>
          <w:sz w:val="28"/>
          <w:szCs w:val="28"/>
          <w14:textFill>
            <w14:solidFill>
              <w14:schemeClr w14:val="tx1"/>
            </w14:solidFill>
          </w14:textFill>
        </w:rPr>
        <w:t xml:space="preserve"> </w:t>
      </w:r>
    </w:p>
    <w:p w14:paraId="76C81D12">
      <w:pPr>
        <w:widowControl w:val="0"/>
        <w:tabs>
          <w:tab w:val="left" w:pos="39"/>
          <w:tab w:val="left" w:pos="96"/>
        </w:tabs>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 xml:space="preserve"> 注</w:t>
      </w:r>
      <w:r>
        <w:rPr>
          <w:rFonts w:ascii="宋体" w:hAnsi="宋体"/>
          <w:color w:val="000000" w:themeColor="text1"/>
          <w:sz w:val="24"/>
          <w:szCs w:val="24"/>
          <w14:textFill>
            <w14:solidFill>
              <w14:schemeClr w14:val="tx1"/>
            </w14:solidFill>
          </w14:textFill>
        </w:rPr>
        <w:t>册</w:t>
      </w:r>
      <w:r>
        <w:rPr>
          <w:rFonts w:hint="eastAsia" w:ascii="宋体" w:hAnsi="宋体"/>
          <w:color w:val="000000" w:themeColor="text1"/>
          <w:sz w:val="24"/>
          <w:szCs w:val="24"/>
          <w14:textFill>
            <w14:solidFill>
              <w14:schemeClr w14:val="tx1"/>
            </w14:solidFill>
          </w14:textFill>
        </w:rPr>
        <w:t>：投标人完成注</w:t>
      </w:r>
      <w:r>
        <w:rPr>
          <w:rFonts w:ascii="宋体" w:hAnsi="宋体"/>
          <w:color w:val="000000" w:themeColor="text1"/>
          <w:sz w:val="24"/>
          <w:szCs w:val="24"/>
          <w14:textFill>
            <w14:solidFill>
              <w14:schemeClr w14:val="tx1"/>
            </w14:solidFill>
          </w14:textFill>
        </w:rPr>
        <w:t>册</w:t>
      </w:r>
      <w:r>
        <w:rPr>
          <w:rFonts w:hint="eastAsia" w:ascii="宋体" w:hAnsi="宋体"/>
          <w:color w:val="000000" w:themeColor="text1"/>
          <w:sz w:val="24"/>
          <w:szCs w:val="24"/>
          <w14:textFill>
            <w14:solidFill>
              <w14:schemeClr w14:val="tx1"/>
            </w14:solidFill>
          </w14:textFill>
        </w:rPr>
        <w:t>、办理数字证书后</w:t>
      </w:r>
      <w:r>
        <w:rPr>
          <w:rFonts w:ascii="宋体" w:hAnsi="宋体"/>
          <w:color w:val="000000" w:themeColor="text1"/>
          <w:sz w:val="24"/>
          <w:szCs w:val="24"/>
          <w14:textFill>
            <w14:solidFill>
              <w14:schemeClr w14:val="tx1"/>
            </w14:solidFill>
          </w14:textFill>
        </w:rPr>
        <w:t>，方可</w:t>
      </w:r>
      <w:r>
        <w:rPr>
          <w:rFonts w:hint="eastAsia" w:ascii="宋体" w:hAnsi="宋体"/>
          <w:color w:val="000000" w:themeColor="text1"/>
          <w:sz w:val="24"/>
          <w:szCs w:val="24"/>
          <w14:textFill>
            <w14:solidFill>
              <w14:schemeClr w14:val="tx1"/>
            </w14:solidFill>
          </w14:textFill>
        </w:rPr>
        <w:t>获</w:t>
      </w:r>
      <w:r>
        <w:rPr>
          <w:rFonts w:ascii="宋体" w:hAnsi="宋体"/>
          <w:color w:val="000000" w:themeColor="text1"/>
          <w:sz w:val="24"/>
          <w:szCs w:val="24"/>
          <w14:textFill>
            <w14:solidFill>
              <w14:schemeClr w14:val="tx1"/>
            </w14:solidFill>
          </w14:textFill>
        </w:rPr>
        <w:t>取谈判文件、</w:t>
      </w:r>
      <w:r>
        <w:rPr>
          <w:rFonts w:hint="eastAsia" w:ascii="宋体" w:hAnsi="宋体"/>
          <w:color w:val="000000" w:themeColor="text1"/>
          <w:sz w:val="24"/>
          <w:szCs w:val="24"/>
          <w14:textFill>
            <w14:solidFill>
              <w14:schemeClr w14:val="tx1"/>
            </w14:solidFill>
          </w14:textFill>
        </w:rPr>
        <w:t>参</w:t>
      </w:r>
      <w:r>
        <w:rPr>
          <w:rFonts w:ascii="宋体" w:hAnsi="宋体"/>
          <w:color w:val="000000" w:themeColor="text1"/>
          <w:sz w:val="24"/>
          <w:szCs w:val="24"/>
          <w14:textFill>
            <w14:solidFill>
              <w14:schemeClr w14:val="tx1"/>
            </w14:solidFill>
          </w14:textFill>
        </w:rPr>
        <w:t>加</w:t>
      </w:r>
      <w:r>
        <w:rPr>
          <w:rFonts w:hint="eastAsia" w:ascii="宋体" w:hAnsi="宋体"/>
          <w:color w:val="000000" w:themeColor="text1"/>
          <w:sz w:val="24"/>
          <w:szCs w:val="24"/>
          <w14:textFill>
            <w14:solidFill>
              <w14:schemeClr w14:val="tx1"/>
            </w14:solidFill>
          </w14:textFill>
        </w:rPr>
        <w:t>投标等网上电子交易。</w:t>
      </w:r>
    </w:p>
    <w:p w14:paraId="2D69F9A2">
      <w:pPr>
        <w:widowControl w:val="0"/>
        <w:tabs>
          <w:tab w:val="left" w:pos="39"/>
          <w:tab w:val="left" w:pos="96"/>
        </w:tabs>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9.2 获取谈判文件：</w:t>
      </w:r>
      <w:r>
        <w:rPr>
          <w:rFonts w:ascii="宋体" w:hAnsi="宋体"/>
          <w:color w:val="000000" w:themeColor="text1"/>
          <w:sz w:val="24"/>
          <w:szCs w:val="24"/>
          <w14:textFill>
            <w14:solidFill>
              <w14:schemeClr w14:val="tx1"/>
            </w14:solidFill>
          </w14:textFill>
        </w:rPr>
        <w:t>按</w:t>
      </w:r>
      <w:r>
        <w:rPr>
          <w:rFonts w:hint="eastAsia" w:ascii="宋体" w:hAnsi="宋体"/>
          <w:color w:val="000000" w:themeColor="text1"/>
          <w:sz w:val="24"/>
          <w:szCs w:val="24"/>
          <w14:textFill>
            <w14:solidFill>
              <w14:schemeClr w14:val="tx1"/>
            </w14:solidFill>
          </w14:textFill>
        </w:rPr>
        <w:t>本</w:t>
      </w:r>
      <w:r>
        <w:rPr>
          <w:rFonts w:ascii="宋体" w:hAnsi="宋体"/>
          <w:color w:val="000000" w:themeColor="text1"/>
          <w:sz w:val="24"/>
          <w:szCs w:val="24"/>
          <w14:textFill>
            <w14:solidFill>
              <w14:schemeClr w14:val="tx1"/>
            </w14:solidFill>
          </w14:textFill>
        </w:rPr>
        <w:t>章第</w:t>
      </w:r>
      <w:r>
        <w:rPr>
          <w:rFonts w:hint="eastAsia" w:ascii="宋体" w:hAnsi="宋体"/>
          <w:color w:val="000000" w:themeColor="text1"/>
          <w:sz w:val="24"/>
          <w:szCs w:val="24"/>
          <w14:textFill>
            <w14:solidFill>
              <w14:schemeClr w14:val="tx1"/>
            </w14:solidFill>
          </w14:textFill>
        </w:rPr>
        <w:t>3条</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获取谈判文件</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办</w:t>
      </w:r>
      <w:r>
        <w:rPr>
          <w:rFonts w:ascii="宋体" w:hAnsi="宋体"/>
          <w:color w:val="000000" w:themeColor="text1"/>
          <w:sz w:val="24"/>
          <w:szCs w:val="24"/>
          <w14:textFill>
            <w14:solidFill>
              <w14:schemeClr w14:val="tx1"/>
            </w14:solidFill>
          </w14:textFill>
        </w:rPr>
        <w:t>理。</w:t>
      </w:r>
    </w:p>
    <w:p w14:paraId="0F3B9744">
      <w:pPr>
        <w:widowControl w:val="0"/>
        <w:tabs>
          <w:tab w:val="left" w:pos="39"/>
          <w:tab w:val="left" w:pos="96"/>
        </w:tabs>
        <w:snapToGrid w:val="0"/>
        <w:spacing w:line="360" w:lineRule="auto"/>
        <w:ind w:firstLine="540" w:firstLineChars="225"/>
        <w:rPr>
          <w:rFonts w:ascii="黑体" w:hAnsi="黑体" w:eastAsia="黑体" w:cs="楷体_GB2312"/>
          <w:b/>
          <w:color w:val="000000" w:themeColor="text1"/>
          <w:sz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9.3 谈判文件的澄清与修改或延期的</w:t>
      </w:r>
      <w:r>
        <w:rPr>
          <w:rFonts w:ascii="宋体" w:hAnsi="宋体"/>
          <w:color w:val="000000" w:themeColor="text1"/>
          <w:sz w:val="24"/>
          <w:szCs w:val="24"/>
          <w14:textFill>
            <w14:solidFill>
              <w14:schemeClr w14:val="tx1"/>
            </w14:solidFill>
          </w14:textFill>
        </w:rPr>
        <w:t>通知</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按</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谈判文件</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第三</w:t>
      </w:r>
      <w:r>
        <w:rPr>
          <w:rFonts w:hint="eastAsia" w:ascii="宋体" w:hAnsi="宋体"/>
          <w:color w:val="000000" w:themeColor="text1"/>
          <w:sz w:val="24"/>
          <w:szCs w:val="24"/>
          <w14:textFill>
            <w14:solidFill>
              <w14:schemeClr w14:val="tx1"/>
            </w14:solidFill>
          </w14:textFill>
        </w:rPr>
        <w:t>章“投</w:t>
      </w:r>
      <w:r>
        <w:rPr>
          <w:rFonts w:ascii="宋体" w:hAnsi="宋体"/>
          <w:color w:val="000000" w:themeColor="text1"/>
          <w:sz w:val="24"/>
          <w:szCs w:val="24"/>
          <w14:textFill>
            <w14:solidFill>
              <w14:schemeClr w14:val="tx1"/>
            </w14:solidFill>
          </w14:textFill>
        </w:rPr>
        <w:t>标人须知”</w:t>
      </w:r>
      <w:r>
        <w:rPr>
          <w:rFonts w:hint="eastAsia" w:ascii="宋体" w:hAnsi="宋体"/>
          <w:color w:val="000000" w:themeColor="text1"/>
          <w:sz w:val="24"/>
          <w:szCs w:val="24"/>
          <w14:textFill>
            <w14:solidFill>
              <w14:schemeClr w14:val="tx1"/>
            </w14:solidFill>
          </w14:textFill>
        </w:rPr>
        <w:t>第</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条“2.4 谈判文件的澄清、修改、补充的通知，及相应时间变更</w:t>
      </w:r>
      <w:r>
        <w:rPr>
          <w:rFonts w:ascii="宋体" w:hAnsi="宋体"/>
          <w:color w:val="000000" w:themeColor="text1"/>
          <w:sz w:val="24"/>
          <w:szCs w:val="24"/>
          <w14:textFill>
            <w14:solidFill>
              <w14:schemeClr w14:val="tx1"/>
            </w14:solidFill>
          </w14:textFill>
        </w:rPr>
        <w:t>”执行</w:t>
      </w:r>
      <w:r>
        <w:rPr>
          <w:rFonts w:hint="eastAsia" w:ascii="宋体" w:hAnsi="宋体"/>
          <w:color w:val="000000" w:themeColor="text1"/>
          <w:sz w:val="24"/>
          <w:szCs w:val="24"/>
          <w14:textFill>
            <w14:solidFill>
              <w14:schemeClr w14:val="tx1"/>
            </w14:solidFill>
          </w14:textFill>
        </w:rPr>
        <w:t>。</w:t>
      </w:r>
      <w:r>
        <w:rPr>
          <w:rFonts w:hint="eastAsia" w:ascii="黑体" w:hAnsi="黑体" w:eastAsia="黑体" w:cs="楷体_GB2312"/>
          <w:b/>
          <w:color w:val="000000" w:themeColor="text1"/>
          <w:sz w:val="24"/>
          <w:lang w:val="zh-CN"/>
          <w14:textFill>
            <w14:solidFill>
              <w14:schemeClr w14:val="tx1"/>
            </w14:solidFill>
          </w14:textFill>
        </w:rPr>
        <w:t>不</w:t>
      </w:r>
      <w:r>
        <w:rPr>
          <w:rFonts w:ascii="黑体" w:hAnsi="黑体" w:eastAsia="黑体" w:cs="楷体_GB2312"/>
          <w:b/>
          <w:color w:val="000000" w:themeColor="text1"/>
          <w:sz w:val="24"/>
          <w:lang w:val="zh-CN"/>
          <w14:textFill>
            <w14:solidFill>
              <w14:schemeClr w14:val="tx1"/>
            </w14:solidFill>
          </w14:textFill>
        </w:rPr>
        <w:t>另行通知。</w:t>
      </w:r>
    </w:p>
    <w:p w14:paraId="4BC62D32">
      <w:pPr>
        <w:widowControl w:val="0"/>
        <w:tabs>
          <w:tab w:val="left" w:pos="39"/>
          <w:tab w:val="left" w:pos="96"/>
        </w:tabs>
        <w:snapToGrid w:val="0"/>
        <w:spacing w:line="360" w:lineRule="auto"/>
        <w:ind w:firstLine="540" w:firstLineChars="225"/>
        <w:rPr>
          <w:rFonts w:ascii="黑体" w:hAnsi="黑体" w:eastAsia="黑体" w:cs="楷体_GB2312"/>
          <w:b/>
          <w:color w:val="000000" w:themeColor="text1"/>
          <w:sz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 xml:space="preserve"> 响应文件编制：在安阳市公共资源交易中心网站下载并安装投标文件制作工具、进行编制，按《谈判文件》第三章“投标人须知”第3条第</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款“</w:t>
      </w: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投标文件的编制”执行，</w:t>
      </w:r>
      <w:r>
        <w:rPr>
          <w:rFonts w:hint="eastAsia" w:ascii="黑体" w:hAnsi="黑体" w:eastAsia="黑体" w:cs="楷体_GB2312"/>
          <w:b/>
          <w:color w:val="000000" w:themeColor="text1"/>
          <w:sz w:val="24"/>
          <w:lang w:val="zh-CN"/>
          <w14:textFill>
            <w14:solidFill>
              <w14:schemeClr w14:val="tx1"/>
            </w14:solidFill>
          </w14:textFill>
        </w:rPr>
        <w:t>否则将会评定为无效投标。</w:t>
      </w:r>
    </w:p>
    <w:p w14:paraId="507892F3">
      <w:pPr>
        <w:widowControl w:val="0"/>
        <w:tabs>
          <w:tab w:val="left" w:pos="39"/>
          <w:tab w:val="left" w:pos="96"/>
        </w:tabs>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9.5 响应文件递交：</w:t>
      </w:r>
      <w:r>
        <w:rPr>
          <w:rFonts w:hint="eastAsia" w:ascii="宋体" w:hAnsi="宋体"/>
          <w:color w:val="000000" w:themeColor="text1"/>
          <w:sz w:val="24"/>
          <w:szCs w:val="24"/>
          <w14:textFill>
            <w14:solidFill>
              <w14:schemeClr w14:val="tx1"/>
            </w14:solidFill>
          </w14:textFill>
        </w:rPr>
        <w:t>投标人应在投标截止时间前上传加密的电子投标文件（*.aytf）到安阳市公共资源交易平台，</w:t>
      </w:r>
      <w:r>
        <w:rPr>
          <w:rFonts w:ascii="宋体" w:hAnsi="宋体"/>
          <w:color w:val="000000" w:themeColor="text1"/>
          <w:sz w:val="24"/>
          <w:szCs w:val="24"/>
          <w14:textFill>
            <w14:solidFill>
              <w14:schemeClr w14:val="tx1"/>
            </w14:solidFill>
          </w14:textFill>
        </w:rPr>
        <w:t>按</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谈判文件</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第三</w:t>
      </w:r>
      <w:r>
        <w:rPr>
          <w:rFonts w:hint="eastAsia" w:ascii="宋体" w:hAnsi="宋体"/>
          <w:color w:val="000000" w:themeColor="text1"/>
          <w:sz w:val="24"/>
          <w:szCs w:val="24"/>
          <w14:textFill>
            <w14:solidFill>
              <w14:schemeClr w14:val="tx1"/>
            </w14:solidFill>
          </w14:textFill>
        </w:rPr>
        <w:t>章“投</w:t>
      </w:r>
      <w:r>
        <w:rPr>
          <w:rFonts w:ascii="宋体" w:hAnsi="宋体"/>
          <w:color w:val="000000" w:themeColor="text1"/>
          <w:sz w:val="24"/>
          <w:szCs w:val="24"/>
          <w14:textFill>
            <w14:solidFill>
              <w14:schemeClr w14:val="tx1"/>
            </w14:solidFill>
          </w14:textFill>
        </w:rPr>
        <w:t>标人须知”</w:t>
      </w:r>
      <w:r>
        <w:rPr>
          <w:rFonts w:hint="eastAsia" w:ascii="宋体" w:hAnsi="宋体"/>
          <w:color w:val="000000" w:themeColor="text1"/>
          <w:sz w:val="24"/>
          <w:szCs w:val="24"/>
          <w14:textFill>
            <w14:solidFill>
              <w14:schemeClr w14:val="tx1"/>
            </w14:solidFill>
          </w14:textFill>
        </w:rPr>
        <w:t>第</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条</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4. 投标（响应文件的递交）”</w:t>
      </w:r>
      <w:r>
        <w:rPr>
          <w:rFonts w:ascii="宋体" w:hAnsi="宋体"/>
          <w:color w:val="000000" w:themeColor="text1"/>
          <w:sz w:val="24"/>
          <w:szCs w:val="24"/>
          <w14:textFill>
            <w14:solidFill>
              <w14:schemeClr w14:val="tx1"/>
            </w14:solidFill>
          </w14:textFill>
        </w:rPr>
        <w:t>执行，</w:t>
      </w:r>
      <w:r>
        <w:rPr>
          <w:rFonts w:hint="eastAsia" w:ascii="黑体" w:hAnsi="黑体" w:eastAsia="黑体" w:cs="楷体_GB2312"/>
          <w:b/>
          <w:color w:val="000000" w:themeColor="text1"/>
          <w:sz w:val="24"/>
          <w:lang w:val="zh-CN"/>
          <w14:textFill>
            <w14:solidFill>
              <w14:schemeClr w14:val="tx1"/>
            </w14:solidFill>
          </w14:textFill>
        </w:rPr>
        <w:t>否</w:t>
      </w:r>
      <w:r>
        <w:rPr>
          <w:rFonts w:ascii="黑体" w:hAnsi="黑体" w:eastAsia="黑体" w:cs="楷体_GB2312"/>
          <w:b/>
          <w:color w:val="000000" w:themeColor="text1"/>
          <w:sz w:val="24"/>
          <w:lang w:val="zh-CN"/>
          <w14:textFill>
            <w14:solidFill>
              <w14:schemeClr w14:val="tx1"/>
            </w14:solidFill>
          </w14:textFill>
        </w:rPr>
        <w:t>则将会</w:t>
      </w:r>
      <w:r>
        <w:rPr>
          <w:rFonts w:hint="eastAsia" w:ascii="黑体" w:hAnsi="黑体" w:eastAsia="黑体" w:cs="楷体_GB2312"/>
          <w:b/>
          <w:color w:val="000000" w:themeColor="text1"/>
          <w:sz w:val="24"/>
          <w:lang w:val="zh-CN"/>
          <w14:textFill>
            <w14:solidFill>
              <w14:schemeClr w14:val="tx1"/>
            </w14:solidFill>
          </w14:textFill>
        </w:rPr>
        <w:t>评</w:t>
      </w:r>
      <w:r>
        <w:rPr>
          <w:rFonts w:ascii="黑体" w:hAnsi="黑体" w:eastAsia="黑体" w:cs="楷体_GB2312"/>
          <w:b/>
          <w:color w:val="000000" w:themeColor="text1"/>
          <w:sz w:val="24"/>
          <w:lang w:val="zh-CN"/>
          <w14:textFill>
            <w14:solidFill>
              <w14:schemeClr w14:val="tx1"/>
            </w14:solidFill>
          </w14:textFill>
        </w:rPr>
        <w:t>定为无效投标。</w:t>
      </w:r>
    </w:p>
    <w:p w14:paraId="542E33B8">
      <w:pPr>
        <w:widowControl w:val="0"/>
        <w:tabs>
          <w:tab w:val="left" w:pos="39"/>
          <w:tab w:val="left" w:pos="96"/>
        </w:tabs>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9</w:t>
      </w:r>
      <w:r>
        <w:rPr>
          <w:rFonts w:ascii="宋体"/>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6 响应文件</w:t>
      </w:r>
      <w:r>
        <w:rPr>
          <w:rFonts w:hint="eastAsia" w:ascii="宋体" w:hAnsi="宋体"/>
          <w:color w:val="000000" w:themeColor="text1"/>
          <w:sz w:val="24"/>
          <w:szCs w:val="24"/>
          <w14:textFill>
            <w14:solidFill>
              <w14:schemeClr w14:val="tx1"/>
            </w14:solidFill>
          </w14:textFill>
        </w:rPr>
        <w:t>解密</w:t>
      </w:r>
      <w:r>
        <w:rPr>
          <w:rFonts w:hint="eastAsia" w:ascii="宋体"/>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000000" w:themeColor="text1"/>
          <w:sz w:val="24"/>
          <w:szCs w:val="24"/>
          <w14:textFill>
            <w14:solidFill>
              <w14:schemeClr w14:val="tx1"/>
            </w14:solidFill>
          </w14:textFill>
        </w:rPr>
        <w:t>按</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谈判文件</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第三</w:t>
      </w:r>
      <w:r>
        <w:rPr>
          <w:rFonts w:hint="eastAsia" w:ascii="宋体" w:hAnsi="宋体"/>
          <w:color w:val="000000" w:themeColor="text1"/>
          <w:sz w:val="24"/>
          <w:szCs w:val="24"/>
          <w14:textFill>
            <w14:solidFill>
              <w14:schemeClr w14:val="tx1"/>
            </w14:solidFill>
          </w14:textFill>
        </w:rPr>
        <w:t>章“投</w:t>
      </w:r>
      <w:r>
        <w:rPr>
          <w:rFonts w:ascii="宋体" w:hAnsi="宋体"/>
          <w:color w:val="000000" w:themeColor="text1"/>
          <w:sz w:val="24"/>
          <w:szCs w:val="24"/>
          <w14:textFill>
            <w14:solidFill>
              <w14:schemeClr w14:val="tx1"/>
            </w14:solidFill>
          </w14:textFill>
        </w:rPr>
        <w:t>标人须知”</w:t>
      </w:r>
      <w:r>
        <w:rPr>
          <w:rFonts w:hint="eastAsia" w:ascii="宋体" w:hAnsi="宋体"/>
          <w:color w:val="000000" w:themeColor="text1"/>
          <w:sz w:val="24"/>
          <w:szCs w:val="24"/>
          <w14:textFill>
            <w14:solidFill>
              <w14:schemeClr w14:val="tx1"/>
            </w14:solidFill>
          </w14:textFill>
        </w:rPr>
        <w:t>第</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条</w:t>
      </w:r>
      <w:r>
        <w:rPr>
          <w:rFonts w:ascii="宋体" w:hAnsi="宋体"/>
          <w:color w:val="000000" w:themeColor="text1"/>
          <w:sz w:val="24"/>
          <w:szCs w:val="24"/>
          <w14:textFill>
            <w14:solidFill>
              <w14:schemeClr w14:val="tx1"/>
            </w14:solidFill>
          </w14:textFill>
        </w:rPr>
        <w:t xml:space="preserve">“5 </w:t>
      </w:r>
      <w:r>
        <w:rPr>
          <w:rFonts w:hint="eastAsia" w:ascii="宋体"/>
          <w:color w:val="000000" w:themeColor="text1"/>
          <w:sz w:val="24"/>
          <w:szCs w:val="24"/>
          <w14:textFill>
            <w14:solidFill>
              <w14:schemeClr w14:val="tx1"/>
            </w14:solidFill>
          </w14:textFill>
        </w:rPr>
        <w:t>开标（响应文件的开启）</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执行，</w:t>
      </w:r>
      <w:r>
        <w:rPr>
          <w:rFonts w:hint="eastAsia" w:ascii="宋体" w:hAnsi="宋体" w:cs="楷体_GB2312"/>
          <w:color w:val="000000" w:themeColor="text1"/>
          <w:sz w:val="24"/>
          <w:lang w:val="zh-CN"/>
          <w14:textFill>
            <w14:solidFill>
              <w14:schemeClr w14:val="tx1"/>
            </w14:solidFill>
          </w14:textFill>
        </w:rPr>
        <w:t>否</w:t>
      </w:r>
      <w:r>
        <w:rPr>
          <w:rFonts w:ascii="宋体" w:hAnsi="宋体" w:cs="楷体_GB2312"/>
          <w:color w:val="000000" w:themeColor="text1"/>
          <w:sz w:val="24"/>
          <w:lang w:val="zh-CN"/>
          <w14:textFill>
            <w14:solidFill>
              <w14:schemeClr w14:val="tx1"/>
            </w14:solidFill>
          </w14:textFill>
        </w:rPr>
        <w:t>则</w:t>
      </w:r>
      <w:r>
        <w:rPr>
          <w:rFonts w:hint="eastAsia" w:ascii="宋体" w:hAnsi="宋体" w:cs="楷体_GB2312"/>
          <w:color w:val="000000" w:themeColor="text1"/>
          <w:sz w:val="24"/>
          <w:lang w:val="zh-CN"/>
          <w14:textFill>
            <w14:solidFill>
              <w14:schemeClr w14:val="tx1"/>
            </w14:solidFill>
          </w14:textFill>
        </w:rPr>
        <w:t>其投标将不能被接受</w:t>
      </w:r>
      <w:r>
        <w:rPr>
          <w:rFonts w:ascii="宋体" w:hAnsi="宋体" w:cs="楷体_GB2312"/>
          <w:color w:val="000000" w:themeColor="text1"/>
          <w:sz w:val="24"/>
          <w:lang w:val="zh-CN"/>
          <w14:textFill>
            <w14:solidFill>
              <w14:schemeClr w14:val="tx1"/>
            </w14:solidFill>
          </w14:textFill>
        </w:rPr>
        <w:t>。</w:t>
      </w:r>
    </w:p>
    <w:p w14:paraId="332AC3EF">
      <w:pPr>
        <w:widowControl w:val="0"/>
        <w:tabs>
          <w:tab w:val="left" w:pos="39"/>
          <w:tab w:val="left" w:pos="96"/>
        </w:tabs>
        <w:snapToGrid w:val="0"/>
        <w:spacing w:line="360" w:lineRule="auto"/>
        <w:ind w:firstLine="480" w:firstLineChars="200"/>
        <w:rPr>
          <w:rFonts w:ascii="黑体" w:hAnsi="黑体" w:eastAsia="黑体" w:cs="楷体_GB2312"/>
          <w:b/>
          <w:color w:val="000000" w:themeColor="text1"/>
          <w:sz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谈</w:t>
      </w:r>
      <w:r>
        <w:rPr>
          <w:rFonts w:ascii="宋体" w:hAnsi="宋体"/>
          <w:color w:val="000000" w:themeColor="text1"/>
          <w:sz w:val="24"/>
          <w:szCs w:val="24"/>
          <w14:textFill>
            <w14:solidFill>
              <w14:schemeClr w14:val="tx1"/>
            </w14:solidFill>
          </w14:textFill>
        </w:rPr>
        <w:t>判：</w:t>
      </w:r>
      <w:r>
        <w:rPr>
          <w:rFonts w:hint="eastAsia" w:ascii="宋体" w:hAnsi="宋体"/>
          <w:color w:val="000000" w:themeColor="text1"/>
          <w:sz w:val="24"/>
          <w14:textFill>
            <w14:solidFill>
              <w14:schemeClr w14:val="tx1"/>
            </w14:solidFill>
          </w14:textFill>
        </w:rPr>
        <w:t>时刻关注电子开标室并及时澄清，有</w:t>
      </w:r>
      <w:r>
        <w:rPr>
          <w:rFonts w:ascii="宋体" w:hAnsi="宋体"/>
          <w:color w:val="000000" w:themeColor="text1"/>
          <w:sz w:val="24"/>
          <w14:textFill>
            <w14:solidFill>
              <w14:schemeClr w14:val="tx1"/>
            </w14:solidFill>
          </w14:textFill>
        </w:rPr>
        <w:t>效投标人在规定时间进行</w:t>
      </w:r>
      <w:r>
        <w:rPr>
          <w:rFonts w:hint="eastAsia" w:ascii="宋体" w:hAnsi="宋体"/>
          <w:color w:val="000000" w:themeColor="text1"/>
          <w:sz w:val="24"/>
          <w14:textFill>
            <w14:solidFill>
              <w14:schemeClr w14:val="tx1"/>
            </w14:solidFill>
          </w14:textFill>
        </w:rPr>
        <w:t>最后报价</w:t>
      </w:r>
      <w:r>
        <w:rPr>
          <w:rFonts w:ascii="宋体" w:hAnsi="宋体"/>
          <w:color w:val="000000" w:themeColor="text1"/>
          <w:sz w:val="24"/>
          <w14:textFill>
            <w14:solidFill>
              <w14:schemeClr w14:val="tx1"/>
            </w14:solidFill>
          </w14:textFill>
        </w:rPr>
        <w:t>，</w:t>
      </w:r>
      <w:r>
        <w:rPr>
          <w:rFonts w:ascii="宋体" w:hAnsi="宋体"/>
          <w:color w:val="000000" w:themeColor="text1"/>
          <w:sz w:val="24"/>
          <w:szCs w:val="24"/>
          <w14:textFill>
            <w14:solidFill>
              <w14:schemeClr w14:val="tx1"/>
            </w14:solidFill>
          </w14:textFill>
        </w:rPr>
        <w:t>按</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谈判文件</w:t>
      </w:r>
      <w:r>
        <w:rPr>
          <w:rFonts w:hint="eastAsia" w:ascii="宋体" w:hAnsi="宋体"/>
          <w:color w:val="000000" w:themeColor="text1"/>
          <w:sz w:val="24"/>
          <w:szCs w:val="24"/>
          <w14:textFill>
            <w14:solidFill>
              <w14:schemeClr w14:val="tx1"/>
            </w14:solidFill>
          </w14:textFill>
        </w:rPr>
        <w:t>》第四章“评审办法”</w:t>
      </w:r>
      <w:r>
        <w:rPr>
          <w:rFonts w:ascii="宋体" w:hAnsi="宋体"/>
          <w:color w:val="000000" w:themeColor="text1"/>
          <w:sz w:val="24"/>
          <w:szCs w:val="24"/>
          <w14:textFill>
            <w14:solidFill>
              <w14:schemeClr w14:val="tx1"/>
            </w14:solidFill>
          </w14:textFill>
        </w:rPr>
        <w:t>执行，</w:t>
      </w:r>
      <w:r>
        <w:rPr>
          <w:rFonts w:hint="eastAsia" w:ascii="黑体" w:hAnsi="黑体" w:eastAsia="黑体" w:cs="楷体_GB2312"/>
          <w:b/>
          <w:color w:val="000000" w:themeColor="text1"/>
          <w:sz w:val="24"/>
          <w:lang w:val="zh-CN"/>
          <w14:textFill>
            <w14:solidFill>
              <w14:schemeClr w14:val="tx1"/>
            </w14:solidFill>
          </w14:textFill>
        </w:rPr>
        <w:t>否</w:t>
      </w:r>
      <w:r>
        <w:rPr>
          <w:rFonts w:ascii="黑体" w:hAnsi="黑体" w:eastAsia="黑体" w:cs="楷体_GB2312"/>
          <w:b/>
          <w:color w:val="000000" w:themeColor="text1"/>
          <w:sz w:val="24"/>
          <w:lang w:val="zh-CN"/>
          <w14:textFill>
            <w14:solidFill>
              <w14:schemeClr w14:val="tx1"/>
            </w14:solidFill>
          </w14:textFill>
        </w:rPr>
        <w:t>则将会</w:t>
      </w:r>
      <w:r>
        <w:rPr>
          <w:rFonts w:hint="eastAsia" w:ascii="黑体" w:hAnsi="黑体" w:eastAsia="黑体" w:cs="楷体_GB2312"/>
          <w:b/>
          <w:color w:val="000000" w:themeColor="text1"/>
          <w:sz w:val="24"/>
          <w:lang w:val="zh-CN"/>
          <w14:textFill>
            <w14:solidFill>
              <w14:schemeClr w14:val="tx1"/>
            </w14:solidFill>
          </w14:textFill>
        </w:rPr>
        <w:t>评</w:t>
      </w:r>
      <w:r>
        <w:rPr>
          <w:rFonts w:ascii="黑体" w:hAnsi="黑体" w:eastAsia="黑体" w:cs="楷体_GB2312"/>
          <w:b/>
          <w:color w:val="000000" w:themeColor="text1"/>
          <w:sz w:val="24"/>
          <w:lang w:val="zh-CN"/>
          <w14:textFill>
            <w14:solidFill>
              <w14:schemeClr w14:val="tx1"/>
            </w14:solidFill>
          </w14:textFill>
        </w:rPr>
        <w:t>定为无效投标。</w:t>
      </w:r>
    </w:p>
    <w:p w14:paraId="3EBFF8BD">
      <w:pPr>
        <w:widowControl w:val="0"/>
        <w:tabs>
          <w:tab w:val="left" w:pos="39"/>
          <w:tab w:val="left" w:pos="96"/>
        </w:tabs>
        <w:snapToGrid w:val="0"/>
        <w:spacing w:line="360" w:lineRule="auto"/>
        <w:ind w:firstLine="540" w:firstLineChars="225"/>
        <w:rPr>
          <w:rFonts w:ascii="宋体" w:hAnsi="宋体" w:cs="楷体_GB2312"/>
          <w:color w:val="000000" w:themeColor="text1"/>
          <w:sz w:val="24"/>
          <w:lang w:val="zh-CN"/>
          <w14:textFill>
            <w14:solidFill>
              <w14:schemeClr w14:val="tx1"/>
            </w14:solidFill>
          </w14:textFill>
        </w:rPr>
      </w:pPr>
      <w:r>
        <w:rPr>
          <w:rFonts w:hint="eastAsia" w:ascii="宋体" w:hAnsi="宋体" w:cs="楷体_GB2312"/>
          <w:color w:val="000000" w:themeColor="text1"/>
          <w:sz w:val="24"/>
          <w:lang w:val="zh-CN"/>
          <w14:textFill>
            <w14:solidFill>
              <w14:schemeClr w14:val="tx1"/>
            </w14:solidFill>
          </w14:textFill>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4D9EDA15">
      <w:pPr>
        <w:widowControl w:val="0"/>
        <w:tabs>
          <w:tab w:val="left" w:pos="39"/>
          <w:tab w:val="left" w:pos="96"/>
        </w:tabs>
        <w:snapToGrid w:val="0"/>
        <w:spacing w:line="360" w:lineRule="auto"/>
        <w:ind w:firstLine="540" w:firstLineChars="225"/>
        <w:rPr>
          <w:rFonts w:ascii="宋体" w:hAnsi="宋体" w:cs="楷体_GB2312"/>
          <w:color w:val="000000" w:themeColor="text1"/>
          <w:sz w:val="24"/>
          <w:lang w:val="zh-CN"/>
          <w14:textFill>
            <w14:solidFill>
              <w14:schemeClr w14:val="tx1"/>
            </w14:solidFill>
          </w14:textFill>
        </w:rPr>
      </w:pPr>
      <w:r>
        <w:rPr>
          <w:rFonts w:hint="eastAsia" w:ascii="宋体" w:hAnsi="宋体" w:cs="楷体_GB2312"/>
          <w:color w:val="000000" w:themeColor="text1"/>
          <w:sz w:val="24"/>
          <w:lang w:val="zh-CN"/>
          <w14:textFill>
            <w14:solidFill>
              <w14:schemeClr w14:val="tx1"/>
            </w14:solidFill>
          </w14:textFill>
        </w:rPr>
        <w:t>①锁名称变更前建议先在交易系统修改单位名称为最新的，变更完成后再变更锁名称，以免因名称不一致无法正常登录系统。</w:t>
      </w:r>
    </w:p>
    <w:p w14:paraId="12365F44">
      <w:pPr>
        <w:widowControl w:val="0"/>
        <w:tabs>
          <w:tab w:val="left" w:pos="39"/>
          <w:tab w:val="left" w:pos="96"/>
        </w:tabs>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s="楷体_GB2312"/>
          <w:color w:val="000000" w:themeColor="text1"/>
          <w:sz w:val="24"/>
          <w:lang w:val="zh-CN"/>
          <w14:textFill>
            <w14:solidFill>
              <w14:schemeClr w14:val="tx1"/>
            </w14:solidFill>
          </w14:textFill>
        </w:rPr>
        <w:t>②锁延期之后序列号可能会发生改变（视不同CA而定），变更后需要重新进行绑定。</w:t>
      </w:r>
    </w:p>
    <w:p w14:paraId="19889813">
      <w:pPr>
        <w:widowControl w:val="0"/>
        <w:tabs>
          <w:tab w:val="left" w:pos="39"/>
          <w:tab w:val="left" w:pos="96"/>
        </w:tabs>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9.9政府采购电子交易中，投标人网上电子交易的系统操作规则应以安阳市公共资源交易平台即时发布的相关规则为准。</w:t>
      </w:r>
    </w:p>
    <w:p w14:paraId="1F9FB40F">
      <w:pPr>
        <w:widowControl w:val="0"/>
        <w:tabs>
          <w:tab w:val="left" w:pos="39"/>
          <w:tab w:val="left" w:pos="96"/>
        </w:tabs>
        <w:snapToGrid w:val="0"/>
        <w:spacing w:line="360" w:lineRule="auto"/>
        <w:ind w:firstLine="540" w:firstLineChars="225"/>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9.10 望投标人充分熟悉网上电子交易操作流程、以便有效投标。</w:t>
      </w:r>
    </w:p>
    <w:p w14:paraId="5B2BCC3A">
      <w:pPr>
        <w:widowControl w:val="0"/>
        <w:tabs>
          <w:tab w:val="left" w:pos="39"/>
          <w:tab w:val="left" w:pos="96"/>
        </w:tabs>
        <w:snapToGrid w:val="0"/>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9.11 如遇到网上系统操作等技术问题请咨询</w:t>
      </w:r>
      <w:r>
        <w:rPr>
          <w:rFonts w:hint="eastAsia" w:ascii="宋体" w:hAnsi="宋体"/>
          <w:color w:val="000000" w:themeColor="text1"/>
          <w:sz w:val="24"/>
          <w:szCs w:val="24"/>
          <w14:textFill>
            <w14:solidFill>
              <w14:schemeClr w14:val="tx1"/>
            </w14:solidFill>
          </w14:textFill>
        </w:rPr>
        <w:t>400-998-0000、0372-3387739。</w:t>
      </w:r>
    </w:p>
    <w:p w14:paraId="231AD76C">
      <w:pPr>
        <w:widowControl w:val="0"/>
        <w:tabs>
          <w:tab w:val="left" w:pos="39"/>
          <w:tab w:val="left" w:pos="96"/>
        </w:tabs>
        <w:snapToGrid w:val="0"/>
        <w:spacing w:line="360" w:lineRule="auto"/>
        <w:rPr>
          <w:rFonts w:ascii="宋体"/>
          <w:color w:val="000000" w:themeColor="text1"/>
          <w:sz w:val="24"/>
          <w:szCs w:val="24"/>
          <w14:textFill>
            <w14:solidFill>
              <w14:schemeClr w14:val="tx1"/>
            </w14:solidFill>
          </w14:textFill>
        </w:rPr>
      </w:pPr>
    </w:p>
    <w:p w14:paraId="75EEA974">
      <w:pPr>
        <w:widowControl w:val="0"/>
        <w:tabs>
          <w:tab w:val="left" w:pos="39"/>
          <w:tab w:val="left" w:pos="96"/>
        </w:tabs>
        <w:snapToGrid w:val="0"/>
        <w:spacing w:line="360" w:lineRule="auto"/>
        <w:ind w:firstLine="5220" w:firstLineChars="2175"/>
        <w:jc w:val="right"/>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安阳市方正招标采购服务有限责任公司</w:t>
      </w:r>
    </w:p>
    <w:p w14:paraId="2985443E">
      <w:pPr>
        <w:widowControl w:val="0"/>
        <w:tabs>
          <w:tab w:val="left" w:pos="39"/>
          <w:tab w:val="left" w:pos="96"/>
        </w:tabs>
        <w:snapToGrid w:val="0"/>
        <w:spacing w:line="360" w:lineRule="auto"/>
        <w:ind w:firstLine="540" w:firstLineChars="225"/>
        <w:jc w:val="right"/>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二〇二五年</w:t>
      </w:r>
      <w:r>
        <w:rPr>
          <w:rFonts w:hint="eastAsia" w:ascii="宋体"/>
          <w:color w:val="000000" w:themeColor="text1"/>
          <w:sz w:val="24"/>
          <w:szCs w:val="24"/>
          <w:lang w:val="en-US" w:eastAsia="zh-CN"/>
          <w14:textFill>
            <w14:solidFill>
              <w14:schemeClr w14:val="tx1"/>
            </w14:solidFill>
          </w14:textFill>
        </w:rPr>
        <w:t>八</w:t>
      </w:r>
      <w:r>
        <w:rPr>
          <w:rFonts w:hint="eastAsia" w:ascii="宋体"/>
          <w:color w:val="000000" w:themeColor="text1"/>
          <w:sz w:val="24"/>
          <w:szCs w:val="24"/>
          <w14:textFill>
            <w14:solidFill>
              <w14:schemeClr w14:val="tx1"/>
            </w14:solidFill>
          </w14:textFill>
        </w:rPr>
        <w:t>月</w:t>
      </w:r>
      <w:r>
        <w:rPr>
          <w:rFonts w:hint="eastAsia" w:ascii="宋体"/>
          <w:color w:val="000000" w:themeColor="text1"/>
          <w:sz w:val="24"/>
          <w:szCs w:val="24"/>
          <w:lang w:val="en-US" w:eastAsia="zh-CN"/>
          <w14:textFill>
            <w14:solidFill>
              <w14:schemeClr w14:val="tx1"/>
            </w14:solidFill>
          </w14:textFill>
        </w:rPr>
        <w:t>六</w:t>
      </w:r>
      <w:r>
        <w:rPr>
          <w:rFonts w:hint="eastAsia" w:ascii="宋体"/>
          <w:color w:val="000000" w:themeColor="text1"/>
          <w:sz w:val="24"/>
          <w:szCs w:val="24"/>
          <w14:textFill>
            <w14:solidFill>
              <w14:schemeClr w14:val="tx1"/>
            </w14:solidFill>
          </w14:textFill>
        </w:rPr>
        <w:t>日</w:t>
      </w:r>
    </w:p>
    <w:p w14:paraId="2E37F71E">
      <w:pPr>
        <w:widowControl w:val="0"/>
        <w:tabs>
          <w:tab w:val="left" w:pos="39"/>
          <w:tab w:val="left" w:pos="96"/>
        </w:tabs>
        <w:snapToGrid w:val="0"/>
        <w:spacing w:line="360" w:lineRule="auto"/>
        <w:ind w:firstLine="630" w:firstLineChars="225"/>
        <w:rPr>
          <w:rFonts w:ascii="宋体" w:hAnsi="宋体"/>
          <w:color w:val="000000" w:themeColor="text1"/>
          <w:sz w:val="24"/>
          <w:szCs w:val="24"/>
          <w14:textFill>
            <w14:solidFill>
              <w14:schemeClr w14:val="tx1"/>
            </w14:solidFill>
          </w14:textFill>
        </w:rPr>
      </w:pPr>
      <w:r>
        <w:rPr>
          <w:rFonts w:eastAsia="方正黑体简体"/>
          <w:color w:val="000000" w:themeColor="text1"/>
          <w:sz w:val="28"/>
          <w:szCs w:val="28"/>
          <w14:textFill>
            <w14:solidFill>
              <w14:schemeClr w14:val="tx1"/>
            </w14:solidFill>
          </w14:textFill>
        </w:rPr>
        <w:br w:type="page"/>
      </w:r>
    </w:p>
    <w:p w14:paraId="542F1E30">
      <w:pPr>
        <w:widowControl w:val="0"/>
        <w:snapToGrid w:val="0"/>
        <w:spacing w:line="360" w:lineRule="auto"/>
        <w:jc w:val="center"/>
        <w:outlineLvl w:val="0"/>
        <w:rPr>
          <w:rFonts w:eastAsia="方正黑体简体"/>
          <w:color w:val="000000" w:themeColor="text1"/>
          <w:sz w:val="36"/>
          <w:szCs w:val="36"/>
          <w14:textFill>
            <w14:solidFill>
              <w14:schemeClr w14:val="tx1"/>
            </w14:solidFill>
          </w14:textFill>
        </w:rPr>
      </w:pPr>
      <w:bookmarkStart w:id="12" w:name="_Toc65679074"/>
      <w:r>
        <w:rPr>
          <w:rFonts w:hint="eastAsia" w:eastAsia="黑体"/>
          <w:b/>
          <w:color w:val="000000" w:themeColor="text1"/>
          <w:sz w:val="36"/>
          <w:szCs w:val="36"/>
          <w14:textFill>
            <w14:solidFill>
              <w14:schemeClr w14:val="tx1"/>
            </w14:solidFill>
          </w14:textFill>
        </w:rPr>
        <w:t>第二章 采购项目及技术服务要求</w:t>
      </w:r>
      <w:bookmarkEnd w:id="12"/>
    </w:p>
    <w:p w14:paraId="2D911150">
      <w:pPr>
        <w:widowControl w:val="0"/>
        <w:snapToGrid w:val="0"/>
        <w:spacing w:line="360" w:lineRule="auto"/>
        <w:jc w:val="center"/>
        <w:rPr>
          <w:b/>
          <w:color w:val="000000" w:themeColor="text1"/>
          <w:sz w:val="28"/>
          <w14:textFill>
            <w14:solidFill>
              <w14:schemeClr w14:val="tx1"/>
            </w14:solidFill>
          </w14:textFill>
        </w:rPr>
      </w:pPr>
    </w:p>
    <w:p w14:paraId="0C11D4A3">
      <w:pPr>
        <w:widowControl w:val="0"/>
        <w:snapToGrid w:val="0"/>
        <w:spacing w:line="360" w:lineRule="auto"/>
        <w:ind w:firstLine="422" w:firstLineChars="150"/>
        <w:jc w:val="left"/>
        <w:outlineLvl w:val="1"/>
        <w:rPr>
          <w:rFonts w:ascii="黑体" w:hAnsi="黑体" w:eastAsia="黑体"/>
          <w:b/>
          <w:color w:val="000000" w:themeColor="text1"/>
          <w:sz w:val="28"/>
          <w14:textFill>
            <w14:solidFill>
              <w14:schemeClr w14:val="tx1"/>
            </w14:solidFill>
          </w14:textFill>
        </w:rPr>
      </w:pPr>
      <w:bookmarkStart w:id="13" w:name="_Toc65679075"/>
      <w:r>
        <w:rPr>
          <w:rFonts w:ascii="黑体" w:hAnsi="黑体" w:eastAsia="黑体"/>
          <w:b/>
          <w:color w:val="000000" w:themeColor="text1"/>
          <w:sz w:val="28"/>
          <w14:textFill>
            <w14:solidFill>
              <w14:schemeClr w14:val="tx1"/>
            </w14:solidFill>
          </w14:textFill>
        </w:rPr>
        <w:t xml:space="preserve">1. </w:t>
      </w:r>
      <w:r>
        <w:rPr>
          <w:rFonts w:hint="eastAsia" w:ascii="黑体" w:hAnsi="黑体" w:eastAsia="黑体"/>
          <w:b/>
          <w:color w:val="000000" w:themeColor="text1"/>
          <w:sz w:val="28"/>
          <w14:textFill>
            <w14:solidFill>
              <w14:schemeClr w14:val="tx1"/>
            </w14:solidFill>
          </w14:textFill>
        </w:rPr>
        <w:t>采购项目、标段（包）划分、投标报价</w:t>
      </w:r>
      <w:bookmarkEnd w:id="13"/>
    </w:p>
    <w:p w14:paraId="7D12E436">
      <w:pPr>
        <w:widowControl w:val="0"/>
        <w:adjustRightInd w:val="0"/>
        <w:snapToGrid w:val="0"/>
        <w:spacing w:line="360" w:lineRule="auto"/>
        <w:ind w:firstLine="542" w:firstLineChars="225"/>
        <w:jc w:val="left"/>
        <w:rPr>
          <w:color w:val="000000" w:themeColor="text1"/>
          <w:sz w:val="24"/>
          <w:szCs w:val="24"/>
          <w14:textFill>
            <w14:solidFill>
              <w14:schemeClr w14:val="tx1"/>
            </w14:solidFill>
          </w14:textFill>
        </w:rPr>
      </w:pPr>
      <w:r>
        <w:rPr>
          <w:rFonts w:ascii="黑体" w:hAnsi="黑体" w:eastAsia="黑体"/>
          <w:b/>
          <w:color w:val="000000" w:themeColor="text1"/>
          <w:sz w:val="24"/>
          <w:szCs w:val="24"/>
          <w14:textFill>
            <w14:solidFill>
              <w14:schemeClr w14:val="tx1"/>
            </w14:solidFill>
          </w14:textFill>
        </w:rPr>
        <w:t>1.1</w:t>
      </w:r>
      <w:r>
        <w:rPr>
          <w:rFonts w:hint="eastAsia" w:ascii="黑体" w:hAnsi="黑体" w:eastAsia="黑体"/>
          <w:b/>
          <w:color w:val="000000" w:themeColor="text1"/>
          <w:sz w:val="24"/>
          <w:szCs w:val="24"/>
          <w14:textFill>
            <w14:solidFill>
              <w14:schemeClr w14:val="tx1"/>
            </w14:solidFill>
          </w14:textFill>
        </w:rPr>
        <w:t>采购项目名称</w:t>
      </w:r>
      <w:r>
        <w:rPr>
          <w:rFonts w:hint="eastAsia"/>
          <w:color w:val="000000" w:themeColor="text1"/>
          <w:sz w:val="24"/>
          <w:szCs w:val="24"/>
          <w14:textFill>
            <w14:solidFill>
              <w14:schemeClr w14:val="tx1"/>
            </w14:solidFill>
          </w14:textFill>
        </w:rPr>
        <w:t>：安阳职业技术学院东校区扩建室外高压配电工程项目</w:t>
      </w:r>
    </w:p>
    <w:p w14:paraId="65474787">
      <w:pPr>
        <w:widowControl w:val="0"/>
        <w:snapToGrid w:val="0"/>
        <w:spacing w:line="360" w:lineRule="auto"/>
        <w:ind w:firstLine="482" w:firstLineChars="200"/>
        <w:jc w:val="left"/>
        <w:rPr>
          <w:color w:val="000000" w:themeColor="text1"/>
          <w:sz w:val="24"/>
          <w:szCs w:val="24"/>
          <w14:textFill>
            <w14:solidFill>
              <w14:schemeClr w14:val="tx1"/>
            </w14:solidFill>
          </w14:textFill>
        </w:rPr>
      </w:pPr>
      <w:r>
        <w:rPr>
          <w:rFonts w:ascii="黑体" w:hAnsi="黑体" w:eastAsia="黑体"/>
          <w:b/>
          <w:color w:val="000000" w:themeColor="text1"/>
          <w:sz w:val="24"/>
          <w:szCs w:val="24"/>
          <w14:textFill>
            <w14:solidFill>
              <w14:schemeClr w14:val="tx1"/>
            </w14:solidFill>
          </w14:textFill>
        </w:rPr>
        <w:t xml:space="preserve">1.2 </w:t>
      </w:r>
      <w:r>
        <w:rPr>
          <w:rFonts w:hint="eastAsia" w:ascii="黑体" w:hAnsi="黑体" w:eastAsia="黑体"/>
          <w:b/>
          <w:color w:val="000000" w:themeColor="text1"/>
          <w:sz w:val="24"/>
          <w:szCs w:val="24"/>
          <w14:textFill>
            <w14:solidFill>
              <w14:schemeClr w14:val="tx1"/>
            </w14:solidFill>
          </w14:textFill>
        </w:rPr>
        <w:t>标段（包）划分及其工期施工地点</w:t>
      </w:r>
      <w:r>
        <w:rPr>
          <w:rFonts w:hint="eastAsia"/>
          <w:color w:val="000000" w:themeColor="text1"/>
          <w:sz w:val="24"/>
          <w:szCs w:val="24"/>
          <w14:textFill>
            <w14:solidFill>
              <w14:schemeClr w14:val="tx1"/>
            </w14:solidFill>
          </w14:textFill>
        </w:rPr>
        <w:t>：本次采购项目划分为</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个标段（包）。</w:t>
      </w:r>
    </w:p>
    <w:tbl>
      <w:tblPr>
        <w:tblStyle w:val="15"/>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819"/>
        <w:gridCol w:w="2734"/>
        <w:gridCol w:w="1701"/>
        <w:gridCol w:w="1325"/>
      </w:tblGrid>
      <w:tr w14:paraId="56BE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13" w:type="dxa"/>
            <w:gridSpan w:val="5"/>
            <w:vAlign w:val="center"/>
          </w:tcPr>
          <w:p w14:paraId="223D96DA">
            <w:pPr>
              <w:widowControl w:val="0"/>
              <w:snapToGrid w:val="0"/>
              <w:spacing w:line="240" w:lineRule="auto"/>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标段（包）一览表</w:t>
            </w:r>
          </w:p>
        </w:tc>
      </w:tr>
      <w:tr w14:paraId="17B9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934" w:type="dxa"/>
            <w:vAlign w:val="center"/>
          </w:tcPr>
          <w:p w14:paraId="5F05B500">
            <w:pPr>
              <w:widowControl w:val="0"/>
              <w:snapToGrid w:val="0"/>
              <w:spacing w:line="240" w:lineRule="auto"/>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1819" w:type="dxa"/>
            <w:vAlign w:val="center"/>
          </w:tcPr>
          <w:p w14:paraId="1404CAB3">
            <w:pPr>
              <w:widowControl w:val="0"/>
              <w:snapToGrid w:val="0"/>
              <w:spacing w:line="240" w:lineRule="auto"/>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标段（包）名称</w:t>
            </w:r>
          </w:p>
        </w:tc>
        <w:tc>
          <w:tcPr>
            <w:tcW w:w="2734" w:type="dxa"/>
            <w:vAlign w:val="center"/>
          </w:tcPr>
          <w:p w14:paraId="5FADF53A">
            <w:pPr>
              <w:widowControl w:val="0"/>
              <w:snapToGrid w:val="0"/>
              <w:spacing w:line="240" w:lineRule="auto"/>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标段（包）内容（范围）</w:t>
            </w:r>
          </w:p>
        </w:tc>
        <w:tc>
          <w:tcPr>
            <w:tcW w:w="1701" w:type="dxa"/>
            <w:vAlign w:val="center"/>
          </w:tcPr>
          <w:p w14:paraId="19A06FB2">
            <w:pPr>
              <w:widowControl w:val="0"/>
              <w:snapToGrid w:val="0"/>
              <w:spacing w:line="24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合同履行期限</w:t>
            </w:r>
          </w:p>
          <w:p w14:paraId="25A6E654">
            <w:pPr>
              <w:widowControl w:val="0"/>
              <w:snapToGrid w:val="0"/>
              <w:spacing w:line="240" w:lineRule="auto"/>
              <w:jc w:val="center"/>
              <w:rPr>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（工期）</w:t>
            </w:r>
          </w:p>
        </w:tc>
        <w:tc>
          <w:tcPr>
            <w:tcW w:w="1325" w:type="dxa"/>
            <w:vAlign w:val="center"/>
          </w:tcPr>
          <w:p w14:paraId="2EF0434A">
            <w:pPr>
              <w:widowControl w:val="0"/>
              <w:snapToGrid w:val="0"/>
              <w:spacing w:line="240" w:lineRule="auto"/>
              <w:jc w:val="center"/>
              <w:rPr>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施工地点</w:t>
            </w:r>
          </w:p>
        </w:tc>
      </w:tr>
      <w:tr w14:paraId="532C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34" w:type="dxa"/>
            <w:vAlign w:val="center"/>
          </w:tcPr>
          <w:p w14:paraId="60146A93">
            <w:pPr>
              <w:widowControl w:val="0"/>
              <w:adjustRightInd w:val="0"/>
              <w:snapToGrid w:val="0"/>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安阳职业技术学院东校区扩建室外高压配电工程项目</w:t>
            </w:r>
          </w:p>
        </w:tc>
        <w:tc>
          <w:tcPr>
            <w:tcW w:w="1819" w:type="dxa"/>
            <w:vAlign w:val="center"/>
          </w:tcPr>
          <w:p w14:paraId="1002FDB7">
            <w:pPr>
              <w:widowControl w:val="0"/>
              <w:adjustRightInd w:val="0"/>
              <w:snapToGrid w:val="0"/>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同项目名称</w:t>
            </w:r>
          </w:p>
        </w:tc>
        <w:tc>
          <w:tcPr>
            <w:tcW w:w="2734" w:type="dxa"/>
            <w:vAlign w:val="center"/>
          </w:tcPr>
          <w:p w14:paraId="4814C0CE">
            <w:pPr>
              <w:widowControl w:val="0"/>
              <w:adjustRightInd w:val="0"/>
              <w:snapToGrid w:val="0"/>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见“第二章第</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条：标段（包）内容（范围）及基本技术要求”</w:t>
            </w:r>
          </w:p>
        </w:tc>
        <w:tc>
          <w:tcPr>
            <w:tcW w:w="1701" w:type="dxa"/>
            <w:vAlign w:val="center"/>
          </w:tcPr>
          <w:p w14:paraId="070B4599">
            <w:pPr>
              <w:widowControl w:val="0"/>
              <w:adjustRightInd w:val="0"/>
              <w:snapToGrid w:val="0"/>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见谈判公告</w:t>
            </w:r>
            <w:r>
              <w:rPr>
                <w:color w:val="000000" w:themeColor="text1"/>
                <w:sz w:val="24"/>
                <w:szCs w:val="24"/>
                <w14:textFill>
                  <w14:solidFill>
                    <w14:schemeClr w14:val="tx1"/>
                  </w14:solidFill>
                </w14:textFill>
              </w:rPr>
              <w:t>1.6</w:t>
            </w:r>
          </w:p>
        </w:tc>
        <w:tc>
          <w:tcPr>
            <w:tcW w:w="1325" w:type="dxa"/>
            <w:vAlign w:val="center"/>
          </w:tcPr>
          <w:p w14:paraId="42A1038A">
            <w:pPr>
              <w:widowControl w:val="0"/>
              <w:adjustRightInd w:val="0"/>
              <w:snapToGrid w:val="0"/>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采购人指定地点</w:t>
            </w:r>
          </w:p>
        </w:tc>
      </w:tr>
    </w:tbl>
    <w:p w14:paraId="3EDA10DC">
      <w:pPr>
        <w:spacing w:line="560" w:lineRule="exact"/>
        <w:ind w:firstLine="482" w:firstLineChars="20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 xml:space="preserve">1.3 </w:t>
      </w:r>
      <w:r>
        <w:rPr>
          <w:rFonts w:hint="eastAsia" w:ascii="宋体" w:hAnsi="宋体"/>
          <w:b/>
          <w:color w:val="000000" w:themeColor="text1"/>
          <w:sz w:val="24"/>
          <w:szCs w:val="24"/>
          <w14:textFill>
            <w14:solidFill>
              <w14:schemeClr w14:val="tx1"/>
            </w14:solidFill>
          </w14:textFill>
        </w:rPr>
        <w:t>投标报价（价格构成）</w:t>
      </w:r>
    </w:p>
    <w:p w14:paraId="60D89F34">
      <w:pPr>
        <w:widowControl w:val="0"/>
        <w:snapToGrid w:val="0"/>
        <w:spacing w:line="360" w:lineRule="auto"/>
        <w:ind w:firstLine="480" w:firstLineChars="200"/>
        <w:jc w:val="left"/>
        <w:rPr>
          <w:color w:val="auto"/>
          <w:sz w:val="24"/>
          <w:szCs w:val="24"/>
        </w:rPr>
      </w:pPr>
      <w:r>
        <w:rPr>
          <w:rFonts w:ascii="宋体" w:hAnsi="宋体"/>
          <w:color w:val="000000" w:themeColor="text1"/>
          <w:sz w:val="24"/>
          <w:szCs w:val="24"/>
          <w14:textFill>
            <w14:solidFill>
              <w14:schemeClr w14:val="tx1"/>
            </w14:solidFill>
          </w14:textFill>
        </w:rPr>
        <w:t>1.3.1</w:t>
      </w:r>
      <w:r>
        <w:rPr>
          <w:rFonts w:hint="eastAsia"/>
          <w:color w:val="000000" w:themeColor="text1"/>
          <w:sz w:val="24"/>
          <w:szCs w:val="24"/>
          <w14:textFill>
            <w14:solidFill>
              <w14:schemeClr w14:val="tx1"/>
            </w14:solidFill>
          </w14:textFill>
        </w:rPr>
        <w:t>投标人的投标报价应为施工地完工交验价，包括材料及设备费、人工费、施工机械使用费、施工达到现行环保要求所需费用、现场遇到意外突发情况处置费用、运输、现场协调、现场安装、现场配合验收、抢工措施、检验试验</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含电缆进场复试费</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14:textFill>
            <w14:solidFill>
              <w14:schemeClr w14:val="tx1"/>
            </w14:solidFill>
          </w14:textFill>
        </w:rPr>
        <w:t>、材料二次搬运、垃圾清运费、施工水电、缺陷修复费、保险费，知识产权（如有）、所涉货物包装、因质量问题引起的维修和更换、技术指导和培训、成品保护、投标人的利润、税金、政策性文件的规定以及包括但不限于原材料涨价等明示或暗示的所有一切风险、责任和义</w:t>
      </w:r>
      <w:r>
        <w:rPr>
          <w:rFonts w:hint="eastAsia"/>
          <w:color w:val="auto"/>
          <w:sz w:val="24"/>
          <w:szCs w:val="24"/>
        </w:rPr>
        <w:t>务的费用等与采购项目相关的、必须的款项及费用（包括未列明而完成交验所必须的所有费用、材料、工具、设施）。</w:t>
      </w:r>
    </w:p>
    <w:p w14:paraId="12A86420">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14:paraId="30A41791">
      <w:pPr>
        <w:autoSpaceDE w:val="0"/>
        <w:autoSpaceDN w:val="0"/>
        <w:adjustRightInd w:val="0"/>
        <w:snapToGrid w:val="0"/>
        <w:spacing w:before="156" w:beforeLines="50" w:line="300" w:lineRule="auto"/>
        <w:ind w:firstLine="569" w:firstLineChars="236"/>
        <w:jc w:val="left"/>
        <w:rPr>
          <w:rFonts w:ascii="宋体" w:hAnsi="宋体"/>
          <w:b/>
          <w:color w:val="auto"/>
          <w:sz w:val="24"/>
          <w:szCs w:val="24"/>
        </w:rPr>
      </w:pPr>
      <w:r>
        <w:rPr>
          <w:rFonts w:hint="eastAsia" w:ascii="宋体" w:hAnsi="宋体"/>
          <w:b/>
          <w:color w:val="auto"/>
          <w:sz w:val="24"/>
          <w:szCs w:val="24"/>
        </w:rPr>
        <w:t>价</w:t>
      </w:r>
      <w:r>
        <w:rPr>
          <w:rFonts w:ascii="宋体" w:hAnsi="宋体"/>
          <w:b/>
          <w:color w:val="auto"/>
          <w:sz w:val="24"/>
          <w:szCs w:val="24"/>
        </w:rPr>
        <w:t>格谈</w:t>
      </w:r>
      <w:r>
        <w:rPr>
          <w:rFonts w:hint="eastAsia" w:ascii="宋体" w:hAnsi="宋体"/>
          <w:b/>
          <w:color w:val="auto"/>
          <w:sz w:val="24"/>
          <w:szCs w:val="24"/>
        </w:rPr>
        <w:t>判</w:t>
      </w:r>
      <w:r>
        <w:rPr>
          <w:rFonts w:ascii="宋体" w:hAnsi="宋体"/>
          <w:b/>
          <w:color w:val="auto"/>
          <w:sz w:val="24"/>
          <w:szCs w:val="24"/>
        </w:rPr>
        <w:t>规</w:t>
      </w:r>
      <w:r>
        <w:rPr>
          <w:rFonts w:hint="eastAsia" w:ascii="宋体" w:hAnsi="宋体"/>
          <w:b/>
          <w:color w:val="auto"/>
          <w:sz w:val="24"/>
          <w:szCs w:val="24"/>
        </w:rPr>
        <w:t>则</w:t>
      </w:r>
      <w:r>
        <w:rPr>
          <w:rFonts w:ascii="宋体" w:hAnsi="宋体"/>
          <w:b/>
          <w:color w:val="auto"/>
          <w:sz w:val="24"/>
          <w:szCs w:val="24"/>
        </w:rPr>
        <w:t>详见第四章</w:t>
      </w:r>
      <w:r>
        <w:rPr>
          <w:rFonts w:hint="eastAsia" w:ascii="宋体" w:hAnsi="宋体"/>
          <w:b/>
          <w:color w:val="auto"/>
          <w:sz w:val="24"/>
          <w:szCs w:val="24"/>
        </w:rPr>
        <w:t>“评审办法”</w:t>
      </w:r>
      <w:r>
        <w:rPr>
          <w:rFonts w:ascii="宋体" w:hAnsi="宋体"/>
          <w:b/>
          <w:color w:val="auto"/>
          <w:sz w:val="24"/>
          <w:szCs w:val="24"/>
        </w:rPr>
        <w:t>第</w:t>
      </w:r>
      <w:r>
        <w:rPr>
          <w:rFonts w:hint="eastAsia" w:ascii="宋体" w:hAnsi="宋体"/>
          <w:b/>
          <w:color w:val="auto"/>
          <w:sz w:val="24"/>
          <w:szCs w:val="24"/>
        </w:rPr>
        <w:t>“</w:t>
      </w:r>
      <w:r>
        <w:rPr>
          <w:rFonts w:ascii="宋体" w:hAnsi="宋体"/>
          <w:b/>
          <w:color w:val="auto"/>
          <w:sz w:val="24"/>
          <w:szCs w:val="24"/>
        </w:rPr>
        <w:t xml:space="preserve">3.5.7 </w:t>
      </w:r>
      <w:r>
        <w:rPr>
          <w:rFonts w:hint="eastAsia" w:ascii="宋体" w:hAnsi="宋体"/>
          <w:b/>
          <w:color w:val="auto"/>
          <w:sz w:val="24"/>
          <w:szCs w:val="24"/>
        </w:rPr>
        <w:t>价格谈判”</w:t>
      </w:r>
      <w:r>
        <w:rPr>
          <w:rFonts w:ascii="宋体" w:hAnsi="宋体"/>
          <w:b/>
          <w:color w:val="auto"/>
          <w:sz w:val="24"/>
          <w:szCs w:val="24"/>
        </w:rPr>
        <w:t>条款</w:t>
      </w:r>
      <w:r>
        <w:rPr>
          <w:rFonts w:hint="eastAsia" w:ascii="宋体" w:hAnsi="宋体"/>
          <w:b/>
          <w:color w:val="auto"/>
          <w:sz w:val="24"/>
          <w:szCs w:val="24"/>
        </w:rPr>
        <w:t>。</w:t>
      </w:r>
    </w:p>
    <w:p w14:paraId="46A492A8">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如投标人的投标报价未超过预算金额（见谈判公告</w:t>
      </w:r>
      <w:r>
        <w:rPr>
          <w:rFonts w:ascii="宋体" w:hAnsi="宋体"/>
          <w:color w:val="auto"/>
          <w:sz w:val="24"/>
          <w:szCs w:val="24"/>
        </w:rPr>
        <w:t>1.</w:t>
      </w:r>
      <w:r>
        <w:rPr>
          <w:rFonts w:hint="eastAsia" w:ascii="宋体" w:hAnsi="宋体"/>
          <w:color w:val="auto"/>
          <w:sz w:val="24"/>
          <w:szCs w:val="24"/>
        </w:rPr>
        <w:t>4）的供应商不足三家的，该标段（包）做废标处理。</w:t>
      </w:r>
    </w:p>
    <w:p w14:paraId="511015F8">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1.3.4</w:t>
      </w:r>
      <w:r>
        <w:rPr>
          <w:rFonts w:hint="eastAsia" w:ascii="宋体" w:hAnsi="宋体"/>
          <w:color w:val="auto"/>
          <w:sz w:val="24"/>
          <w:szCs w:val="24"/>
        </w:rPr>
        <w:t>遵循第三章投标人须知</w:t>
      </w:r>
      <w:r>
        <w:rPr>
          <w:rFonts w:ascii="宋体" w:hAnsi="宋体"/>
          <w:color w:val="auto"/>
          <w:sz w:val="24"/>
          <w:szCs w:val="24"/>
        </w:rPr>
        <w:t>3.7.</w:t>
      </w:r>
      <w:r>
        <w:rPr>
          <w:rFonts w:hint="eastAsia" w:ascii="宋体" w:hAnsi="宋体"/>
          <w:color w:val="auto"/>
          <w:sz w:val="24"/>
          <w:szCs w:val="24"/>
        </w:rPr>
        <w:t>5项规定。</w:t>
      </w:r>
    </w:p>
    <w:p w14:paraId="04C90B8C">
      <w:pPr>
        <w:spacing w:line="560" w:lineRule="exact"/>
        <w:ind w:firstLine="562" w:firstLineChars="200"/>
        <w:rPr>
          <w:rFonts w:ascii="黑体" w:hAnsi="黑体" w:eastAsia="黑体"/>
          <w:b/>
          <w:color w:val="0000FF"/>
          <w:sz w:val="28"/>
        </w:rPr>
      </w:pPr>
    </w:p>
    <w:p w14:paraId="3FFDD549">
      <w:pPr>
        <w:spacing w:line="560" w:lineRule="exact"/>
        <w:ind w:firstLine="562" w:firstLineChars="200"/>
        <w:outlineLvl w:val="1"/>
        <w:rPr>
          <w:rFonts w:ascii="黑体" w:hAnsi="黑体" w:eastAsia="黑体"/>
          <w:b/>
          <w:color w:val="auto"/>
          <w:sz w:val="28"/>
        </w:rPr>
      </w:pPr>
      <w:bookmarkStart w:id="14" w:name="_Toc65679076"/>
      <w:r>
        <w:rPr>
          <w:rFonts w:ascii="黑体" w:hAnsi="黑体" w:eastAsia="黑体"/>
          <w:b/>
          <w:color w:val="auto"/>
          <w:sz w:val="28"/>
        </w:rPr>
        <w:t xml:space="preserve">2. </w:t>
      </w:r>
      <w:r>
        <w:rPr>
          <w:rFonts w:hint="eastAsia" w:ascii="黑体" w:hAnsi="黑体" w:eastAsia="黑体"/>
          <w:b/>
          <w:color w:val="auto"/>
          <w:sz w:val="28"/>
        </w:rPr>
        <w:t>标段（包）内容（范围）及基本技术要求</w:t>
      </w:r>
      <w:bookmarkEnd w:id="14"/>
    </w:p>
    <w:p w14:paraId="28E2A953">
      <w:pPr>
        <w:widowControl w:val="0"/>
        <w:adjustRightInd w:val="0"/>
        <w:snapToGrid w:val="0"/>
        <w:spacing w:before="156" w:beforeLines="50" w:line="300" w:lineRule="auto"/>
        <w:ind w:firstLine="463" w:firstLineChars="192"/>
        <w:rPr>
          <w:rFonts w:ascii="宋体"/>
          <w:b/>
          <w:color w:val="auto"/>
          <w:sz w:val="24"/>
          <w:szCs w:val="24"/>
        </w:rPr>
      </w:pPr>
      <w:r>
        <w:rPr>
          <w:rFonts w:hint="eastAsia" w:ascii="宋体" w:hAnsi="宋体"/>
          <w:b/>
          <w:color w:val="auto"/>
          <w:sz w:val="24"/>
          <w:szCs w:val="24"/>
        </w:rPr>
        <w:t>2.1 工程概况：</w:t>
      </w:r>
    </w:p>
    <w:p w14:paraId="0CA9F521">
      <w:pPr>
        <w:widowControl w:val="0"/>
        <w:adjustRightInd w:val="0"/>
        <w:snapToGrid w:val="0"/>
        <w:spacing w:before="156" w:beforeLines="50" w:line="300" w:lineRule="auto"/>
        <w:ind w:firstLine="460" w:firstLineChars="19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本项目为安阳职业技术学院东校区扩建室外高压配电工程项目。工程位于安阳市高新区南外环与中华路交叉口东北角（安阳职业技术学院医药卫生学院院内）。</w:t>
      </w:r>
      <w:r>
        <w:rPr>
          <w:rFonts w:hint="eastAsia"/>
          <w:color w:val="000000" w:themeColor="text1"/>
          <w:sz w:val="24"/>
          <w:szCs w:val="24"/>
          <w:highlight w:val="none"/>
          <w14:textFill>
            <w14:solidFill>
              <w14:schemeClr w14:val="tx1"/>
            </w14:solidFill>
          </w14:textFill>
        </w:rPr>
        <w:t>高压用电方案经安阳市供电局审批，设计方案由安阳优创电力设计院设计。</w:t>
      </w:r>
      <w:r>
        <w:rPr>
          <w:rFonts w:hint="eastAsia"/>
          <w:color w:val="000000" w:themeColor="text1"/>
          <w:sz w:val="24"/>
          <w:szCs w:val="24"/>
          <w14:textFill>
            <w14:solidFill>
              <w14:schemeClr w14:val="tx1"/>
            </w14:solidFill>
          </w14:textFill>
        </w:rPr>
        <w:t>主要建设内容为两条10KV室外高压电缆接入校内主配电室。其一，长25#（金沙大道线）中华路南段4#环网箱接入东校区扩建新建后勤综合楼主配电室；其二，长2#（南外环线）南外环55#杆接入东校区扩建新建后勤综合楼主配电室。其三，主配电室与其他分支配电室的连接电缆等。（施工内容主要为安阳职业技术学院东校区扩建工程配电项目室外图纸除室内高压配电室设备和室外箱变设备外所有施工内容，含电缆、落地开关柜、柱上开关等，并负责与图纸上有关的配电设备连接和必要的检测。相关工程量以采购人提供的施工图纸、工程量清单范围内全部施工内容，并不仅限于此）。</w:t>
      </w:r>
    </w:p>
    <w:p w14:paraId="37D972C1">
      <w:pPr>
        <w:widowControl w:val="0"/>
        <w:adjustRightInd w:val="0"/>
        <w:snapToGrid w:val="0"/>
        <w:spacing w:before="156" w:beforeLines="50" w:line="300" w:lineRule="auto"/>
        <w:ind w:firstLine="463" w:firstLineChars="192"/>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2.2工程建设标准及技术规范：</w:t>
      </w:r>
    </w:p>
    <w:p w14:paraId="78A40C5F">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）施工验收规范、规程及标准</w:t>
      </w:r>
    </w:p>
    <w:p w14:paraId="6B3A14F9">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采购工程项目的材料（工程设备）、施工须达到现行国家、河南省以及安阳市建设部门或行业的工程建设标准、规范的要求；本采购工程项目的材料（工程设备），应优先选购采用环保生产工艺、使用环保材料产品，优先选购具有自主知识产权的产品。</w:t>
      </w:r>
    </w:p>
    <w:p w14:paraId="4B764693">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施工方案的编制要符合国家、地方现行的技术规范、标准。</w:t>
      </w:r>
    </w:p>
    <w:p w14:paraId="42BB81A4">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）施工安全管理规范、规程及规定</w:t>
      </w:r>
    </w:p>
    <w:p w14:paraId="55B95EB9">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《建筑机械使用安全技术规程》</w:t>
      </w:r>
    </w:p>
    <w:p w14:paraId="67C35B23">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《施工现场临时用电安全技术规范》</w:t>
      </w:r>
    </w:p>
    <w:p w14:paraId="2A21F740">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《建筑施工高处作业安全技术规范》</w:t>
      </w:r>
    </w:p>
    <w:p w14:paraId="3548E9B3">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河南省建设厅及安阳市有关部门关于建筑施工现场安全管理的有关规定。</w:t>
      </w:r>
    </w:p>
    <w:p w14:paraId="01ECBD2B">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）施工中涉及到的规范、规程和标准及相关技术要求。</w:t>
      </w:r>
    </w:p>
    <w:p w14:paraId="18E53131">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）采购人或监理工程师依据本工程的特点和具体情况以及国家现行规范、规程和标准制定的本工程特定适用的有关补充规定或要求。</w:t>
      </w:r>
    </w:p>
    <w:p w14:paraId="7ACBEEE2">
      <w:pPr>
        <w:widowControl w:val="0"/>
        <w:adjustRightInd w:val="0"/>
        <w:snapToGrid w:val="0"/>
        <w:spacing w:before="156" w:beforeLines="50" w:line="300" w:lineRule="auto"/>
        <w:ind w:firstLine="460" w:firstLineChars="192"/>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在合同有效期内，如相关主管部门对上述的规范、规程、标准等进行了修订或更新，或者采购人（或监理工程师）对其制定的相关补充规定或要求进行了修订，则成交供应商应以更新或修订后的版本为准，并予以执行。</w:t>
      </w:r>
    </w:p>
    <w:p w14:paraId="31D50521">
      <w:pPr>
        <w:widowControl w:val="0"/>
        <w:adjustRightInd w:val="0"/>
        <w:snapToGrid w:val="0"/>
        <w:spacing w:before="156" w:beforeLines="50" w:line="300" w:lineRule="auto"/>
        <w:ind w:firstLine="463" w:firstLineChars="19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2.3 主要工程量概况（含拆除、材料购置、安装及施工、垃圾清运等）</w:t>
      </w:r>
    </w:p>
    <w:p w14:paraId="6368B656">
      <w:pPr>
        <w:widowControl w:val="0"/>
        <w:adjustRightInd w:val="0"/>
        <w:snapToGrid w:val="0"/>
        <w:spacing w:before="156" w:beforeLines="50" w:line="300" w:lineRule="auto"/>
        <w:ind w:firstLine="463" w:firstLineChars="192"/>
        <w:rPr>
          <w:rFonts w:ascii="宋体" w:hAnsi="宋体"/>
          <w:b/>
          <w:color w:val="FF0000"/>
          <w:sz w:val="24"/>
          <w:szCs w:val="24"/>
        </w:rPr>
      </w:pPr>
      <w:r>
        <w:rPr>
          <w:rFonts w:hint="eastAsia" w:ascii="宋体" w:hAnsi="宋体"/>
          <w:b/>
          <w:color w:val="000000" w:themeColor="text1"/>
          <w:sz w:val="24"/>
          <w:szCs w:val="24"/>
          <w14:textFill>
            <w14:solidFill>
              <w14:schemeClr w14:val="tx1"/>
            </w14:solidFill>
          </w14:textFill>
        </w:rPr>
        <w:t>一、主要工程量</w:t>
      </w:r>
    </w:p>
    <w:tbl>
      <w:tblPr>
        <w:tblStyle w:val="15"/>
        <w:tblW w:w="9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387"/>
        <w:gridCol w:w="1428"/>
        <w:gridCol w:w="4061"/>
        <w:gridCol w:w="771"/>
        <w:gridCol w:w="1151"/>
      </w:tblGrid>
      <w:tr w14:paraId="6C16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913FE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color="000000"/>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4F31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color="000000"/>
                <w:lang w:val="en-US" w:eastAsia="zh-CN" w:bidi="ar"/>
              </w:rPr>
              <w:t>项目编码</w:t>
            </w:r>
          </w:p>
        </w:tc>
        <w:tc>
          <w:tcPr>
            <w:tcW w:w="14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9E132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color="000000"/>
                <w:lang w:val="en-US" w:eastAsia="zh-CN" w:bidi="ar"/>
              </w:rPr>
              <w:t>项目名称</w:t>
            </w:r>
          </w:p>
        </w:tc>
        <w:tc>
          <w:tcPr>
            <w:tcW w:w="406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99AD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color="000000"/>
                <w:lang w:val="en-US" w:eastAsia="zh-CN" w:bidi="ar"/>
              </w:rPr>
              <w:t>项目特征描述</w:t>
            </w:r>
          </w:p>
        </w:tc>
        <w:tc>
          <w:tcPr>
            <w:tcW w:w="7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FA8C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color="000000"/>
                <w:lang w:val="en-US" w:eastAsia="zh-CN" w:bidi="ar"/>
              </w:rPr>
              <w:t>计量单位</w:t>
            </w:r>
          </w:p>
        </w:tc>
        <w:tc>
          <w:tcPr>
            <w:tcW w:w="11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580E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color="000000"/>
                <w:lang w:val="en-US" w:eastAsia="zh-CN" w:bidi="ar"/>
              </w:rPr>
              <w:t>工程量</w:t>
            </w:r>
          </w:p>
        </w:tc>
      </w:tr>
      <w:tr w14:paraId="3826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A25AB35">
            <w:pPr>
              <w:jc w:val="center"/>
              <w:rPr>
                <w:rFonts w:hint="eastAsia" w:ascii="宋体" w:hAnsi="宋体" w:eastAsia="宋体" w:cs="宋体"/>
                <w:b/>
                <w:bCs/>
                <w:i w:val="0"/>
                <w:iCs w:val="0"/>
                <w:color w:val="000000"/>
                <w:sz w:val="18"/>
                <w:szCs w:val="18"/>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A43D1E">
            <w:pPr>
              <w:jc w:val="center"/>
              <w:rPr>
                <w:rFonts w:hint="eastAsia" w:ascii="宋体" w:hAnsi="宋体" w:eastAsia="宋体" w:cs="宋体"/>
                <w:b/>
                <w:bCs/>
                <w:i w:val="0"/>
                <w:iCs w:val="0"/>
                <w:color w:val="000000"/>
                <w:sz w:val="18"/>
                <w:szCs w:val="18"/>
                <w:u w:val="none"/>
              </w:rPr>
            </w:pPr>
          </w:p>
        </w:tc>
        <w:tc>
          <w:tcPr>
            <w:tcW w:w="14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856C83">
            <w:pPr>
              <w:jc w:val="center"/>
              <w:rPr>
                <w:rFonts w:hint="eastAsia" w:ascii="宋体" w:hAnsi="宋体" w:eastAsia="宋体" w:cs="宋体"/>
                <w:b/>
                <w:bCs/>
                <w:i w:val="0"/>
                <w:iCs w:val="0"/>
                <w:color w:val="000000"/>
                <w:sz w:val="18"/>
                <w:szCs w:val="18"/>
                <w:u w:val="none"/>
              </w:rPr>
            </w:pPr>
          </w:p>
        </w:tc>
        <w:tc>
          <w:tcPr>
            <w:tcW w:w="40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7B6B91">
            <w:pPr>
              <w:jc w:val="center"/>
              <w:rPr>
                <w:rFonts w:hint="eastAsia" w:ascii="宋体" w:hAnsi="宋体" w:eastAsia="宋体" w:cs="宋体"/>
                <w:b/>
                <w:bCs/>
                <w:i w:val="0"/>
                <w:iCs w:val="0"/>
                <w:color w:val="000000"/>
                <w:sz w:val="18"/>
                <w:szCs w:val="18"/>
                <w:u w:val="none"/>
              </w:rPr>
            </w:pPr>
          </w:p>
        </w:tc>
        <w:tc>
          <w:tcPr>
            <w:tcW w:w="7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2B65C2">
            <w:pPr>
              <w:jc w:val="center"/>
              <w:rPr>
                <w:rFonts w:hint="eastAsia" w:ascii="宋体" w:hAnsi="宋体" w:eastAsia="宋体" w:cs="宋体"/>
                <w:b/>
                <w:bCs/>
                <w:i w:val="0"/>
                <w:iCs w:val="0"/>
                <w:color w:val="000000"/>
                <w:sz w:val="18"/>
                <w:szCs w:val="18"/>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1EFEB6">
            <w:pPr>
              <w:jc w:val="center"/>
              <w:rPr>
                <w:rFonts w:hint="eastAsia" w:ascii="宋体" w:hAnsi="宋体" w:eastAsia="宋体" w:cs="宋体"/>
                <w:b/>
                <w:bCs/>
                <w:i w:val="0"/>
                <w:iCs w:val="0"/>
                <w:color w:val="000000"/>
                <w:sz w:val="18"/>
                <w:szCs w:val="18"/>
                <w:u w:val="none"/>
              </w:rPr>
            </w:pPr>
          </w:p>
        </w:tc>
      </w:tr>
      <w:tr w14:paraId="0D20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D1C09D5">
            <w:pPr>
              <w:jc w:val="center"/>
              <w:rPr>
                <w:rFonts w:hint="eastAsia" w:ascii="宋体" w:hAnsi="宋体" w:eastAsia="宋体" w:cs="宋体"/>
                <w:b/>
                <w:bCs/>
                <w:i w:val="0"/>
                <w:iCs w:val="0"/>
                <w:color w:val="000000"/>
                <w:sz w:val="18"/>
                <w:szCs w:val="18"/>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1D6C38">
            <w:pPr>
              <w:jc w:val="center"/>
              <w:rPr>
                <w:rFonts w:hint="eastAsia" w:ascii="宋体" w:hAnsi="宋体" w:eastAsia="宋体" w:cs="宋体"/>
                <w:b/>
                <w:bCs/>
                <w:i w:val="0"/>
                <w:iCs w:val="0"/>
                <w:color w:val="000000"/>
                <w:sz w:val="18"/>
                <w:szCs w:val="18"/>
                <w:u w:val="none"/>
              </w:rPr>
            </w:pPr>
          </w:p>
        </w:tc>
        <w:tc>
          <w:tcPr>
            <w:tcW w:w="14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6C6BEB">
            <w:pPr>
              <w:jc w:val="center"/>
              <w:rPr>
                <w:rFonts w:hint="eastAsia" w:ascii="宋体" w:hAnsi="宋体" w:eastAsia="宋体" w:cs="宋体"/>
                <w:b/>
                <w:bCs/>
                <w:i w:val="0"/>
                <w:iCs w:val="0"/>
                <w:color w:val="000000"/>
                <w:sz w:val="18"/>
                <w:szCs w:val="18"/>
                <w:u w:val="none"/>
              </w:rPr>
            </w:pPr>
          </w:p>
        </w:tc>
        <w:tc>
          <w:tcPr>
            <w:tcW w:w="40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FDEB44">
            <w:pPr>
              <w:jc w:val="center"/>
              <w:rPr>
                <w:rFonts w:hint="eastAsia" w:ascii="宋体" w:hAnsi="宋体" w:eastAsia="宋体" w:cs="宋体"/>
                <w:b/>
                <w:bCs/>
                <w:i w:val="0"/>
                <w:iCs w:val="0"/>
                <w:color w:val="000000"/>
                <w:sz w:val="18"/>
                <w:szCs w:val="18"/>
                <w:u w:val="none"/>
              </w:rPr>
            </w:pPr>
          </w:p>
        </w:tc>
        <w:tc>
          <w:tcPr>
            <w:tcW w:w="7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2D977C">
            <w:pPr>
              <w:jc w:val="center"/>
              <w:rPr>
                <w:rFonts w:hint="eastAsia" w:ascii="宋体" w:hAnsi="宋体" w:eastAsia="宋体" w:cs="宋体"/>
                <w:b/>
                <w:bCs/>
                <w:i w:val="0"/>
                <w:iCs w:val="0"/>
                <w:color w:val="000000"/>
                <w:sz w:val="18"/>
                <w:szCs w:val="18"/>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D023EC">
            <w:pPr>
              <w:jc w:val="center"/>
              <w:rPr>
                <w:rFonts w:hint="eastAsia" w:ascii="宋体" w:hAnsi="宋体" w:eastAsia="宋体" w:cs="宋体"/>
                <w:b/>
                <w:bCs/>
                <w:i w:val="0"/>
                <w:iCs w:val="0"/>
                <w:color w:val="000000"/>
                <w:sz w:val="18"/>
                <w:szCs w:val="18"/>
                <w:u w:val="none"/>
              </w:rPr>
            </w:pPr>
          </w:p>
        </w:tc>
      </w:tr>
      <w:tr w14:paraId="0E06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C39262">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1DB53">
            <w:pPr>
              <w:jc w:val="left"/>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85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整个项目</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503D4">
            <w:pPr>
              <w:jc w:val="lef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47F3B">
            <w:pPr>
              <w:jc w:val="left"/>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95A72">
            <w:pPr>
              <w:jc w:val="center"/>
              <w:rPr>
                <w:rFonts w:hint="eastAsia" w:ascii="宋体" w:hAnsi="宋体" w:eastAsia="宋体" w:cs="宋体"/>
                <w:i w:val="0"/>
                <w:iCs w:val="0"/>
                <w:color w:val="000000"/>
                <w:sz w:val="18"/>
                <w:szCs w:val="18"/>
                <w:u w:val="none"/>
              </w:rPr>
            </w:pPr>
          </w:p>
        </w:tc>
      </w:tr>
      <w:tr w14:paraId="14DA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54C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FC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040101003001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91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挖基坑土方</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F4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1.土壤类别:一、二类土</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2.挖土深度:4m内</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6A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m3</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34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231.58</w:t>
            </w:r>
          </w:p>
        </w:tc>
      </w:tr>
      <w:tr w14:paraId="2990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5BD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1C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040103002001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18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余方弃置</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CB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1.废弃料品种:弃土</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2.运距:5km</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47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m3</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73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167.14</w:t>
            </w:r>
          </w:p>
        </w:tc>
      </w:tr>
      <w:tr w14:paraId="0DFD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71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B0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040103001001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24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回填方</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58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1.密实度要求:符合规范要求</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2.填方材料品种:现场土</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3.填方来源、运距:自行考虑</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4C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m3</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73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64.44</w:t>
            </w:r>
          </w:p>
        </w:tc>
      </w:tr>
      <w:tr w14:paraId="6CA7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883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EA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040501008001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E0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水平导向钻进</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F7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1.土壤类别:场内土</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2.材质及规格:2根Φ200*10mmMPP</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3.钻导向孔、扩孔、回拖布管等</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4.其他做法详见规范要求</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83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m</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69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793</w:t>
            </w:r>
          </w:p>
        </w:tc>
      </w:tr>
      <w:tr w14:paraId="282D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3FC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D6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030408001002</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3A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电力电缆</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8C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1.名称:电力电缆</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2.型号规格:ZC-YJLV22-8.7/15-3*185mm2</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3.材质:铝质</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93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m</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4C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942.0</w:t>
            </w:r>
          </w:p>
        </w:tc>
      </w:tr>
      <w:tr w14:paraId="52A3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1AF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9F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030408001003</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4C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电力电缆</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1D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1.名称:电力电缆</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2.型号规格:ZC-YJLV22-8.7/15-3*120mm2</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3.材质:铝质</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DD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m</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64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1074.0</w:t>
            </w:r>
          </w:p>
        </w:tc>
      </w:tr>
      <w:tr w14:paraId="4137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36B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6C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030408001004</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CF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电力电缆</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3D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1.名称:电力电缆</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2.型号规格:ZC-YJLV22-8.7/15-3*70mm2</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3.材质:铝质</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A7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m</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CC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716.0</w:t>
            </w:r>
          </w:p>
        </w:tc>
      </w:tr>
      <w:tr w14:paraId="68A3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D03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70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030408006001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B0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电力电缆头</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8C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1.名称:电力电缆终端头</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2.型号:热缩式</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3.规格:3*185mm2</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4.材质、类型:铝芯</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5.安装部位:户外</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6.电压等级（kV):8.5/15</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1B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个</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7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r>
      <w:tr w14:paraId="1DE2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5DE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99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030408006004</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45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电力电缆头</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76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1.名称:电力电缆终端头</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2.型号:热缩式</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3.规格:3*185mm2</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4.材质、类型:铝芯</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5.安装部位:户内</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6.电压等级（kV):8.5/15</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64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个</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44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3</w:t>
            </w:r>
          </w:p>
        </w:tc>
      </w:tr>
      <w:tr w14:paraId="563E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4E5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28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030404017001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C2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配电箱</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CC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1.名称:户外落地开关</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2.型号:XGN66-12</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3.规格:外箱尺寸1500*1300*2300mm</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A3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台</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CE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r>
      <w:tr w14:paraId="5DA4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270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CB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040504001002</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8C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砌筑井（户外落地开关砌筑井）</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DD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1.材质及厚度:基座及上平面均C25混凝土Φ16@150HRB335级钢筋</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2.砌筑材料品种、规格、强度等级:M7.5水泥砂浆砌筑混凝土砖MU10</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3.接地线用50*5镀锌扁钢制作；接地极用50*5角钢，预埋件均镀锌防腐，焊接处刷沥青防腐</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4.盖板材质、规格:Φ700球墨铸铁井盖</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5.其它:详见图纸、规范及其它相关规范</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37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座</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F3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r>
      <w:tr w14:paraId="7A79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AB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C1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030410004001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40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杆上设备</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E3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1.名称:柱上开关</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2.规格型号：ZW32-12/630</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3.具体做法详见图纸</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C9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台</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25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r>
      <w:tr w14:paraId="7276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86F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30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040504002001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ED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混凝土井</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F0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1.名称:（6.0~10.0）*1.6*1.9钢筋混凝土转弯电缆井（E-2-3）</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2.垫层、基础材质及厚度:100厚C15商品混凝土</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3.混凝土强度等级:除垫层外均为C30</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4.沟壁:1：2.5防水砂浆抹面（掺5%防水剂）</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5.井盖、井圈材质及规格:Φ700球墨铸铁井盖</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6.含钢筋制作、安装，含模板制作、安装及拆除</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7.具体做法详见图纸</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7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座</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C5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r>
      <w:tr w14:paraId="58A6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83B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F1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040504002002</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E0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混凝土井</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D8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1.名称:（6.0~10.0）*2.0*1.9钢筋混凝土转弯电缆井（E-2-5）</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2.垫层、基础材质及厚度:100厚C15商品混凝土</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3.混凝土强度等级:除垫层外均为C30</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4.沟壁:1：2.5防水砂浆抹面（掺5%防水剂）</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5.井盖、井圈材质及规格:Φ700球墨铸铁井盖</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6.含钢筋制作、安装，含模板制作、安装及拆除</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7.具体做法详见图纸</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14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座</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C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w:t>
            </w:r>
          </w:p>
        </w:tc>
      </w:tr>
      <w:tr w14:paraId="2A7B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85DE1E">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16558">
            <w:pPr>
              <w:jc w:val="left"/>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72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措施项目</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AC5CF">
            <w:pPr>
              <w:jc w:val="left"/>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AC3D6">
            <w:pPr>
              <w:jc w:val="left"/>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7A4F8">
            <w:pPr>
              <w:jc w:val="center"/>
              <w:rPr>
                <w:rFonts w:hint="eastAsia" w:ascii="宋体" w:hAnsi="宋体" w:eastAsia="宋体" w:cs="宋体"/>
                <w:i w:val="0"/>
                <w:iCs w:val="0"/>
                <w:color w:val="000000"/>
                <w:sz w:val="18"/>
                <w:szCs w:val="18"/>
                <w:u w:val="none"/>
              </w:rPr>
            </w:pPr>
          </w:p>
        </w:tc>
      </w:tr>
      <w:tr w14:paraId="3838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78F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C4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011705001001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5B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大型机械设备进出场及安拆</w:t>
            </w:r>
          </w:p>
        </w:tc>
        <w:tc>
          <w:tcPr>
            <w:tcW w:w="4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E4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1.机械设备名称:履带式挖掘机</w:t>
            </w:r>
          </w:p>
        </w:tc>
        <w:tc>
          <w:tcPr>
            <w:tcW w:w="7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EE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台·次</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21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w:t>
            </w:r>
          </w:p>
        </w:tc>
      </w:tr>
    </w:tbl>
    <w:p w14:paraId="6CC6181D">
      <w:pPr>
        <w:spacing w:line="560" w:lineRule="exact"/>
        <w:ind w:firstLine="482" w:firstLineChars="200"/>
        <w:rPr>
          <w:rFonts w:ascii="宋体" w:hAnsi="宋体"/>
          <w:b/>
          <w:color w:val="auto"/>
          <w:sz w:val="24"/>
          <w:szCs w:val="24"/>
        </w:rPr>
      </w:pPr>
    </w:p>
    <w:p w14:paraId="7E3A9F03">
      <w:pPr>
        <w:spacing w:line="560" w:lineRule="exact"/>
        <w:ind w:firstLine="482" w:firstLineChars="200"/>
        <w:rPr>
          <w:rFonts w:ascii="宋体" w:hAnsi="宋体"/>
          <w:b/>
          <w:color w:val="auto"/>
          <w:sz w:val="24"/>
          <w:szCs w:val="24"/>
        </w:rPr>
      </w:pPr>
      <w:r>
        <w:rPr>
          <w:rFonts w:hint="eastAsia" w:ascii="宋体" w:hAnsi="宋体"/>
          <w:b/>
          <w:color w:val="auto"/>
          <w:sz w:val="24"/>
          <w:szCs w:val="24"/>
        </w:rPr>
        <w:t>二、施工内容及要求</w:t>
      </w:r>
    </w:p>
    <w:p w14:paraId="00017BE9">
      <w:pPr>
        <w:ind w:firstLine="480" w:firstLineChars="200"/>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rPr>
        <w:t>本次采购项目为安阳职业技术学院东校区扩建室外高压配电工程项目，投标人应对工程</w:t>
      </w:r>
      <w:r>
        <w:rPr>
          <w:rFonts w:hint="eastAsia" w:asciiTheme="minorEastAsia" w:hAnsiTheme="minorEastAsia" w:eastAsiaTheme="minorEastAsia"/>
          <w:color w:val="000000" w:themeColor="text1"/>
          <w:sz w:val="24"/>
          <w:szCs w:val="24"/>
          <w:lang w:eastAsia="zh-CN"/>
          <w14:textFill>
            <w14:solidFill>
              <w14:schemeClr w14:val="tx1"/>
            </w14:solidFill>
          </w14:textFill>
        </w:rPr>
        <w:t>施工内容、</w:t>
      </w:r>
      <w:r>
        <w:rPr>
          <w:rFonts w:hint="eastAsia" w:asciiTheme="minorEastAsia" w:hAnsiTheme="minorEastAsia" w:eastAsiaTheme="minorEastAsia"/>
          <w:color w:val="000000" w:themeColor="text1"/>
          <w:sz w:val="24"/>
          <w:szCs w:val="24"/>
          <w14:textFill>
            <w14:solidFill>
              <w14:schemeClr w14:val="tx1"/>
            </w14:solidFill>
          </w14:textFill>
        </w:rPr>
        <w:t>所需线材、配件等材料数量的不确定因素进行充分考虑。以工程最终完成施工，并通过供电部门验收为准。</w:t>
      </w:r>
      <w:r>
        <w:rPr>
          <w:rFonts w:hint="eastAsia" w:asciiTheme="minorEastAsia" w:hAnsiTheme="minorEastAsia" w:eastAsiaTheme="minorEastAsia"/>
          <w:color w:val="000000" w:themeColor="text1"/>
          <w:sz w:val="24"/>
          <w:szCs w:val="24"/>
          <w:lang w:eastAsia="zh-CN"/>
          <w14:textFill>
            <w14:solidFill>
              <w14:schemeClr w14:val="tx1"/>
            </w14:solidFill>
          </w14:textFill>
        </w:rPr>
        <w:t>招标人不再对合同金额进行任何调整。</w:t>
      </w:r>
    </w:p>
    <w:p w14:paraId="3BF620C9">
      <w:pPr>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1、主要材料清单</w:t>
      </w:r>
    </w:p>
    <w:tbl>
      <w:tblPr>
        <w:tblStyle w:val="15"/>
        <w:tblW w:w="9620" w:type="dxa"/>
        <w:tblInd w:w="93" w:type="dxa"/>
        <w:tblLayout w:type="fixed"/>
        <w:tblCellMar>
          <w:top w:w="0" w:type="dxa"/>
          <w:left w:w="108" w:type="dxa"/>
          <w:bottom w:w="0" w:type="dxa"/>
          <w:right w:w="108" w:type="dxa"/>
        </w:tblCellMar>
      </w:tblPr>
      <w:tblGrid>
        <w:gridCol w:w="836"/>
        <w:gridCol w:w="2955"/>
        <w:gridCol w:w="4074"/>
        <w:gridCol w:w="1755"/>
      </w:tblGrid>
      <w:tr w14:paraId="090D907B">
        <w:tblPrEx>
          <w:tblCellMar>
            <w:top w:w="0" w:type="dxa"/>
            <w:left w:w="108" w:type="dxa"/>
            <w:bottom w:w="0" w:type="dxa"/>
            <w:right w:w="108" w:type="dxa"/>
          </w:tblCellMar>
        </w:tblPrEx>
        <w:trPr>
          <w:trHeight w:val="1245" w:hRule="atLeast"/>
        </w:trPr>
        <w:tc>
          <w:tcPr>
            <w:tcW w:w="836" w:type="dxa"/>
            <w:tcBorders>
              <w:top w:val="single" w:color="000000" w:sz="8" w:space="0"/>
              <w:left w:val="single" w:color="000000" w:sz="8" w:space="0"/>
              <w:bottom w:val="single" w:color="auto" w:sz="4" w:space="0"/>
              <w:right w:val="single" w:color="000000" w:sz="4" w:space="0"/>
            </w:tcBorders>
            <w:shd w:val="clear" w:color="FFFFFF" w:fill="FFFFFF"/>
            <w:vAlign w:val="center"/>
          </w:tcPr>
          <w:p w14:paraId="0768DABE">
            <w:pPr>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2955" w:type="dxa"/>
            <w:tcBorders>
              <w:top w:val="single" w:color="000000" w:sz="8" w:space="0"/>
              <w:left w:val="single" w:color="000000" w:sz="4" w:space="0"/>
              <w:bottom w:val="single" w:color="auto" w:sz="4" w:space="0"/>
              <w:right w:val="single" w:color="000000" w:sz="4" w:space="0"/>
            </w:tcBorders>
            <w:shd w:val="clear" w:color="FFFFFF" w:fill="FFFFFF"/>
            <w:vAlign w:val="center"/>
          </w:tcPr>
          <w:p w14:paraId="0EDA1620">
            <w:pPr>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项目名称</w:t>
            </w:r>
          </w:p>
        </w:tc>
        <w:tc>
          <w:tcPr>
            <w:tcW w:w="582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554C315">
            <w:pPr>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规格要求</w:t>
            </w:r>
          </w:p>
          <w:p w14:paraId="365289CD">
            <w:pPr>
              <w:jc w:val="center"/>
              <w:rPr>
                <w:rFonts w:cs="宋体" w:asciiTheme="minorEastAsia" w:hAnsiTheme="minorEastAsia" w:eastAsiaTheme="minorEastAsia"/>
                <w:b/>
                <w:bCs/>
                <w:color w:val="000000" w:themeColor="text1"/>
                <w:sz w:val="24"/>
                <w:szCs w:val="24"/>
                <w14:textFill>
                  <w14:solidFill>
                    <w14:schemeClr w14:val="tx1"/>
                  </w14:solidFill>
                </w14:textFill>
              </w:rPr>
            </w:pPr>
          </w:p>
        </w:tc>
      </w:tr>
      <w:tr w14:paraId="5973FC6D">
        <w:tblPrEx>
          <w:tblCellMar>
            <w:top w:w="0" w:type="dxa"/>
            <w:left w:w="108" w:type="dxa"/>
            <w:bottom w:w="0" w:type="dxa"/>
            <w:right w:w="108" w:type="dxa"/>
          </w:tblCellMar>
        </w:tblPrEx>
        <w:trPr>
          <w:trHeight w:val="820" w:hRule="atLeast"/>
        </w:trPr>
        <w:tc>
          <w:tcPr>
            <w:tcW w:w="836" w:type="dxa"/>
            <w:tcBorders>
              <w:top w:val="nil"/>
              <w:left w:val="single" w:color="000000" w:sz="8" w:space="0"/>
              <w:bottom w:val="single" w:color="000000" w:sz="4" w:space="0"/>
              <w:right w:val="single" w:color="000000" w:sz="4" w:space="0"/>
            </w:tcBorders>
            <w:shd w:val="clear" w:color="FFFFFF" w:fill="FFFFFF"/>
            <w:vAlign w:val="center"/>
          </w:tcPr>
          <w:p w14:paraId="379E0364">
            <w:pPr>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p>
        </w:tc>
        <w:tc>
          <w:tcPr>
            <w:tcW w:w="2955" w:type="dxa"/>
            <w:tcBorders>
              <w:top w:val="nil"/>
              <w:left w:val="nil"/>
              <w:bottom w:val="single" w:color="000000" w:sz="4" w:space="0"/>
              <w:right w:val="single" w:color="000000" w:sz="4" w:space="0"/>
            </w:tcBorders>
            <w:shd w:val="clear" w:color="FFFFFF" w:fill="FFFFFF"/>
            <w:vAlign w:val="center"/>
          </w:tcPr>
          <w:p w14:paraId="7D6DDC51">
            <w:pPr>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电力电缆1</w:t>
            </w:r>
          </w:p>
        </w:tc>
        <w:tc>
          <w:tcPr>
            <w:tcW w:w="4074" w:type="dxa"/>
            <w:tcBorders>
              <w:top w:val="single" w:color="000000" w:sz="4" w:space="0"/>
              <w:left w:val="nil"/>
              <w:bottom w:val="single" w:color="000000" w:sz="4" w:space="0"/>
              <w:right w:val="single" w:color="000000" w:sz="4" w:space="0"/>
            </w:tcBorders>
            <w:shd w:val="clear" w:color="FFFFFF" w:fill="FFFFFF"/>
            <w:vAlign w:val="center"/>
          </w:tcPr>
          <w:p w14:paraId="6C718E6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规格型号:ZC-YJLV22-8.7/15-3* 185；</w:t>
            </w:r>
          </w:p>
        </w:tc>
        <w:tc>
          <w:tcPr>
            <w:tcW w:w="1755" w:type="dxa"/>
            <w:vMerge w:val="restart"/>
            <w:tcBorders>
              <w:top w:val="nil"/>
              <w:left w:val="nil"/>
              <w:right w:val="single" w:color="000000" w:sz="4" w:space="0"/>
            </w:tcBorders>
            <w:shd w:val="clear" w:color="FFFFFF" w:fill="FFFFFF"/>
            <w:vAlign w:val="center"/>
          </w:tcPr>
          <w:p w14:paraId="7F2E3E25">
            <w:pPr>
              <w:jc w:val="left"/>
              <w:rPr>
                <w:rFonts w:hint="eastAsia"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详见图纸和清单</w:t>
            </w:r>
            <w:r>
              <w:rPr>
                <w:rFonts w:hint="eastAsia" w:cs="宋体" w:asciiTheme="minorEastAsia" w:hAnsiTheme="minorEastAsia" w:eastAsiaTheme="minorEastAsia"/>
                <w:color w:val="000000" w:themeColor="text1"/>
                <w:sz w:val="24"/>
                <w:szCs w:val="24"/>
                <w14:textFill>
                  <w14:solidFill>
                    <w14:schemeClr w14:val="tx1"/>
                  </w14:solidFill>
                </w14:textFill>
              </w:rPr>
              <w:t>（不仅限于此）；</w:t>
            </w:r>
          </w:p>
          <w:p w14:paraId="711D2290">
            <w:pPr>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eastAsia="zh-CN"/>
                <w14:textFill>
                  <w14:solidFill>
                    <w14:schemeClr w14:val="tx1"/>
                  </w14:solidFill>
                </w14:textFill>
              </w:rPr>
              <w:t>供应商需投标时</w:t>
            </w:r>
            <w:r>
              <w:rPr>
                <w:rFonts w:hint="eastAsia" w:cs="宋体" w:asciiTheme="minorEastAsia" w:hAnsiTheme="minorEastAsia" w:eastAsiaTheme="minorEastAsia"/>
                <w:b/>
                <w:bCs/>
                <w:color w:val="000000" w:themeColor="text1"/>
                <w:sz w:val="24"/>
                <w:szCs w:val="24"/>
                <w14:textFill>
                  <w14:solidFill>
                    <w14:schemeClr w14:val="tx1"/>
                  </w14:solidFill>
                </w14:textFill>
              </w:rPr>
              <w:t>提供电力电缆检测报告;</w:t>
            </w:r>
          </w:p>
        </w:tc>
      </w:tr>
      <w:tr w14:paraId="42FFE64C">
        <w:tblPrEx>
          <w:tblCellMar>
            <w:top w:w="0" w:type="dxa"/>
            <w:left w:w="108" w:type="dxa"/>
            <w:bottom w:w="0" w:type="dxa"/>
            <w:right w:w="108" w:type="dxa"/>
          </w:tblCellMar>
        </w:tblPrEx>
        <w:trPr>
          <w:trHeight w:val="766" w:hRule="atLeast"/>
        </w:trPr>
        <w:tc>
          <w:tcPr>
            <w:tcW w:w="836" w:type="dxa"/>
            <w:tcBorders>
              <w:top w:val="single" w:color="auto" w:sz="4" w:space="0"/>
              <w:left w:val="single" w:color="000000" w:sz="8" w:space="0"/>
              <w:bottom w:val="single" w:color="auto" w:sz="4" w:space="0"/>
              <w:right w:val="single" w:color="000000" w:sz="4" w:space="0"/>
            </w:tcBorders>
            <w:shd w:val="clear" w:color="FFFFFF" w:fill="FFFFFF"/>
            <w:vAlign w:val="center"/>
          </w:tcPr>
          <w:p w14:paraId="534B1391">
            <w:pPr>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w:t>
            </w:r>
          </w:p>
        </w:tc>
        <w:tc>
          <w:tcPr>
            <w:tcW w:w="2955" w:type="dxa"/>
            <w:tcBorders>
              <w:top w:val="single" w:color="auto" w:sz="4" w:space="0"/>
              <w:left w:val="nil"/>
              <w:bottom w:val="single" w:color="auto" w:sz="4" w:space="0"/>
              <w:right w:val="single" w:color="000000" w:sz="4" w:space="0"/>
            </w:tcBorders>
            <w:shd w:val="clear" w:color="FFFFFF" w:fill="FFFFFF"/>
            <w:vAlign w:val="center"/>
          </w:tcPr>
          <w:p w14:paraId="628751D5">
            <w:pPr>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电力电缆2</w:t>
            </w:r>
          </w:p>
        </w:tc>
        <w:tc>
          <w:tcPr>
            <w:tcW w:w="4074" w:type="dxa"/>
            <w:tcBorders>
              <w:top w:val="single" w:color="000000" w:sz="4" w:space="0"/>
              <w:left w:val="nil"/>
              <w:bottom w:val="single" w:color="000000" w:sz="4" w:space="0"/>
              <w:right w:val="single" w:color="000000" w:sz="4" w:space="0"/>
            </w:tcBorders>
            <w:shd w:val="clear" w:color="FFFFFF" w:fill="FFFFFF"/>
            <w:vAlign w:val="center"/>
          </w:tcPr>
          <w:p w14:paraId="0F0E4E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型号规格:ZC-YJLV22-8.7/15-3* 120；</w:t>
            </w:r>
          </w:p>
        </w:tc>
        <w:tc>
          <w:tcPr>
            <w:tcW w:w="1755" w:type="dxa"/>
            <w:vMerge w:val="continue"/>
            <w:tcBorders>
              <w:left w:val="nil"/>
              <w:right w:val="single" w:color="000000" w:sz="4" w:space="0"/>
            </w:tcBorders>
            <w:shd w:val="clear" w:color="FFFFFF" w:fill="FFFFFF"/>
            <w:vAlign w:val="center"/>
          </w:tcPr>
          <w:p w14:paraId="0EA4978D">
            <w:pPr>
              <w:jc w:val="right"/>
              <w:rPr>
                <w:rFonts w:cs="宋体" w:asciiTheme="minorEastAsia" w:hAnsiTheme="minorEastAsia" w:eastAsiaTheme="minorEastAsia"/>
                <w:color w:val="000000" w:themeColor="text1"/>
                <w:sz w:val="24"/>
                <w:szCs w:val="24"/>
                <w14:textFill>
                  <w14:solidFill>
                    <w14:schemeClr w14:val="tx1"/>
                  </w14:solidFill>
                </w14:textFill>
              </w:rPr>
            </w:pPr>
          </w:p>
        </w:tc>
      </w:tr>
      <w:tr w14:paraId="1B84C638">
        <w:tblPrEx>
          <w:tblCellMar>
            <w:top w:w="0" w:type="dxa"/>
            <w:left w:w="108" w:type="dxa"/>
            <w:bottom w:w="0" w:type="dxa"/>
            <w:right w:w="108" w:type="dxa"/>
          </w:tblCellMar>
        </w:tblPrEx>
        <w:trPr>
          <w:trHeight w:val="808" w:hRule="atLeast"/>
        </w:trPr>
        <w:tc>
          <w:tcPr>
            <w:tcW w:w="836" w:type="dxa"/>
            <w:tcBorders>
              <w:top w:val="single" w:color="auto" w:sz="4" w:space="0"/>
              <w:left w:val="single" w:color="000000" w:sz="8" w:space="0"/>
              <w:bottom w:val="single" w:color="000000" w:sz="4" w:space="0"/>
              <w:right w:val="single" w:color="000000" w:sz="4" w:space="0"/>
            </w:tcBorders>
            <w:shd w:val="clear" w:color="FFFFFF" w:fill="FFFFFF"/>
            <w:vAlign w:val="center"/>
          </w:tcPr>
          <w:p w14:paraId="7CF9B0E8">
            <w:pPr>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w:t>
            </w:r>
          </w:p>
        </w:tc>
        <w:tc>
          <w:tcPr>
            <w:tcW w:w="2955" w:type="dxa"/>
            <w:tcBorders>
              <w:top w:val="single" w:color="auto" w:sz="4" w:space="0"/>
              <w:left w:val="nil"/>
              <w:bottom w:val="single" w:color="000000" w:sz="4" w:space="0"/>
              <w:right w:val="single" w:color="000000" w:sz="4" w:space="0"/>
            </w:tcBorders>
            <w:shd w:val="clear" w:color="FFFFFF" w:fill="FFFFFF"/>
            <w:vAlign w:val="center"/>
          </w:tcPr>
          <w:p w14:paraId="15A71744">
            <w:pPr>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电力电缆3</w:t>
            </w:r>
          </w:p>
        </w:tc>
        <w:tc>
          <w:tcPr>
            <w:tcW w:w="4074" w:type="dxa"/>
            <w:tcBorders>
              <w:top w:val="single" w:color="000000" w:sz="4" w:space="0"/>
              <w:left w:val="nil"/>
              <w:bottom w:val="single" w:color="000000" w:sz="4" w:space="0"/>
              <w:right w:val="single" w:color="000000" w:sz="4" w:space="0"/>
            </w:tcBorders>
            <w:shd w:val="clear" w:color="FFFFFF" w:fill="FFFFFF"/>
            <w:vAlign w:val="center"/>
          </w:tcPr>
          <w:p w14:paraId="522998F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型号规格:ZC-YJLV22-8.7/15-3*70 ；</w:t>
            </w:r>
          </w:p>
        </w:tc>
        <w:tc>
          <w:tcPr>
            <w:tcW w:w="1755" w:type="dxa"/>
            <w:vMerge w:val="continue"/>
            <w:tcBorders>
              <w:left w:val="nil"/>
              <w:bottom w:val="single" w:color="000000" w:sz="4" w:space="0"/>
              <w:right w:val="single" w:color="000000" w:sz="4" w:space="0"/>
            </w:tcBorders>
            <w:shd w:val="clear" w:color="FFFFFF" w:fill="FFFFFF"/>
            <w:vAlign w:val="center"/>
          </w:tcPr>
          <w:p w14:paraId="7E271AA5">
            <w:pPr>
              <w:ind w:right="480"/>
              <w:rPr>
                <w:rFonts w:cs="宋体" w:asciiTheme="minorEastAsia" w:hAnsiTheme="minorEastAsia" w:eastAsiaTheme="minorEastAsia"/>
                <w:color w:val="000000" w:themeColor="text1"/>
                <w:sz w:val="24"/>
                <w:szCs w:val="24"/>
                <w14:textFill>
                  <w14:solidFill>
                    <w14:schemeClr w14:val="tx1"/>
                  </w14:solidFill>
                </w14:textFill>
              </w:rPr>
            </w:pPr>
          </w:p>
        </w:tc>
      </w:tr>
    </w:tbl>
    <w:p w14:paraId="2CA014ED">
      <w:pPr>
        <w:rPr>
          <w:rFonts w:hint="eastAsia" w:asciiTheme="minorEastAsia" w:hAnsiTheme="minorEastAsia" w:eastAsiaTheme="minorEastAsia"/>
          <w:color w:val="000000" w:themeColor="text1"/>
          <w:sz w:val="24"/>
          <w:szCs w:val="24"/>
          <w14:textFill>
            <w14:solidFill>
              <w14:schemeClr w14:val="tx1"/>
            </w14:solidFill>
          </w14:textFill>
        </w:rPr>
      </w:pPr>
    </w:p>
    <w:p w14:paraId="04117603">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（2）图纸（另附）</w:t>
      </w:r>
    </w:p>
    <w:p w14:paraId="5D1AD8B9">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注：成交供应商所供材料必须符合国家或行业标准，并出示法定检验机构对该产品的质量检验证明。电力电缆材料进场时，需现场取样复试，并提供合格的复试报告。</w:t>
      </w:r>
    </w:p>
    <w:p w14:paraId="2408C0E7">
      <w:pPr>
        <w:spacing w:line="560" w:lineRule="exact"/>
        <w:ind w:firstLine="482" w:firstLineChars="20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安阳职业技术学院东校区扩建室外高压配电工程项目的中小企业划分标准所属行业为：建筑业。</w:t>
      </w:r>
    </w:p>
    <w:p w14:paraId="59BB8FA2">
      <w:pPr>
        <w:spacing w:line="30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提醒：投标人按照采购文件中标明的工程项目的所属行业、按该行业所对应的中小企业划分标准，作为工程的承建企业（供应商）是否属于小微企业的判断标准。</w:t>
      </w:r>
    </w:p>
    <w:p w14:paraId="621DDB38">
      <w:pPr>
        <w:spacing w:line="30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投标人不应按照自身的行业属性作为小微企业的判断标准（应按采购文件标明的所属行业进行判断）。</w:t>
      </w:r>
    </w:p>
    <w:p w14:paraId="677AC649">
      <w:pPr>
        <w:widowControl w:val="0"/>
        <w:adjustRightInd w:val="0"/>
        <w:snapToGrid w:val="0"/>
        <w:spacing w:before="156" w:beforeLines="50" w:line="300" w:lineRule="auto"/>
        <w:ind w:firstLine="463" w:firstLineChars="192"/>
        <w:rPr>
          <w:b/>
          <w:color w:val="000000" w:themeColor="text1"/>
          <w:sz w:val="24"/>
          <w:szCs w:val="24"/>
          <w14:textFill>
            <w14:solidFill>
              <w14:schemeClr w14:val="tx1"/>
            </w14:solidFill>
          </w14:textFill>
        </w:rPr>
      </w:pPr>
    </w:p>
    <w:p w14:paraId="7ABA8AB2">
      <w:pPr>
        <w:widowControl w:val="0"/>
        <w:adjustRightInd w:val="0"/>
        <w:snapToGrid w:val="0"/>
        <w:spacing w:before="156" w:beforeLines="50" w:line="300" w:lineRule="auto"/>
        <w:ind w:firstLine="463" w:firstLineChars="192"/>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2.4项目说明</w:t>
      </w:r>
    </w:p>
    <w:p w14:paraId="06E10736">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）工程质量要求：工程质量必须达到对应专业现行的国家</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行业</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的技术标准、规范且符合相关环保要求。</w:t>
      </w:r>
    </w:p>
    <w:p w14:paraId="480AC26D">
      <w:pPr>
        <w:widowControl w:val="0"/>
        <w:adjustRightInd w:val="0"/>
        <w:snapToGrid w:val="0"/>
        <w:spacing w:before="156" w:beforeLines="50" w:line="300" w:lineRule="auto"/>
        <w:ind w:left="22" w:firstLine="55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）工程所涉货物材料的技术偏离：</w:t>
      </w:r>
    </w:p>
    <w:p w14:paraId="023023BC">
      <w:pPr>
        <w:widowControl w:val="0"/>
        <w:adjustRightInd w:val="0"/>
        <w:snapToGrid w:val="0"/>
        <w:spacing w:before="156" w:beforeLines="50" w:line="300" w:lineRule="auto"/>
        <w:ind w:left="22" w:firstLine="55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“基本技术要求”列示货物材料的参数、规格为基础</w:t>
      </w:r>
      <w:r>
        <w:rPr>
          <w:color w:val="000000" w:themeColor="text1"/>
          <w:sz w:val="24"/>
          <w:szCs w:val="24"/>
          <w14:textFill>
            <w14:solidFill>
              <w14:schemeClr w14:val="tx1"/>
            </w14:solidFill>
          </w14:textFill>
        </w:rPr>
        <w:t>性</w:t>
      </w:r>
      <w:r>
        <w:rPr>
          <w:rFonts w:hint="eastAsia"/>
          <w:color w:val="000000" w:themeColor="text1"/>
          <w:sz w:val="24"/>
          <w:szCs w:val="24"/>
          <w14:textFill>
            <w14:solidFill>
              <w14:schemeClr w14:val="tx1"/>
            </w14:solidFill>
          </w14:textFill>
        </w:rPr>
        <w:t>要求，投标人可提供质量性能参数相等或优于的其他产品；投</w:t>
      </w:r>
      <w:r>
        <w:rPr>
          <w:color w:val="000000" w:themeColor="text1"/>
          <w:sz w:val="24"/>
          <w:szCs w:val="24"/>
          <w14:textFill>
            <w14:solidFill>
              <w14:schemeClr w14:val="tx1"/>
            </w14:solidFill>
          </w14:textFill>
        </w:rPr>
        <w:t>标产品的</w:t>
      </w:r>
      <w:r>
        <w:rPr>
          <w:rFonts w:hint="eastAsia"/>
          <w:color w:val="000000" w:themeColor="text1"/>
          <w:sz w:val="24"/>
          <w:szCs w:val="24"/>
          <w14:textFill>
            <w14:solidFill>
              <w14:schemeClr w14:val="tx1"/>
            </w14:solidFill>
          </w14:textFill>
        </w:rPr>
        <w:t>规格参数与“基本技术要求”不</w:t>
      </w:r>
      <w:r>
        <w:rPr>
          <w:color w:val="000000" w:themeColor="text1"/>
          <w:sz w:val="24"/>
          <w:szCs w:val="24"/>
          <w14:textFill>
            <w14:solidFill>
              <w14:schemeClr w14:val="tx1"/>
            </w14:solidFill>
          </w14:textFill>
        </w:rPr>
        <w:t>同</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且</w:t>
      </w:r>
      <w:r>
        <w:rPr>
          <w:rFonts w:hint="eastAsia"/>
          <w:color w:val="000000" w:themeColor="text1"/>
          <w:sz w:val="24"/>
          <w:szCs w:val="24"/>
          <w14:textFill>
            <w14:solidFill>
              <w14:schemeClr w14:val="tx1"/>
            </w14:solidFill>
          </w14:textFill>
        </w:rPr>
        <w:t>投标人认</w:t>
      </w:r>
      <w:r>
        <w:rPr>
          <w:color w:val="000000" w:themeColor="text1"/>
          <w:sz w:val="24"/>
          <w:szCs w:val="24"/>
          <w14:textFill>
            <w14:solidFill>
              <w14:schemeClr w14:val="tx1"/>
            </w14:solidFill>
          </w14:textFill>
        </w:rPr>
        <w:t>为</w:t>
      </w:r>
      <w:r>
        <w:rPr>
          <w:rFonts w:hint="eastAsia"/>
          <w:color w:val="000000" w:themeColor="text1"/>
          <w:sz w:val="24"/>
          <w:szCs w:val="24"/>
          <w14:textFill>
            <w14:solidFill>
              <w14:schemeClr w14:val="tx1"/>
            </w14:solidFill>
          </w14:textFill>
        </w:rPr>
        <w:t>投</w:t>
      </w:r>
      <w:r>
        <w:rPr>
          <w:color w:val="000000" w:themeColor="text1"/>
          <w:sz w:val="24"/>
          <w:szCs w:val="24"/>
          <w14:textFill>
            <w14:solidFill>
              <w14:schemeClr w14:val="tx1"/>
            </w14:solidFill>
          </w14:textFill>
        </w:rPr>
        <w:t>标产品的</w:t>
      </w:r>
      <w:r>
        <w:rPr>
          <w:rFonts w:hint="eastAsia"/>
          <w:color w:val="000000" w:themeColor="text1"/>
          <w:sz w:val="24"/>
          <w:szCs w:val="24"/>
          <w14:textFill>
            <w14:solidFill>
              <w14:schemeClr w14:val="tx1"/>
            </w14:solidFill>
          </w14:textFill>
        </w:rPr>
        <w:t>规格参数等</w:t>
      </w:r>
      <w:r>
        <w:rPr>
          <w:color w:val="000000" w:themeColor="text1"/>
          <w:sz w:val="24"/>
          <w:szCs w:val="24"/>
          <w14:textFill>
            <w14:solidFill>
              <w14:schemeClr w14:val="tx1"/>
            </w14:solidFill>
          </w14:textFill>
        </w:rPr>
        <w:t>于或优于</w:t>
      </w:r>
      <w:r>
        <w:rPr>
          <w:rFonts w:hint="eastAsia"/>
          <w:color w:val="000000" w:themeColor="text1"/>
          <w:sz w:val="24"/>
          <w:szCs w:val="24"/>
          <w14:textFill>
            <w14:solidFill>
              <w14:schemeClr w14:val="tx1"/>
            </w14:solidFill>
          </w14:textFill>
        </w:rPr>
        <w:t>“基本技术要求”的</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投标人应提供相关证明材料（如权威评测资料、及印刷品产品说明书或印刷品图册等）以供谈判小组评审投标产品是</w:t>
      </w:r>
      <w:r>
        <w:rPr>
          <w:color w:val="000000" w:themeColor="text1"/>
          <w:sz w:val="24"/>
          <w:szCs w:val="24"/>
          <w14:textFill>
            <w14:solidFill>
              <w14:schemeClr w14:val="tx1"/>
            </w14:solidFill>
          </w14:textFill>
        </w:rPr>
        <w:t>否</w:t>
      </w:r>
      <w:r>
        <w:rPr>
          <w:rFonts w:hint="eastAsia"/>
          <w:color w:val="000000" w:themeColor="text1"/>
          <w:sz w:val="24"/>
          <w:szCs w:val="24"/>
          <w14:textFill>
            <w14:solidFill>
              <w14:schemeClr w14:val="tx1"/>
            </w14:solidFill>
          </w14:textFill>
        </w:rPr>
        <w:t>等于或优于“基本技术要求”、从而</w:t>
      </w:r>
      <w:r>
        <w:rPr>
          <w:color w:val="000000" w:themeColor="text1"/>
          <w:sz w:val="24"/>
          <w:szCs w:val="24"/>
          <w14:textFill>
            <w14:solidFill>
              <w14:schemeClr w14:val="tx1"/>
            </w14:solidFill>
          </w14:textFill>
        </w:rPr>
        <w:t>评定</w:t>
      </w:r>
      <w:r>
        <w:rPr>
          <w:rFonts w:hint="eastAsia"/>
          <w:color w:val="000000" w:themeColor="text1"/>
          <w:sz w:val="24"/>
          <w:szCs w:val="24"/>
          <w14:textFill>
            <w14:solidFill>
              <w14:schemeClr w14:val="tx1"/>
            </w14:solidFill>
          </w14:textFill>
        </w:rPr>
        <w:t>投标产品是</w:t>
      </w:r>
      <w:r>
        <w:rPr>
          <w:color w:val="000000" w:themeColor="text1"/>
          <w:sz w:val="24"/>
          <w:szCs w:val="24"/>
          <w14:textFill>
            <w14:solidFill>
              <w14:schemeClr w14:val="tx1"/>
            </w14:solidFill>
          </w14:textFill>
        </w:rPr>
        <w:t>否</w:t>
      </w:r>
      <w:r>
        <w:rPr>
          <w:rFonts w:hint="eastAsia"/>
          <w:color w:val="000000" w:themeColor="text1"/>
          <w:sz w:val="24"/>
          <w:szCs w:val="24"/>
          <w14:textFill>
            <w14:solidFill>
              <w14:schemeClr w14:val="tx1"/>
            </w14:solidFill>
          </w14:textFill>
        </w:rPr>
        <w:t>满</w:t>
      </w:r>
      <w:r>
        <w:rPr>
          <w:color w:val="000000" w:themeColor="text1"/>
          <w:sz w:val="24"/>
          <w:szCs w:val="24"/>
          <w14:textFill>
            <w14:solidFill>
              <w14:schemeClr w14:val="tx1"/>
            </w14:solidFill>
          </w14:textFill>
        </w:rPr>
        <w:t>足</w:t>
      </w:r>
      <w:r>
        <w:rPr>
          <w:rFonts w:hint="eastAsia"/>
          <w:color w:val="000000" w:themeColor="text1"/>
          <w:sz w:val="24"/>
          <w:szCs w:val="24"/>
          <w14:textFill>
            <w14:solidFill>
              <w14:schemeClr w14:val="tx1"/>
            </w14:solidFill>
          </w14:textFill>
        </w:rPr>
        <w:t>“基本技术要求”。</w:t>
      </w:r>
    </w:p>
    <w:p w14:paraId="0C230A90">
      <w:pPr>
        <w:widowControl w:val="0"/>
        <w:adjustRightInd w:val="0"/>
        <w:snapToGrid w:val="0"/>
        <w:spacing w:before="156" w:beforeLines="50" w:line="300" w:lineRule="auto"/>
        <w:ind w:left="22" w:firstLine="55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“基本技术要求”列示货物材料的参数、规格为区</w:t>
      </w:r>
      <w:r>
        <w:rPr>
          <w:color w:val="000000" w:themeColor="text1"/>
          <w:sz w:val="24"/>
          <w:szCs w:val="24"/>
          <w14:textFill>
            <w14:solidFill>
              <w14:schemeClr w14:val="tx1"/>
            </w14:solidFill>
          </w14:textFill>
        </w:rPr>
        <w:t>间性描述的，</w:t>
      </w:r>
      <w:r>
        <w:rPr>
          <w:rFonts w:hint="eastAsia"/>
          <w:color w:val="000000" w:themeColor="text1"/>
          <w:sz w:val="24"/>
          <w:szCs w:val="24"/>
          <w14:textFill>
            <w14:solidFill>
              <w14:schemeClr w14:val="tx1"/>
            </w14:solidFill>
          </w14:textFill>
        </w:rPr>
        <w:t>投</w:t>
      </w:r>
      <w:r>
        <w:rPr>
          <w:color w:val="000000" w:themeColor="text1"/>
          <w:sz w:val="24"/>
          <w:szCs w:val="24"/>
          <w14:textFill>
            <w14:solidFill>
              <w14:schemeClr w14:val="tx1"/>
            </w14:solidFill>
          </w14:textFill>
        </w:rPr>
        <w:t>标产品</w:t>
      </w:r>
      <w:r>
        <w:rPr>
          <w:rFonts w:hint="eastAsia"/>
          <w:color w:val="000000" w:themeColor="text1"/>
          <w:sz w:val="24"/>
          <w:szCs w:val="24"/>
          <w14:textFill>
            <w14:solidFill>
              <w14:schemeClr w14:val="tx1"/>
            </w14:solidFill>
          </w14:textFill>
        </w:rPr>
        <w:t>参数规格</w:t>
      </w:r>
      <w:r>
        <w:rPr>
          <w:color w:val="000000" w:themeColor="text1"/>
          <w:sz w:val="24"/>
          <w:szCs w:val="24"/>
          <w14:textFill>
            <w14:solidFill>
              <w14:schemeClr w14:val="tx1"/>
            </w14:solidFill>
          </w14:textFill>
        </w:rPr>
        <w:t>在此区间内的</w:t>
      </w:r>
      <w:r>
        <w:rPr>
          <w:rFonts w:hint="eastAsia"/>
          <w:color w:val="000000" w:themeColor="text1"/>
          <w:sz w:val="24"/>
          <w:szCs w:val="24"/>
          <w14:textFill>
            <w14:solidFill>
              <w14:schemeClr w14:val="tx1"/>
            </w14:solidFill>
          </w14:textFill>
        </w:rPr>
        <w:t>、则</w:t>
      </w:r>
      <w:r>
        <w:rPr>
          <w:color w:val="000000" w:themeColor="text1"/>
          <w:sz w:val="24"/>
          <w:szCs w:val="24"/>
          <w14:textFill>
            <w14:solidFill>
              <w14:schemeClr w14:val="tx1"/>
            </w14:solidFill>
          </w14:textFill>
        </w:rPr>
        <w:t>显见的为</w:t>
      </w:r>
      <w:r>
        <w:rPr>
          <w:rFonts w:hint="eastAsia"/>
          <w:color w:val="000000" w:themeColor="text1"/>
          <w:sz w:val="24"/>
          <w:szCs w:val="24"/>
          <w14:textFill>
            <w14:solidFill>
              <w14:schemeClr w14:val="tx1"/>
            </w14:solidFill>
          </w14:textFill>
        </w:rPr>
        <w:t>符</w:t>
      </w:r>
      <w:r>
        <w:rPr>
          <w:color w:val="000000" w:themeColor="text1"/>
          <w:sz w:val="24"/>
          <w:szCs w:val="24"/>
          <w14:textFill>
            <w14:solidFill>
              <w14:schemeClr w14:val="tx1"/>
            </w14:solidFill>
          </w14:textFill>
        </w:rPr>
        <w:t>合</w:t>
      </w:r>
      <w:r>
        <w:rPr>
          <w:rFonts w:hint="eastAsia"/>
          <w:color w:val="000000" w:themeColor="text1"/>
          <w:sz w:val="24"/>
          <w:szCs w:val="24"/>
          <w14:textFill>
            <w14:solidFill>
              <w14:schemeClr w14:val="tx1"/>
            </w14:solidFill>
          </w14:textFill>
        </w:rPr>
        <w:t>“基本技术要求”。</w:t>
      </w:r>
    </w:p>
    <w:p w14:paraId="11E1F311">
      <w:pPr>
        <w:widowControl w:val="0"/>
        <w:adjustRightInd w:val="0"/>
        <w:snapToGrid w:val="0"/>
        <w:spacing w:before="156" w:beforeLines="50" w:line="300" w:lineRule="auto"/>
        <w:ind w:left="22" w:firstLine="555"/>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如</w:t>
      </w:r>
      <w:r>
        <w:rPr>
          <w:rFonts w:hint="eastAsia"/>
          <w:color w:val="000000" w:themeColor="text1"/>
          <w:sz w:val="24"/>
          <w:szCs w:val="24"/>
          <w14:textFill>
            <w14:solidFill>
              <w14:schemeClr w14:val="tx1"/>
            </w14:solidFill>
          </w14:textFill>
        </w:rPr>
        <w:t>“基本技术要求”中列示有品牌</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型号、生</w:t>
      </w:r>
      <w:r>
        <w:rPr>
          <w:color w:val="000000" w:themeColor="text1"/>
          <w:sz w:val="24"/>
          <w:szCs w:val="24"/>
          <w14:textFill>
            <w14:solidFill>
              <w14:schemeClr w14:val="tx1"/>
            </w14:solidFill>
          </w14:textFill>
        </w:rPr>
        <w:t>产供应商名称</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专利、商标</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均为“参</w:t>
      </w:r>
      <w:r>
        <w:rPr>
          <w:color w:val="000000" w:themeColor="text1"/>
          <w:sz w:val="24"/>
          <w:szCs w:val="24"/>
          <w14:textFill>
            <w14:solidFill>
              <w14:schemeClr w14:val="tx1"/>
            </w14:solidFill>
          </w14:textFill>
        </w:rPr>
        <w:t>照或相当于</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技术标准</w:t>
      </w:r>
      <w:r>
        <w:rPr>
          <w:rFonts w:hint="eastAsia"/>
          <w:color w:val="000000" w:themeColor="text1"/>
          <w:sz w:val="24"/>
          <w:szCs w:val="24"/>
          <w14:textFill>
            <w14:solidFill>
              <w14:schemeClr w14:val="tx1"/>
            </w14:solidFill>
          </w14:textFill>
        </w:rPr>
        <w:t>，投标人可提供等于或优于的其他产品（其他</w:t>
      </w:r>
      <w:r>
        <w:rPr>
          <w:color w:val="000000" w:themeColor="text1"/>
          <w:sz w:val="24"/>
          <w:szCs w:val="24"/>
          <w14:textFill>
            <w14:solidFill>
              <w14:schemeClr w14:val="tx1"/>
            </w14:solidFill>
          </w14:textFill>
        </w:rPr>
        <w:t>的</w:t>
      </w:r>
      <w:r>
        <w:rPr>
          <w:rFonts w:hint="eastAsia"/>
          <w:color w:val="000000" w:themeColor="text1"/>
          <w:sz w:val="24"/>
          <w:szCs w:val="24"/>
          <w14:textFill>
            <w14:solidFill>
              <w14:schemeClr w14:val="tx1"/>
            </w14:solidFill>
          </w14:textFill>
        </w:rPr>
        <w:t>品牌、型号、生产供应商、专利、商标</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；投标人应提供相关证明材料（如权威评测资料、及印刷品产品说明书或印刷品图册等）以供谈判小组评审投标产品是否等于或优于“基本技术要求”、从而评定投标产品是否满足“基本技术要求”。</w:t>
      </w:r>
    </w:p>
    <w:p w14:paraId="54763766">
      <w:pPr>
        <w:widowControl w:val="0"/>
        <w:adjustRightInd w:val="0"/>
        <w:snapToGrid w:val="0"/>
        <w:spacing w:before="156" w:beforeLines="50" w:line="300" w:lineRule="auto"/>
        <w:ind w:firstLine="463" w:firstLineChars="192"/>
        <w:rPr>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不</w:t>
      </w:r>
      <w:r>
        <w:rPr>
          <w:rFonts w:ascii="黑体" w:hAnsi="黑体" w:eastAsia="黑体"/>
          <w:b/>
          <w:color w:val="000000" w:themeColor="text1"/>
          <w:sz w:val="24"/>
          <w:szCs w:val="24"/>
          <w14:textFill>
            <w14:solidFill>
              <w14:schemeClr w14:val="tx1"/>
            </w14:solidFill>
          </w14:textFill>
        </w:rPr>
        <w:t>接受负</w:t>
      </w:r>
      <w:r>
        <w:rPr>
          <w:rFonts w:hint="eastAsia" w:ascii="黑体" w:hAnsi="黑体" w:eastAsia="黑体"/>
          <w:b/>
          <w:color w:val="000000" w:themeColor="text1"/>
          <w:sz w:val="24"/>
          <w:szCs w:val="24"/>
          <w14:textFill>
            <w14:solidFill>
              <w14:schemeClr w14:val="tx1"/>
            </w14:solidFill>
          </w14:textFill>
        </w:rPr>
        <w:t>偏差，低</w:t>
      </w:r>
      <w:r>
        <w:rPr>
          <w:rFonts w:ascii="黑体" w:hAnsi="黑体" w:eastAsia="黑体"/>
          <w:b/>
          <w:color w:val="000000" w:themeColor="text1"/>
          <w:sz w:val="24"/>
          <w:szCs w:val="24"/>
          <w14:textFill>
            <w14:solidFill>
              <w14:schemeClr w14:val="tx1"/>
            </w14:solidFill>
          </w14:textFill>
        </w:rPr>
        <w:t>于</w:t>
      </w:r>
      <w:r>
        <w:rPr>
          <w:rFonts w:hint="eastAsia" w:ascii="黑体" w:hAnsi="黑体" w:eastAsia="黑体"/>
          <w:b/>
          <w:color w:val="000000" w:themeColor="text1"/>
          <w:sz w:val="24"/>
          <w:szCs w:val="24"/>
          <w14:textFill>
            <w14:solidFill>
              <w14:schemeClr w14:val="tx1"/>
            </w14:solidFill>
          </w14:textFill>
        </w:rPr>
        <w:t>“基本技术要求”</w:t>
      </w:r>
      <w:r>
        <w:rPr>
          <w:rFonts w:ascii="黑体" w:hAnsi="黑体" w:eastAsia="黑体"/>
          <w:b/>
          <w:color w:val="000000" w:themeColor="text1"/>
          <w:sz w:val="24"/>
          <w:szCs w:val="24"/>
          <w14:textFill>
            <w14:solidFill>
              <w14:schemeClr w14:val="tx1"/>
            </w14:solidFill>
          </w14:textFill>
        </w:rPr>
        <w:t>的、为无效投标。</w:t>
      </w:r>
    </w:p>
    <w:p w14:paraId="4C33BD1B">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（3）本工程不准转包、挂靠承包、层层分包。</w:t>
      </w:r>
    </w:p>
    <w:p w14:paraId="440765DC">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（4）承包方式：本工程包工包料，中标价及合同价为固定总价合同，不因人工、材料和设备等价格的波动而影响合同价格；</w:t>
      </w:r>
      <w:r>
        <w:rPr>
          <w:rFonts w:hint="eastAsia" w:ascii="宋体" w:hAnsi="宋体"/>
          <w:color w:val="000000" w:themeColor="text1"/>
          <w:sz w:val="24"/>
          <w:szCs w:val="24"/>
          <w14:textFill>
            <w14:solidFill>
              <w14:schemeClr w14:val="tx1"/>
            </w14:solidFill>
          </w14:textFill>
        </w:rPr>
        <w:t>为完成本项目所需的一切辅件、零配件均由成交供应商免费提供；除“基本技术要求”有明确说明之外，所有设备及材料均不得低于国标标准且经采购人认可后方可进场。</w:t>
      </w:r>
    </w:p>
    <w:p w14:paraId="53CEA211">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（5）投标报价为投标人自主报价，投标人应充分考虑综合费用。成交供应商须按采购人要求清理施工现场并负责垃圾清运（到指定地点）；</w:t>
      </w:r>
      <w:r>
        <w:rPr>
          <w:rFonts w:hint="eastAsia" w:ascii="宋体" w:hAnsi="宋体"/>
          <w:color w:val="000000" w:themeColor="text1"/>
          <w:sz w:val="24"/>
          <w:szCs w:val="24"/>
          <w14:textFill>
            <w14:solidFill>
              <w14:schemeClr w14:val="tx1"/>
            </w14:solidFill>
          </w14:textFill>
        </w:rPr>
        <w:t>因施工造成的破坏需及时恢复原状；以上</w:t>
      </w:r>
      <w:r>
        <w:rPr>
          <w:rFonts w:hint="eastAsia"/>
          <w:color w:val="000000" w:themeColor="text1"/>
          <w:sz w:val="24"/>
          <w:szCs w:val="24"/>
          <w14:textFill>
            <w14:solidFill>
              <w14:schemeClr w14:val="tx1"/>
            </w14:solidFill>
          </w14:textFill>
        </w:rPr>
        <w:t>费用均含在投标报价内。注：遵守市蓝天工程和创建卫生城市相关要求，取得相关许可及证件，如违反规定接受上级处罚，由成交供应商自行承担，给采购人造成损失的应进行补偿。</w:t>
      </w:r>
    </w:p>
    <w:p w14:paraId="04D90BF7">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（6）施工中应采取保护性施工，对校园现有地下管线进行避让，如破坏应负责进行原样恢复。采购人不再对工程价款进行任何调整。</w:t>
      </w:r>
    </w:p>
    <w:p w14:paraId="798FD2C4">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施工过程中应注意施工规范，文明施工、安全施工，保持校园整洁有序。</w:t>
      </w:r>
    </w:p>
    <w:p w14:paraId="0A2B915F">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（7）施工过程中每道施工程序完成后必须经采购人签字认可，签字文字材料将作为工程验收的必备条件。以上工程质量必须达到</w:t>
      </w:r>
      <w:r>
        <w:rPr>
          <w:color w:val="000000" w:themeColor="text1"/>
          <w:sz w:val="24"/>
          <w:szCs w:val="24"/>
          <w14:textFill>
            <w14:solidFill>
              <w14:schemeClr w14:val="tx1"/>
            </w14:solidFill>
          </w14:textFill>
        </w:rPr>
        <w:t>&lt;&lt;</w:t>
      </w:r>
      <w:r>
        <w:rPr>
          <w:rFonts w:hint="eastAsia"/>
          <w:color w:val="000000" w:themeColor="text1"/>
          <w:sz w:val="24"/>
          <w:szCs w:val="24"/>
          <w14:textFill>
            <w14:solidFill>
              <w14:schemeClr w14:val="tx1"/>
            </w14:solidFill>
          </w14:textFill>
        </w:rPr>
        <w:t>建筑工程施工质量验收统一标准</w:t>
      </w:r>
      <w:r>
        <w:rPr>
          <w:color w:val="000000" w:themeColor="text1"/>
          <w:sz w:val="24"/>
          <w:szCs w:val="24"/>
          <w14:textFill>
            <w14:solidFill>
              <w14:schemeClr w14:val="tx1"/>
            </w14:solidFill>
          </w14:textFill>
        </w:rPr>
        <w:t>&gt;&gt;GB50300-2013</w:t>
      </w:r>
      <w:r>
        <w:rPr>
          <w:rFonts w:hint="eastAsia"/>
          <w:color w:val="000000" w:themeColor="text1"/>
          <w:sz w:val="24"/>
          <w:szCs w:val="24"/>
          <w14:textFill>
            <w14:solidFill>
              <w14:schemeClr w14:val="tx1"/>
            </w14:solidFill>
          </w14:textFill>
        </w:rPr>
        <w:t>。</w:t>
      </w:r>
    </w:p>
    <w:p w14:paraId="566197C6">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投标人为准确投标，开标前应自行与采购人联系，详细勘察现场，并按采购人施工条件及要求编制投标报价；投标人的投标报价应包括未列明而完成本工程所必须的所有设备、材料、工具、费用等，否则由成交施工单位自行解决；详细勘察现场是投标人的责任，投标人自行承担相应风险。</w:t>
      </w:r>
    </w:p>
    <w:p w14:paraId="58AFAF60">
      <w:pPr>
        <w:widowControl w:val="0"/>
        <w:adjustRightInd w:val="0"/>
        <w:snapToGrid w:val="0"/>
        <w:spacing w:before="156" w:beforeLines="50" w:line="300"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（9）当主要工程量概况与图纸不符时，以图纸为准；当图纸与现场勘察情况不符时，以现场勘察情况为准；投标人自行承担相应风险。</w:t>
      </w:r>
    </w:p>
    <w:p w14:paraId="24C476E6">
      <w:pPr>
        <w:widowControl w:val="0"/>
        <w:adjustRightInd w:val="0"/>
        <w:snapToGrid w:val="0"/>
        <w:spacing w:before="156" w:beforeLines="50" w:line="300" w:lineRule="auto"/>
        <w:ind w:firstLine="463" w:firstLineChars="192"/>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w:t>
      </w:r>
      <w:r>
        <w:rPr>
          <w:b/>
          <w:color w:val="000000" w:themeColor="text1"/>
          <w:sz w:val="24"/>
          <w:szCs w:val="24"/>
          <w14:textFill>
            <w14:solidFill>
              <w14:schemeClr w14:val="tx1"/>
            </w14:solidFill>
          </w14:textFill>
        </w:rPr>
        <w:t>10</w:t>
      </w:r>
      <w:r>
        <w:rPr>
          <w:rFonts w:hint="eastAsia"/>
          <w:b/>
          <w:color w:val="000000" w:themeColor="text1"/>
          <w:sz w:val="24"/>
          <w:szCs w:val="24"/>
          <w14:textFill>
            <w14:solidFill>
              <w14:schemeClr w14:val="tx1"/>
            </w14:solidFill>
          </w14:textFill>
        </w:rPr>
        <w:t>）验收要求：</w:t>
      </w:r>
      <w:r>
        <w:rPr>
          <w:rFonts w:hint="eastAsia"/>
          <w:b/>
          <w:color w:val="000000" w:themeColor="text1"/>
          <w:sz w:val="24"/>
          <w:szCs w:val="24"/>
          <w:lang w:val="en-US" w:eastAsia="zh-CN"/>
          <w14:textFill>
            <w14:solidFill>
              <w14:schemeClr w14:val="tx1"/>
            </w14:solidFill>
          </w14:textFill>
        </w:rPr>
        <w:t>竣工验收之前，</w:t>
      </w:r>
      <w:r>
        <w:rPr>
          <w:rFonts w:hint="eastAsia"/>
          <w:b/>
          <w:color w:val="000000" w:themeColor="text1"/>
          <w:sz w:val="24"/>
          <w:szCs w:val="24"/>
          <w14:textFill>
            <w14:solidFill>
              <w14:schemeClr w14:val="tx1"/>
            </w14:solidFill>
          </w14:textFill>
        </w:rPr>
        <w:t>成交供应商需向电力部门</w:t>
      </w:r>
      <w:r>
        <w:rPr>
          <w:rFonts w:hint="eastAsia"/>
          <w:b/>
          <w:color w:val="000000" w:themeColor="text1"/>
          <w:sz w:val="24"/>
          <w:szCs w:val="24"/>
          <w:lang w:val="en-US" w:eastAsia="zh-CN"/>
          <w14:textFill>
            <w14:solidFill>
              <w14:schemeClr w14:val="tx1"/>
            </w14:solidFill>
          </w14:textFill>
        </w:rPr>
        <w:t>办理本项目（</w:t>
      </w:r>
      <w:r>
        <w:rPr>
          <w:rFonts w:hint="eastAsia"/>
          <w:b/>
          <w:color w:val="000000" w:themeColor="text1"/>
          <w:sz w:val="24"/>
          <w:szCs w:val="24"/>
          <w14:textFill>
            <w14:solidFill>
              <w14:schemeClr w14:val="tx1"/>
            </w14:solidFill>
          </w14:textFill>
        </w:rPr>
        <w:t>高压</w:t>
      </w:r>
      <w:r>
        <w:rPr>
          <w:rFonts w:hint="eastAsia"/>
          <w:b/>
          <w:color w:val="000000" w:themeColor="text1"/>
          <w:sz w:val="24"/>
          <w:szCs w:val="24"/>
          <w:lang w:val="en-US" w:eastAsia="zh-CN"/>
          <w14:textFill>
            <w14:solidFill>
              <w14:schemeClr w14:val="tx1"/>
            </w14:solidFill>
          </w14:textFill>
        </w:rPr>
        <w:t>配</w:t>
      </w:r>
      <w:r>
        <w:rPr>
          <w:rFonts w:hint="eastAsia"/>
          <w:b/>
          <w:color w:val="000000" w:themeColor="text1"/>
          <w:sz w:val="24"/>
          <w:szCs w:val="24"/>
          <w14:textFill>
            <w14:solidFill>
              <w14:schemeClr w14:val="tx1"/>
            </w14:solidFill>
          </w14:textFill>
        </w:rPr>
        <w:t>电</w:t>
      </w:r>
      <w:r>
        <w:rPr>
          <w:rFonts w:hint="eastAsia"/>
          <w:b/>
          <w:color w:val="000000" w:themeColor="text1"/>
          <w:sz w:val="24"/>
          <w:szCs w:val="24"/>
          <w:lang w:val="en-US" w:eastAsia="zh-CN"/>
          <w14:textFill>
            <w14:solidFill>
              <w14:schemeClr w14:val="tx1"/>
            </w14:solidFill>
          </w14:textFill>
        </w:rPr>
        <w:t>工程）</w:t>
      </w:r>
      <w:r>
        <w:rPr>
          <w:rFonts w:hint="eastAsia"/>
          <w:b/>
          <w:color w:val="000000" w:themeColor="text1"/>
          <w:sz w:val="24"/>
          <w:szCs w:val="24"/>
          <w14:textFill>
            <w14:solidFill>
              <w14:schemeClr w14:val="tx1"/>
            </w14:solidFill>
          </w14:textFill>
        </w:rPr>
        <w:t>验收的报验手续，期间产生的一切费用由成交供应商自理。在取得正常用电</w:t>
      </w:r>
      <w:r>
        <w:rPr>
          <w:rFonts w:hint="eastAsia"/>
          <w:b/>
          <w:color w:val="000000" w:themeColor="text1"/>
          <w:sz w:val="24"/>
          <w:szCs w:val="24"/>
          <w:lang w:val="en-US" w:eastAsia="zh-CN"/>
          <w14:textFill>
            <w14:solidFill>
              <w14:schemeClr w14:val="tx1"/>
            </w14:solidFill>
          </w14:textFill>
        </w:rPr>
        <w:t>许可、投入运行</w:t>
      </w:r>
      <w:r>
        <w:rPr>
          <w:rFonts w:hint="eastAsia"/>
          <w:b/>
          <w:color w:val="000000" w:themeColor="text1"/>
          <w:sz w:val="24"/>
          <w:szCs w:val="24"/>
          <w14:textFill>
            <w14:solidFill>
              <w14:schemeClr w14:val="tx1"/>
            </w14:solidFill>
          </w14:textFill>
        </w:rPr>
        <w:t>后方可申请政府采购验收。</w:t>
      </w:r>
    </w:p>
    <w:p w14:paraId="1CFB590F">
      <w:pPr>
        <w:widowControl w:val="0"/>
        <w:adjustRightInd w:val="0"/>
        <w:snapToGrid w:val="0"/>
        <w:spacing w:before="156" w:beforeLines="50" w:line="300" w:lineRule="auto"/>
        <w:ind w:firstLine="460" w:firstLineChars="192"/>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1）</w:t>
      </w:r>
      <w:r>
        <w:rPr>
          <w:rFonts w:hint="eastAsia"/>
          <w:b/>
          <w:color w:val="000000" w:themeColor="text1"/>
          <w:sz w:val="24"/>
          <w:szCs w:val="24"/>
          <w14:textFill>
            <w14:solidFill>
              <w14:schemeClr w14:val="tx1"/>
            </w14:solidFill>
          </w14:textFill>
        </w:rPr>
        <w:t>本项目质保期</w:t>
      </w:r>
      <w:r>
        <w:rPr>
          <w:b/>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b/>
          <w:color w:val="000000" w:themeColor="text1"/>
          <w:sz w:val="24"/>
          <w:szCs w:val="24"/>
          <w14:textFill>
            <w14:solidFill>
              <w14:schemeClr w14:val="tx1"/>
            </w14:solidFill>
          </w14:textFill>
        </w:rPr>
        <w:t>两年。若在保修期内出现质量问题，成交供应商及时维修服务。</w:t>
      </w:r>
    </w:p>
    <w:p w14:paraId="70775A98">
      <w:pPr>
        <w:widowControl w:val="0"/>
        <w:adjustRightInd w:val="0"/>
        <w:snapToGrid w:val="0"/>
        <w:spacing w:before="156" w:beforeLines="50" w:line="276" w:lineRule="auto"/>
        <w:ind w:firstLine="460" w:firstLineChars="19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（12）应遵循第三章投标人须知</w:t>
      </w:r>
      <w:r>
        <w:rPr>
          <w:color w:val="000000" w:themeColor="text1"/>
          <w:sz w:val="24"/>
          <w:szCs w:val="24"/>
          <w14:textFill>
            <w14:solidFill>
              <w14:schemeClr w14:val="tx1"/>
            </w14:solidFill>
          </w14:textFill>
        </w:rPr>
        <w:t>3.7.</w:t>
      </w:r>
      <w:r>
        <w:rPr>
          <w:rFonts w:hint="eastAsia"/>
          <w:color w:val="000000" w:themeColor="text1"/>
          <w:sz w:val="24"/>
          <w:szCs w:val="24"/>
          <w14:textFill>
            <w14:solidFill>
              <w14:schemeClr w14:val="tx1"/>
            </w14:solidFill>
          </w14:textFill>
        </w:rPr>
        <w:t>3项规定。</w:t>
      </w:r>
    </w:p>
    <w:p w14:paraId="051B5500">
      <w:pPr>
        <w:widowControl w:val="0"/>
        <w:adjustRightInd w:val="0"/>
        <w:snapToGrid w:val="0"/>
        <w:spacing w:before="156" w:beforeLines="50" w:line="300" w:lineRule="auto"/>
        <w:ind w:firstLine="463" w:firstLineChars="19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2.5 安全</w:t>
      </w:r>
    </w:p>
    <w:p w14:paraId="4E4C6371">
      <w:pPr>
        <w:widowControl w:val="0"/>
        <w:adjustRightInd w:val="0"/>
        <w:snapToGrid w:val="0"/>
        <w:spacing w:before="156" w:beforeLines="50" w:line="300" w:lineRule="auto"/>
        <w:ind w:left="22" w:firstLine="55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投标工程（及涉货物材料）应符合国家、行业的各</w:t>
      </w:r>
      <w:r>
        <w:rPr>
          <w:color w:val="000000" w:themeColor="text1"/>
          <w:sz w:val="24"/>
          <w:szCs w:val="24"/>
          <w14:textFill>
            <w14:solidFill>
              <w14:schemeClr w14:val="tx1"/>
            </w14:solidFill>
          </w14:textFill>
        </w:rPr>
        <w:t>项</w:t>
      </w:r>
      <w:r>
        <w:rPr>
          <w:rFonts w:hint="eastAsia"/>
          <w:color w:val="000000" w:themeColor="text1"/>
          <w:sz w:val="24"/>
          <w:szCs w:val="24"/>
          <w14:textFill>
            <w14:solidFill>
              <w14:schemeClr w14:val="tx1"/>
            </w14:solidFill>
          </w14:textFill>
        </w:rPr>
        <w:t>安全标准，投标人</w:t>
      </w:r>
      <w:r>
        <w:rPr>
          <w:color w:val="000000" w:themeColor="text1"/>
          <w:sz w:val="24"/>
          <w:szCs w:val="24"/>
          <w14:textFill>
            <w14:solidFill>
              <w14:schemeClr w14:val="tx1"/>
            </w14:solidFill>
          </w14:textFill>
        </w:rPr>
        <w:t>对</w:t>
      </w:r>
      <w:r>
        <w:rPr>
          <w:rFonts w:hint="eastAsia"/>
          <w:color w:val="000000" w:themeColor="text1"/>
          <w:sz w:val="24"/>
          <w:szCs w:val="24"/>
          <w14:textFill>
            <w14:solidFill>
              <w14:schemeClr w14:val="tx1"/>
            </w14:solidFill>
          </w14:textFill>
        </w:rPr>
        <w:t>所投工程（及涉货物材料）的</w:t>
      </w:r>
      <w:r>
        <w:rPr>
          <w:color w:val="000000" w:themeColor="text1"/>
          <w:sz w:val="24"/>
          <w:szCs w:val="24"/>
          <w14:textFill>
            <w14:solidFill>
              <w14:schemeClr w14:val="tx1"/>
            </w14:solidFill>
          </w14:textFill>
        </w:rPr>
        <w:t>安全性承担全部责任。</w:t>
      </w:r>
      <w:r>
        <w:rPr>
          <w:rFonts w:hint="eastAsia"/>
          <w:color w:val="000000" w:themeColor="text1"/>
          <w:sz w:val="24"/>
          <w:szCs w:val="24"/>
          <w14:textFill>
            <w14:solidFill>
              <w14:schemeClr w14:val="tx1"/>
            </w14:solidFill>
          </w14:textFill>
        </w:rPr>
        <w:t>工期内不符合保障人身、财产安全的国家标准、行业标准的工程（及涉货物材料），将</w:t>
      </w:r>
      <w:r>
        <w:rPr>
          <w:color w:val="000000" w:themeColor="text1"/>
          <w:sz w:val="24"/>
          <w:szCs w:val="24"/>
          <w14:textFill>
            <w14:solidFill>
              <w14:schemeClr w14:val="tx1"/>
            </w14:solidFill>
          </w14:textFill>
        </w:rPr>
        <w:t>依法承担民事及相应刑事责任</w:t>
      </w:r>
      <w:r>
        <w:rPr>
          <w:rFonts w:hint="eastAsia"/>
          <w:color w:val="000000" w:themeColor="text1"/>
          <w:sz w:val="24"/>
          <w:szCs w:val="24"/>
          <w14:textFill>
            <w14:solidFill>
              <w14:schemeClr w14:val="tx1"/>
            </w14:solidFill>
          </w14:textFill>
        </w:rPr>
        <w:t>。合</w:t>
      </w:r>
      <w:r>
        <w:rPr>
          <w:color w:val="000000" w:themeColor="text1"/>
          <w:sz w:val="24"/>
          <w:szCs w:val="24"/>
          <w14:textFill>
            <w14:solidFill>
              <w14:schemeClr w14:val="tx1"/>
            </w14:solidFill>
          </w14:textFill>
        </w:rPr>
        <w:t>同履行中的安全责任由</w:t>
      </w:r>
      <w:r>
        <w:rPr>
          <w:rFonts w:hint="eastAsia"/>
          <w:color w:val="000000" w:themeColor="text1"/>
          <w:sz w:val="24"/>
          <w:szCs w:val="24"/>
          <w14:textFill>
            <w14:solidFill>
              <w14:schemeClr w14:val="tx1"/>
            </w14:solidFill>
          </w14:textFill>
        </w:rPr>
        <w:t>成交供应商</w:t>
      </w:r>
      <w:r>
        <w:rPr>
          <w:color w:val="000000" w:themeColor="text1"/>
          <w:sz w:val="24"/>
          <w:szCs w:val="24"/>
          <w14:textFill>
            <w14:solidFill>
              <w14:schemeClr w14:val="tx1"/>
            </w14:solidFill>
          </w14:textFill>
        </w:rPr>
        <w:t>承担全部责任。</w:t>
      </w:r>
    </w:p>
    <w:p w14:paraId="6E567DC7">
      <w:pPr>
        <w:widowControl w:val="0"/>
        <w:adjustRightInd w:val="0"/>
        <w:snapToGrid w:val="0"/>
        <w:spacing w:before="156" w:beforeLines="50" w:line="300" w:lineRule="auto"/>
        <w:ind w:firstLine="463" w:firstLineChars="19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2.6 投标工程标准</w:t>
      </w:r>
    </w:p>
    <w:p w14:paraId="5DA16AB0">
      <w:pPr>
        <w:widowControl w:val="0"/>
        <w:adjustRightInd w:val="0"/>
        <w:snapToGrid w:val="0"/>
        <w:spacing w:before="156" w:beforeLines="50" w:line="300" w:lineRule="auto"/>
        <w:ind w:left="22" w:firstLine="55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所投工程（及涉货物材料）应符合国家质量标准、部颁标准及行业规范的要求，符合国家各项强制性规范及安全标准，投标工程（及涉货物材料）不应与第三方存在知识产权权属问题；投标人应本着服务客户、为客户着想的宗旨，来完善工程（及涉货物材料）及技术要求未尽事宜，不得以《谈判文件》未列明事项为由，来降低响应投标工程（及涉货物材料）的质量。</w:t>
      </w:r>
    </w:p>
    <w:p w14:paraId="5EE71C07">
      <w:pPr>
        <w:widowControl w:val="0"/>
        <w:adjustRightInd w:val="0"/>
        <w:snapToGrid w:val="0"/>
        <w:spacing w:before="156" w:beforeLines="50" w:line="300" w:lineRule="auto"/>
        <w:ind w:firstLine="463" w:firstLineChars="192"/>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2.7</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项目落实的政府采购政策（法规标准条款）</w:t>
      </w:r>
    </w:p>
    <w:p w14:paraId="4C3D6520">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14:textFill>
            <w14:solidFill>
              <w14:schemeClr w14:val="tx1"/>
            </w14:solidFill>
          </w14:textFill>
        </w:rPr>
        <w:t>政府采购节能产品、环境标志产品实施品目清单管理后，对本次采购产品属于“节能产品政府采购品目清单”中强制采购品目的</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w:t>
      </w:r>
      <w:r>
        <w:rPr>
          <w:rFonts w:ascii="宋体" w:hAnsi="宋体" w:cs="宋体"/>
          <w:color w:val="000000" w:themeColor="text1"/>
          <w:sz w:val="24"/>
          <w:szCs w:val="24"/>
          <w14:textFill>
            <w14:solidFill>
              <w14:schemeClr w14:val="tx1"/>
            </w14:solidFill>
          </w14:textFill>
        </w:rPr>
        <w:t>标产</w:t>
      </w:r>
      <w:r>
        <w:rPr>
          <w:rFonts w:hint="eastAsia" w:ascii="宋体" w:hAnsi="宋体" w:cs="宋体"/>
          <w:color w:val="000000" w:themeColor="text1"/>
          <w:sz w:val="24"/>
          <w:szCs w:val="24"/>
          <w14:textFill>
            <w14:solidFill>
              <w14:schemeClr w14:val="tx1"/>
            </w14:solidFill>
          </w14:textFill>
        </w:rPr>
        <w:t>品</w:t>
      </w:r>
      <w:r>
        <w:rPr>
          <w:rFonts w:ascii="宋体" w:hAnsi="宋体" w:cs="宋体"/>
          <w:color w:val="000000" w:themeColor="text1"/>
          <w:sz w:val="24"/>
          <w:szCs w:val="24"/>
          <w14:textFill>
            <w14:solidFill>
              <w14:schemeClr w14:val="tx1"/>
            </w14:solidFill>
          </w14:textFill>
        </w:rPr>
        <w:t>应当具有</w:t>
      </w:r>
      <w:r>
        <w:rPr>
          <w:rFonts w:hint="eastAsia" w:ascii="宋体" w:hAnsi="宋体" w:cs="宋体"/>
          <w:color w:val="000000" w:themeColor="text1"/>
          <w:sz w:val="24"/>
          <w:szCs w:val="24"/>
          <w14:textFill>
            <w14:solidFill>
              <w14:schemeClr w14:val="tx1"/>
            </w14:solidFill>
          </w14:textFill>
        </w:rPr>
        <w:t>相</w:t>
      </w:r>
      <w:r>
        <w:rPr>
          <w:rFonts w:ascii="宋体" w:hAnsi="宋体" w:cs="宋体"/>
          <w:color w:val="000000" w:themeColor="text1"/>
          <w:sz w:val="24"/>
          <w:szCs w:val="24"/>
          <w14:textFill>
            <w14:solidFill>
              <w14:schemeClr w14:val="tx1"/>
            </w14:solidFill>
          </w14:textFill>
        </w:rPr>
        <w:t>应</w:t>
      </w:r>
      <w:r>
        <w:rPr>
          <w:rFonts w:hint="eastAsia" w:ascii="宋体" w:hAnsi="宋体" w:cs="宋体"/>
          <w:color w:val="000000" w:themeColor="text1"/>
          <w:sz w:val="24"/>
          <w:szCs w:val="24"/>
          <w14:textFill>
            <w14:solidFill>
              <w14:schemeClr w14:val="tx1"/>
            </w14:solidFill>
          </w14:textFill>
        </w:rPr>
        <w:t>的认证证书（认证证书应当为国家确定的认证机构出具、且应处于有效期之内</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w:t>
      </w:r>
      <w:r>
        <w:rPr>
          <w:rFonts w:ascii="宋体" w:hAnsi="宋体" w:cs="宋体"/>
          <w:color w:val="000000" w:themeColor="text1"/>
          <w:sz w:val="24"/>
          <w:szCs w:val="24"/>
          <w14:textFill>
            <w14:solidFill>
              <w14:schemeClr w14:val="tx1"/>
            </w14:solidFill>
          </w14:textFill>
        </w:rPr>
        <w:t>标文件中应当提供</w:t>
      </w:r>
      <w:r>
        <w:rPr>
          <w:rFonts w:hint="eastAsia" w:ascii="宋体" w:hAnsi="宋体" w:cs="宋体"/>
          <w:color w:val="000000" w:themeColor="text1"/>
          <w:sz w:val="24"/>
          <w:szCs w:val="24"/>
          <w14:textFill>
            <w14:solidFill>
              <w14:schemeClr w14:val="tx1"/>
            </w14:solidFill>
          </w14:textFill>
        </w:rPr>
        <w:t>相</w:t>
      </w:r>
      <w:r>
        <w:rPr>
          <w:rFonts w:ascii="宋体" w:hAnsi="宋体" w:cs="宋体"/>
          <w:color w:val="000000" w:themeColor="text1"/>
          <w:sz w:val="24"/>
          <w:szCs w:val="24"/>
          <w14:textFill>
            <w14:solidFill>
              <w14:schemeClr w14:val="tx1"/>
            </w14:solidFill>
          </w14:textFill>
        </w:rPr>
        <w:t>应</w:t>
      </w:r>
      <w:r>
        <w:rPr>
          <w:rFonts w:hint="eastAsia" w:ascii="宋体" w:hAnsi="宋体" w:cs="宋体"/>
          <w:color w:val="000000" w:themeColor="text1"/>
          <w:sz w:val="24"/>
          <w:szCs w:val="24"/>
          <w14:textFill>
            <w14:solidFill>
              <w14:schemeClr w14:val="tx1"/>
            </w14:solidFill>
          </w14:textFill>
        </w:rPr>
        <w:t>的认证证书（认证证书应当为国家确定的认证机构出具、且应处于有效期之内）。</w:t>
      </w:r>
    </w:p>
    <w:p w14:paraId="5073DE89">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属于政府强制采购</w:t>
      </w:r>
      <w:r>
        <w:rPr>
          <w:rFonts w:hint="eastAsia" w:ascii="宋体" w:hAnsi="宋体" w:cs="宋体"/>
          <w:color w:val="000000" w:themeColor="text1"/>
          <w:sz w:val="24"/>
          <w:szCs w:val="24"/>
          <w14:textFill>
            <w14:solidFill>
              <w14:schemeClr w14:val="tx1"/>
            </w14:solidFill>
          </w14:textFill>
        </w:rPr>
        <w:t>品目</w:t>
      </w:r>
      <w:r>
        <w:rPr>
          <w:rFonts w:hint="eastAsia" w:ascii="宋体" w:hAnsi="宋体"/>
          <w:color w:val="000000" w:themeColor="text1"/>
          <w:sz w:val="24"/>
          <w:szCs w:val="24"/>
          <w14:textFill>
            <w14:solidFill>
              <w14:schemeClr w14:val="tx1"/>
            </w14:solidFill>
          </w14:textFill>
        </w:rPr>
        <w:t>、而未按要求提供相应资料的，</w:t>
      </w:r>
      <w:r>
        <w:rPr>
          <w:rFonts w:hint="eastAsia" w:ascii="宋体" w:hAnsi="宋体"/>
          <w:b/>
          <w:color w:val="000000" w:themeColor="text1"/>
          <w:sz w:val="24"/>
          <w:szCs w:val="24"/>
          <w14:textFill>
            <w14:solidFill>
              <w14:schemeClr w14:val="tx1"/>
            </w14:solidFill>
          </w14:textFill>
        </w:rPr>
        <w:t>为无效投标</w:t>
      </w:r>
      <w:r>
        <w:rPr>
          <w:rFonts w:hint="eastAsia" w:ascii="宋体" w:hAnsi="宋体"/>
          <w:color w:val="000000" w:themeColor="text1"/>
          <w:sz w:val="24"/>
          <w:szCs w:val="24"/>
          <w14:textFill>
            <w14:solidFill>
              <w14:schemeClr w14:val="tx1"/>
            </w14:solidFill>
          </w14:textFill>
        </w:rPr>
        <w:t>。</w:t>
      </w:r>
    </w:p>
    <w:p w14:paraId="5572E76A">
      <w:pPr>
        <w:adjustRightInd w:val="0"/>
        <w:snapToGrid w:val="0"/>
        <w:spacing w:before="156" w:beforeLines="50" w:line="30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同等条件下，</w:t>
      </w:r>
      <w:r>
        <w:rPr>
          <w:rFonts w:hint="eastAsia" w:ascii="宋体" w:hAnsi="宋体" w:cs="宋体"/>
          <w:color w:val="000000" w:themeColor="text1"/>
          <w:sz w:val="24"/>
          <w:szCs w:val="24"/>
          <w14:textFill>
            <w14:solidFill>
              <w14:schemeClr w14:val="tx1"/>
            </w14:solidFill>
          </w14:textFill>
        </w:rPr>
        <w:t>获得节能产品认证证书或环境标志产品认证证书的产品优先采购。(认证证书应</w:t>
      </w:r>
      <w:r>
        <w:rPr>
          <w:rFonts w:ascii="宋体" w:hAnsi="宋体" w:cs="宋体"/>
          <w:color w:val="000000" w:themeColor="text1"/>
          <w:sz w:val="24"/>
          <w:szCs w:val="24"/>
          <w14:textFill>
            <w14:solidFill>
              <w14:schemeClr w14:val="tx1"/>
            </w14:solidFill>
          </w14:textFill>
        </w:rPr>
        <w:t>当为</w:t>
      </w:r>
      <w:r>
        <w:rPr>
          <w:rFonts w:hint="eastAsia" w:ascii="宋体" w:hAnsi="宋体" w:cs="宋体"/>
          <w:color w:val="000000" w:themeColor="text1"/>
          <w:sz w:val="24"/>
          <w:szCs w:val="24"/>
          <w14:textFill>
            <w14:solidFill>
              <w14:schemeClr w14:val="tx1"/>
            </w14:solidFill>
          </w14:textFill>
        </w:rPr>
        <w:t>国家确定的认证机构出具、且</w:t>
      </w:r>
      <w:r>
        <w:rPr>
          <w:rFonts w:ascii="宋体" w:hAnsi="宋体" w:cs="宋体"/>
          <w:color w:val="000000" w:themeColor="text1"/>
          <w:sz w:val="24"/>
          <w:szCs w:val="24"/>
          <w14:textFill>
            <w14:solidFill>
              <w14:schemeClr w14:val="tx1"/>
            </w14:solidFill>
          </w14:textFill>
        </w:rPr>
        <w:t>应</w:t>
      </w:r>
      <w:r>
        <w:rPr>
          <w:rFonts w:hint="eastAsia" w:ascii="宋体" w:hAnsi="宋体" w:cs="宋体"/>
          <w:color w:val="000000" w:themeColor="text1"/>
          <w:sz w:val="24"/>
          <w:szCs w:val="24"/>
          <w14:textFill>
            <w14:solidFill>
              <w14:schemeClr w14:val="tx1"/>
            </w14:solidFill>
          </w14:textFill>
        </w:rPr>
        <w:t>处于有效期之内。)</w:t>
      </w:r>
    </w:p>
    <w:p w14:paraId="369DED6D">
      <w:pPr>
        <w:adjustRightInd w:val="0"/>
        <w:snapToGrid w:val="0"/>
        <w:spacing w:before="156" w:beforeLines="50" w:line="300" w:lineRule="auto"/>
        <w:ind w:firstLine="480" w:firstLineChars="200"/>
        <w:rPr>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000000" w:themeColor="text1"/>
          <w:sz w:val="24"/>
          <w:szCs w:val="24"/>
          <w14:textFill>
            <w14:solidFill>
              <w14:schemeClr w14:val="tx1"/>
            </w14:solidFill>
          </w14:textFill>
        </w:rPr>
        <w:t>应处于有效期内</w:t>
      </w:r>
      <w:r>
        <w:rPr>
          <w:rFonts w:hint="eastAsia" w:ascii="宋体" w:hAnsi="宋体"/>
          <w:color w:val="000000" w:themeColor="text1"/>
          <w:sz w:val="24"/>
          <w:szCs w:val="24"/>
          <w14:textFill>
            <w14:solidFill>
              <w14:schemeClr w14:val="tx1"/>
            </w14:solidFill>
          </w14:textFill>
        </w:rPr>
        <w:t>）。</w:t>
      </w:r>
    </w:p>
    <w:p w14:paraId="0AE61C4B">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4计算机产品须预装正版操作系统软件。</w:t>
      </w:r>
    </w:p>
    <w:p w14:paraId="1A673D4A">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本次采购不允许进口产品参加。</w:t>
      </w:r>
    </w:p>
    <w:p w14:paraId="1906D4EE">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6如允许采购进口产品的，优先采购向我国企业转让技术、与我国企业签订消化吸收再创新方案的供应商的进口产品。</w:t>
      </w:r>
    </w:p>
    <w:p w14:paraId="55031FC7">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促进中小企业发展扶持政策：见第四章“评审办法”第</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条。</w:t>
      </w:r>
    </w:p>
    <w:p w14:paraId="02D91C06">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8促进残疾人就业、支持监狱企业发展：见第四章“评审办法”第</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条。</w:t>
      </w:r>
    </w:p>
    <w:p w14:paraId="7DC28FC7">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所供产品有商品包装的应当使用绿色包装。所供产品有其他环保政策要求的，应符合相关环保法律政策要求。</w:t>
      </w:r>
    </w:p>
    <w:p w14:paraId="1B9F0823">
      <w:pPr>
        <w:adjustRightInd w:val="0"/>
        <w:snapToGrid w:val="0"/>
        <w:spacing w:before="156" w:beforeLines="50"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2.7.10</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支持绿色建筑、绿色建材，支持使用低</w:t>
      </w:r>
      <w:r>
        <w:rPr>
          <w:rFonts w:ascii="Arial" w:hAnsi="Arial" w:cs="Arial"/>
          <w:color w:val="000000" w:themeColor="text1"/>
          <w:szCs w:val="21"/>
          <w:shd w:val="clear" w:color="auto" w:fill="FFFFFF"/>
          <w14:textFill>
            <w14:solidFill>
              <w14:schemeClr w14:val="tx1"/>
            </w14:solidFill>
          </w14:textFill>
        </w:rPr>
        <w:t>VOCs</w:t>
      </w:r>
      <w:r>
        <w:rPr>
          <w:rFonts w:hint="eastAsia" w:ascii="宋体" w:hAnsi="宋体"/>
          <w:color w:val="000000" w:themeColor="text1"/>
          <w:sz w:val="24"/>
          <w:szCs w:val="24"/>
          <w14:textFill>
            <w14:solidFill>
              <w14:schemeClr w14:val="tx1"/>
            </w14:solidFill>
          </w14:textFill>
        </w:rPr>
        <w:t>含量涂料和胶黏剂，支持不发达、少数民族地区的企业，促进自主创新产业发展，支持脱贫攻坚等；同等条件下，优先采购。</w:t>
      </w:r>
    </w:p>
    <w:p w14:paraId="7AD2CD33">
      <w:pPr>
        <w:adjustRightInd w:val="0"/>
        <w:snapToGrid w:val="0"/>
        <w:spacing w:line="300" w:lineRule="auto"/>
        <w:ind w:firstLine="566" w:firstLineChars="235"/>
        <w:jc w:val="left"/>
        <w:rPr>
          <w:rFonts w:ascii="黑体" w:hAnsi="黑体" w:eastAsia="黑体"/>
          <w:b/>
          <w:color w:val="000000" w:themeColor="text1"/>
          <w:sz w:val="24"/>
          <w:szCs w:val="24"/>
          <w14:textFill>
            <w14:solidFill>
              <w14:schemeClr w14:val="tx1"/>
            </w14:solidFill>
          </w14:textFill>
        </w:rPr>
      </w:pPr>
      <w:r>
        <w:rPr>
          <w:rFonts w:ascii="黑体" w:hAnsi="黑体" w:eastAsia="黑体"/>
          <w:b/>
          <w:color w:val="000000" w:themeColor="text1"/>
          <w:sz w:val="24"/>
          <w:szCs w:val="24"/>
          <w14:textFill>
            <w14:solidFill>
              <w14:schemeClr w14:val="tx1"/>
            </w14:solidFill>
          </w14:textFill>
        </w:rPr>
        <w:t>2.</w:t>
      </w:r>
      <w:r>
        <w:rPr>
          <w:rFonts w:hint="eastAsia" w:ascii="黑体" w:hAnsi="黑体" w:eastAsia="黑体"/>
          <w:b/>
          <w:color w:val="000000" w:themeColor="text1"/>
          <w:sz w:val="24"/>
          <w:szCs w:val="24"/>
          <w14:textFill>
            <w14:solidFill>
              <w14:schemeClr w14:val="tx1"/>
            </w14:solidFill>
          </w14:textFill>
        </w:rPr>
        <w:t>8保险、所涉货物包装</w:t>
      </w:r>
    </w:p>
    <w:p w14:paraId="4A11931A">
      <w:pPr>
        <w:adjustRightInd w:val="0"/>
        <w:snapToGrid w:val="0"/>
        <w:spacing w:line="300" w:lineRule="auto"/>
        <w:ind w:firstLine="564" w:firstLineChars="23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2.8.1保险：</w:t>
      </w:r>
    </w:p>
    <w:p w14:paraId="1F0DA5DB">
      <w:pPr>
        <w:adjustRightInd w:val="0"/>
        <w:snapToGrid w:val="0"/>
        <w:spacing w:line="300" w:lineRule="auto"/>
        <w:ind w:firstLine="564" w:firstLineChars="23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1688BF78">
      <w:pPr>
        <w:adjustRightInd w:val="0"/>
        <w:snapToGrid w:val="0"/>
        <w:spacing w:line="300" w:lineRule="auto"/>
        <w:ind w:firstLine="564" w:firstLineChars="23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2.8.2所涉货物包装：</w:t>
      </w:r>
    </w:p>
    <w:p w14:paraId="0F0922F2">
      <w:pPr>
        <w:adjustRightInd w:val="0"/>
        <w:snapToGrid w:val="0"/>
        <w:spacing w:line="300" w:lineRule="auto"/>
        <w:ind w:firstLine="564" w:firstLineChars="235"/>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成交人负责按国家相关标准进行货物包装，设备的包装均应有良好的防湿、防锈、防潮、防雨、防腐及防碰撞的措施，凡由于包装不良造成的损失和由此产生的费用均由成交人承担。</w:t>
      </w:r>
    </w:p>
    <w:p w14:paraId="587C20FD">
      <w:pPr>
        <w:adjustRightInd w:val="0"/>
        <w:snapToGrid w:val="0"/>
        <w:spacing w:before="156" w:beforeLines="50" w:line="300" w:lineRule="auto"/>
        <w:ind w:firstLine="482" w:firstLineChars="200"/>
        <w:rPr>
          <w:rFonts w:ascii="黑体" w:hAnsi="黑体" w:eastAsia="黑体"/>
          <w:b/>
          <w:color w:val="000000" w:themeColor="text1"/>
          <w:sz w:val="24"/>
          <w:szCs w:val="24"/>
          <w14:textFill>
            <w14:solidFill>
              <w14:schemeClr w14:val="tx1"/>
            </w14:solidFill>
          </w14:textFill>
        </w:rPr>
      </w:pPr>
    </w:p>
    <w:p w14:paraId="20E2062A">
      <w:pPr>
        <w:adjustRightInd w:val="0"/>
        <w:snapToGrid w:val="0"/>
        <w:spacing w:before="156" w:beforeLines="50" w:line="300" w:lineRule="auto"/>
        <w:ind w:firstLine="562" w:firstLineChars="200"/>
        <w:outlineLvl w:val="1"/>
        <w:rPr>
          <w:rFonts w:ascii="黑体" w:hAnsi="黑体" w:eastAsia="黑体"/>
          <w:b/>
          <w:color w:val="000000" w:themeColor="text1"/>
          <w:sz w:val="28"/>
          <w14:textFill>
            <w14:solidFill>
              <w14:schemeClr w14:val="tx1"/>
            </w14:solidFill>
          </w14:textFill>
        </w:rPr>
      </w:pPr>
      <w:bookmarkStart w:id="15" w:name="_Toc65676676"/>
      <w:r>
        <w:rPr>
          <w:rFonts w:hint="eastAsia" w:ascii="黑体" w:hAnsi="黑体" w:eastAsia="黑体"/>
          <w:b/>
          <w:color w:val="000000" w:themeColor="text1"/>
          <w:sz w:val="28"/>
          <w14:textFill>
            <w14:solidFill>
              <w14:schemeClr w14:val="tx1"/>
            </w14:solidFill>
          </w14:textFill>
        </w:rPr>
        <w:t>3</w:t>
      </w:r>
      <w:r>
        <w:rPr>
          <w:rFonts w:ascii="黑体" w:hAnsi="黑体" w:eastAsia="黑体"/>
          <w:b/>
          <w:color w:val="000000" w:themeColor="text1"/>
          <w:sz w:val="28"/>
          <w14:textFill>
            <w14:solidFill>
              <w14:schemeClr w14:val="tx1"/>
            </w14:solidFill>
          </w14:textFill>
        </w:rPr>
        <w:t xml:space="preserve">. </w:t>
      </w:r>
      <w:r>
        <w:rPr>
          <w:rFonts w:hint="eastAsia" w:ascii="黑体" w:hAnsi="黑体" w:eastAsia="黑体"/>
          <w:b/>
          <w:color w:val="000000" w:themeColor="text1"/>
          <w:sz w:val="28"/>
          <w14:textFill>
            <w14:solidFill>
              <w14:schemeClr w14:val="tx1"/>
            </w14:solidFill>
          </w14:textFill>
        </w:rPr>
        <w:t>项目其他要求</w:t>
      </w:r>
      <w:bookmarkEnd w:id="15"/>
    </w:p>
    <w:p w14:paraId="1E2F5AB4">
      <w:pPr>
        <w:widowControl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3.1防范虚假证明材料的要求</w:t>
      </w:r>
    </w:p>
    <w:p w14:paraId="20402DEC">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000000" w:themeColor="text1"/>
          <w:sz w:val="24"/>
          <w:szCs w:val="24"/>
          <w:highlight w:val="none"/>
          <w14:textFill>
            <w14:solidFill>
              <w14:schemeClr w14:val="tx1"/>
            </w14:solidFill>
          </w14:textFill>
        </w:rPr>
        <w:t>基于当前监督检查工作要求，为防范虚假材料，投标人（成交人）应按</w:t>
      </w:r>
      <w:r>
        <w:rPr>
          <w:rFonts w:hint="eastAsia" w:ascii="宋体" w:cs="楷体_GB2312"/>
          <w:color w:val="000000" w:themeColor="text1"/>
          <w:sz w:val="24"/>
          <w:highlight w:val="none"/>
          <w:lang w:val="zh-CN"/>
          <w14:textFill>
            <w14:solidFill>
              <w14:schemeClr w14:val="tx1"/>
            </w14:solidFill>
          </w14:textFill>
        </w:rPr>
        <w:t>第六章</w:t>
      </w:r>
      <w:r>
        <w:rPr>
          <w:rFonts w:hint="eastAsia" w:ascii="宋体" w:hAnsi="宋体" w:cs="宋体"/>
          <w:color w:val="000000" w:themeColor="text1"/>
          <w:sz w:val="24"/>
          <w:szCs w:val="24"/>
          <w:highlight w:val="none"/>
          <w14:textFill>
            <w14:solidFill>
              <w14:schemeClr w14:val="tx1"/>
            </w14:solidFill>
          </w14:textFill>
        </w:rPr>
        <w:t>14-1附件“证明材料查询核验工作的清单及要求”执行。</w:t>
      </w:r>
    </w:p>
    <w:p w14:paraId="4DFF1439">
      <w:pPr>
        <w:adjustRightInd w:val="0"/>
        <w:snapToGrid w:val="0"/>
        <w:spacing w:before="156" w:beforeLines="50" w:line="300" w:lineRule="auto"/>
        <w:ind w:firstLine="482" w:firstLineChars="200"/>
        <w:rPr>
          <w:rFonts w:eastAsia="黑体"/>
          <w:b/>
          <w:spacing w:val="36"/>
          <w:sz w:val="36"/>
          <w:szCs w:val="36"/>
        </w:rPr>
      </w:pPr>
      <w:r>
        <w:rPr>
          <w:rFonts w:ascii="黑体" w:hAnsi="黑体" w:eastAsia="黑体"/>
          <w:b/>
          <w:sz w:val="24"/>
          <w:szCs w:val="24"/>
        </w:rPr>
        <w:br w:type="page"/>
      </w:r>
    </w:p>
    <w:p w14:paraId="4E6D4E08">
      <w:pPr>
        <w:spacing w:line="360" w:lineRule="auto"/>
        <w:ind w:right="238"/>
        <w:jc w:val="center"/>
        <w:outlineLvl w:val="0"/>
        <w:rPr>
          <w:rFonts w:eastAsia="黑体"/>
          <w:b/>
          <w:color w:val="auto"/>
          <w:sz w:val="36"/>
          <w:szCs w:val="36"/>
        </w:rPr>
      </w:pPr>
      <w:bookmarkStart w:id="16" w:name="_Toc65679077"/>
      <w:r>
        <w:rPr>
          <w:rFonts w:hint="eastAsia" w:eastAsia="黑体"/>
          <w:b/>
          <w:color w:val="auto"/>
          <w:sz w:val="36"/>
          <w:szCs w:val="36"/>
        </w:rPr>
        <w:t>第三章 投标人须知</w:t>
      </w:r>
      <w:bookmarkEnd w:id="16"/>
    </w:p>
    <w:p w14:paraId="30F4AE34">
      <w:pPr>
        <w:spacing w:line="360" w:lineRule="auto"/>
        <w:ind w:right="238"/>
        <w:jc w:val="left"/>
        <w:outlineLvl w:val="1"/>
        <w:rPr>
          <w:rFonts w:eastAsia="黑体"/>
          <w:b/>
          <w:color w:val="auto"/>
          <w:sz w:val="28"/>
          <w:szCs w:val="28"/>
        </w:rPr>
      </w:pPr>
      <w:bookmarkStart w:id="17" w:name="_Toc65679078"/>
      <w:r>
        <w:rPr>
          <w:rFonts w:hint="eastAsia" w:eastAsia="黑体"/>
          <w:b/>
          <w:color w:val="auto"/>
          <w:sz w:val="28"/>
          <w:szCs w:val="28"/>
        </w:rPr>
        <w:t>投标人须知前附表</w:t>
      </w:r>
      <w:bookmarkEnd w:id="17"/>
    </w:p>
    <w:tbl>
      <w:tblPr>
        <w:tblStyle w:val="15"/>
        <w:tblW w:w="9755" w:type="dxa"/>
        <w:jc w:val="center"/>
        <w:tblLayout w:type="fixed"/>
        <w:tblCellMar>
          <w:top w:w="0" w:type="dxa"/>
          <w:left w:w="108" w:type="dxa"/>
          <w:bottom w:w="0" w:type="dxa"/>
          <w:right w:w="108" w:type="dxa"/>
        </w:tblCellMar>
      </w:tblPr>
      <w:tblGrid>
        <w:gridCol w:w="608"/>
        <w:gridCol w:w="694"/>
        <w:gridCol w:w="1874"/>
        <w:gridCol w:w="6579"/>
      </w:tblGrid>
      <w:tr w14:paraId="748DA0BF">
        <w:tblPrEx>
          <w:tblCellMar>
            <w:top w:w="0" w:type="dxa"/>
            <w:left w:w="108" w:type="dxa"/>
            <w:bottom w:w="0" w:type="dxa"/>
            <w:right w:w="108" w:type="dxa"/>
          </w:tblCellMar>
        </w:tblPrEx>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14:paraId="231B7A5E">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14:paraId="250242A1">
            <w:pPr>
              <w:autoSpaceDE w:val="0"/>
              <w:autoSpaceDN w:val="0"/>
              <w:adjustRightInd w:val="0"/>
              <w:spacing w:line="240" w:lineRule="auto"/>
              <w:ind w:right="-126" w:rightChars="-60"/>
              <w:rPr>
                <w:rFonts w:ascii="宋体" w:cs="楷体_GB2312"/>
                <w:b/>
                <w:bCs/>
                <w:color w:val="auto"/>
                <w:sz w:val="24"/>
                <w:lang w:val="zh-CN"/>
              </w:rPr>
            </w:pPr>
            <w:r>
              <w:rPr>
                <w:rFonts w:hint="eastAsia" w:ascii="宋体" w:hAnsi="宋体" w:cs="楷体_GB2312"/>
                <w:b/>
                <w:bCs/>
                <w:color w:val="auto"/>
                <w:sz w:val="24"/>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14:paraId="5A949748">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14:paraId="550D69A0">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02A8B63F">
        <w:tblPrEx>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14:paraId="5A752B2A">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4" w:type="dxa"/>
            <w:tcBorders>
              <w:top w:val="single" w:color="auto" w:sz="6" w:space="0"/>
              <w:left w:val="single" w:color="auto" w:sz="12" w:space="0"/>
              <w:bottom w:val="single" w:color="auto" w:sz="6" w:space="0"/>
              <w:right w:val="single" w:color="auto" w:sz="6" w:space="0"/>
            </w:tcBorders>
            <w:vAlign w:val="center"/>
          </w:tcPr>
          <w:p w14:paraId="62E7BD6C">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14:paraId="4DA517D2">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14:paraId="192EEDAC">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14:paraId="634E9B12">
        <w:tblPrEx>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14:paraId="7F4E7F71">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2CB79D68">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14:paraId="4D2987FA">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14:paraId="0183D85A">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14:paraId="7E31BF40">
        <w:tblPrEx>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14:paraId="454F484E">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30A68C10">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74" w:type="dxa"/>
            <w:tcBorders>
              <w:top w:val="single" w:color="auto" w:sz="6" w:space="0"/>
              <w:left w:val="single" w:color="auto" w:sz="6" w:space="0"/>
              <w:bottom w:val="single" w:color="auto" w:sz="6" w:space="0"/>
              <w:right w:val="single" w:color="auto" w:sz="6" w:space="0"/>
            </w:tcBorders>
            <w:vAlign w:val="center"/>
          </w:tcPr>
          <w:p w14:paraId="1BA2B534">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14:paraId="3C232297">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14:paraId="1EA530D4">
        <w:tblPrEx>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14:paraId="6769B1E8">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5A0222A">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14:paraId="7727B29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14:paraId="1C10B5CB">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r>
              <w:rPr>
                <w:rFonts w:hint="eastAsia" w:ascii="宋体" w:hAnsi="宋体" w:cs="楷体_GB2312"/>
                <w:b/>
                <w:color w:val="auto"/>
                <w:sz w:val="24"/>
                <w:lang w:val="zh-CN"/>
              </w:rPr>
              <w:t>注：投标人的投标报价未超过预算金额的不足三家时，该项目（标段&lt;包&gt;）终止。</w:t>
            </w:r>
          </w:p>
        </w:tc>
      </w:tr>
      <w:tr w14:paraId="4B99AAF1">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12B9E6DF">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F0AD0E8">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0BBD44F5">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14:paraId="54A49CA3">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14:paraId="3BAC758E">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472AC48D">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09994EB">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14:paraId="1B46E802">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579" w:type="dxa"/>
            <w:tcBorders>
              <w:top w:val="single" w:color="auto" w:sz="6" w:space="0"/>
              <w:left w:val="single" w:color="auto" w:sz="6" w:space="0"/>
              <w:bottom w:val="single" w:color="auto" w:sz="6" w:space="0"/>
              <w:right w:val="single" w:color="auto" w:sz="12" w:space="0"/>
            </w:tcBorders>
            <w:vAlign w:val="center"/>
          </w:tcPr>
          <w:p w14:paraId="2EDBCDB4">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14:paraId="684B3877">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14:paraId="0D96A572">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03856DAD">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14:paraId="109DD856">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14:paraId="0E4A8FD1">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14:paraId="0CB42D17">
        <w:tblPrEx>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14:paraId="7845125C">
            <w:pPr>
              <w:autoSpaceDE w:val="0"/>
              <w:autoSpaceDN w:val="0"/>
              <w:adjustRightInd w:val="0"/>
              <w:snapToGrid w:val="0"/>
              <w:spacing w:line="240" w:lineRule="auto"/>
              <w:jc w:val="center"/>
              <w:rPr>
                <w:rFonts w:ascii="宋体" w:cs="楷体_GB2312"/>
                <w:b/>
                <w:bCs/>
                <w:sz w:val="24"/>
                <w:lang w:val="zh-CN"/>
              </w:rPr>
            </w:pPr>
            <w:r>
              <w:rPr>
                <w:rFonts w:hint="eastAsia" w:ascii="宋体" w:hAnsi="宋体" w:cs="楷体_GB2312"/>
                <w:b/>
                <w:bCs/>
                <w:sz w:val="24"/>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14:paraId="06795D3E">
            <w:pPr>
              <w:autoSpaceDE w:val="0"/>
              <w:autoSpaceDN w:val="0"/>
              <w:adjustRightInd w:val="0"/>
              <w:snapToGrid w:val="0"/>
              <w:spacing w:line="240" w:lineRule="auto"/>
              <w:jc w:val="center"/>
              <w:rPr>
                <w:rFonts w:ascii="宋体" w:cs="楷体_GB2312"/>
                <w:b/>
                <w:bCs/>
                <w:szCs w:val="21"/>
                <w:lang w:val="zh-CN"/>
              </w:rPr>
            </w:pPr>
            <w:r>
              <w:rPr>
                <w:rFonts w:ascii="宋体" w:hAnsi="宋体" w:cs="楷体_GB2312"/>
                <w:b/>
                <w:bCs/>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7F3308A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14:paraId="5E3A239A">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14:paraId="7946AD81">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2622A793">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297901A3">
            <w:pPr>
              <w:autoSpaceDE w:val="0"/>
              <w:autoSpaceDN w:val="0"/>
              <w:adjustRightInd w:val="0"/>
              <w:snapToGrid w:val="0"/>
              <w:spacing w:line="240" w:lineRule="auto"/>
              <w:jc w:val="center"/>
              <w:rPr>
                <w:rFonts w:ascii="宋体" w:cs="楷体_GB2312"/>
                <w:b/>
                <w:bCs/>
                <w:szCs w:val="21"/>
                <w:lang w:val="zh-CN"/>
              </w:rPr>
            </w:pPr>
            <w:r>
              <w:rPr>
                <w:rFonts w:ascii="宋体" w:hAnsi="宋体" w:cs="楷体_GB2312"/>
                <w:b/>
                <w:bCs/>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74743D2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工期</w:t>
            </w:r>
          </w:p>
        </w:tc>
        <w:tc>
          <w:tcPr>
            <w:tcW w:w="6579" w:type="dxa"/>
            <w:tcBorders>
              <w:top w:val="single" w:color="auto" w:sz="6" w:space="0"/>
              <w:left w:val="single" w:color="auto" w:sz="6" w:space="0"/>
              <w:bottom w:val="single" w:color="auto" w:sz="6" w:space="0"/>
              <w:right w:val="single" w:color="auto" w:sz="12" w:space="0"/>
            </w:tcBorders>
            <w:vAlign w:val="center"/>
          </w:tcPr>
          <w:p w14:paraId="4EA5EDA9">
            <w:pPr>
              <w:autoSpaceDE w:val="0"/>
              <w:autoSpaceDN w:val="0"/>
              <w:adjustRightInd w:val="0"/>
              <w:snapToGrid w:val="0"/>
              <w:spacing w:before="156"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14:paraId="3BA22416">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18862FE6">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3A34A6CA">
            <w:pPr>
              <w:autoSpaceDE w:val="0"/>
              <w:autoSpaceDN w:val="0"/>
              <w:adjustRightInd w:val="0"/>
              <w:snapToGrid w:val="0"/>
              <w:spacing w:line="240" w:lineRule="auto"/>
              <w:jc w:val="center"/>
              <w:rPr>
                <w:rFonts w:ascii="宋体" w:cs="楷体_GB2312"/>
                <w:b/>
                <w:bCs/>
                <w:szCs w:val="21"/>
                <w:lang w:val="zh-CN"/>
              </w:rPr>
            </w:pPr>
            <w:r>
              <w:rPr>
                <w:rFonts w:ascii="宋体" w:hAnsi="宋体" w:cs="楷体_GB2312"/>
                <w:b/>
                <w:bCs/>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3DA9825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施工地</w:t>
            </w:r>
          </w:p>
        </w:tc>
        <w:tc>
          <w:tcPr>
            <w:tcW w:w="6579" w:type="dxa"/>
            <w:tcBorders>
              <w:top w:val="single" w:color="auto" w:sz="6" w:space="0"/>
              <w:left w:val="single" w:color="auto" w:sz="6" w:space="0"/>
              <w:bottom w:val="single" w:color="auto" w:sz="6" w:space="0"/>
              <w:right w:val="single" w:color="auto" w:sz="12" w:space="0"/>
            </w:tcBorders>
            <w:vAlign w:val="center"/>
          </w:tcPr>
          <w:p w14:paraId="38318320">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3E45666D">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7BD899F7">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1C45F33E">
            <w:pPr>
              <w:autoSpaceDE w:val="0"/>
              <w:autoSpaceDN w:val="0"/>
              <w:adjustRightInd w:val="0"/>
              <w:snapToGrid w:val="0"/>
              <w:spacing w:line="240" w:lineRule="auto"/>
              <w:jc w:val="center"/>
              <w:rPr>
                <w:rFonts w:ascii="宋体" w:cs="楷体_GB2312"/>
                <w:b/>
                <w:bCs/>
                <w:szCs w:val="21"/>
                <w:lang w:val="zh-CN"/>
              </w:rPr>
            </w:pPr>
            <w:r>
              <w:rPr>
                <w:rFonts w:ascii="宋体" w:hAnsi="宋体" w:cs="楷体_GB2312"/>
                <w:b/>
                <w:bCs/>
                <w:szCs w:val="21"/>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14:paraId="2D5B5F11">
            <w:pPr>
              <w:autoSpaceDE w:val="0"/>
              <w:autoSpaceDN w:val="0"/>
              <w:adjustRightInd w:val="0"/>
              <w:snapToGrid w:val="0"/>
              <w:spacing w:line="240" w:lineRule="auto"/>
              <w:jc w:val="center"/>
              <w:rPr>
                <w:rFonts w:ascii="宋体"/>
                <w:b/>
                <w:color w:val="auto"/>
                <w:sz w:val="24"/>
                <w:szCs w:val="24"/>
                <w:highlight w:val="yellow"/>
              </w:rPr>
            </w:pPr>
            <w:r>
              <w:rPr>
                <w:rFonts w:hint="eastAsia" w:ascii="宋体" w:hAnsi="宋体"/>
                <w:b/>
                <w:color w:val="auto"/>
                <w:sz w:val="24"/>
                <w:szCs w:val="24"/>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14:paraId="5839420B">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见“第二章采购项目及技术服务要求”相应条款</w:t>
            </w:r>
          </w:p>
        </w:tc>
      </w:tr>
      <w:tr w14:paraId="159A1057">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14:paraId="3A15FBE9">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736018C7">
            <w:pPr>
              <w:autoSpaceDE w:val="0"/>
              <w:autoSpaceDN w:val="0"/>
              <w:adjustRightInd w:val="0"/>
              <w:snapToGrid w:val="0"/>
              <w:spacing w:line="240" w:lineRule="auto"/>
              <w:jc w:val="center"/>
              <w:rPr>
                <w:rFonts w:ascii="宋体" w:cs="楷体_GB2312"/>
                <w:b/>
                <w:bCs/>
                <w:szCs w:val="21"/>
                <w:lang w:val="zh-CN"/>
              </w:rPr>
            </w:pPr>
            <w:r>
              <w:rPr>
                <w:rFonts w:ascii="宋体" w:hAnsi="宋体" w:cs="楷体_GB2312"/>
                <w:b/>
                <w:bCs/>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467AE1EB">
            <w:pPr>
              <w:autoSpaceDE w:val="0"/>
              <w:autoSpaceDN w:val="0"/>
              <w:adjustRightInd w:val="0"/>
              <w:snapToGrid w:val="0"/>
              <w:spacing w:line="240" w:lineRule="auto"/>
              <w:jc w:val="center"/>
              <w:rPr>
                <w:rFonts w:ascii="宋体" w:cs="楷体_GB2312"/>
                <w:b/>
                <w:bCs/>
                <w:color w:val="auto"/>
                <w:sz w:val="24"/>
                <w:highlight w:val="green"/>
                <w:lang w:val="zh-CN"/>
              </w:rPr>
            </w:pPr>
            <w:r>
              <w:rPr>
                <w:rFonts w:hint="eastAsia" w:ascii="宋体" w:hAnsi="宋体" w:cs="楷体_GB2312"/>
                <w:b/>
                <w:bCs/>
                <w:color w:val="auto"/>
                <w:sz w:val="24"/>
                <w:lang w:val="zh-CN"/>
              </w:rPr>
              <w:t>标段（包）内容（范围）及基本技术要求</w:t>
            </w:r>
          </w:p>
        </w:tc>
        <w:tc>
          <w:tcPr>
            <w:tcW w:w="6579" w:type="dxa"/>
            <w:tcBorders>
              <w:top w:val="single" w:color="auto" w:sz="6" w:space="0"/>
              <w:left w:val="single" w:color="auto" w:sz="6" w:space="0"/>
              <w:bottom w:val="single" w:color="auto" w:sz="6" w:space="0"/>
              <w:right w:val="single" w:color="auto" w:sz="12" w:space="0"/>
            </w:tcBorders>
            <w:vAlign w:val="center"/>
          </w:tcPr>
          <w:p w14:paraId="203EF94B">
            <w:pPr>
              <w:autoSpaceDE w:val="0"/>
              <w:autoSpaceDN w:val="0"/>
              <w:adjustRightInd w:val="0"/>
              <w:snapToGrid w:val="0"/>
              <w:spacing w:before="156" w:beforeLines="50" w:line="240" w:lineRule="auto"/>
              <w:rPr>
                <w:rFonts w:ascii="宋体" w:cs="楷体_GB2312"/>
                <w:color w:val="auto"/>
                <w:sz w:val="24"/>
                <w:highlight w:val="green"/>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24210B1F">
        <w:tblPrEx>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14:paraId="7567DACF">
            <w:pPr>
              <w:autoSpaceDE w:val="0"/>
              <w:autoSpaceDN w:val="0"/>
              <w:adjustRightInd w:val="0"/>
              <w:snapToGrid w:val="0"/>
              <w:spacing w:line="240" w:lineRule="auto"/>
              <w:jc w:val="center"/>
              <w:rPr>
                <w:rFonts w:ascii="宋体" w:cs="楷体_GB2312"/>
                <w:b/>
                <w:bCs/>
                <w:sz w:val="24"/>
                <w:lang w:val="zh-CN"/>
              </w:rPr>
            </w:pPr>
            <w:r>
              <w:rPr>
                <w:rFonts w:hint="eastAsia" w:ascii="宋体" w:hAnsi="宋体" w:cs="楷体_GB2312"/>
                <w:b/>
                <w:bCs/>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276F50EA">
            <w:pPr>
              <w:autoSpaceDE w:val="0"/>
              <w:autoSpaceDN w:val="0"/>
              <w:adjustRightInd w:val="0"/>
              <w:snapToGrid w:val="0"/>
              <w:spacing w:line="240" w:lineRule="auto"/>
              <w:jc w:val="center"/>
              <w:rPr>
                <w:rFonts w:ascii="宋体" w:cs="楷体_GB2312"/>
                <w:b/>
                <w:bCs/>
                <w:szCs w:val="21"/>
                <w:lang w:val="zh-CN"/>
              </w:rPr>
            </w:pPr>
            <w:r>
              <w:rPr>
                <w:rFonts w:ascii="宋体" w:hAnsi="宋体" w:cs="楷体_GB2312"/>
                <w:b/>
                <w:bCs/>
                <w:szCs w:val="21"/>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14:paraId="018A8698">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14:paraId="599993B5">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14:paraId="0863DA93">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14324946">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6186C242">
            <w:pPr>
              <w:autoSpaceDE w:val="0"/>
              <w:autoSpaceDN w:val="0"/>
              <w:adjustRightInd w:val="0"/>
              <w:snapToGrid w:val="0"/>
              <w:spacing w:line="240" w:lineRule="auto"/>
              <w:jc w:val="center"/>
              <w:rPr>
                <w:rFonts w:ascii="宋体" w:cs="楷体_GB2312"/>
                <w:b/>
                <w:bCs/>
                <w:szCs w:val="21"/>
              </w:rPr>
            </w:pPr>
            <w:r>
              <w:rPr>
                <w:rFonts w:ascii="宋体" w:hAnsi="宋体" w:cs="楷体_GB2312"/>
                <w:b/>
                <w:bCs/>
                <w:szCs w:val="21"/>
              </w:rPr>
              <w:t>1.</w:t>
            </w:r>
            <w:r>
              <w:rPr>
                <w:rFonts w:hint="eastAsia" w:ascii="宋体" w:hAnsi="宋体" w:cs="楷体_GB2312"/>
                <w:b/>
                <w:bCs/>
                <w:szCs w:val="21"/>
              </w:rPr>
              <w:t>10</w:t>
            </w:r>
          </w:p>
        </w:tc>
        <w:tc>
          <w:tcPr>
            <w:tcW w:w="1874" w:type="dxa"/>
            <w:tcBorders>
              <w:top w:val="single" w:color="auto" w:sz="6" w:space="0"/>
              <w:left w:val="single" w:color="auto" w:sz="6" w:space="0"/>
              <w:bottom w:val="single" w:color="auto" w:sz="6" w:space="0"/>
              <w:right w:val="single" w:color="auto" w:sz="6" w:space="0"/>
            </w:tcBorders>
            <w:vAlign w:val="center"/>
          </w:tcPr>
          <w:p w14:paraId="2B4E3E16">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14:paraId="38D20565">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不组织</w:t>
            </w:r>
          </w:p>
        </w:tc>
      </w:tr>
      <w:tr w14:paraId="0E2FFF82">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7D8460FD">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7010FD26">
            <w:pPr>
              <w:autoSpaceDE w:val="0"/>
              <w:autoSpaceDN w:val="0"/>
              <w:adjustRightInd w:val="0"/>
              <w:snapToGrid w:val="0"/>
              <w:spacing w:line="240" w:lineRule="auto"/>
              <w:ind w:right="-88" w:rightChars="-42"/>
              <w:jc w:val="center"/>
              <w:rPr>
                <w:rFonts w:ascii="宋体" w:cs="楷体_GB2312"/>
                <w:b/>
                <w:bCs/>
                <w:szCs w:val="21"/>
              </w:rPr>
            </w:pPr>
            <w:r>
              <w:rPr>
                <w:rFonts w:ascii="宋体" w:hAnsi="宋体" w:cs="楷体_GB2312"/>
                <w:b/>
                <w:bCs/>
                <w:szCs w:val="21"/>
              </w:rPr>
              <w:t>1.1</w:t>
            </w:r>
            <w:r>
              <w:rPr>
                <w:rFonts w:hint="eastAsia" w:ascii="宋体" w:hAnsi="宋体" w:cs="楷体_GB2312"/>
                <w:b/>
                <w:bCs/>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14:paraId="2FD4639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14:paraId="0448EC95">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14:paraId="70C6ABA8">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7D9B4587">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2269B259">
            <w:pPr>
              <w:autoSpaceDE w:val="0"/>
              <w:autoSpaceDN w:val="0"/>
              <w:adjustRightInd w:val="0"/>
              <w:snapToGrid w:val="0"/>
              <w:spacing w:line="240" w:lineRule="auto"/>
              <w:ind w:right="-88" w:rightChars="-42"/>
              <w:jc w:val="center"/>
              <w:rPr>
                <w:rFonts w:ascii="宋体" w:cs="楷体_GB2312"/>
                <w:b/>
                <w:bCs/>
                <w:szCs w:val="21"/>
              </w:rPr>
            </w:pPr>
            <w:r>
              <w:rPr>
                <w:rFonts w:ascii="宋体" w:hAnsi="宋体" w:cs="楷体_GB2312"/>
                <w:b/>
                <w:bCs/>
                <w:szCs w:val="21"/>
              </w:rPr>
              <w:t>1.1</w:t>
            </w:r>
            <w:r>
              <w:rPr>
                <w:rFonts w:hint="eastAsia" w:ascii="宋体" w:hAnsi="宋体" w:cs="楷体_GB2312"/>
                <w:b/>
                <w:bCs/>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14:paraId="5D2E25B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14:paraId="33DF6521">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14:paraId="6B46AB81">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7290FA1B">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1CE44B04">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74" w:type="dxa"/>
            <w:tcBorders>
              <w:top w:val="single" w:color="auto" w:sz="6" w:space="0"/>
              <w:left w:val="single" w:color="auto" w:sz="6" w:space="0"/>
              <w:bottom w:val="single" w:color="auto" w:sz="6" w:space="0"/>
              <w:right w:val="single" w:color="auto" w:sz="6" w:space="0"/>
            </w:tcBorders>
            <w:vAlign w:val="center"/>
          </w:tcPr>
          <w:p w14:paraId="16114BF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14:paraId="0C38D7B3">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50746C8F">
        <w:tblPrEx>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14:paraId="69BF3588">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35D3A3FB">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2.2.1</w:t>
            </w:r>
          </w:p>
          <w:p w14:paraId="07416EF2">
            <w:pPr>
              <w:autoSpaceDE w:val="0"/>
              <w:autoSpaceDN w:val="0"/>
              <w:adjustRightInd w:val="0"/>
              <w:snapToGrid w:val="0"/>
              <w:spacing w:line="240" w:lineRule="auto"/>
              <w:ind w:right="-88" w:rightChars="-42"/>
              <w:rPr>
                <w:rFonts w:ascii="宋体" w:cs="楷体_GB2312"/>
                <w:b/>
                <w:bCs/>
                <w:color w:val="auto"/>
                <w:szCs w:val="21"/>
                <w:lang w:val="zh-CN"/>
              </w:rPr>
            </w:pPr>
          </w:p>
        </w:tc>
        <w:tc>
          <w:tcPr>
            <w:tcW w:w="1874" w:type="dxa"/>
            <w:tcBorders>
              <w:top w:val="single" w:color="auto" w:sz="6" w:space="0"/>
              <w:left w:val="single" w:color="auto" w:sz="6" w:space="0"/>
              <w:bottom w:val="single" w:color="auto" w:sz="6" w:space="0"/>
              <w:right w:val="single" w:color="auto" w:sz="6" w:space="0"/>
            </w:tcBorders>
            <w:vAlign w:val="center"/>
          </w:tcPr>
          <w:p w14:paraId="35407718">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14:paraId="5B138F96">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r>
              <w:rPr>
                <w:rFonts w:ascii="宋体" w:cs="楷体_GB2312"/>
                <w:color w:val="auto"/>
                <w:sz w:val="24"/>
                <w:lang w:val="zh-CN"/>
              </w:rPr>
              <w:t xml:space="preserve"> </w:t>
            </w:r>
          </w:p>
        </w:tc>
      </w:tr>
      <w:tr w14:paraId="634F9E9D">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2DBE1918">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37F60E50">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14:paraId="26F89D8E">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14:paraId="007B9D14">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3</w:t>
            </w:r>
            <w:r>
              <w:rPr>
                <w:rFonts w:hint="eastAsia" w:ascii="宋体" w:hAnsi="宋体" w:cs="楷体_GB2312"/>
                <w:color w:val="auto"/>
                <w:sz w:val="24"/>
              </w:rPr>
              <w:t>个工作</w:t>
            </w:r>
            <w:r>
              <w:rPr>
                <w:rFonts w:hint="eastAsia" w:ascii="宋体" w:hAnsi="宋体" w:cs="楷体_GB2312"/>
                <w:color w:val="auto"/>
                <w:sz w:val="24"/>
                <w:lang w:val="zh-CN"/>
              </w:rPr>
              <w:t>日前。</w:t>
            </w:r>
          </w:p>
        </w:tc>
      </w:tr>
      <w:tr w14:paraId="47DAE115">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5EA1593D">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39C8DBA7">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2.4</w:t>
            </w:r>
          </w:p>
        </w:tc>
        <w:tc>
          <w:tcPr>
            <w:tcW w:w="1874" w:type="dxa"/>
            <w:tcBorders>
              <w:top w:val="single" w:color="auto" w:sz="6" w:space="0"/>
              <w:left w:val="single" w:color="auto" w:sz="6" w:space="0"/>
              <w:bottom w:val="single" w:color="auto" w:sz="6" w:space="0"/>
              <w:right w:val="single" w:color="auto" w:sz="6" w:space="0"/>
            </w:tcBorders>
            <w:vAlign w:val="center"/>
          </w:tcPr>
          <w:p w14:paraId="3637A08F">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14:paraId="3FE35F65">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4B2514DD">
        <w:tblPrEx>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14:paraId="7D0F58BB">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2DB2B529">
            <w:pPr>
              <w:autoSpaceDE w:val="0"/>
              <w:autoSpaceDN w:val="0"/>
              <w:adjustRightInd w:val="0"/>
              <w:snapToGrid w:val="0"/>
              <w:spacing w:line="240" w:lineRule="auto"/>
              <w:ind w:right="-88" w:rightChars="-42"/>
              <w:jc w:val="center"/>
              <w:rPr>
                <w:rFonts w:ascii="宋体" w:cs="楷体_GB2312"/>
                <w:b/>
                <w:bCs/>
                <w:szCs w:val="21"/>
                <w:lang w:val="zh-CN"/>
              </w:rPr>
            </w:pPr>
            <w:r>
              <w:rPr>
                <w:rFonts w:ascii="宋体" w:hAnsi="宋体" w:cs="楷体_GB2312"/>
                <w:b/>
                <w:bCs/>
                <w:szCs w:val="21"/>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14:paraId="190CCDA8">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14:paraId="56FFF563">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17295B7A">
        <w:tblPrEx>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14:paraId="05D81509">
            <w:pPr>
              <w:autoSpaceDE w:val="0"/>
              <w:autoSpaceDN w:val="0"/>
              <w:adjustRightInd w:val="0"/>
              <w:snapToGrid w:val="0"/>
              <w:spacing w:line="240" w:lineRule="auto"/>
              <w:jc w:val="center"/>
              <w:rPr>
                <w:rFonts w:ascii="宋体" w:hAnsi="宋体" w:cs="楷体_GB2312"/>
                <w:b/>
                <w:bCs/>
                <w:sz w:val="24"/>
                <w:lang w:val="zh-CN"/>
              </w:rPr>
            </w:pPr>
            <w:r>
              <w:rPr>
                <w:rFonts w:hint="eastAsia" w:ascii="宋体" w:hAnsi="宋体" w:cs="楷体_GB2312"/>
                <w:b/>
                <w:bCs/>
                <w:sz w:val="24"/>
                <w:lang w:val="zh-CN"/>
              </w:rPr>
              <w:t>第三章</w:t>
            </w:r>
          </w:p>
          <w:p w14:paraId="2D803596">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12F6691">
            <w:pPr>
              <w:autoSpaceDE w:val="0"/>
              <w:autoSpaceDN w:val="0"/>
              <w:adjustRightInd w:val="0"/>
              <w:snapToGrid w:val="0"/>
              <w:spacing w:line="240" w:lineRule="auto"/>
              <w:ind w:right="-88" w:rightChars="-42"/>
              <w:jc w:val="center"/>
              <w:rPr>
                <w:rFonts w:ascii="宋体" w:cs="楷体_GB2312"/>
                <w:b/>
                <w:bCs/>
                <w:szCs w:val="21"/>
                <w:lang w:val="zh-CN"/>
              </w:rPr>
            </w:pPr>
            <w:r>
              <w:rPr>
                <w:rFonts w:ascii="宋体" w:hAnsi="宋体" w:cs="楷体_GB2312"/>
                <w:b/>
                <w:bCs/>
                <w:szCs w:val="21"/>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14:paraId="7466E5B0">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14:paraId="4822CA1F">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29BBD53C">
        <w:tblPrEx>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14:paraId="0F2ED949">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6" w:space="0"/>
              <w:left w:val="single" w:color="auto" w:sz="12" w:space="0"/>
              <w:right w:val="single" w:color="auto" w:sz="6" w:space="0"/>
            </w:tcBorders>
            <w:vAlign w:val="center"/>
          </w:tcPr>
          <w:p w14:paraId="453D6C2F">
            <w:pPr>
              <w:autoSpaceDE w:val="0"/>
              <w:autoSpaceDN w:val="0"/>
              <w:adjustRightInd w:val="0"/>
              <w:snapToGrid w:val="0"/>
              <w:spacing w:line="240" w:lineRule="auto"/>
              <w:ind w:right="-88" w:rightChars="-42"/>
              <w:jc w:val="center"/>
              <w:rPr>
                <w:rFonts w:ascii="宋体" w:cs="楷体_GB2312"/>
                <w:b/>
                <w:bCs/>
                <w:szCs w:val="21"/>
                <w:lang w:val="zh-CN"/>
              </w:rPr>
            </w:pPr>
            <w:r>
              <w:rPr>
                <w:rFonts w:ascii="宋体" w:hAnsi="宋体" w:cs="楷体_GB2312"/>
                <w:b/>
                <w:bCs/>
                <w:szCs w:val="21"/>
                <w:lang w:val="zh-CN"/>
              </w:rPr>
              <w:t>3.5</w:t>
            </w:r>
          </w:p>
        </w:tc>
        <w:tc>
          <w:tcPr>
            <w:tcW w:w="1874" w:type="dxa"/>
            <w:tcBorders>
              <w:top w:val="single" w:color="auto" w:sz="6" w:space="0"/>
              <w:left w:val="single" w:color="auto" w:sz="6" w:space="0"/>
              <w:right w:val="single" w:color="auto" w:sz="6" w:space="0"/>
            </w:tcBorders>
            <w:vAlign w:val="center"/>
          </w:tcPr>
          <w:p w14:paraId="290E7E9A">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14:paraId="5EED24C8">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579" w:type="dxa"/>
            <w:tcBorders>
              <w:top w:val="single" w:color="auto" w:sz="6" w:space="0"/>
              <w:left w:val="single" w:color="auto" w:sz="6" w:space="0"/>
              <w:right w:val="single" w:color="auto" w:sz="12" w:space="0"/>
            </w:tcBorders>
            <w:vAlign w:val="center"/>
          </w:tcPr>
          <w:p w14:paraId="45768DEB">
            <w:pPr>
              <w:widowControl w:val="0"/>
              <w:snapToGrid w:val="0"/>
              <w:spacing w:before="156" w:beforeLines="50" w:line="240" w:lineRule="auto"/>
              <w:rPr>
                <w:color w:val="auto"/>
                <w:sz w:val="24"/>
                <w:szCs w:val="24"/>
              </w:rPr>
            </w:pPr>
            <w:r>
              <w:rPr>
                <w:rFonts w:hint="eastAsia"/>
                <w:color w:val="auto"/>
                <w:sz w:val="24"/>
                <w:szCs w:val="24"/>
              </w:rPr>
              <w:t>以投标承诺函形式替代投标保证金。</w:t>
            </w:r>
          </w:p>
          <w:p w14:paraId="425323CB">
            <w:pPr>
              <w:widowControl w:val="0"/>
              <w:snapToGrid w:val="0"/>
              <w:spacing w:before="156" w:beforeLines="50" w:line="240" w:lineRule="auto"/>
              <w:rPr>
                <w:color w:val="auto"/>
                <w:sz w:val="24"/>
                <w:szCs w:val="24"/>
              </w:rPr>
            </w:pPr>
            <w:r>
              <w:rPr>
                <w:rFonts w:hint="eastAsia"/>
                <w:color w:val="auto"/>
                <w:sz w:val="24"/>
                <w:szCs w:val="24"/>
              </w:rPr>
              <w:t>供应商应按附件格式进行投标承诺、违背承诺的责任追究。</w:t>
            </w:r>
          </w:p>
        </w:tc>
      </w:tr>
      <w:tr w14:paraId="5FF8F6EC">
        <w:tblPrEx>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14:paraId="6E9530D9">
            <w:pPr>
              <w:autoSpaceDE w:val="0"/>
              <w:autoSpaceDN w:val="0"/>
              <w:adjustRightInd w:val="0"/>
              <w:snapToGrid w:val="0"/>
              <w:spacing w:line="240" w:lineRule="auto"/>
              <w:jc w:val="center"/>
              <w:rPr>
                <w:rFonts w:ascii="宋体" w:cs="楷体_GB2312"/>
                <w:b/>
                <w:bCs/>
                <w:sz w:val="24"/>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14:paraId="5948D27A">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14:paraId="57FCD38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14:paraId="40EFC229">
            <w:pPr>
              <w:widowControl w:val="0"/>
              <w:snapToGrid w:val="0"/>
              <w:spacing w:before="156"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60969BF3">
        <w:tblPrEx>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14:paraId="6CA3C30C">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4BD9D671">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74" w:type="dxa"/>
            <w:tcBorders>
              <w:top w:val="single" w:color="auto" w:sz="6" w:space="0"/>
              <w:left w:val="single" w:color="auto" w:sz="6" w:space="0"/>
              <w:bottom w:val="single" w:color="auto" w:sz="6" w:space="0"/>
              <w:right w:val="single" w:color="auto" w:sz="6" w:space="0"/>
            </w:tcBorders>
            <w:vAlign w:val="center"/>
          </w:tcPr>
          <w:p w14:paraId="10A6DE4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14:paraId="2E31DCDD">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30664E30">
        <w:tblPrEx>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14:paraId="0CDC23D9">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008B3314">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74" w:type="dxa"/>
            <w:tcBorders>
              <w:top w:val="single" w:color="auto" w:sz="6" w:space="0"/>
              <w:left w:val="single" w:color="auto" w:sz="6" w:space="0"/>
              <w:bottom w:val="single" w:color="auto" w:sz="6" w:space="0"/>
              <w:right w:val="single" w:color="auto" w:sz="6" w:space="0"/>
            </w:tcBorders>
            <w:vAlign w:val="center"/>
          </w:tcPr>
          <w:p w14:paraId="2E0B3A0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14:paraId="70C7A97D">
            <w:pPr>
              <w:autoSpaceDE w:val="0"/>
              <w:autoSpaceDN w:val="0"/>
              <w:adjustRightInd w:val="0"/>
              <w:snapToGrid w:val="0"/>
              <w:spacing w:before="156" w:beforeLines="50" w:line="240" w:lineRule="auto"/>
              <w:rPr>
                <w:rFonts w:ascii="宋体" w:cs="楷体_GB2312"/>
                <w:sz w:val="24"/>
                <w:lang w:val="zh-CN"/>
              </w:rPr>
            </w:pPr>
            <w:r>
              <w:rPr>
                <w:rFonts w:hint="eastAsia" w:ascii="宋体" w:hAnsi="宋体" w:cs="楷体_GB2312"/>
                <w:sz w:val="24"/>
                <w:lang w:val="zh-CN"/>
              </w:rPr>
              <w:t>否</w:t>
            </w:r>
          </w:p>
        </w:tc>
      </w:tr>
      <w:tr w14:paraId="5DC27243">
        <w:tblPrEx>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14:paraId="185FB062">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227D5776">
            <w:pPr>
              <w:autoSpaceDE w:val="0"/>
              <w:autoSpaceDN w:val="0"/>
              <w:adjustRightInd w:val="0"/>
              <w:snapToGrid w:val="0"/>
              <w:spacing w:line="240" w:lineRule="auto"/>
              <w:ind w:left="-134" w:leftChars="-64" w:right="-88" w:rightChars="-42"/>
              <w:jc w:val="center"/>
              <w:rPr>
                <w:rFonts w:ascii="宋体" w:cs="楷体_GB2312"/>
                <w:b/>
                <w:bCs/>
                <w:szCs w:val="21"/>
                <w:lang w:val="zh-CN"/>
              </w:rPr>
            </w:pPr>
            <w:r>
              <w:rPr>
                <w:rFonts w:ascii="宋体" w:hAnsi="宋体" w:cs="楷体_GB2312"/>
                <w:b/>
                <w:bCs/>
                <w:szCs w:val="21"/>
              </w:rPr>
              <w:t>6.1</w:t>
            </w:r>
          </w:p>
        </w:tc>
        <w:tc>
          <w:tcPr>
            <w:tcW w:w="1874" w:type="dxa"/>
            <w:tcBorders>
              <w:top w:val="single" w:color="auto" w:sz="6" w:space="0"/>
              <w:left w:val="single" w:color="auto" w:sz="6" w:space="0"/>
              <w:bottom w:val="single" w:color="auto" w:sz="6" w:space="0"/>
              <w:right w:val="single" w:color="auto" w:sz="6" w:space="0"/>
            </w:tcBorders>
            <w:vAlign w:val="center"/>
          </w:tcPr>
          <w:p w14:paraId="70AAEFF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14:paraId="1B0E130D">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46FC0A3F">
        <w:tblPrEx>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14:paraId="5C7FFD2C">
            <w:pPr>
              <w:autoSpaceDE w:val="0"/>
              <w:autoSpaceDN w:val="0"/>
              <w:adjustRightInd w:val="0"/>
              <w:snapToGrid w:val="0"/>
              <w:spacing w:line="240" w:lineRule="auto"/>
              <w:jc w:val="center"/>
              <w:rPr>
                <w:rFonts w:ascii="宋体" w:cs="楷体_GB2312"/>
                <w:b/>
                <w:bCs/>
                <w:sz w:val="24"/>
              </w:rPr>
            </w:pPr>
            <w:r>
              <w:rPr>
                <w:rFonts w:hint="eastAsia" w:ascii="宋体" w:hAnsi="宋体" w:cs="楷体_GB2312"/>
                <w:b/>
                <w:bCs/>
                <w:sz w:val="24"/>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72BC0EF0">
            <w:pPr>
              <w:autoSpaceDE w:val="0"/>
              <w:autoSpaceDN w:val="0"/>
              <w:adjustRightInd w:val="0"/>
              <w:snapToGrid w:val="0"/>
              <w:spacing w:line="240" w:lineRule="auto"/>
              <w:ind w:left="-134" w:leftChars="-64" w:right="-88" w:rightChars="-42"/>
              <w:jc w:val="center"/>
              <w:rPr>
                <w:rFonts w:ascii="宋体" w:cs="楷体_GB2312"/>
                <w:b/>
                <w:bCs/>
                <w:szCs w:val="21"/>
              </w:rPr>
            </w:pPr>
            <w:r>
              <w:rPr>
                <w:rFonts w:ascii="宋体" w:hAnsi="宋体" w:cs="楷体_GB2312"/>
                <w:b/>
                <w:bCs/>
                <w:szCs w:val="21"/>
              </w:rPr>
              <w:t>7.1</w:t>
            </w:r>
          </w:p>
        </w:tc>
        <w:tc>
          <w:tcPr>
            <w:tcW w:w="1874" w:type="dxa"/>
            <w:tcBorders>
              <w:top w:val="single" w:color="auto" w:sz="6" w:space="0"/>
              <w:left w:val="single" w:color="auto" w:sz="6" w:space="0"/>
              <w:bottom w:val="single" w:color="auto" w:sz="6" w:space="0"/>
              <w:right w:val="single" w:color="auto" w:sz="6" w:space="0"/>
            </w:tcBorders>
            <w:vAlign w:val="center"/>
          </w:tcPr>
          <w:p w14:paraId="375F480A">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14:paraId="05C6F603">
            <w:pPr>
              <w:adjustRightInd w:val="0"/>
              <w:snapToGrid w:val="0"/>
              <w:spacing w:before="156" w:beforeLines="50" w:line="240" w:lineRule="auto"/>
              <w:rPr>
                <w:rFonts w:ascii="宋体"/>
                <w:color w:val="auto"/>
                <w:sz w:val="24"/>
              </w:rPr>
            </w:pPr>
            <w:r>
              <w:rPr>
                <w:rFonts w:hint="eastAsia" w:ascii="宋体" w:hAnsi="宋体"/>
                <w:color w:val="auto"/>
                <w:sz w:val="24"/>
              </w:rPr>
              <w:t>是。谈判小组按照最后报价由低到高的顺序提出</w:t>
            </w:r>
            <w:r>
              <w:rPr>
                <w:rFonts w:ascii="宋体" w:hAnsi="宋体"/>
                <w:color w:val="auto"/>
                <w:sz w:val="24"/>
              </w:rPr>
              <w:t>3</w:t>
            </w:r>
            <w:r>
              <w:rPr>
                <w:rFonts w:hint="eastAsia" w:ascii="宋体" w:hAnsi="宋体"/>
                <w:color w:val="auto"/>
                <w:sz w:val="24"/>
              </w:rPr>
              <w:t>名成交候选人，并确定排名第一的成交候选人为成交供应商。</w:t>
            </w:r>
          </w:p>
        </w:tc>
      </w:tr>
      <w:tr w14:paraId="226D008E">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38FB11E1">
            <w:pPr>
              <w:autoSpaceDE w:val="0"/>
              <w:autoSpaceDN w:val="0"/>
              <w:adjustRightInd w:val="0"/>
              <w:snapToGrid w:val="0"/>
              <w:spacing w:line="240" w:lineRule="auto"/>
              <w:jc w:val="center"/>
              <w:rPr>
                <w:rFonts w:ascii="宋体" w:cs="楷体_GB2312"/>
                <w:b/>
                <w:bCs/>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7234770D">
            <w:pPr>
              <w:autoSpaceDE w:val="0"/>
              <w:autoSpaceDN w:val="0"/>
              <w:adjustRightInd w:val="0"/>
              <w:snapToGrid w:val="0"/>
              <w:spacing w:line="240" w:lineRule="auto"/>
              <w:jc w:val="center"/>
              <w:rPr>
                <w:rFonts w:ascii="宋体" w:cs="楷体_GB2312"/>
                <w:b/>
                <w:bCs/>
                <w:szCs w:val="21"/>
              </w:rPr>
            </w:pPr>
            <w:r>
              <w:rPr>
                <w:rFonts w:ascii="宋体" w:hAnsi="宋体" w:cs="楷体_GB2312"/>
                <w:b/>
                <w:bCs/>
                <w:szCs w:val="21"/>
              </w:rPr>
              <w:t>7.2</w:t>
            </w:r>
          </w:p>
        </w:tc>
        <w:tc>
          <w:tcPr>
            <w:tcW w:w="1874" w:type="dxa"/>
            <w:tcBorders>
              <w:top w:val="single" w:color="auto" w:sz="6" w:space="0"/>
              <w:left w:val="single" w:color="auto" w:sz="6" w:space="0"/>
              <w:bottom w:val="single" w:color="auto" w:sz="6" w:space="0"/>
              <w:right w:val="single" w:color="auto" w:sz="6" w:space="0"/>
            </w:tcBorders>
            <w:vAlign w:val="center"/>
          </w:tcPr>
          <w:p w14:paraId="79D5D290">
            <w:pPr>
              <w:autoSpaceDE w:val="0"/>
              <w:autoSpaceDN w:val="0"/>
              <w:adjustRightInd w:val="0"/>
              <w:snapToGrid w:val="0"/>
              <w:spacing w:line="240" w:lineRule="auto"/>
              <w:jc w:val="center"/>
              <w:rPr>
                <w:rFonts w:ascii="宋体"/>
                <w:b/>
                <w:sz w:val="24"/>
              </w:rPr>
            </w:pPr>
            <w:r>
              <w:rPr>
                <w:rFonts w:hint="eastAsia" w:ascii="宋体" w:hAnsi="宋体"/>
                <w:b/>
                <w:sz w:val="24"/>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14:paraId="0B222940">
            <w:pPr>
              <w:adjustRightInd w:val="0"/>
              <w:snapToGrid w:val="0"/>
              <w:spacing w:before="156" w:beforeLines="50" w:line="240" w:lineRule="auto"/>
              <w:rPr>
                <w:rFonts w:ascii="宋体" w:hAnsi="宋体"/>
                <w:sz w:val="24"/>
              </w:rPr>
            </w:pPr>
            <w:r>
              <w:rPr>
                <w:rFonts w:hint="eastAsia" w:ascii="宋体" w:hAnsi="宋体"/>
                <w:sz w:val="24"/>
              </w:rPr>
              <w:t>本次竞争性谈判的成交结果将在成交供应商确定当天在谈判公告所述媒介公告</w:t>
            </w:r>
            <w:r>
              <w:rPr>
                <w:rFonts w:ascii="宋体" w:hAnsi="宋体"/>
                <w:sz w:val="24"/>
              </w:rPr>
              <w:t>1</w:t>
            </w:r>
            <w:r>
              <w:rPr>
                <w:rFonts w:hint="eastAsia" w:ascii="宋体" w:hAnsi="宋体"/>
                <w:sz w:val="24"/>
              </w:rPr>
              <w:t>个工作日。</w:t>
            </w:r>
          </w:p>
        </w:tc>
      </w:tr>
      <w:tr w14:paraId="3CCB004D">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5EEF0F38">
            <w:pPr>
              <w:autoSpaceDE w:val="0"/>
              <w:autoSpaceDN w:val="0"/>
              <w:adjustRightInd w:val="0"/>
              <w:snapToGrid w:val="0"/>
              <w:spacing w:line="240" w:lineRule="auto"/>
              <w:jc w:val="center"/>
              <w:rPr>
                <w:rFonts w:ascii="宋体" w:cs="楷体_GB2312"/>
                <w:b/>
                <w:bCs/>
                <w:color w:val="339966"/>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2F68A49A">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7.3</w:t>
            </w:r>
          </w:p>
        </w:tc>
        <w:tc>
          <w:tcPr>
            <w:tcW w:w="1874" w:type="dxa"/>
            <w:tcBorders>
              <w:top w:val="single" w:color="auto" w:sz="6" w:space="0"/>
              <w:left w:val="single" w:color="auto" w:sz="6" w:space="0"/>
              <w:bottom w:val="single" w:color="auto" w:sz="6" w:space="0"/>
              <w:right w:val="single" w:color="auto" w:sz="6" w:space="0"/>
            </w:tcBorders>
            <w:vAlign w:val="center"/>
          </w:tcPr>
          <w:p w14:paraId="318A15E2">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14:paraId="1DEEC531">
            <w:pPr>
              <w:adjustRightInd w:val="0"/>
              <w:snapToGrid w:val="0"/>
              <w:spacing w:before="156" w:beforeLines="50" w:line="240" w:lineRule="auto"/>
              <w:rPr>
                <w:rFonts w:ascii="宋体"/>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7008C8EB">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5B967AC8">
            <w:pPr>
              <w:autoSpaceDE w:val="0"/>
              <w:autoSpaceDN w:val="0"/>
              <w:adjustRightInd w:val="0"/>
              <w:snapToGrid w:val="0"/>
              <w:spacing w:line="240" w:lineRule="auto"/>
              <w:jc w:val="center"/>
              <w:rPr>
                <w:rFonts w:ascii="宋体" w:cs="楷体_GB2312"/>
                <w:b/>
                <w:bCs/>
                <w:color w:val="339966"/>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2E2EA28E">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7.4</w:t>
            </w:r>
          </w:p>
        </w:tc>
        <w:tc>
          <w:tcPr>
            <w:tcW w:w="1874" w:type="dxa"/>
            <w:tcBorders>
              <w:top w:val="single" w:color="auto" w:sz="6" w:space="0"/>
              <w:left w:val="single" w:color="auto" w:sz="6" w:space="0"/>
              <w:bottom w:val="single" w:color="auto" w:sz="6" w:space="0"/>
              <w:right w:val="single" w:color="auto" w:sz="6" w:space="0"/>
            </w:tcBorders>
            <w:vAlign w:val="center"/>
          </w:tcPr>
          <w:p w14:paraId="05217F2C">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14:paraId="42553EAE">
            <w:pPr>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采购代理机构在成交供应商确定当天向成交供应商发出成交通知书。成交供应商应凭缴费凭证及时领取成交通知书。</w:t>
            </w:r>
          </w:p>
        </w:tc>
      </w:tr>
      <w:tr w14:paraId="13B93227">
        <w:tblPrEx>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14:paraId="4DC362EC">
            <w:pPr>
              <w:autoSpaceDE w:val="0"/>
              <w:autoSpaceDN w:val="0"/>
              <w:adjustRightInd w:val="0"/>
              <w:snapToGrid w:val="0"/>
              <w:spacing w:line="240" w:lineRule="auto"/>
              <w:jc w:val="center"/>
              <w:rPr>
                <w:rFonts w:ascii="宋体" w:cs="楷体_GB2312"/>
                <w:b/>
                <w:bCs/>
                <w:color w:val="FF0000"/>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6F4D429D">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14:paraId="17980F16">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14:paraId="20BD62C9">
            <w:pPr>
              <w:widowControl w:val="0"/>
              <w:snapToGrid w:val="0"/>
              <w:spacing w:before="156" w:beforeLines="50"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不需缴纳</w:t>
            </w:r>
          </w:p>
        </w:tc>
      </w:tr>
      <w:tr w14:paraId="0D877DA0">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66E86498">
            <w:pPr>
              <w:autoSpaceDE w:val="0"/>
              <w:autoSpaceDN w:val="0"/>
              <w:adjustRightInd w:val="0"/>
              <w:snapToGrid w:val="0"/>
              <w:spacing w:line="240" w:lineRule="auto"/>
              <w:jc w:val="center"/>
              <w:rPr>
                <w:rFonts w:ascii="宋体" w:cs="楷体_GB2312"/>
                <w:b/>
                <w:bCs/>
                <w:color w:val="FF0000"/>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193671C">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14:paraId="38332975">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14:paraId="10882C99">
            <w:pPr>
              <w:widowControl w:val="0"/>
              <w:snapToGrid w:val="0"/>
              <w:spacing w:before="156" w:beforeLines="50"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见“第三章投标人须知”相应条款</w:t>
            </w:r>
          </w:p>
        </w:tc>
      </w:tr>
      <w:tr w14:paraId="6558A51D">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07D7BC01">
            <w:pPr>
              <w:autoSpaceDE w:val="0"/>
              <w:autoSpaceDN w:val="0"/>
              <w:adjustRightInd w:val="0"/>
              <w:spacing w:line="360" w:lineRule="auto"/>
              <w:rPr>
                <w:rFonts w:ascii="宋体" w:cs="楷体_GB2312"/>
                <w:b/>
                <w:bCs/>
                <w:color w:val="339966"/>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076AF547">
            <w:pPr>
              <w:autoSpaceDE w:val="0"/>
              <w:autoSpaceDN w:val="0"/>
              <w:adjustRightInd w:val="0"/>
              <w:spacing w:line="360" w:lineRule="auto"/>
              <w:jc w:val="center"/>
              <w:rPr>
                <w:rFonts w:ascii="宋体" w:cs="楷体_GB2312"/>
                <w:b/>
                <w:bCs/>
                <w:color w:val="339966"/>
                <w:sz w:val="24"/>
              </w:rPr>
            </w:pPr>
            <w:r>
              <w:rPr>
                <w:rFonts w:ascii="宋体" w:hAnsi="宋体" w:cs="楷体_GB2312"/>
                <w:b/>
                <w:bCs/>
                <w:color w:val="auto"/>
                <w:sz w:val="24"/>
              </w:rPr>
              <w:t>9</w:t>
            </w:r>
          </w:p>
        </w:tc>
        <w:tc>
          <w:tcPr>
            <w:tcW w:w="1874" w:type="dxa"/>
            <w:tcBorders>
              <w:top w:val="single" w:color="auto" w:sz="6" w:space="0"/>
              <w:left w:val="single" w:color="auto" w:sz="6" w:space="0"/>
              <w:bottom w:val="single" w:color="auto" w:sz="6" w:space="0"/>
              <w:right w:val="single" w:color="auto" w:sz="6" w:space="0"/>
            </w:tcBorders>
            <w:vAlign w:val="center"/>
          </w:tcPr>
          <w:p w14:paraId="3E5B8515">
            <w:pPr>
              <w:autoSpaceDE w:val="0"/>
              <w:autoSpaceDN w:val="0"/>
              <w:adjustRightInd w:val="0"/>
              <w:snapToGrid w:val="0"/>
              <w:spacing w:line="240" w:lineRule="auto"/>
              <w:jc w:val="center"/>
              <w:rPr>
                <w:rFonts w:ascii="宋体" w:cs="楷体_GB2312"/>
                <w:b/>
                <w:bCs/>
                <w:sz w:val="24"/>
                <w:lang w:val="zh-CN"/>
              </w:rPr>
            </w:pPr>
            <w:r>
              <w:rPr>
                <w:rFonts w:hint="eastAsia" w:ascii="宋体" w:hAnsi="宋体" w:cs="楷体_GB2312"/>
                <w:b/>
                <w:bCs/>
                <w:sz w:val="24"/>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14:paraId="520A76FC">
            <w:pPr>
              <w:snapToGrid w:val="0"/>
              <w:spacing w:before="156" w:beforeLines="50" w:line="240" w:lineRule="auto"/>
              <w:ind w:firstLine="480" w:firstLineChars="200"/>
              <w:rPr>
                <w:color w:val="000000" w:themeColor="text1"/>
                <w:sz w:val="24"/>
                <w:szCs w:val="24"/>
                <w14:textFill>
                  <w14:solidFill>
                    <w14:schemeClr w14:val="tx1"/>
                  </w14:solidFill>
                </w14:textFill>
              </w:rPr>
            </w:pPr>
            <w:bookmarkStart w:id="18" w:name="OLE_LINK11"/>
            <w:r>
              <w:rPr>
                <w:rFonts w:hint="eastAsia"/>
                <w:color w:val="000000" w:themeColor="text1"/>
                <w:sz w:val="24"/>
                <w:szCs w:val="24"/>
                <w14:textFill>
                  <w14:solidFill>
                    <w14:schemeClr w14:val="tx1"/>
                  </w14:solidFill>
                </w14:textFill>
              </w:rPr>
              <w:t>为优化政府采购营商环境，根据安财购﹝2019﹞8号文件落实政府采购预付款的规定，采购人可在政府采购合同履约前向成交供应商预付</w:t>
            </w:r>
            <w:r>
              <w:rPr>
                <w:color w:val="000000" w:themeColor="text1"/>
                <w:sz w:val="24"/>
                <w:szCs w:val="24"/>
                <w:u w:val="single"/>
                <w14:textFill>
                  <w14:solidFill>
                    <w14:schemeClr w14:val="tx1"/>
                  </w14:solidFill>
                </w14:textFill>
              </w:rPr>
              <w:t>30%</w:t>
            </w:r>
            <w:r>
              <w:rPr>
                <w:rFonts w:hint="eastAsia"/>
                <w:color w:val="000000" w:themeColor="text1"/>
                <w:sz w:val="24"/>
                <w:szCs w:val="24"/>
                <w14:textFill>
                  <w14:solidFill>
                    <w14:schemeClr w14:val="tx1"/>
                  </w14:solidFill>
                </w14:textFill>
              </w:rPr>
              <w:t>合同资金，成交供应商应向采购人提交预付款保函，未提供保函的，视同其放弃项目预付款的支付。</w:t>
            </w:r>
          </w:p>
          <w:p w14:paraId="592F8883">
            <w:pPr>
              <w:snapToGrid w:val="0"/>
              <w:spacing w:before="156" w:beforeLines="50" w:line="24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为进一步优化营商环境，根据安财购﹝</w:t>
            </w:r>
            <w:r>
              <w:rPr>
                <w:color w:val="000000" w:themeColor="text1"/>
                <w:sz w:val="24"/>
                <w:szCs w:val="24"/>
                <w14:textFill>
                  <w14:solidFill>
                    <w14:schemeClr w14:val="tx1"/>
                  </w14:solidFill>
                </w14:textFill>
              </w:rPr>
              <w:t>2022</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号文件落实政府采购中小企业预付款的规定，采购人可在政府采购合同签订后，向成交供应商原则上预付不低于合同金额</w:t>
            </w:r>
            <w:r>
              <w:rPr>
                <w:color w:val="000000" w:themeColor="text1"/>
                <w:sz w:val="24"/>
                <w:szCs w:val="24"/>
                <w14:textFill>
                  <w14:solidFill>
                    <w14:schemeClr w14:val="tx1"/>
                  </w14:solidFill>
                </w14:textFill>
              </w:rPr>
              <w:t>50%</w:t>
            </w:r>
            <w:r>
              <w:rPr>
                <w:rFonts w:hint="eastAsia"/>
                <w:color w:val="000000" w:themeColor="text1"/>
                <w:sz w:val="24"/>
                <w:szCs w:val="24"/>
                <w14:textFill>
                  <w14:solidFill>
                    <w14:schemeClr w14:val="tx1"/>
                  </w14:solidFill>
                </w14:textFill>
              </w:rPr>
              <w:t>的预付款，成交供应商应向采购人提交预付款保函，未提供保函的，视同其放弃项目预付款的支付。</w:t>
            </w:r>
          </w:p>
          <w:p w14:paraId="67AF63C6">
            <w:pPr>
              <w:snapToGrid w:val="0"/>
              <w:spacing w:before="156" w:beforeLines="50" w:line="240" w:lineRule="auto"/>
              <w:ind w:firstLine="480" w:firstLineChars="200"/>
              <w:rPr>
                <w:color w:val="000000" w:themeColor="text1"/>
                <w:sz w:val="24"/>
                <w:szCs w:val="24"/>
                <w:highlight w:val="yellow"/>
                <w14:textFill>
                  <w14:solidFill>
                    <w14:schemeClr w14:val="tx1"/>
                  </w14:solidFill>
                </w14:textFill>
              </w:rPr>
            </w:pPr>
            <w:r>
              <w:rPr>
                <w:rFonts w:hint="eastAsia"/>
                <w:color w:val="000000" w:themeColor="text1"/>
                <w:sz w:val="24"/>
                <w:szCs w:val="24"/>
                <w14:textFill>
                  <w14:solidFill>
                    <w14:schemeClr w14:val="tx1"/>
                  </w14:solidFill>
                </w14:textFill>
              </w:rPr>
              <w:t>项目完成后，采购人需持从“安阳市政府采购网”登录系统下载本项目带水印的《安阳市市直政府采购资金申请表》和《安阳市市直政府采购申报表》，以及《政府采购验收报告》和发票等，作为付款依据，报安阳市财政国库支付中心审核确认后一次无息付清剩余项目款。</w:t>
            </w:r>
            <w:bookmarkEnd w:id="18"/>
          </w:p>
        </w:tc>
      </w:tr>
      <w:tr w14:paraId="12570821">
        <w:tblPrEx>
          <w:tblCellMar>
            <w:top w:w="0" w:type="dxa"/>
            <w:left w:w="108" w:type="dxa"/>
            <w:bottom w:w="0" w:type="dxa"/>
            <w:right w:w="108" w:type="dxa"/>
          </w:tblCellMar>
        </w:tblPrEx>
        <w:trPr>
          <w:trHeight w:val="453" w:hRule="atLeast"/>
          <w:jc w:val="center"/>
        </w:trPr>
        <w:tc>
          <w:tcPr>
            <w:tcW w:w="608" w:type="dxa"/>
            <w:tcBorders>
              <w:left w:val="single" w:color="auto" w:sz="12" w:space="0"/>
              <w:bottom w:val="single" w:color="auto" w:sz="6" w:space="0"/>
              <w:right w:val="single" w:color="auto" w:sz="6" w:space="0"/>
            </w:tcBorders>
          </w:tcPr>
          <w:p w14:paraId="53674022">
            <w:pPr>
              <w:autoSpaceDE w:val="0"/>
              <w:autoSpaceDN w:val="0"/>
              <w:adjustRightInd w:val="0"/>
              <w:spacing w:line="360" w:lineRule="auto"/>
              <w:rPr>
                <w:rFonts w:ascii="宋体" w:cs="楷体_GB2312"/>
                <w:b/>
                <w:bCs/>
                <w:color w:val="339966"/>
                <w:sz w:val="24"/>
              </w:rPr>
            </w:pPr>
          </w:p>
        </w:tc>
        <w:tc>
          <w:tcPr>
            <w:tcW w:w="694" w:type="dxa"/>
            <w:tcBorders>
              <w:top w:val="single" w:color="auto" w:sz="6" w:space="0"/>
              <w:left w:val="single" w:color="auto" w:sz="12" w:space="0"/>
              <w:bottom w:val="single" w:color="auto" w:sz="6" w:space="0"/>
              <w:right w:val="single" w:color="auto" w:sz="6" w:space="0"/>
            </w:tcBorders>
            <w:vAlign w:val="center"/>
          </w:tcPr>
          <w:p w14:paraId="56C02DB6">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10.1</w:t>
            </w:r>
          </w:p>
        </w:tc>
        <w:tc>
          <w:tcPr>
            <w:tcW w:w="1874" w:type="dxa"/>
            <w:tcBorders>
              <w:top w:val="single" w:color="auto" w:sz="6" w:space="0"/>
              <w:left w:val="single" w:color="auto" w:sz="6" w:space="0"/>
              <w:bottom w:val="single" w:color="auto" w:sz="6" w:space="0"/>
              <w:right w:val="single" w:color="auto" w:sz="6" w:space="0"/>
            </w:tcBorders>
            <w:vAlign w:val="center"/>
          </w:tcPr>
          <w:p w14:paraId="5C2D47EC">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14:paraId="178E334E">
            <w:pPr>
              <w:adjustRightInd w:val="0"/>
              <w:snapToGrid w:val="0"/>
              <w:spacing w:before="156" w:beforeLines="50" w:line="240" w:lineRule="auto"/>
              <w:rPr>
                <w:rFonts w:ascii="宋体" w:hAnsi="宋体"/>
                <w:sz w:val="24"/>
              </w:rPr>
            </w:pPr>
            <w:r>
              <w:rPr>
                <w:rFonts w:hint="eastAsia" w:ascii="宋体" w:hAnsi="宋体"/>
                <w:sz w:val="24"/>
              </w:rPr>
              <w:t>参照国家计委《招标代理服务收费管理暂行办法》（计价格【</w:t>
            </w:r>
            <w:r>
              <w:rPr>
                <w:rFonts w:ascii="宋体" w:hAnsi="宋体"/>
                <w:sz w:val="24"/>
              </w:rPr>
              <w:t>2002</w:t>
            </w:r>
            <w:r>
              <w:rPr>
                <w:rFonts w:hint="eastAsia" w:ascii="宋体" w:hAnsi="宋体"/>
                <w:sz w:val="24"/>
              </w:rPr>
              <w:t>】</w:t>
            </w:r>
            <w:r>
              <w:rPr>
                <w:rFonts w:ascii="宋体" w:hAnsi="宋体"/>
                <w:sz w:val="24"/>
              </w:rPr>
              <w:t>1980</w:t>
            </w:r>
            <w:r>
              <w:rPr>
                <w:rFonts w:hint="eastAsia" w:ascii="宋体" w:hAnsi="宋体"/>
                <w:sz w:val="24"/>
              </w:rPr>
              <w:t>号）、《国家发展和改革委员会办公厅关于招标代理服务费有关问题的通知》（发改办价格【</w:t>
            </w:r>
            <w:r>
              <w:rPr>
                <w:rFonts w:ascii="宋体" w:hAnsi="宋体"/>
                <w:sz w:val="24"/>
              </w:rPr>
              <w:t>2003</w:t>
            </w:r>
            <w:r>
              <w:rPr>
                <w:rFonts w:hint="eastAsia" w:ascii="宋体" w:hAnsi="宋体"/>
                <w:sz w:val="24"/>
              </w:rPr>
              <w:t>】</w:t>
            </w:r>
            <w:r>
              <w:rPr>
                <w:rFonts w:ascii="宋体" w:hAnsi="宋体"/>
                <w:sz w:val="24"/>
              </w:rPr>
              <w:t>857</w:t>
            </w:r>
            <w:r>
              <w:rPr>
                <w:rFonts w:hint="eastAsia" w:ascii="宋体" w:hAnsi="宋体"/>
                <w:sz w:val="24"/>
              </w:rPr>
              <w:t>号）及发改价格【</w:t>
            </w:r>
            <w:r>
              <w:rPr>
                <w:rFonts w:ascii="宋体" w:hAnsi="宋体"/>
                <w:sz w:val="24"/>
              </w:rPr>
              <w:t>2011</w:t>
            </w:r>
            <w:r>
              <w:rPr>
                <w:rFonts w:hint="eastAsia" w:ascii="宋体" w:hAnsi="宋体"/>
                <w:sz w:val="24"/>
              </w:rPr>
              <w:t>】</w:t>
            </w:r>
            <w:r>
              <w:rPr>
                <w:rFonts w:ascii="宋体" w:hAnsi="宋体"/>
                <w:sz w:val="24"/>
              </w:rPr>
              <w:t>534</w:t>
            </w:r>
            <w:r>
              <w:rPr>
                <w:rFonts w:hint="eastAsia" w:ascii="宋体" w:hAnsi="宋体"/>
                <w:sz w:val="24"/>
              </w:rPr>
              <w:t>号文件的规定，招标代理服务费由中标（成交）供应商支付。</w:t>
            </w:r>
          </w:p>
        </w:tc>
      </w:tr>
    </w:tbl>
    <w:p w14:paraId="3936F24A">
      <w:pPr>
        <w:autoSpaceDE w:val="0"/>
        <w:autoSpaceDN w:val="0"/>
        <w:adjustRightInd w:val="0"/>
        <w:spacing w:line="360" w:lineRule="auto"/>
        <w:ind w:firstLine="539"/>
      </w:pPr>
      <w:r>
        <w:br w:type="page"/>
      </w:r>
    </w:p>
    <w:p w14:paraId="55746422">
      <w:pPr>
        <w:autoSpaceDE w:val="0"/>
        <w:autoSpaceDN w:val="0"/>
        <w:adjustRightInd w:val="0"/>
        <w:snapToGrid w:val="0"/>
        <w:spacing w:before="156" w:beforeLines="50" w:line="300" w:lineRule="auto"/>
        <w:ind w:firstLine="539"/>
        <w:outlineLvl w:val="1"/>
        <w:rPr>
          <w:rFonts w:ascii="黑体" w:hAnsi="黑体" w:eastAsia="黑体"/>
          <w:color w:val="auto"/>
          <w:sz w:val="28"/>
          <w:szCs w:val="28"/>
          <w:lang w:val="zh-CN"/>
        </w:rPr>
      </w:pPr>
      <w:bookmarkStart w:id="19" w:name="_Toc65679079"/>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19"/>
    </w:p>
    <w:p w14:paraId="0EB4D59E">
      <w:pPr>
        <w:autoSpaceDE w:val="0"/>
        <w:autoSpaceDN w:val="0"/>
        <w:adjustRightInd w:val="0"/>
        <w:snapToGrid w:val="0"/>
        <w:spacing w:before="156" w:beforeLines="50" w:line="300" w:lineRule="auto"/>
        <w:ind w:firstLine="539"/>
        <w:rPr>
          <w:rFonts w:ascii="宋体"/>
          <w:sz w:val="24"/>
          <w:szCs w:val="24"/>
        </w:rPr>
      </w:pPr>
      <w:r>
        <w:rPr>
          <w:rFonts w:ascii="黑体" w:hAnsi="黑体" w:eastAsia="黑体" w:cs="楷体_GB2312"/>
          <w:b/>
          <w:sz w:val="24"/>
          <w:lang w:val="zh-CN"/>
        </w:rPr>
        <w:t xml:space="preserve">1.1 </w:t>
      </w:r>
      <w:r>
        <w:rPr>
          <w:rFonts w:hint="eastAsia" w:ascii="宋体" w:hAnsi="宋体"/>
          <w:sz w:val="24"/>
          <w:szCs w:val="24"/>
        </w:rPr>
        <w:t>根据《中华人民共和国政府采购法》、《中华人民共和国政府采购法实施条例》、《政府采购非招标采购方式管理办法》及相关政府采购法律法规等制定本文件。</w:t>
      </w:r>
    </w:p>
    <w:p w14:paraId="19DA6233">
      <w:pPr>
        <w:adjustRightInd w:val="0"/>
        <w:snapToGrid w:val="0"/>
        <w:spacing w:before="156" w:beforeLines="50" w:line="300" w:lineRule="auto"/>
        <w:ind w:right="240" w:firstLine="482" w:firstLineChars="200"/>
        <w:rPr>
          <w:rFonts w:ascii="黑体" w:hAnsi="黑体" w:eastAsia="黑体" w:cs="楷体_GB2312"/>
          <w:b/>
          <w:sz w:val="24"/>
          <w:lang w:val="zh-CN"/>
        </w:rPr>
      </w:pPr>
      <w:r>
        <w:rPr>
          <w:rFonts w:ascii="黑体" w:hAnsi="黑体" w:eastAsia="黑体" w:cs="楷体_GB2312"/>
          <w:b/>
          <w:sz w:val="24"/>
          <w:lang w:val="zh-CN"/>
        </w:rPr>
        <w:t xml:space="preserve">1.2 </w:t>
      </w:r>
      <w:r>
        <w:rPr>
          <w:rFonts w:hint="eastAsia" w:ascii="黑体" w:hAnsi="黑体" w:eastAsia="黑体" w:cs="楷体_GB2312"/>
          <w:b/>
          <w:sz w:val="24"/>
          <w:lang w:val="zh-CN"/>
        </w:rPr>
        <w:t>谈判文件的法律适用及法律效力</w:t>
      </w:r>
    </w:p>
    <w:p w14:paraId="23C1202D">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1.2.1</w:t>
      </w:r>
      <w:r>
        <w:rPr>
          <w:rFonts w:hint="eastAsia" w:ascii="宋体" w:hAnsi="宋体"/>
          <w:sz w:val="24"/>
          <w:szCs w:val="24"/>
        </w:rPr>
        <w:t>本</w:t>
      </w:r>
      <w:r>
        <w:rPr>
          <w:rFonts w:hint="eastAsia" w:ascii="宋体" w:hAnsi="宋体" w:cs="宋体"/>
          <w:sz w:val="24"/>
          <w:szCs w:val="24"/>
        </w:rPr>
        <w:t>谈判文件</w:t>
      </w:r>
      <w:r>
        <w:rPr>
          <w:rFonts w:hint="eastAsia" w:ascii="宋体" w:hAnsi="宋体"/>
          <w:sz w:val="24"/>
          <w:szCs w:val="24"/>
        </w:rPr>
        <w:t>所述内容，仅适用于本次项目采购。</w:t>
      </w:r>
    </w:p>
    <w:p w14:paraId="5EE664F8">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 xml:space="preserve">1.2.2 </w:t>
      </w:r>
      <w:r>
        <w:rPr>
          <w:rFonts w:hint="eastAsia" w:ascii="宋体" w:hAnsi="宋体" w:cs="宋体"/>
          <w:sz w:val="24"/>
          <w:szCs w:val="24"/>
        </w:rPr>
        <w:t>谈判文件</w:t>
      </w:r>
      <w:r>
        <w:rPr>
          <w:rFonts w:hint="eastAsia" w:ascii="宋体" w:hAnsi="宋体"/>
          <w:sz w:val="24"/>
          <w:szCs w:val="24"/>
        </w:rPr>
        <w:t>的修改性文件、补充文件、澄清文件或说明具有同等法律效力。</w:t>
      </w:r>
    </w:p>
    <w:p w14:paraId="33C6D74D">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 xml:space="preserve">1.2.3 </w:t>
      </w:r>
      <w:r>
        <w:rPr>
          <w:rFonts w:hint="eastAsia" w:ascii="宋体" w:hAnsi="宋体"/>
          <w:sz w:val="24"/>
          <w:szCs w:val="24"/>
        </w:rPr>
        <w:t>本</w:t>
      </w:r>
      <w:r>
        <w:rPr>
          <w:rFonts w:hint="eastAsia" w:ascii="宋体" w:hAnsi="宋体" w:cs="宋体"/>
          <w:sz w:val="24"/>
          <w:szCs w:val="24"/>
        </w:rPr>
        <w:t>谈判文件</w:t>
      </w:r>
      <w:r>
        <w:rPr>
          <w:rFonts w:hint="eastAsia" w:ascii="宋体" w:hAnsi="宋体"/>
          <w:sz w:val="24"/>
          <w:szCs w:val="24"/>
        </w:rPr>
        <w:t>适用于并执行《政府采购法》和其它相关的法律、法规。</w:t>
      </w:r>
    </w:p>
    <w:p w14:paraId="38119379">
      <w:pPr>
        <w:adjustRightInd w:val="0"/>
        <w:snapToGrid w:val="0"/>
        <w:spacing w:before="156" w:beforeLines="50" w:line="300" w:lineRule="auto"/>
        <w:ind w:right="240" w:firstLine="544" w:firstLineChars="227"/>
        <w:rPr>
          <w:rFonts w:ascii="宋体"/>
          <w:sz w:val="24"/>
          <w:szCs w:val="24"/>
        </w:rPr>
      </w:pPr>
      <w:r>
        <w:rPr>
          <w:rFonts w:ascii="宋体" w:hAnsi="宋体"/>
          <w:sz w:val="24"/>
          <w:szCs w:val="24"/>
        </w:rPr>
        <w:t xml:space="preserve">1.2.4 </w:t>
      </w:r>
      <w:r>
        <w:rPr>
          <w:rFonts w:hint="eastAsia" w:ascii="宋体" w:hAnsi="宋体"/>
          <w:sz w:val="24"/>
          <w:szCs w:val="24"/>
        </w:rPr>
        <w:t>本</w:t>
      </w:r>
      <w:r>
        <w:rPr>
          <w:rFonts w:hint="eastAsia" w:ascii="宋体" w:hAnsi="宋体" w:cs="宋体"/>
          <w:sz w:val="24"/>
          <w:szCs w:val="24"/>
        </w:rPr>
        <w:t>谈判文件</w:t>
      </w:r>
      <w:r>
        <w:rPr>
          <w:rFonts w:hint="eastAsia" w:ascii="宋体" w:hAnsi="宋体"/>
          <w:sz w:val="24"/>
          <w:szCs w:val="24"/>
        </w:rPr>
        <w:t>的解释权属采购人及代理机构。</w:t>
      </w:r>
    </w:p>
    <w:p w14:paraId="252F51EC">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1.3 </w:t>
      </w:r>
      <w:r>
        <w:rPr>
          <w:rFonts w:hint="eastAsia" w:ascii="黑体" w:hAnsi="黑体" w:eastAsia="黑体" w:cs="楷体_GB2312"/>
          <w:b/>
          <w:sz w:val="24"/>
          <w:lang w:val="zh-CN"/>
        </w:rPr>
        <w:t>合格的投标人</w:t>
      </w:r>
    </w:p>
    <w:p w14:paraId="097515D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凡符合谈判文件规定，承认本谈判文件所有内容的投标人为合格的投标人。</w:t>
      </w:r>
    </w:p>
    <w:p w14:paraId="06716193">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3AF6314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7755DF57">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投标人应遵守国家法律、法规和谈判文件的规定。</w:t>
      </w:r>
    </w:p>
    <w:p w14:paraId="18A9E850">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14:paraId="2C8ACF8D">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如投标人须知前附表规定接受联合体投标的，应遵守以下规定：</w:t>
      </w:r>
    </w:p>
    <w:p w14:paraId="446F1030">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15E85612">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w:t>
      </w:r>
      <w:r>
        <w:rPr>
          <w:rFonts w:hint="eastAsia" w:ascii="宋体" w:hAnsi="宋体" w:cs="楷体_GB2312"/>
          <w:sz w:val="24"/>
          <w:lang w:val="zh-CN"/>
        </w:rPr>
        <w:t>，以一个投标人的身份投标，但必须确定其中一个单位为投标的全权代表参加投标活动，并承担投标及履约中应承担的全部责任和义务。</w:t>
      </w:r>
    </w:p>
    <w:p w14:paraId="06C87809">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3</w:t>
      </w:r>
      <w:r>
        <w:rPr>
          <w:rFonts w:hint="eastAsia" w:ascii="宋体" w:hAnsi="宋体" w:cs="楷体_GB2312"/>
          <w:sz w:val="24"/>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14:paraId="3673355C">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4</w:t>
      </w:r>
      <w:r>
        <w:rPr>
          <w:rFonts w:hint="eastAsia" w:ascii="宋体" w:hAnsi="宋体" w:cs="楷体_GB2312"/>
          <w:sz w:val="24"/>
          <w:lang w:val="zh-CN"/>
        </w:rPr>
        <w:t>）联合体中有同类资质的供应商按照联合体分工承担相同工作的，应当按照资质等级较低的供应商确定资质等级。</w:t>
      </w:r>
    </w:p>
    <w:p w14:paraId="4669C8A3">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5</w:t>
      </w:r>
      <w:r>
        <w:rPr>
          <w:rFonts w:hint="eastAsia" w:ascii="宋体" w:hAnsi="宋体" w:cs="楷体_GB2312"/>
          <w:sz w:val="24"/>
          <w:lang w:val="zh-CN"/>
        </w:rPr>
        <w:t>）联合体各方之间应当签订联合投标协议，明确约定联合体各方承担的工作和相应的责任，并将联合投标协议连同投标文件一并提交采购代理机构。</w:t>
      </w:r>
    </w:p>
    <w:p w14:paraId="6E8A642E">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6</w:t>
      </w:r>
      <w:r>
        <w:rPr>
          <w:rFonts w:hint="eastAsia" w:ascii="宋体" w:hAnsi="宋体" w:cs="楷体_GB2312"/>
          <w:sz w:val="24"/>
          <w:lang w:val="zh-CN"/>
        </w:rPr>
        <w:t>）联合体各方签订联合投标协议后，不得再以自己名义单独在同一项目中投标，也不得组成新的联合体参加同一项目投标。</w:t>
      </w:r>
    </w:p>
    <w:p w14:paraId="1E96BE2B">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sz w:val="24"/>
          <w:lang w:val="zh-CN"/>
        </w:rPr>
        <w:t>（</w:t>
      </w:r>
      <w:r>
        <w:rPr>
          <w:rFonts w:ascii="宋体" w:hAnsi="宋体" w:cs="楷体_GB2312"/>
          <w:sz w:val="24"/>
          <w:lang w:val="zh-CN"/>
        </w:rPr>
        <w:t>7</w:t>
      </w:r>
      <w:r>
        <w:rPr>
          <w:rFonts w:hint="eastAsia" w:ascii="宋体" w:hAnsi="宋体" w:cs="楷体_GB2312"/>
          <w:sz w:val="24"/>
          <w:lang w:val="zh-CN"/>
        </w:rPr>
        <w:t>）联合体中标（成交）的，联合体各方应当共同与采购人签订合同，就中标（成交）项</w:t>
      </w:r>
      <w:r>
        <w:rPr>
          <w:rFonts w:hint="eastAsia" w:ascii="宋体" w:hAnsi="宋体" w:cs="楷体_GB2312"/>
          <w:color w:val="auto"/>
          <w:sz w:val="24"/>
          <w:lang w:val="zh-CN"/>
        </w:rPr>
        <w:t>目（标段&lt;包&gt;）向采购人承担连带责任。</w:t>
      </w:r>
    </w:p>
    <w:p w14:paraId="41EC0E47">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14:paraId="293820AD">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14:paraId="2F2558D8">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14:paraId="3315785D">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7E3E0958">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2ABD251C">
      <w:pPr>
        <w:spacing w:line="360" w:lineRule="auto"/>
        <w:ind w:firstLine="480" w:firstLineChars="200"/>
        <w:jc w:val="left"/>
        <w:rPr>
          <w:rFonts w:ascii="宋体" w:hAnsi="宋体"/>
          <w:color w:val="auto"/>
          <w:sz w:val="24"/>
        </w:rPr>
      </w:pPr>
      <w:r>
        <w:rPr>
          <w:rFonts w:hint="eastAsia" w:ascii="宋体" w:hAnsi="宋体"/>
          <w:color w:val="auto"/>
          <w:sz w:val="24"/>
        </w:rPr>
        <w:t>1.5.3 除非谈判文件特别规定，采购人享有本项目实施过程中产生的知识成果及知识产权。</w:t>
      </w:r>
    </w:p>
    <w:p w14:paraId="2F1922EA">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6</w:t>
      </w:r>
      <w:r>
        <w:rPr>
          <w:rFonts w:ascii="黑体" w:hAnsi="黑体" w:eastAsia="黑体" w:cs="楷体_GB2312"/>
          <w:b/>
          <w:sz w:val="24"/>
          <w:lang w:val="zh-CN"/>
        </w:rPr>
        <w:t xml:space="preserve">  </w:t>
      </w:r>
      <w:r>
        <w:rPr>
          <w:rFonts w:hint="eastAsia" w:ascii="黑体" w:hAnsi="黑体" w:eastAsia="黑体" w:cs="楷体_GB2312"/>
          <w:b/>
          <w:sz w:val="24"/>
          <w:lang w:val="zh-CN"/>
        </w:rPr>
        <w:t>投标费用</w:t>
      </w:r>
    </w:p>
    <w:p w14:paraId="0B7F5B77">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14:paraId="27CDDE77">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7</w:t>
      </w:r>
      <w:r>
        <w:rPr>
          <w:rFonts w:ascii="黑体" w:hAnsi="黑体" w:eastAsia="黑体" w:cs="楷体_GB2312"/>
          <w:b/>
          <w:sz w:val="24"/>
          <w:lang w:val="zh-CN"/>
        </w:rPr>
        <w:t xml:space="preserve"> </w:t>
      </w:r>
      <w:r>
        <w:rPr>
          <w:rFonts w:hint="eastAsia" w:ascii="黑体" w:hAnsi="黑体" w:eastAsia="黑体" w:cs="楷体_GB2312"/>
          <w:b/>
          <w:sz w:val="24"/>
          <w:lang w:val="zh-CN"/>
        </w:rPr>
        <w:t>保密</w:t>
      </w:r>
    </w:p>
    <w:p w14:paraId="7C4C0D8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sz w:val="24"/>
          <w:lang w:val="zh-CN"/>
        </w:rPr>
        <w:t>1.</w:t>
      </w:r>
      <w:r>
        <w:rPr>
          <w:rFonts w:hint="eastAsia" w:ascii="宋体" w:hAnsi="宋体" w:cs="楷体_GB2312"/>
          <w:sz w:val="24"/>
          <w:lang w:val="zh-CN"/>
        </w:rPr>
        <w:t>7</w:t>
      </w:r>
      <w:r>
        <w:rPr>
          <w:rFonts w:ascii="宋体" w:hAnsi="宋体" w:cs="楷体_GB2312"/>
          <w:sz w:val="24"/>
          <w:lang w:val="zh-CN"/>
        </w:rPr>
        <w:t xml:space="preserve">.1 </w:t>
      </w:r>
      <w:r>
        <w:rPr>
          <w:rFonts w:hint="eastAsia" w:ascii="宋体" w:hAnsi="宋体" w:cs="楷体_GB2312"/>
          <w:sz w:val="24"/>
          <w:lang w:val="zh-CN"/>
        </w:rPr>
        <w:t>参与竞争性谈判活动的各方应对谈判文件和投标文件中的商业和技术等秘密保密，投标人应在投标文件</w:t>
      </w:r>
      <w:r>
        <w:rPr>
          <w:rFonts w:hint="eastAsia" w:ascii="宋体" w:hAnsi="宋体" w:cs="楷体_GB2312"/>
          <w:color w:val="auto"/>
          <w:sz w:val="24"/>
          <w:lang w:val="zh-CN"/>
        </w:rPr>
        <w:t>中对需保密事项予以书面声明，否则视为非保密事项。</w:t>
      </w:r>
    </w:p>
    <w:p w14:paraId="61D3EE6C">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2D17B811">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8</w:t>
      </w:r>
      <w:r>
        <w:rPr>
          <w:rFonts w:ascii="黑体" w:hAnsi="黑体" w:eastAsia="黑体" w:cs="楷体_GB2312"/>
          <w:b/>
          <w:sz w:val="24"/>
          <w:lang w:val="zh-CN"/>
        </w:rPr>
        <w:t xml:space="preserve"> </w:t>
      </w:r>
      <w:r>
        <w:rPr>
          <w:rFonts w:hint="eastAsia" w:ascii="黑体" w:hAnsi="黑体" w:eastAsia="黑体" w:cs="楷体_GB2312"/>
          <w:b/>
          <w:sz w:val="24"/>
          <w:lang w:val="zh-CN"/>
        </w:rPr>
        <w:t>语言文字</w:t>
      </w:r>
    </w:p>
    <w:p w14:paraId="680053DA">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14:paraId="57ED52ED">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9</w:t>
      </w:r>
      <w:r>
        <w:rPr>
          <w:rFonts w:ascii="黑体" w:hAnsi="黑体" w:eastAsia="黑体" w:cs="楷体_GB2312"/>
          <w:b/>
          <w:sz w:val="24"/>
          <w:lang w:val="zh-CN"/>
        </w:rPr>
        <w:t xml:space="preserve"> </w:t>
      </w:r>
      <w:r>
        <w:rPr>
          <w:rFonts w:hint="eastAsia" w:ascii="黑体" w:hAnsi="黑体" w:eastAsia="黑体" w:cs="楷体_GB2312"/>
          <w:b/>
          <w:sz w:val="24"/>
          <w:lang w:val="zh-CN"/>
        </w:rPr>
        <w:t>计量单位</w:t>
      </w:r>
    </w:p>
    <w:p w14:paraId="5704BAFB">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所有计量均采用中华人民共和国法定计量单位。</w:t>
      </w:r>
    </w:p>
    <w:p w14:paraId="064FD498">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10</w:t>
      </w:r>
      <w:r>
        <w:rPr>
          <w:rFonts w:ascii="黑体" w:hAnsi="黑体" w:eastAsia="黑体" w:cs="楷体_GB2312"/>
          <w:b/>
          <w:sz w:val="24"/>
          <w:lang w:val="zh-CN"/>
        </w:rPr>
        <w:t xml:space="preserve"> </w:t>
      </w:r>
      <w:r>
        <w:rPr>
          <w:rFonts w:hint="eastAsia" w:ascii="黑体" w:hAnsi="黑体" w:eastAsia="黑体" w:cs="楷体_GB2312"/>
          <w:b/>
          <w:sz w:val="24"/>
          <w:lang w:val="zh-CN"/>
        </w:rPr>
        <w:t>踏勘现场</w:t>
      </w:r>
    </w:p>
    <w:p w14:paraId="1BB17F9A">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1.</w:t>
      </w:r>
      <w:r>
        <w:rPr>
          <w:rFonts w:hint="eastAsia" w:ascii="宋体" w:hAnsi="宋体" w:cs="楷体_GB2312"/>
          <w:sz w:val="24"/>
          <w:lang w:val="zh-CN"/>
        </w:rPr>
        <w:t>10</w:t>
      </w:r>
      <w:r>
        <w:rPr>
          <w:rFonts w:ascii="宋体" w:hAnsi="宋体" w:cs="楷体_GB2312"/>
          <w:sz w:val="24"/>
          <w:lang w:val="zh-CN"/>
        </w:rPr>
        <w:t>.1</w:t>
      </w:r>
      <w:r>
        <w:rPr>
          <w:rFonts w:hint="eastAsia" w:ascii="宋体" w:hAnsi="宋体" w:cs="楷体_GB2312"/>
          <w:sz w:val="24"/>
          <w:lang w:val="zh-CN"/>
        </w:rPr>
        <w:t>投标人踏勘现场发生的费用自理，投标人自行负责在踏勘现场中所发生的人员伤亡和财产损失。</w:t>
      </w:r>
    </w:p>
    <w:p w14:paraId="52A65034">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1.</w:t>
      </w:r>
      <w:r>
        <w:rPr>
          <w:rFonts w:hint="eastAsia" w:ascii="宋体" w:hAnsi="宋体" w:cs="楷体_GB2312"/>
          <w:sz w:val="24"/>
          <w:lang w:val="zh-CN"/>
        </w:rPr>
        <w:t>10</w:t>
      </w:r>
      <w:r>
        <w:rPr>
          <w:rFonts w:ascii="宋体" w:hAnsi="宋体" w:cs="楷体_GB2312"/>
          <w:sz w:val="24"/>
          <w:lang w:val="zh-CN"/>
        </w:rPr>
        <w:t>.2</w:t>
      </w:r>
      <w:r>
        <w:rPr>
          <w:rFonts w:hint="eastAsia" w:ascii="宋体" w:hAnsi="宋体" w:cs="楷体_GB2312"/>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14:paraId="5762D990">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1.</w:t>
      </w:r>
      <w:r>
        <w:rPr>
          <w:rFonts w:hint="eastAsia" w:ascii="宋体" w:hAnsi="宋体" w:cs="楷体_GB2312"/>
          <w:sz w:val="24"/>
          <w:lang w:val="zh-CN"/>
        </w:rPr>
        <w:t>10</w:t>
      </w:r>
      <w:r>
        <w:rPr>
          <w:rFonts w:ascii="宋体" w:hAnsi="宋体" w:cs="楷体_GB2312"/>
          <w:sz w:val="24"/>
          <w:lang w:val="zh-CN"/>
        </w:rPr>
        <w:t xml:space="preserve">.3  </w:t>
      </w:r>
      <w:r>
        <w:rPr>
          <w:rFonts w:hint="eastAsia" w:ascii="宋体" w:hAnsi="宋体" w:cs="楷体_GB2312"/>
          <w:sz w:val="24"/>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14:paraId="13E8F399">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1.1</w:t>
      </w:r>
      <w:r>
        <w:rPr>
          <w:rFonts w:hint="eastAsia" w:ascii="黑体" w:hAnsi="黑体" w:eastAsia="黑体" w:cs="楷体_GB2312"/>
          <w:b/>
          <w:sz w:val="24"/>
          <w:lang w:val="zh-CN"/>
        </w:rPr>
        <w:t>1</w:t>
      </w:r>
      <w:r>
        <w:rPr>
          <w:rFonts w:ascii="黑体" w:hAnsi="黑体" w:eastAsia="黑体" w:cs="楷体_GB2312"/>
          <w:b/>
          <w:sz w:val="24"/>
          <w:lang w:val="zh-CN"/>
        </w:rPr>
        <w:t xml:space="preserve"> </w:t>
      </w:r>
      <w:r>
        <w:rPr>
          <w:rFonts w:hint="eastAsia" w:ascii="黑体" w:hAnsi="黑体" w:eastAsia="黑体" w:cs="楷体_GB2312"/>
          <w:b/>
          <w:sz w:val="24"/>
          <w:lang w:val="zh-CN"/>
        </w:rPr>
        <w:t>投标预备会</w:t>
      </w:r>
    </w:p>
    <w:p w14:paraId="1ACD0BF6">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1.1</w:t>
      </w:r>
      <w:r>
        <w:rPr>
          <w:rFonts w:hint="eastAsia" w:ascii="宋体" w:hAnsi="宋体" w:cs="楷体_GB2312"/>
          <w:sz w:val="24"/>
          <w:lang w:val="zh-CN"/>
        </w:rPr>
        <w:t>1</w:t>
      </w:r>
      <w:r>
        <w:rPr>
          <w:rFonts w:ascii="宋体" w:hAnsi="宋体" w:cs="楷体_GB2312"/>
          <w:sz w:val="24"/>
          <w:lang w:val="zh-CN"/>
        </w:rPr>
        <w:t xml:space="preserve">.1 </w:t>
      </w:r>
      <w:r>
        <w:rPr>
          <w:rFonts w:hint="eastAsia" w:ascii="宋体" w:hAnsi="宋体" w:cs="楷体_GB2312"/>
          <w:sz w:val="24"/>
          <w:lang w:val="zh-CN"/>
        </w:rPr>
        <w:t>投标人须知前附表规定召开投标预备会的，采购人及代理机构按投标人须知前附表规定的时间和地点召开投标预备会，澄清投标人提出的问题。</w:t>
      </w:r>
    </w:p>
    <w:p w14:paraId="4E14CFEA">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1.1</w:t>
      </w:r>
      <w:r>
        <w:rPr>
          <w:rFonts w:hint="eastAsia" w:ascii="宋体" w:hAnsi="宋体" w:cs="楷体_GB2312"/>
          <w:sz w:val="24"/>
          <w:lang w:val="zh-CN"/>
        </w:rPr>
        <w:t>1</w:t>
      </w:r>
      <w:r>
        <w:rPr>
          <w:rFonts w:ascii="宋体" w:hAnsi="宋体" w:cs="楷体_GB2312"/>
          <w:sz w:val="24"/>
          <w:lang w:val="zh-CN"/>
        </w:rPr>
        <w:t xml:space="preserve">.2 </w:t>
      </w:r>
      <w:r>
        <w:rPr>
          <w:rFonts w:hint="eastAsia" w:ascii="宋体" w:hAnsi="宋体" w:cs="楷体_GB2312"/>
          <w:sz w:val="24"/>
          <w:lang w:val="zh-CN"/>
        </w:rPr>
        <w:t>投标人应在投标人须知前附表规定的时间前，以书面形式将提出的问题送达采购人及代理机构，以便采购人及代理机构在会议期间澄清。</w:t>
      </w:r>
    </w:p>
    <w:p w14:paraId="73C0A69A">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sz w:val="24"/>
          <w:lang w:val="zh-CN"/>
        </w:rPr>
        <w:t>1.1</w:t>
      </w:r>
      <w:r>
        <w:rPr>
          <w:rFonts w:hint="eastAsia" w:ascii="宋体" w:hAnsi="宋体" w:cs="楷体_GB2312"/>
          <w:sz w:val="24"/>
          <w:lang w:val="zh-CN"/>
        </w:rPr>
        <w:t>1</w:t>
      </w:r>
      <w:r>
        <w:rPr>
          <w:rFonts w:ascii="宋体" w:hAnsi="宋体" w:cs="楷体_GB2312"/>
          <w:sz w:val="24"/>
          <w:lang w:val="zh-CN"/>
        </w:rPr>
        <w:t xml:space="preserve">.3 </w:t>
      </w:r>
      <w:r>
        <w:rPr>
          <w:rFonts w:hint="eastAsia" w:ascii="宋体" w:hAnsi="宋体" w:cs="楷体_GB2312"/>
          <w:sz w:val="24"/>
          <w:lang w:val="zh-CN"/>
        </w:rPr>
        <w:t>投标预备会后，采购人及代理机构在投标人须知前附表规定的时间内，将对投标人所提问题的</w:t>
      </w:r>
      <w:r>
        <w:rPr>
          <w:rFonts w:hint="eastAsia" w:ascii="宋体" w:hAnsi="宋体" w:cs="楷体_GB2312"/>
          <w:color w:val="auto"/>
          <w:sz w:val="24"/>
          <w:lang w:val="zh-CN"/>
        </w:rPr>
        <w:t>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项方式通告潜在投标人。该澄清内容为谈判文件的组成部分。</w:t>
      </w:r>
    </w:p>
    <w:p w14:paraId="14809C88">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 分包</w:t>
      </w:r>
    </w:p>
    <w:p w14:paraId="7EB45FE8">
      <w:pPr>
        <w:autoSpaceDE w:val="0"/>
        <w:autoSpaceDN w:val="0"/>
        <w:adjustRightInd w:val="0"/>
        <w:snapToGrid w:val="0"/>
        <w:spacing w:before="156" w:beforeLines="50" w:line="300" w:lineRule="auto"/>
        <w:ind w:firstLine="539"/>
        <w:rPr>
          <w:rFonts w:ascii="宋体" w:hAnsi="宋体" w:cs="楷体_GB2312"/>
          <w:sz w:val="24"/>
          <w:lang w:val="zh-CN"/>
        </w:rPr>
      </w:pPr>
      <w:r>
        <w:rPr>
          <w:rFonts w:hint="eastAsia" w:ascii="宋体" w:hAnsi="宋体" w:cs="楷体_GB2312"/>
          <w:sz w:val="24"/>
          <w:lang w:val="zh-CN"/>
        </w:rPr>
        <w:t>投标人拟在成交后将成交项目</w:t>
      </w:r>
      <w:r>
        <w:rPr>
          <w:rFonts w:ascii="宋体" w:hAnsi="宋体" w:cs="楷体_GB2312"/>
          <w:sz w:val="24"/>
          <w:lang w:val="zh-CN"/>
        </w:rPr>
        <w:t>(</w:t>
      </w:r>
      <w:r>
        <w:rPr>
          <w:rFonts w:hint="eastAsia" w:ascii="宋体" w:hAnsi="宋体" w:cs="楷体_GB2312"/>
          <w:sz w:val="24"/>
          <w:lang w:val="zh-CN"/>
        </w:rPr>
        <w:t>标段&lt;包&gt;</w:t>
      </w:r>
      <w:r>
        <w:rPr>
          <w:rFonts w:ascii="宋体" w:hAnsi="宋体" w:cs="楷体_GB2312"/>
          <w:sz w:val="24"/>
          <w:lang w:val="zh-CN"/>
        </w:rPr>
        <w:t>)</w:t>
      </w:r>
      <w:r>
        <w:rPr>
          <w:rFonts w:hint="eastAsia" w:ascii="宋体" w:hAnsi="宋体" w:cs="楷体_GB2312"/>
          <w:sz w:val="24"/>
          <w:lang w:val="zh-CN"/>
        </w:rPr>
        <w:t>的部分非主体、非关键性工作进行分包的，应符合投标人须知前附表规定的分包内容、分包金额和接受分包的第三人资质要求等限制性条件。</w:t>
      </w:r>
    </w:p>
    <w:p w14:paraId="2DC8C80A">
      <w:pPr>
        <w:autoSpaceDE w:val="0"/>
        <w:autoSpaceDN w:val="0"/>
        <w:adjustRightInd w:val="0"/>
        <w:snapToGrid w:val="0"/>
        <w:spacing w:before="156" w:beforeLines="50" w:line="300" w:lineRule="auto"/>
        <w:ind w:firstLine="539"/>
        <w:rPr>
          <w:rFonts w:ascii="宋体" w:hAnsi="宋体"/>
          <w:color w:val="auto"/>
          <w:sz w:val="24"/>
          <w:szCs w:val="24"/>
        </w:rPr>
      </w:pPr>
      <w:r>
        <w:rPr>
          <w:rFonts w:hint="eastAsia" w:ascii="宋体" w:hAnsi="宋体" w:cs="楷体_GB2312"/>
          <w:sz w:val="24"/>
          <w:lang w:val="zh-CN"/>
        </w:rPr>
        <w:t>预留中小企业份额</w:t>
      </w:r>
      <w:r>
        <w:rPr>
          <w:rFonts w:hint="eastAsia" w:ascii="宋体" w:hAnsi="宋体" w:cs="楷体_GB2312"/>
          <w:color w:val="auto"/>
          <w:sz w:val="24"/>
          <w:lang w:val="zh-CN"/>
        </w:rPr>
        <w:t>项目中，</w:t>
      </w:r>
      <w:r>
        <w:rPr>
          <w:rFonts w:hint="eastAsia" w:ascii="宋体" w:hAnsi="宋体"/>
          <w:color w:val="auto"/>
          <w:sz w:val="24"/>
          <w:szCs w:val="24"/>
        </w:rPr>
        <w:t>接受分包合同的中小企业与分包企业之间不得存在直接控股、管理关系</w:t>
      </w:r>
    </w:p>
    <w:p w14:paraId="071133E6">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14:paraId="03324331">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1.1</w:t>
      </w:r>
      <w:r>
        <w:rPr>
          <w:rFonts w:hint="eastAsia" w:ascii="黑体" w:hAnsi="黑体" w:eastAsia="黑体" w:cs="楷体_GB2312"/>
          <w:b/>
          <w:sz w:val="24"/>
          <w:lang w:val="zh-CN"/>
        </w:rPr>
        <w:t>3 偏离</w:t>
      </w:r>
    </w:p>
    <w:p w14:paraId="4FB95800">
      <w:pPr>
        <w:autoSpaceDE w:val="0"/>
        <w:autoSpaceDN w:val="0"/>
        <w:adjustRightInd w:val="0"/>
        <w:snapToGrid w:val="0"/>
        <w:spacing w:before="156" w:beforeLines="50" w:line="300" w:lineRule="auto"/>
        <w:ind w:firstLine="539"/>
        <w:rPr>
          <w:rFonts w:ascii="宋体" w:cs="楷体_GB2312"/>
          <w:sz w:val="24"/>
          <w:lang w:val="zh-CN"/>
        </w:rPr>
      </w:pPr>
      <w:r>
        <w:rPr>
          <w:rFonts w:hint="eastAsia" w:ascii="宋体" w:hAnsi="宋体" w:cs="楷体_GB2312"/>
          <w:sz w:val="24"/>
          <w:lang w:val="zh-CN"/>
        </w:rPr>
        <w:t>谈判文件允许投标文件偏离谈判文件某些要求的，偏离应当符合谈判文件规定的偏离范围和幅度。</w:t>
      </w:r>
    </w:p>
    <w:p w14:paraId="5831B6DF">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lang w:val="zh-CN"/>
        </w:rPr>
      </w:pPr>
    </w:p>
    <w:p w14:paraId="194B687B">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0" w:name="_Toc65679080"/>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谈判文件</w:t>
      </w:r>
      <w:bookmarkEnd w:id="20"/>
    </w:p>
    <w:p w14:paraId="7DB59443">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r>
        <w:rPr>
          <w:rFonts w:hint="eastAsia" w:ascii="宋体" w:hAnsi="宋体" w:cs="楷体_GB2312"/>
          <w:color w:val="auto"/>
          <w:sz w:val="24"/>
          <w:lang w:val="zh-CN"/>
        </w:rPr>
        <w:t>：</w:t>
      </w:r>
    </w:p>
    <w:p w14:paraId="0C3BD66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14:paraId="5F6B5A98">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1</w:t>
      </w:r>
      <w:r>
        <w:rPr>
          <w:rFonts w:hint="eastAsia" w:ascii="宋体" w:hAnsi="宋体" w:cs="楷体_GB2312"/>
          <w:sz w:val="24"/>
          <w:lang w:val="zh-CN"/>
        </w:rPr>
        <w:t>）谈判公告</w:t>
      </w:r>
    </w:p>
    <w:p w14:paraId="65FD81C5">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2</w:t>
      </w:r>
      <w:r>
        <w:rPr>
          <w:rFonts w:hint="eastAsia" w:ascii="宋体" w:hAnsi="宋体" w:cs="楷体_GB2312"/>
          <w:sz w:val="24"/>
          <w:lang w:val="zh-CN"/>
        </w:rPr>
        <w:t>）采购项目及技术、服务要求</w:t>
      </w:r>
    </w:p>
    <w:p w14:paraId="5674A931">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3</w:t>
      </w:r>
      <w:r>
        <w:rPr>
          <w:rFonts w:hint="eastAsia" w:ascii="宋体" w:hAnsi="宋体" w:cs="楷体_GB2312"/>
          <w:sz w:val="24"/>
          <w:lang w:val="zh-CN"/>
        </w:rPr>
        <w:t>）投标人须知</w:t>
      </w:r>
    </w:p>
    <w:p w14:paraId="41318E62">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4</w:t>
      </w:r>
      <w:r>
        <w:rPr>
          <w:rFonts w:hint="eastAsia" w:ascii="宋体" w:hAnsi="宋体" w:cs="楷体_GB2312"/>
          <w:sz w:val="24"/>
          <w:lang w:val="zh-CN"/>
        </w:rPr>
        <w:t>）评审办法</w:t>
      </w:r>
    </w:p>
    <w:p w14:paraId="1B3E8E3F">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5</w:t>
      </w:r>
      <w:r>
        <w:rPr>
          <w:rFonts w:hint="eastAsia" w:ascii="宋体" w:hAnsi="宋体" w:cs="楷体_GB2312"/>
          <w:sz w:val="24"/>
          <w:lang w:val="zh-CN"/>
        </w:rPr>
        <w:t>）合同主要条款</w:t>
      </w:r>
    </w:p>
    <w:p w14:paraId="24C28230">
      <w:pPr>
        <w:autoSpaceDE w:val="0"/>
        <w:autoSpaceDN w:val="0"/>
        <w:adjustRightInd w:val="0"/>
        <w:snapToGrid w:val="0"/>
        <w:spacing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6</w:t>
      </w:r>
      <w:r>
        <w:rPr>
          <w:rFonts w:hint="eastAsia" w:ascii="宋体" w:hAnsi="宋体" w:cs="楷体_GB2312"/>
          <w:sz w:val="24"/>
          <w:lang w:val="zh-CN"/>
        </w:rPr>
        <w:t>）投标文件格式</w:t>
      </w:r>
    </w:p>
    <w:p w14:paraId="11B4A014">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 xml:space="preserve">2.1.2 </w:t>
      </w:r>
      <w:r>
        <w:rPr>
          <w:rFonts w:hint="eastAsia" w:ascii="宋体" w:hAnsi="宋体" w:cs="楷体_GB2312"/>
          <w:sz w:val="24"/>
          <w:lang w:val="zh-CN"/>
        </w:rPr>
        <w:t>根据本章第</w:t>
      </w:r>
      <w:r>
        <w:rPr>
          <w:rFonts w:ascii="宋体" w:hAnsi="宋体" w:cs="楷体_GB2312"/>
          <w:sz w:val="24"/>
          <w:lang w:val="zh-CN"/>
        </w:rPr>
        <w:t>1.1</w:t>
      </w:r>
      <w:r>
        <w:rPr>
          <w:rFonts w:hint="eastAsia" w:ascii="宋体" w:hAnsi="宋体" w:cs="楷体_GB2312"/>
          <w:sz w:val="24"/>
          <w:lang w:val="zh-CN"/>
        </w:rPr>
        <w:t>1款、第</w:t>
      </w:r>
      <w:r>
        <w:rPr>
          <w:rFonts w:ascii="宋体" w:hAnsi="宋体" w:cs="楷体_GB2312"/>
          <w:sz w:val="24"/>
          <w:lang w:val="zh-CN"/>
        </w:rPr>
        <w:t>2.2</w:t>
      </w:r>
      <w:r>
        <w:rPr>
          <w:rFonts w:hint="eastAsia" w:ascii="宋体" w:hAnsi="宋体" w:cs="楷体_GB2312"/>
          <w:sz w:val="24"/>
          <w:lang w:val="zh-CN"/>
        </w:rPr>
        <w:t>款和第</w:t>
      </w:r>
      <w:r>
        <w:rPr>
          <w:rFonts w:ascii="宋体" w:hAnsi="宋体" w:cs="楷体_GB2312"/>
          <w:sz w:val="24"/>
          <w:lang w:val="zh-CN"/>
        </w:rPr>
        <w:t>2.3</w:t>
      </w:r>
      <w:r>
        <w:rPr>
          <w:rFonts w:hint="eastAsia" w:ascii="宋体" w:hAnsi="宋体" w:cs="楷体_GB2312"/>
          <w:sz w:val="24"/>
          <w:lang w:val="zh-CN"/>
        </w:rPr>
        <w:t>款、对谈判文件的澄清、修改、补充书构成谈判文件的组成部分，并取代谈判文件中被澄清、修改处，对所有投标人均有约束力。</w:t>
      </w:r>
    </w:p>
    <w:p w14:paraId="1FBE6CD0">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 xml:space="preserve">2.1.3 </w:t>
      </w:r>
      <w:r>
        <w:rPr>
          <w:rFonts w:hint="eastAsia" w:ascii="宋体" w:hAnsi="宋体" w:cs="楷体_GB2312"/>
          <w:sz w:val="24"/>
          <w:lang w:val="zh-CN"/>
        </w:rPr>
        <w:t>当谈判文件、谈判文件的澄清、修改、补充等在同一内容的表述上不一致时，以最后发出（发布）的文件为准。</w:t>
      </w:r>
    </w:p>
    <w:p w14:paraId="3CC87765">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sz w:val="24"/>
          <w:lang w:val="zh-CN"/>
        </w:rPr>
        <w:t xml:space="preserve">2.1.4 </w:t>
      </w:r>
      <w:r>
        <w:rPr>
          <w:rFonts w:hint="eastAsia" w:ascii="宋体" w:hAnsi="宋体" w:cs="楷体_GB2312"/>
          <w:sz w:val="24"/>
          <w:lang w:val="zh-CN"/>
        </w:rPr>
        <w:t>投标人与任何人的口头协议不影响《谈判文件》的任何条款和内容。</w:t>
      </w:r>
    </w:p>
    <w:p w14:paraId="787B2478">
      <w:pPr>
        <w:autoSpaceDE w:val="0"/>
        <w:autoSpaceDN w:val="0"/>
        <w:adjustRightInd w:val="0"/>
        <w:snapToGrid w:val="0"/>
        <w:spacing w:before="156" w:beforeLines="50" w:line="300" w:lineRule="auto"/>
        <w:ind w:firstLine="539"/>
        <w:rPr>
          <w:rFonts w:ascii="宋体" w:cs="楷体_GB2312"/>
          <w:color w:val="auto"/>
          <w:sz w:val="24"/>
        </w:rPr>
      </w:pPr>
      <w:r>
        <w:rPr>
          <w:rFonts w:ascii="宋体" w:hAnsi="宋体" w:cs="楷体_GB2312"/>
          <w:sz w:val="24"/>
        </w:rPr>
        <w:t xml:space="preserve">2.1.5 </w:t>
      </w:r>
      <w:r>
        <w:rPr>
          <w:rFonts w:hint="eastAsia" w:ascii="宋体" w:hAnsi="宋体" w:cs="楷体_GB2312"/>
          <w:sz w:val="24"/>
        </w:rPr>
        <w:t>投标人应仔细阅读和检查谈判文件的全部内容是否齐全，如发现缺页或附件不全等遗漏</w:t>
      </w:r>
      <w:r>
        <w:rPr>
          <w:rFonts w:hint="eastAsia" w:ascii="宋体" w:hAnsi="宋体" w:cs="楷体_GB2312"/>
          <w:color w:val="auto"/>
          <w:sz w:val="24"/>
        </w:rPr>
        <w:t>，应及时向采购代理机构提出并索取补齐，否则责任及风险自负。</w:t>
      </w:r>
    </w:p>
    <w:p w14:paraId="69DC0474">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14:paraId="3B875CE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14:paraId="1F5944C3">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采购代理机构对潜在投标人在规定的时间内提出的疑问，将视情况以书面形式予以答复，并在其认为必要时，将不标明查询来源的书面答复，在“谈判公告”所述媒体通告所有潜在投标人。</w:t>
      </w:r>
    </w:p>
    <w:p w14:paraId="6D1D659F">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谈判文件中如有不符合国家有关强制性规定、不符合国</w:t>
      </w:r>
      <w:r>
        <w:rPr>
          <w:rFonts w:hint="eastAsia" w:ascii="宋体" w:hAnsi="宋体" w:cs="楷体_GB2312"/>
          <w:sz w:val="24"/>
          <w:lang w:val="zh-CN"/>
        </w:rPr>
        <w:t>家标准及行业标准的，投标人应在投标阶段或成交实施阶段予以纠正或尽提醒义务。如作为有经验的投标人（成交供应商）应当知道而未尽提醒义务的，执行指令而造成的损失及风险由投标人（成交供应商）承担。</w:t>
      </w:r>
    </w:p>
    <w:p w14:paraId="39C99C01">
      <w:pPr>
        <w:adjustRightInd w:val="0"/>
        <w:snapToGrid w:val="0"/>
        <w:spacing w:before="156" w:beforeLines="50" w:line="300" w:lineRule="auto"/>
        <w:ind w:firstLine="480" w:firstLineChars="200"/>
        <w:jc w:val="left"/>
        <w:rPr>
          <w:rFonts w:ascii="宋体" w:hAnsi="宋体" w:cs="楷体_GB2312"/>
          <w:sz w:val="24"/>
          <w:lang w:val="zh-CN"/>
        </w:rPr>
      </w:pPr>
      <w:r>
        <w:rPr>
          <w:rFonts w:ascii="宋体" w:hAnsi="宋体" w:cs="楷体_GB2312"/>
          <w:sz w:val="24"/>
          <w:lang w:val="zh-CN"/>
        </w:rPr>
        <w:t>2.2.4</w:t>
      </w:r>
      <w:r>
        <w:rPr>
          <w:rFonts w:hint="eastAsia" w:ascii="宋体" w:hAnsi="宋体" w:cs="楷体_GB2312"/>
          <w:sz w:val="24"/>
          <w:lang w:val="zh-CN"/>
        </w:rPr>
        <w:t>采购代理机构可视情况在投标截止前答疑。</w:t>
      </w:r>
    </w:p>
    <w:p w14:paraId="12CA1188">
      <w:pPr>
        <w:autoSpaceDE w:val="0"/>
        <w:autoSpaceDN w:val="0"/>
        <w:adjustRightInd w:val="0"/>
        <w:snapToGrid w:val="0"/>
        <w:spacing w:before="156"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 xml:space="preserve">2.3 </w:t>
      </w:r>
      <w:r>
        <w:rPr>
          <w:rFonts w:hint="eastAsia" w:ascii="黑体" w:hAnsi="黑体" w:eastAsia="黑体" w:cs="楷体_GB2312"/>
          <w:b/>
          <w:sz w:val="24"/>
          <w:lang w:val="zh-CN"/>
        </w:rPr>
        <w:t>谈判文件的澄清、修改、补充</w:t>
      </w:r>
    </w:p>
    <w:p w14:paraId="39484A94">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sz w:val="24"/>
          <w:lang w:val="zh-CN"/>
        </w:rPr>
        <w:t>2.</w:t>
      </w:r>
      <w:r>
        <w:rPr>
          <w:rFonts w:ascii="宋体" w:hAnsi="宋体" w:cs="楷体_GB2312"/>
          <w:color w:val="auto"/>
          <w:sz w:val="24"/>
          <w:lang w:val="zh-CN"/>
        </w:rPr>
        <w:t xml:space="preserve">3.1 </w:t>
      </w:r>
      <w:r>
        <w:rPr>
          <w:rFonts w:hint="eastAsia" w:ascii="宋体" w:hAnsi="宋体" w:cs="楷体_GB2312"/>
          <w:color w:val="auto"/>
          <w:sz w:val="24"/>
          <w:lang w:val="zh-CN"/>
        </w:rPr>
        <w:t>采购人、代理机构在投标截止时间前有权澄清修改、补充已发售的谈判文件。</w:t>
      </w:r>
    </w:p>
    <w:p w14:paraId="033DFECA">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谈判过程中对谈判文件的变动见第四章评审办法</w:t>
      </w:r>
      <w:r>
        <w:rPr>
          <w:rFonts w:ascii="宋体" w:hAnsi="宋体"/>
          <w:color w:val="auto"/>
          <w:sz w:val="24"/>
        </w:rPr>
        <w:t>3.5</w:t>
      </w:r>
      <w:r>
        <w:rPr>
          <w:rFonts w:hint="eastAsia" w:ascii="宋体" w:hAnsi="宋体"/>
          <w:color w:val="auto"/>
          <w:sz w:val="24"/>
        </w:rPr>
        <w:t>款谈判规则。</w:t>
      </w:r>
    </w:p>
    <w:p w14:paraId="50DF4C92">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22A1AC6F">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谈判文件在投标截止时间前的所有澄清、修改（包括时间变更等）、补充事项，均在“谈判公告”所述媒体予以公告。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08D11657">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相关项目信息（为免各部门网站出现维护等情况，潜在投标人应对“谈判公告”所述媒体逐一查阅），如有遗漏，后果自负。</w:t>
      </w:r>
    </w:p>
    <w:p w14:paraId="59F3093B">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cs="楷体_GB2312"/>
          <w:color w:val="auto"/>
          <w:sz w:val="24"/>
          <w:lang w:val="zh-CN"/>
        </w:rPr>
        <w:t>谈判文件的澄清、修改、补充书构成谈判文件的组成部分，并取代谈判文件中被澄清、修改处，对所有投标人均有约束力。</w:t>
      </w:r>
    </w:p>
    <w:p w14:paraId="40EB15F0">
      <w:pPr>
        <w:autoSpaceDE w:val="0"/>
        <w:autoSpaceDN w:val="0"/>
        <w:adjustRightInd w:val="0"/>
        <w:snapToGrid w:val="0"/>
        <w:spacing w:before="156" w:beforeLines="50" w:line="300" w:lineRule="auto"/>
        <w:ind w:firstLine="539"/>
        <w:rPr>
          <w:rFonts w:ascii="宋体" w:cs="楷体_GB2312"/>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w:t>
      </w:r>
      <w:r>
        <w:rPr>
          <w:rFonts w:hint="eastAsia" w:ascii="宋体" w:hAnsi="宋体" w:cs="楷体_GB2312"/>
          <w:sz w:val="24"/>
          <w:lang w:val="zh-CN"/>
        </w:rPr>
        <w:t>述媒体予以公告。</w:t>
      </w:r>
    </w:p>
    <w:p w14:paraId="0F3DBB72">
      <w:pPr>
        <w:autoSpaceDE w:val="0"/>
        <w:autoSpaceDN w:val="0"/>
        <w:adjustRightInd w:val="0"/>
        <w:snapToGrid w:val="0"/>
        <w:spacing w:before="156" w:beforeLines="50" w:line="300" w:lineRule="auto"/>
        <w:ind w:firstLine="539"/>
        <w:rPr>
          <w:rFonts w:ascii="宋体" w:cs="楷体_GB2312"/>
          <w:color w:val="auto"/>
          <w:sz w:val="24"/>
        </w:rPr>
      </w:pPr>
    </w:p>
    <w:p w14:paraId="3ADBB4FA">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1" w:name="_Toc65679081"/>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21"/>
    </w:p>
    <w:p w14:paraId="7AD35DCC">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14:paraId="64EEACA3">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14:paraId="6191BE23">
      <w:pPr>
        <w:adjustRightInd w:val="0"/>
        <w:snapToGrid w:val="0"/>
        <w:spacing w:before="156"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14:paraId="05DE5F5F">
      <w:pPr>
        <w:adjustRightInd w:val="0"/>
        <w:snapToGrid w:val="0"/>
        <w:spacing w:before="156" w:beforeLines="50" w:line="300" w:lineRule="auto"/>
        <w:ind w:firstLine="539"/>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14:paraId="3B82E28F">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14:paraId="6F7673E0">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szCs w:val="24"/>
        </w:rPr>
        <w:t>开标一览表（即交易系统中报价一览表）</w:t>
      </w:r>
    </w:p>
    <w:p w14:paraId="0DD1EF69">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）投标报价明细表（或预算书）</w:t>
      </w:r>
    </w:p>
    <w:p w14:paraId="1B6ACE8B">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（4）施工方案</w:t>
      </w:r>
    </w:p>
    <w:p w14:paraId="6E3D96F2">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（5）工程质量保修书</w:t>
      </w:r>
    </w:p>
    <w:p w14:paraId="3ED3CC30">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（6）工程质量、安全、工期承诺书</w:t>
      </w:r>
    </w:p>
    <w:p w14:paraId="1065BA54">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（7）偏差表</w:t>
      </w:r>
    </w:p>
    <w:p w14:paraId="44DFFCB8">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14:paraId="432F5520">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14:paraId="1A613056">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14:paraId="111E40A3">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）资格要求相关证明材料（文件）</w:t>
      </w:r>
    </w:p>
    <w:p w14:paraId="46607505">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）采购项目及技术服务要求所需的其他材料（按条款需要）</w:t>
      </w:r>
    </w:p>
    <w:p w14:paraId="45016DC1">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）投标人须知所需的其他材料（按条款需要）</w:t>
      </w:r>
    </w:p>
    <w:p w14:paraId="73452162">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）评审办法所需的其他材料（按条款需要）</w:t>
      </w:r>
    </w:p>
    <w:p w14:paraId="550C7431">
      <w:pPr>
        <w:autoSpaceDE w:val="0"/>
        <w:autoSpaceDN w:val="0"/>
        <w:adjustRightInd w:val="0"/>
        <w:snapToGrid w:val="0"/>
        <w:spacing w:line="300" w:lineRule="auto"/>
        <w:ind w:firstLine="520" w:firstLineChars="217"/>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14:paraId="395753C1">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14:paraId="0A7C790E">
      <w:pPr>
        <w:topLinePunct/>
        <w:adjustRightInd w:val="0"/>
        <w:snapToGrid w:val="0"/>
        <w:spacing w:before="156"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399E2F67">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14:paraId="2FBC74D6">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14:paraId="414CA80F">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在投标有效期内，投标人撤销或修改其投标文件（响应文件）的，应承担谈判文件和法律规定的责任。</w:t>
      </w:r>
    </w:p>
    <w:p w14:paraId="4BBFC458">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14:paraId="47C7BD15">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w:t>
      </w:r>
      <w:r>
        <w:rPr>
          <w:rFonts w:hint="eastAsia" w:ascii="宋体" w:hAnsi="宋体"/>
          <w:sz w:val="24"/>
          <w:szCs w:val="24"/>
        </w:rPr>
        <w:t>本项目以投标承诺函的形式替代投标保证金，供应商应按附件格式进行投标承诺，违背承诺的将承担相应的法律责任及违约责任。</w:t>
      </w:r>
    </w:p>
    <w:p w14:paraId="18A049FF">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3.5.2 未提供投标承诺函的为</w:t>
      </w:r>
      <w:r>
        <w:rPr>
          <w:rFonts w:hint="eastAsia" w:ascii="宋体" w:hAnsi="宋体"/>
          <w:b/>
          <w:bCs/>
          <w:sz w:val="24"/>
          <w:szCs w:val="24"/>
        </w:rPr>
        <w:t>无效投标</w:t>
      </w:r>
      <w:r>
        <w:rPr>
          <w:rFonts w:hint="eastAsia" w:ascii="宋体" w:hAnsi="宋体"/>
          <w:sz w:val="24"/>
          <w:szCs w:val="24"/>
        </w:rPr>
        <w:t>。</w:t>
      </w:r>
    </w:p>
    <w:p w14:paraId="6F3F3E22">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3.5.3 投标人的投标承诺函包含投标人承诺的事项及违背承诺的责任追究措施。</w:t>
      </w:r>
    </w:p>
    <w:p w14:paraId="05F30DDB">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 承诺事项：</w:t>
      </w:r>
    </w:p>
    <w:p w14:paraId="404C1C01">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3.5.4.1、投标人应遵循公开、公平、公正和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sz w:val="24"/>
          <w:szCs w:val="24"/>
        </w:rPr>
        <w:t>诚实信用</w:t>
      </w:r>
      <w:r>
        <w:rPr>
          <w:rFonts w:hint="eastAsia" w:ascii="宋体" w:hAnsi="宋体"/>
          <w:sz w:val="24"/>
          <w:szCs w:val="24"/>
        </w:rPr>
        <w:fldChar w:fldCharType="end"/>
      </w:r>
      <w:r>
        <w:rPr>
          <w:rFonts w:hint="eastAsia" w:ascii="宋体" w:hAnsi="宋体"/>
          <w:sz w:val="24"/>
          <w:szCs w:val="24"/>
        </w:rPr>
        <w:t>的原则自愿参加项目的投标；</w:t>
      </w:r>
      <w:r>
        <w:rPr>
          <w:rFonts w:hint="eastAsia" w:ascii="宋体" w:hAnsi="宋体"/>
          <w:sz w:val="24"/>
          <w:szCs w:val="24"/>
        </w:rPr>
        <w:br w:type="textWrapping"/>
      </w:r>
      <w:r>
        <w:rPr>
          <w:rFonts w:hint="eastAsia" w:ascii="宋体" w:hAnsi="宋体"/>
          <w:sz w:val="24"/>
          <w:szCs w:val="24"/>
        </w:rPr>
        <w:t xml:space="preserve">    3.5.4.2、投标人在政府采购活动中应提供真实、准确、有效、合法的材料，不</w:t>
      </w:r>
      <w:r>
        <w:rPr>
          <w:rFonts w:hint="eastAsia" w:ascii="宋体" w:hAnsi="宋体"/>
          <w:sz w:val="24"/>
          <w:szCs w:val="24"/>
          <w:lang w:val="zh-CN"/>
        </w:rPr>
        <w:t>提供虚假材料；</w:t>
      </w:r>
    </w:p>
    <w:p w14:paraId="7E7EC81C">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3.5.4.3、投标人</w:t>
      </w:r>
      <w:r>
        <w:rPr>
          <w:rFonts w:hint="eastAsia" w:ascii="宋体" w:hAnsi="宋体"/>
          <w:sz w:val="24"/>
          <w:szCs w:val="24"/>
          <w:lang w:val="zh-CN"/>
        </w:rPr>
        <w:t>按照</w:t>
      </w:r>
      <w:r>
        <w:rPr>
          <w:rFonts w:hint="eastAsia" w:ascii="宋体" w:hAnsi="宋体"/>
          <w:sz w:val="24"/>
          <w:szCs w:val="24"/>
        </w:rPr>
        <w:t>谈判</w:t>
      </w:r>
      <w:r>
        <w:rPr>
          <w:rFonts w:hint="eastAsia" w:ascii="宋体" w:hAnsi="宋体"/>
          <w:sz w:val="24"/>
          <w:szCs w:val="24"/>
          <w:lang w:val="zh-CN"/>
        </w:rPr>
        <w:t>文件规定，在提交投标文件截止时间后，在</w:t>
      </w:r>
      <w:r>
        <w:rPr>
          <w:rFonts w:hint="eastAsia" w:ascii="宋体" w:hAnsi="宋体"/>
          <w:sz w:val="24"/>
          <w:szCs w:val="24"/>
        </w:rPr>
        <w:t>谈判</w:t>
      </w:r>
      <w:r>
        <w:rPr>
          <w:rFonts w:hint="eastAsia" w:ascii="宋体" w:hAnsi="宋体"/>
          <w:sz w:val="24"/>
          <w:szCs w:val="24"/>
          <w:lang w:val="zh-CN"/>
        </w:rPr>
        <w:t>文件规定的投标有效期限内不</w:t>
      </w:r>
      <w:r>
        <w:rPr>
          <w:rFonts w:hint="eastAsia" w:ascii="宋体" w:hAnsi="宋体"/>
          <w:sz w:val="24"/>
          <w:szCs w:val="24"/>
        </w:rPr>
        <w:t>应</w:t>
      </w:r>
      <w:r>
        <w:rPr>
          <w:rFonts w:hint="eastAsia" w:ascii="宋体" w:hAnsi="宋体"/>
          <w:sz w:val="24"/>
          <w:szCs w:val="24"/>
          <w:lang w:val="zh-CN"/>
        </w:rPr>
        <w:t>撤回投标文件；</w:t>
      </w:r>
    </w:p>
    <w:p w14:paraId="1890226D">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3.5.4.4、不应</w:t>
      </w:r>
      <w:r>
        <w:rPr>
          <w:rFonts w:hint="eastAsia" w:ascii="宋体" w:hAnsi="宋体"/>
          <w:sz w:val="24"/>
          <w:szCs w:val="24"/>
          <w:lang w:val="zh-CN"/>
        </w:rPr>
        <w:t>与其他投标人、采购人或采购代理机构串通或恶意串通。</w:t>
      </w:r>
    </w:p>
    <w:p w14:paraId="4351A355">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3.5.4.5、中标后</w:t>
      </w:r>
      <w:r>
        <w:rPr>
          <w:rFonts w:hint="eastAsia" w:ascii="宋体" w:hAnsi="宋体"/>
          <w:sz w:val="24"/>
          <w:szCs w:val="24"/>
          <w:lang w:val="zh-CN"/>
        </w:rPr>
        <w:t>除不可抗拒力或谈判文件认可的情形外</w:t>
      </w:r>
      <w:r>
        <w:rPr>
          <w:rFonts w:hint="eastAsia" w:ascii="宋体" w:hAnsi="宋体"/>
          <w:sz w:val="24"/>
          <w:szCs w:val="24"/>
        </w:rPr>
        <w:t>，投标人应及时领取中标通知书，</w:t>
      </w:r>
      <w:r>
        <w:rPr>
          <w:rFonts w:hint="eastAsia" w:ascii="宋体" w:hAnsi="宋体"/>
          <w:sz w:val="24"/>
          <w:szCs w:val="24"/>
          <w:lang w:val="zh-CN"/>
        </w:rPr>
        <w:t>在成交通知书规定时间、地点与采购人签订合同；</w:t>
      </w:r>
      <w:r>
        <w:rPr>
          <w:rFonts w:hint="eastAsia" w:ascii="宋体" w:hAnsi="宋体"/>
          <w:sz w:val="24"/>
          <w:szCs w:val="24"/>
        </w:rPr>
        <w:br w:type="textWrapping"/>
      </w:r>
      <w:r>
        <w:rPr>
          <w:rFonts w:hint="eastAsia" w:ascii="宋体" w:hAnsi="宋体"/>
          <w:sz w:val="24"/>
          <w:szCs w:val="24"/>
        </w:rPr>
        <w:t xml:space="preserve">    3.5.4.6、投标人应</w:t>
      </w:r>
      <w:r>
        <w:rPr>
          <w:rFonts w:hint="eastAsia" w:ascii="宋体" w:hAnsi="宋体"/>
          <w:sz w:val="24"/>
          <w:szCs w:val="24"/>
          <w:lang w:val="zh-CN"/>
        </w:rPr>
        <w:t>遵守法律法规及</w:t>
      </w:r>
      <w:r>
        <w:rPr>
          <w:rFonts w:hint="eastAsia" w:ascii="宋体" w:hAnsi="宋体"/>
          <w:sz w:val="24"/>
          <w:szCs w:val="24"/>
        </w:rPr>
        <w:t>谈判</w:t>
      </w:r>
      <w:r>
        <w:rPr>
          <w:rFonts w:hint="eastAsia" w:ascii="宋体" w:hAnsi="宋体"/>
          <w:sz w:val="24"/>
          <w:szCs w:val="24"/>
          <w:lang w:val="zh-CN"/>
        </w:rPr>
        <w:t>文件规定的其他情况；</w:t>
      </w:r>
    </w:p>
    <w:p w14:paraId="3FE7FAEA">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3.5.4.7、投标人应按谈判文件规定及时缴纳中标服务费。</w:t>
      </w:r>
    </w:p>
    <w:p w14:paraId="03A913CA">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3.5.5 违背承诺的责任追究措施</w:t>
      </w:r>
    </w:p>
    <w:p w14:paraId="395515DB">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投标人如违背上述承诺事项，应无条件接受以下责任追究：</w:t>
      </w:r>
    </w:p>
    <w:p w14:paraId="630E8388">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3.5.5.1</w:t>
      </w:r>
      <w:r>
        <w:rPr>
          <w:rFonts w:hint="eastAsia" w:ascii="宋体" w:hAnsi="宋体"/>
          <w:sz w:val="24"/>
          <w:szCs w:val="24"/>
          <w:lang w:val="zh-CN"/>
        </w:rPr>
        <w:t>法定责任：</w:t>
      </w:r>
      <w:r>
        <w:rPr>
          <w:rFonts w:hint="eastAsia" w:ascii="宋体" w:hAnsi="宋体"/>
          <w:sz w:val="24"/>
          <w:szCs w:val="24"/>
        </w:rPr>
        <w:t>按照政府采购相关法规，</w:t>
      </w:r>
      <w:r>
        <w:rPr>
          <w:rFonts w:hint="eastAsia" w:ascii="宋体" w:hAnsi="宋体"/>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09653877">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给采购人及他人造成损失的，应承担相应的赔偿责任。</w:t>
      </w:r>
    </w:p>
    <w:p w14:paraId="728ABEAF">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3.5.5.2</w:t>
      </w:r>
      <w:r>
        <w:rPr>
          <w:rFonts w:hint="eastAsia" w:ascii="宋体" w:hAnsi="宋体"/>
          <w:sz w:val="24"/>
          <w:szCs w:val="24"/>
          <w:lang w:val="zh-CN"/>
        </w:rPr>
        <w:t>违约责任：</w:t>
      </w:r>
      <w:r>
        <w:rPr>
          <w:rFonts w:hint="eastAsia" w:ascii="宋体" w:hAnsi="宋体"/>
          <w:sz w:val="24"/>
          <w:szCs w:val="24"/>
        </w:rPr>
        <w:t xml:space="preserve"> </w:t>
      </w:r>
    </w:p>
    <w:p w14:paraId="36EB251D">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3.5.5.2.1 已中标的，中标（成交）无效；</w:t>
      </w:r>
    </w:p>
    <w:p w14:paraId="07C1CF16">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3.5.5.2.2 支付采购人违约标的预算金额2%的</w:t>
      </w:r>
      <w:r>
        <w:rPr>
          <w:rFonts w:hint="eastAsia" w:ascii="宋体" w:hAnsi="宋体"/>
          <w:sz w:val="24"/>
          <w:szCs w:val="24"/>
          <w:lang w:val="zh-CN"/>
        </w:rPr>
        <w:t>违约金</w:t>
      </w:r>
      <w:r>
        <w:rPr>
          <w:rFonts w:hint="eastAsia" w:ascii="宋体" w:hAnsi="宋体"/>
          <w:sz w:val="24"/>
          <w:szCs w:val="24"/>
        </w:rPr>
        <w:t>；</w:t>
      </w:r>
    </w:p>
    <w:p w14:paraId="28E326B9">
      <w:pPr>
        <w:widowControl w:val="0"/>
        <w:tabs>
          <w:tab w:val="left" w:pos="65"/>
        </w:tabs>
        <w:spacing w:line="460" w:lineRule="atLeast"/>
        <w:ind w:firstLine="480" w:firstLineChars="200"/>
        <w:textAlignment w:val="auto"/>
        <w:rPr>
          <w:rFonts w:ascii="宋体" w:cs="楷体_GB2312"/>
          <w:color w:val="auto"/>
          <w:sz w:val="24"/>
          <w:lang w:val="zh-CN"/>
        </w:rPr>
      </w:pPr>
      <w:r>
        <w:rPr>
          <w:rFonts w:hint="eastAsia" w:ascii="宋体" w:hAnsi="宋体"/>
          <w:sz w:val="24"/>
          <w:szCs w:val="24"/>
        </w:rPr>
        <w:t>3.5.5.2.3中标后未缴中标服</w:t>
      </w:r>
      <w:r>
        <w:rPr>
          <w:rFonts w:hint="eastAsia"/>
          <w:sz w:val="24"/>
        </w:rPr>
        <w:t>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sz w:val="24"/>
          <w:szCs w:val="24"/>
        </w:rPr>
        <w:t>诚实信用</w:t>
      </w:r>
      <w:r>
        <w:rPr>
          <w:rFonts w:hint="eastAsia" w:ascii="宋体" w:hAnsi="宋体"/>
          <w:sz w:val="24"/>
          <w:szCs w:val="24"/>
        </w:rPr>
        <w:fldChar w:fldCharType="end"/>
      </w:r>
      <w:r>
        <w:rPr>
          <w:rFonts w:hint="eastAsia" w:ascii="宋体" w:hAnsi="宋体"/>
          <w:sz w:val="24"/>
          <w:szCs w:val="24"/>
        </w:rPr>
        <w:t>原则，在履行承诺前，代理</w:t>
      </w:r>
      <w:r>
        <w:rPr>
          <w:rFonts w:hint="eastAsia" w:ascii="宋体" w:hAnsi="宋体"/>
          <w:color w:val="auto"/>
          <w:sz w:val="24"/>
          <w:szCs w:val="24"/>
        </w:rPr>
        <w:t>机构将视该单位为失信企业、不予办理其后相关业务。</w:t>
      </w:r>
    </w:p>
    <w:p w14:paraId="7D857056">
      <w:pPr>
        <w:autoSpaceDE w:val="0"/>
        <w:autoSpaceDN w:val="0"/>
        <w:adjustRightInd w:val="0"/>
        <w:spacing w:before="156"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要求见谈判公告</w:t>
      </w:r>
    </w:p>
    <w:p w14:paraId="6E2CF288">
      <w:pPr>
        <w:topLinePunct/>
        <w:adjustRightInd w:val="0"/>
        <w:snapToGrid w:val="0"/>
        <w:spacing w:before="156"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14:paraId="79ECFC89">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投标文件（响应文件）应按第六章“投标文件格式”进行编写，如有必要，可以增加附页，作为投标文件（响应文件）的组成部分。谈判文件中未列明格式的，由投标人按一般通用格式自行设计编写。</w:t>
      </w:r>
    </w:p>
    <w:p w14:paraId="7F860326">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s="楷体_GB2312"/>
          <w:color w:val="auto"/>
          <w:sz w:val="24"/>
          <w:lang w:val="zh-CN"/>
        </w:rPr>
        <w:t>投标文件编制后，</w:t>
      </w:r>
      <w:r>
        <w:rPr>
          <w:rFonts w:hint="eastAsia" w:ascii="宋体" w:hAnsi="宋体"/>
          <w:color w:val="auto"/>
          <w:sz w:val="24"/>
          <w:szCs w:val="24"/>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359F4F4E">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14:paraId="671D6BA2">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谈判文件有关标段（包）内容（范围）、技术要求、售后服务、工期、投标有效期等实质性内容作出响应。在满足谈判文件实质性要求的基础上，可以提出比谈判文件要求更有利于采购人的承诺。并符合谈判文件偏差规定。</w:t>
      </w:r>
    </w:p>
    <w:p w14:paraId="56D0B352">
      <w:pPr>
        <w:adjustRightInd w:val="0"/>
        <w:snapToGrid w:val="0"/>
        <w:spacing w:before="156"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谈判文件要求有任何不同之处，应按《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14:paraId="7D1BD1F4">
      <w:pPr>
        <w:autoSpaceDE w:val="0"/>
        <w:autoSpaceDN w:val="0"/>
        <w:adjustRightInd w:val="0"/>
        <w:snapToGrid w:val="0"/>
        <w:spacing w:before="156" w:beforeLines="50" w:line="300" w:lineRule="auto"/>
        <w:ind w:firstLine="539"/>
        <w:rPr>
          <w:rFonts w:ascii="宋体" w:cs="楷体_GB2312"/>
          <w:b/>
          <w:color w:val="auto"/>
          <w:sz w:val="24"/>
        </w:rPr>
      </w:pPr>
      <w:r>
        <w:rPr>
          <w:rFonts w:ascii="宋体" w:hAnsi="宋体" w:cs="楷体_GB2312"/>
          <w:b/>
          <w:color w:val="auto"/>
          <w:sz w:val="24"/>
          <w:lang w:val="zh-CN"/>
        </w:rPr>
        <w:t>3.7.</w:t>
      </w:r>
      <w:r>
        <w:rPr>
          <w:rFonts w:hint="eastAsia" w:ascii="宋体" w:hAnsi="宋体" w:cs="楷体_GB2312"/>
          <w:b/>
          <w:color w:val="auto"/>
          <w:sz w:val="24"/>
          <w:lang w:val="zh-CN"/>
        </w:rPr>
        <w:t>4</w:t>
      </w:r>
      <w:r>
        <w:rPr>
          <w:rFonts w:ascii="宋体" w:hAnsi="宋体" w:cs="楷体_GB2312"/>
          <w:b/>
          <w:color w:val="auto"/>
          <w:sz w:val="24"/>
          <w:lang w:val="zh-CN"/>
        </w:rPr>
        <w:t xml:space="preserve"> </w:t>
      </w:r>
      <w:r>
        <w:rPr>
          <w:rFonts w:hint="eastAsia" w:ascii="宋体" w:hAnsi="宋体" w:cs="楷体_GB2312"/>
          <w:b/>
          <w:color w:val="auto"/>
          <w:sz w:val="24"/>
          <w:lang w:val="zh-CN"/>
        </w:rPr>
        <w:t>投标文件（响应文件）</w:t>
      </w:r>
      <w:r>
        <w:rPr>
          <w:rFonts w:hint="eastAsia" w:ascii="宋体" w:hAnsi="宋体" w:cs="楷体_GB2312"/>
          <w:b/>
          <w:color w:val="auto"/>
          <w:sz w:val="24"/>
        </w:rPr>
        <w:t>应</w:t>
      </w:r>
      <w:r>
        <w:rPr>
          <w:rFonts w:hint="eastAsia" w:ascii="宋体" w:hAnsi="宋体" w:cs="楷体_GB2312"/>
          <w:b/>
          <w:color w:val="auto"/>
          <w:sz w:val="24"/>
          <w:lang w:val="zh-CN"/>
        </w:rPr>
        <w:t>按谈判文件相关要求（含格式上标注的要求）、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签名（签章）并加密的响应文件，属于未按照谈判文件要求进行签署。</w:t>
      </w:r>
    </w:p>
    <w:p w14:paraId="00E4F6E1">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rPr>
        <w:t>人公</w:t>
      </w:r>
      <w:r>
        <w:rPr>
          <w:rFonts w:hint="eastAsia" w:ascii="宋体" w:hAnsi="宋体" w:cs="楷体_GB2312"/>
          <w:b/>
          <w:color w:val="auto"/>
          <w:sz w:val="24"/>
        </w:rPr>
        <w:t>章具有同等法律效力；供应商法定代表人使用有效的个人数字证书对响应文件进行签名（签章）与法人签章具有同等法律效力。</w:t>
      </w:r>
    </w:p>
    <w:p w14:paraId="75B80F44">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14:paraId="4E2636F2">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14:paraId="6890A99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14:paraId="09F721D7">
      <w:pPr>
        <w:autoSpaceDE w:val="0"/>
        <w:autoSpaceDN w:val="0"/>
        <w:adjustRightInd w:val="0"/>
        <w:spacing w:line="360" w:lineRule="auto"/>
        <w:ind w:firstLine="539"/>
        <w:rPr>
          <w:rFonts w:ascii="黑体" w:hAnsi="黑体" w:eastAsia="黑体" w:cs="楷体_GB2312"/>
          <w:b/>
          <w:bCs/>
          <w:color w:val="auto"/>
          <w:sz w:val="28"/>
          <w:szCs w:val="28"/>
          <w:lang w:val="zh-CN"/>
        </w:rPr>
      </w:pPr>
    </w:p>
    <w:p w14:paraId="39D1A3DC">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2" w:name="_Toc65679082"/>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2"/>
    </w:p>
    <w:p w14:paraId="5B5672E9">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w:t>
      </w:r>
      <w:r>
        <w:rPr>
          <w:rFonts w:ascii="黑体" w:hAnsi="黑体" w:eastAsia="黑体" w:cs="楷体_GB2312"/>
          <w:b/>
          <w:color w:val="auto"/>
          <w:sz w:val="24"/>
          <w:lang w:val="zh-CN"/>
        </w:rPr>
        <w:t>密</w:t>
      </w:r>
      <w:r>
        <w:rPr>
          <w:rFonts w:hint="eastAsia" w:ascii="黑体" w:hAnsi="黑体" w:eastAsia="黑体" w:cs="楷体_GB2312"/>
          <w:b/>
          <w:color w:val="auto"/>
          <w:sz w:val="24"/>
          <w:lang w:val="zh-CN"/>
        </w:rPr>
        <w:t>和标记：</w:t>
      </w:r>
    </w:p>
    <w:p w14:paraId="7E429EEF">
      <w:pPr>
        <w:autoSpaceDE w:val="0"/>
        <w:autoSpaceDN w:val="0"/>
        <w:adjustRightInd w:val="0"/>
        <w:snapToGrid w:val="0"/>
        <w:spacing w:before="156" w:beforeLines="50" w:line="300" w:lineRule="auto"/>
        <w:ind w:firstLine="539"/>
        <w:rPr>
          <w:rFonts w:ascii="宋体" w:cs="楷体_GB2312"/>
          <w:b/>
          <w:color w:val="auto"/>
          <w:sz w:val="24"/>
          <w:lang w:val="zh-CN"/>
        </w:rPr>
      </w:pPr>
      <w:bookmarkStart w:id="23"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投标文件（响应文件）</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14:paraId="2CBE8D3C">
      <w:pPr>
        <w:autoSpaceDE w:val="0"/>
        <w:autoSpaceDN w:val="0"/>
        <w:adjustRightInd w:val="0"/>
        <w:snapToGrid w:val="0"/>
        <w:spacing w:before="156" w:beforeLines="50" w:line="300" w:lineRule="auto"/>
        <w:ind w:firstLine="539"/>
        <w:rPr>
          <w:rFonts w:ascii="宋体" w:cs="楷体_GB2312"/>
          <w:b/>
          <w:color w:val="auto"/>
          <w:sz w:val="24"/>
          <w:lang w:val="zh-CN"/>
        </w:rPr>
      </w:pPr>
      <w:bookmarkStart w:id="24"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拒收其投标文件（响应文件），投标人应自负该项风险，采购代理机构对可能产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3"/>
      <w:bookmarkEnd w:id="24"/>
      <w:bookmarkStart w:id="25" w:name="_Toc296602445"/>
    </w:p>
    <w:p w14:paraId="5AA85AE5">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5"/>
    </w:p>
    <w:p w14:paraId="603215F9">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4.2.1</w:t>
      </w:r>
      <w:r>
        <w:rPr>
          <w:rFonts w:hint="eastAsia" w:ascii="宋体" w:hAnsi="宋体"/>
          <w:color w:val="auto"/>
          <w:sz w:val="24"/>
          <w:szCs w:val="24"/>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29566112">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投标文件（响应文件）提交截止时间后，系统将自动锁定已经提交的电子投标文件（响应文件），拒绝再次提交。投</w:t>
      </w:r>
      <w:r>
        <w:rPr>
          <w:rFonts w:ascii="宋体" w:hAnsi="宋体" w:cs="楷体_GB2312"/>
          <w:b/>
          <w:color w:val="auto"/>
          <w:sz w:val="24"/>
          <w:lang w:val="zh-CN"/>
        </w:rPr>
        <w:t>标人</w:t>
      </w:r>
      <w:r>
        <w:rPr>
          <w:rFonts w:hint="eastAsia" w:ascii="宋体" w:hAnsi="宋体" w:cs="楷体_GB2312"/>
          <w:b/>
          <w:color w:val="auto"/>
          <w:sz w:val="24"/>
          <w:lang w:val="zh-CN"/>
        </w:rPr>
        <w:t>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的投标文件（响应文件）</w:t>
      </w:r>
    </w:p>
    <w:p w14:paraId="78997613">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14:paraId="60729E1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14:paraId="27EE84AD">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14:paraId="76900647">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14:paraId="7CFB0017">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投标人于提交投标文件（响应文件）截止时间前如对投标文件进行补充、修改，可以上传新的投标文件进行覆盖。投标人如撤回投标文件，应及时书面通知采购代理机构进行办理。</w:t>
      </w:r>
    </w:p>
    <w:p w14:paraId="74E906F2">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投标人在投标文件（响应文件）提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14:paraId="513FBF7C">
      <w:pPr>
        <w:autoSpaceDE w:val="0"/>
        <w:autoSpaceDN w:val="0"/>
        <w:adjustRightInd w:val="0"/>
        <w:snapToGrid w:val="0"/>
        <w:spacing w:before="156" w:beforeLines="50" w:line="300" w:lineRule="auto"/>
        <w:ind w:firstLine="539"/>
        <w:rPr>
          <w:rFonts w:ascii="宋体" w:cs="楷体_GB2312"/>
          <w:color w:val="auto"/>
          <w:sz w:val="24"/>
          <w:lang w:val="zh-CN"/>
        </w:rPr>
      </w:pPr>
    </w:p>
    <w:p w14:paraId="109AF4CE">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6" w:name="_Toc65679083"/>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6"/>
    </w:p>
    <w:p w14:paraId="2FD38AA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14:paraId="43DBB551">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采购人和采购代理机构按谈判公告规定的时间和地点于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（谈判公告所述网上电子交易系统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公开开标。</w:t>
      </w:r>
    </w:p>
    <w:p w14:paraId="6336268D">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134076AD">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14:paraId="7A3DFE38">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投标文件（响应文件）的开启方式为远程解密，为保证开标工作顺利进行，投标人需在开标阶段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解密成功的，其投标将不能被接受，投标人自行承担相应后果。</w:t>
      </w:r>
    </w:p>
    <w:p w14:paraId="77C82EDC">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14:paraId="66AE8B3A">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投标人对开标过程和开标记录有疑义，以及认为采购人、采购代理机构相关工作人员有需要回避的情形的，应在系统中提出询问或者回避申请，否则，视为对开标无异议。</w:t>
      </w:r>
    </w:p>
    <w:p w14:paraId="139E81F3">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14:paraId="5194BE15">
      <w:pPr>
        <w:autoSpaceDE w:val="0"/>
        <w:autoSpaceDN w:val="0"/>
        <w:adjustRightInd w:val="0"/>
        <w:snapToGrid w:val="0"/>
        <w:spacing w:before="156" w:beforeLines="50" w:line="300" w:lineRule="auto"/>
        <w:ind w:firstLine="539"/>
        <w:rPr>
          <w:rFonts w:ascii="宋体" w:cs="楷体_GB2312"/>
          <w:sz w:val="24"/>
          <w:lang w:val="zh-CN"/>
        </w:rPr>
      </w:pPr>
    </w:p>
    <w:p w14:paraId="2584CF68">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7" w:name="_Toc65679084"/>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7"/>
    </w:p>
    <w:p w14:paraId="0E7BB263">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 xml:space="preserve">谈判小组 </w:t>
      </w:r>
    </w:p>
    <w:p w14:paraId="409A5673">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评审工作由依法组建的谈判小组负责。谈判小组由采购人代表和评审专家共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人及以上单数组成，其中评审专家人数不少于谈判小组成员总数的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14:paraId="2B7F2EA0">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14:paraId="75A2A524">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14:paraId="01A8229F">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14:paraId="073DDAE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1E830116">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3A56A5C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14:paraId="49194FA1">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 xml:space="preserve"> 在开标、评审期间，投标人不得向谈判小组成员询问情况，不得进行旨在影响评审结果的活动。</w:t>
      </w:r>
    </w:p>
    <w:p w14:paraId="2FAA5829">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 xml:space="preserve"> 谈判：</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款谈判规则。</w:t>
      </w:r>
    </w:p>
    <w:p w14:paraId="62950AC7">
      <w:pPr>
        <w:autoSpaceDE w:val="0"/>
        <w:autoSpaceDN w:val="0"/>
        <w:adjustRightInd w:val="0"/>
        <w:snapToGrid w:val="0"/>
        <w:spacing w:before="156" w:beforeLines="50" w:line="300" w:lineRule="auto"/>
        <w:ind w:firstLine="539"/>
        <w:rPr>
          <w:rFonts w:ascii="宋体" w:cs="楷体_GB2312"/>
          <w:color w:val="auto"/>
          <w:sz w:val="24"/>
          <w:lang w:val="zh-CN"/>
        </w:rPr>
      </w:pPr>
    </w:p>
    <w:p w14:paraId="0AFACC3C">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8" w:name="_Toc65679085"/>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8"/>
    </w:p>
    <w:p w14:paraId="285BAB94">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1BD0A6F9">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除投标人须知前附表规定授权谈</w:t>
      </w:r>
      <w:r>
        <w:rPr>
          <w:rFonts w:hint="eastAsia" w:ascii="宋体" w:hAnsi="宋体" w:cs="楷体_GB2312"/>
          <w:sz w:val="24"/>
          <w:lang w:val="zh-CN"/>
        </w:rPr>
        <w:t>判小组直接确定成交供应商外，采购人应当自收到评审报告之日起</w:t>
      </w:r>
      <w:r>
        <w:rPr>
          <w:rFonts w:ascii="宋体" w:hAnsi="宋体" w:cs="楷体_GB2312"/>
          <w:sz w:val="24"/>
          <w:lang w:val="zh-CN"/>
        </w:rPr>
        <w:t>5</w:t>
      </w:r>
      <w:r>
        <w:rPr>
          <w:rFonts w:hint="eastAsia" w:ascii="宋体" w:hAnsi="宋体" w:cs="楷体_GB2312"/>
          <w:sz w:val="24"/>
          <w:lang w:val="zh-CN"/>
        </w:rPr>
        <w:t>个工作日内在</w:t>
      </w:r>
      <w:r>
        <w:rPr>
          <w:rFonts w:hint="eastAsia" w:ascii="宋体" w:hAnsi="宋体" w:cs="楷体_GB2312"/>
          <w:color w:val="auto"/>
          <w:sz w:val="24"/>
          <w:lang w:val="zh-CN"/>
        </w:rPr>
        <w:t>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14:paraId="0B57FB3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0DDD6295">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采购代理机构在成交供应商确定当天在谈判公告所述媒体公告成交结果。同时向成交供应商发出成交通知书。成交结果公告期限为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74955E78">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14:paraId="16AA5B8D">
      <w:pPr>
        <w:autoSpaceDE w:val="0"/>
        <w:autoSpaceDN w:val="0"/>
        <w:adjustRightInd w:val="0"/>
        <w:snapToGrid w:val="0"/>
        <w:spacing w:before="156" w:beforeLines="50" w:line="300" w:lineRule="auto"/>
        <w:ind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见投标人须知前附表</w:t>
      </w:r>
    </w:p>
    <w:p w14:paraId="780EC237">
      <w:pPr>
        <w:adjustRightInd w:val="0"/>
        <w:snapToGrid w:val="0"/>
        <w:spacing w:before="156"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14:paraId="4F6336B8">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14:paraId="77DE2A27">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4C967B4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 xml:space="preserve"> 在签订合同时，成交供应商应按投标人须知前附表规定向采购人提交履约保证金。</w:t>
      </w:r>
    </w:p>
    <w:p w14:paraId="35B2A1A7">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14:paraId="4ACB9940">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31D32CFD">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据优化营商环境精神，成交供应商应在《成交通知书》发出后2个工作日内，按照谈判文件确定的合同文本以及成交标的、技术和服务等事项与采购人签订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14:paraId="64997EB1">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给采购人造成损失的，成交供应商应当予以赔偿。</w:t>
      </w:r>
    </w:p>
    <w:p w14:paraId="29FDFE2B">
      <w:pPr>
        <w:widowControl w:val="0"/>
        <w:adjustRightInd w:val="0"/>
        <w:snapToGrid w:val="0"/>
        <w:spacing w:before="156" w:beforeLines="50" w:line="300" w:lineRule="auto"/>
        <w:ind w:firstLine="566"/>
        <w:rPr>
          <w:rFonts w:ascii="宋体" w:hAnsi="宋体"/>
          <w:color w:val="auto"/>
          <w:sz w:val="24"/>
          <w:szCs w:val="24"/>
        </w:rPr>
      </w:pPr>
      <w:r>
        <w:rPr>
          <w:rFonts w:ascii="宋体" w:hAnsi="宋体"/>
          <w:color w:val="auto"/>
          <w:sz w:val="24"/>
          <w:szCs w:val="24"/>
        </w:rPr>
        <w:t>7.6.3</w:t>
      </w:r>
      <w:r>
        <w:rPr>
          <w:rFonts w:hint="eastAsia" w:ascii="宋体" w:hAnsi="宋体"/>
          <w:color w:val="auto"/>
          <w:sz w:val="24"/>
          <w:szCs w:val="24"/>
        </w:rPr>
        <w:t xml:space="preserve"> 合同生效：成交供应商与采购人签订的合同，双方签字后盖章生效</w:t>
      </w:r>
      <w:r>
        <w:rPr>
          <w:rFonts w:hint="eastAsia"/>
          <w:color w:val="auto"/>
          <w:sz w:val="24"/>
          <w:szCs w:val="24"/>
        </w:rPr>
        <w:t>。</w:t>
      </w:r>
      <w:r>
        <w:rPr>
          <w:rFonts w:hint="eastAsia" w:ascii="宋体" w:hAnsi="宋体"/>
          <w:color w:val="auto"/>
          <w:sz w:val="24"/>
          <w:szCs w:val="24"/>
        </w:rPr>
        <w:t>采购人要在合同签订后1个工作日内登陆安阳市政府采购网进行备案并公告。</w:t>
      </w:r>
    </w:p>
    <w:p w14:paraId="7BB39523">
      <w:pPr>
        <w:widowControl w:val="0"/>
        <w:adjustRightInd w:val="0"/>
        <w:snapToGrid w:val="0"/>
        <w:spacing w:before="156" w:beforeLines="50" w:line="300" w:lineRule="auto"/>
        <w:ind w:firstLine="566"/>
        <w:rPr>
          <w:rFonts w:ascii="宋体" w:hAnsi="宋体"/>
          <w:sz w:val="24"/>
          <w:szCs w:val="24"/>
        </w:rPr>
      </w:pPr>
      <w:r>
        <w:rPr>
          <w:rFonts w:ascii="宋体" w:hAnsi="宋体"/>
          <w:color w:val="auto"/>
          <w:sz w:val="24"/>
          <w:szCs w:val="24"/>
        </w:rPr>
        <w:t>7.6.4</w:t>
      </w:r>
      <w:r>
        <w:rPr>
          <w:rFonts w:hint="eastAsia" w:ascii="宋体" w:hAnsi="宋体"/>
          <w:color w:val="auto"/>
          <w:sz w:val="24"/>
          <w:szCs w:val="24"/>
        </w:rPr>
        <w:t>《成交通知书》、谈判文件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其修改补充澄清</w:t>
      </w:r>
      <w:r>
        <w:rPr>
          <w:rFonts w:hint="eastAsia" w:ascii="宋体" w:hAnsi="宋体"/>
          <w:color w:val="auto"/>
          <w:sz w:val="24"/>
          <w:szCs w:val="24"/>
        </w:rPr>
        <w:t>等，均为签订合同的依据。所定合同不得对谈判文件和成交供应商的投标文件作实质性修改，采购人和成交供应商不</w:t>
      </w:r>
      <w:r>
        <w:rPr>
          <w:rFonts w:hint="eastAsia" w:ascii="宋体" w:hAnsi="宋体"/>
          <w:sz w:val="24"/>
          <w:szCs w:val="24"/>
        </w:rPr>
        <w:t>得私下订立背离合同实质性内容的协议。</w:t>
      </w:r>
    </w:p>
    <w:p w14:paraId="7D04EA72">
      <w:pPr>
        <w:widowControl w:val="0"/>
        <w:adjustRightInd w:val="0"/>
        <w:snapToGrid w:val="0"/>
        <w:spacing w:before="156" w:beforeLines="50" w:line="300" w:lineRule="auto"/>
        <w:ind w:firstLine="549"/>
        <w:rPr>
          <w:rFonts w:ascii="宋体" w:hAnsi="宋体"/>
          <w:sz w:val="24"/>
          <w:szCs w:val="24"/>
        </w:rPr>
      </w:pPr>
      <w:r>
        <w:rPr>
          <w:rFonts w:ascii="宋体" w:hAnsi="宋体"/>
          <w:sz w:val="24"/>
          <w:szCs w:val="24"/>
        </w:rPr>
        <w:t xml:space="preserve">7.6.5 </w:t>
      </w:r>
      <w:r>
        <w:rPr>
          <w:rFonts w:hint="eastAsia" w:ascii="宋体" w:hAnsi="宋体"/>
          <w:sz w:val="24"/>
          <w:szCs w:val="24"/>
        </w:rPr>
        <w:t>评审会后，成交供应商、采购人之间擅自私下谈判、变更中标（成交）标的、价格及</w:t>
      </w:r>
      <w:r>
        <w:rPr>
          <w:rFonts w:hint="eastAsia" w:ascii="宋体" w:hAnsi="宋体"/>
          <w:color w:val="auto"/>
          <w:sz w:val="24"/>
        </w:rPr>
        <w:t>招投</w:t>
      </w:r>
      <w:r>
        <w:rPr>
          <w:rFonts w:hint="eastAsia" w:ascii="宋体" w:hAnsi="宋体"/>
          <w:sz w:val="24"/>
          <w:szCs w:val="24"/>
        </w:rPr>
        <w:t>标文件实质性内容的，有关部门将按《中华人民共和国政府采购法》及相关法规的规定处理。</w:t>
      </w:r>
    </w:p>
    <w:p w14:paraId="35555F34">
      <w:pPr>
        <w:widowControl w:val="0"/>
        <w:adjustRightInd w:val="0"/>
        <w:snapToGrid w:val="0"/>
        <w:spacing w:before="156" w:beforeLines="50" w:line="300" w:lineRule="auto"/>
        <w:ind w:firstLine="549"/>
        <w:rPr>
          <w:sz w:val="24"/>
          <w:szCs w:val="24"/>
        </w:rPr>
      </w:pPr>
      <w:r>
        <w:rPr>
          <w:rFonts w:ascii="宋体" w:hAnsi="宋体"/>
          <w:sz w:val="24"/>
          <w:szCs w:val="24"/>
        </w:rPr>
        <w:t>7.6.</w:t>
      </w: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采购人与成交供应商签订《政府采购合同》后，合同履行中产生的纠纷、争议，由采购人与成交供应</w:t>
      </w:r>
      <w:r>
        <w:rPr>
          <w:rFonts w:hint="eastAsia"/>
          <w:sz w:val="24"/>
          <w:szCs w:val="24"/>
        </w:rPr>
        <w:t>商按合同条款及《中华人民共和国民法典》处理。</w:t>
      </w:r>
    </w:p>
    <w:p w14:paraId="5B0D4923">
      <w:pPr>
        <w:widowControl w:val="0"/>
        <w:adjustRightInd w:val="0"/>
        <w:snapToGrid w:val="0"/>
        <w:spacing w:before="156" w:beforeLines="50" w:line="300" w:lineRule="auto"/>
        <w:ind w:firstLine="555"/>
        <w:rPr>
          <w:rFonts w:ascii="黑体" w:hAnsi="黑体" w:eastAsia="黑体" w:cs="楷体_GB2312"/>
          <w:b/>
          <w:sz w:val="24"/>
          <w:lang w:val="zh-CN"/>
        </w:rPr>
      </w:pPr>
      <w:r>
        <w:rPr>
          <w:rFonts w:ascii="黑体" w:hAnsi="黑体" w:eastAsia="黑体" w:cs="楷体_GB2312"/>
          <w:b/>
          <w:sz w:val="24"/>
          <w:lang w:val="zh-CN"/>
        </w:rPr>
        <w:t xml:space="preserve">7.7 </w:t>
      </w:r>
      <w:r>
        <w:rPr>
          <w:rFonts w:hint="eastAsia" w:ascii="黑体" w:hAnsi="黑体" w:eastAsia="黑体" w:cs="楷体_GB2312"/>
          <w:b/>
          <w:sz w:val="24"/>
          <w:lang w:val="zh-CN"/>
        </w:rPr>
        <w:t>合同补充变更</w:t>
      </w:r>
    </w:p>
    <w:p w14:paraId="382FA7FE">
      <w:pPr>
        <w:widowControl w:val="0"/>
        <w:adjustRightInd w:val="0"/>
        <w:snapToGrid w:val="0"/>
        <w:spacing w:before="156" w:beforeLines="50" w:line="300" w:lineRule="auto"/>
        <w:ind w:firstLine="555"/>
        <w:rPr>
          <w:rFonts w:ascii="宋体" w:hAns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工程和服务的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14:paraId="4CF84D7D">
      <w:pPr>
        <w:widowControl w:val="0"/>
        <w:adjustRightInd w:val="0"/>
        <w:snapToGrid w:val="0"/>
        <w:spacing w:before="156" w:beforeLines="50" w:line="300" w:lineRule="auto"/>
        <w:ind w:firstLine="555"/>
        <w:rPr>
          <w:color w:val="auto"/>
          <w:sz w:val="24"/>
          <w:szCs w:val="24"/>
        </w:rPr>
      </w:pPr>
      <w:r>
        <w:rPr>
          <w:rFonts w:ascii="宋体" w:hAnsi="宋体"/>
          <w:color w:val="auto"/>
          <w:sz w:val="24"/>
          <w:szCs w:val="24"/>
        </w:rPr>
        <w:t>7.7.2</w:t>
      </w:r>
      <w:r>
        <w:rPr>
          <w:rFonts w:hint="eastAsia" w:ascii="宋体" w:hAnsi="宋体"/>
          <w:color w:val="auto"/>
          <w:sz w:val="24"/>
          <w:szCs w:val="24"/>
        </w:rPr>
        <w:t>采购人需追加或减少的货物、工程和服务的金额达到</w:t>
      </w:r>
      <w:r>
        <w:rPr>
          <w:rFonts w:ascii="宋体" w:hAnsi="宋体"/>
          <w:color w:val="auto"/>
          <w:sz w:val="24"/>
          <w:szCs w:val="24"/>
        </w:rPr>
        <w:t>50</w:t>
      </w:r>
      <w:r>
        <w:rPr>
          <w:rFonts w:hint="eastAsia" w:ascii="宋体" w:hAnsi="宋体"/>
          <w:color w:val="auto"/>
          <w:sz w:val="24"/>
          <w:szCs w:val="24"/>
        </w:rPr>
        <w:t>万元以</w:t>
      </w:r>
      <w:r>
        <w:rPr>
          <w:rFonts w:hint="eastAsia"/>
          <w:color w:val="auto"/>
          <w:sz w:val="24"/>
          <w:szCs w:val="24"/>
        </w:rPr>
        <w:t>上（含</w:t>
      </w:r>
      <w:r>
        <w:rPr>
          <w:color w:val="auto"/>
          <w:sz w:val="24"/>
          <w:szCs w:val="24"/>
        </w:rPr>
        <w:t>50</w:t>
      </w:r>
      <w:r>
        <w:rPr>
          <w:rFonts w:hint="eastAsia"/>
          <w:color w:val="auto"/>
          <w:sz w:val="24"/>
          <w:szCs w:val="24"/>
        </w:rPr>
        <w:t>万元）、且超过中标（成交）价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14:paraId="1836E7C8">
      <w:pPr>
        <w:widowControl w:val="0"/>
        <w:adjustRightInd w:val="0"/>
        <w:snapToGrid w:val="0"/>
        <w:spacing w:before="156" w:beforeLines="50" w:line="300" w:lineRule="auto"/>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14:paraId="714D4BEA">
      <w:pPr>
        <w:widowControl w:val="0"/>
        <w:adjustRightInd w:val="0"/>
        <w:snapToGrid w:val="0"/>
        <w:spacing w:before="156" w:beforeLines="50" w:line="300" w:lineRule="auto"/>
        <w:ind w:firstLine="555"/>
        <w:rPr>
          <w:color w:val="FF0000"/>
          <w:sz w:val="24"/>
          <w:szCs w:val="24"/>
        </w:rPr>
      </w:pPr>
    </w:p>
    <w:p w14:paraId="71BDA46A">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29" w:name="_Toc65679086"/>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29"/>
    </w:p>
    <w:p w14:paraId="78384745">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lang w:val="zh-CN"/>
        </w:rPr>
        <w:t>验收时间：项目完工达到验收条件时，由采购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工期内的服务实施情况进行分期考核，结合考核情况和服务效果进行验收。</w:t>
      </w:r>
    </w:p>
    <w:p w14:paraId="72B1A16C">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14:paraId="49CAD43C">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14:paraId="3743B3D0">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33BC0405">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2A63B965">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14:paraId="0F676B1E">
      <w:pPr>
        <w:widowControl w:val="0"/>
        <w:adjustRightInd w:val="0"/>
        <w:snapToGrid w:val="0"/>
        <w:spacing w:before="156" w:beforeLines="50" w:line="300" w:lineRule="auto"/>
        <w:ind w:firstLine="561"/>
        <w:rPr>
          <w:rFonts w:ascii="宋体" w:hAnsi="宋体" w:cs="楷体_GB2312"/>
          <w:color w:val="00B050"/>
          <w:sz w:val="24"/>
        </w:rPr>
      </w:pPr>
      <w:r>
        <w:rPr>
          <w:rFonts w:hint="eastAsia" w:ascii="宋体" w:hAnsi="宋体" w:cs="楷体_GB2312"/>
          <w:color w:val="auto"/>
          <w:sz w:val="24"/>
        </w:rPr>
        <w:t>工程质量必须达到对应专业现行的国家（行业）的技术标准、规范且符合相关环保要</w:t>
      </w:r>
      <w:r>
        <w:rPr>
          <w:rFonts w:hint="eastAsia" w:ascii="宋体" w:hAnsi="宋体" w:cs="楷体_GB2312"/>
          <w:color w:val="00B050"/>
          <w:sz w:val="24"/>
        </w:rPr>
        <w:t>求。</w:t>
      </w:r>
    </w:p>
    <w:p w14:paraId="42DB88A9">
      <w:pPr>
        <w:widowControl w:val="0"/>
        <w:adjustRightInd w:val="0"/>
        <w:snapToGrid w:val="0"/>
        <w:spacing w:before="156" w:beforeLines="50" w:line="300" w:lineRule="auto"/>
        <w:ind w:firstLine="561"/>
        <w:rPr>
          <w:rFonts w:ascii="宋体" w:hAnsi="宋体" w:cs="楷体_GB2312"/>
          <w:color w:val="FF0000"/>
          <w:sz w:val="24"/>
        </w:rPr>
      </w:pPr>
      <w:r>
        <w:rPr>
          <w:rFonts w:ascii="宋体" w:hAnsi="宋体" w:cs="楷体_GB2312"/>
          <w:sz w:val="24"/>
          <w:lang w:val="zh-CN"/>
        </w:rPr>
        <w:t>8.</w:t>
      </w:r>
      <w:r>
        <w:rPr>
          <w:rFonts w:hint="eastAsia" w:ascii="宋体" w:hAnsi="宋体" w:cs="楷体_GB2312"/>
          <w:sz w:val="24"/>
        </w:rPr>
        <w:t>4</w:t>
      </w:r>
      <w:r>
        <w:rPr>
          <w:rFonts w:ascii="宋体" w:hAnsi="宋体" w:cs="楷体_GB2312"/>
          <w:sz w:val="24"/>
          <w:lang w:val="zh-CN"/>
        </w:rPr>
        <w:t xml:space="preserve"> </w:t>
      </w:r>
      <w:r>
        <w:rPr>
          <w:rFonts w:hint="eastAsia" w:ascii="宋体" w:hAnsi="宋体" w:cs="楷体_GB2312"/>
          <w:sz w:val="24"/>
          <w:lang w:val="zh-CN"/>
        </w:rPr>
        <w:t>验收报告：验收后，由采购</w:t>
      </w:r>
      <w:r>
        <w:rPr>
          <w:rFonts w:hint="eastAsia" w:ascii="宋体" w:hAnsi="宋体" w:cs="楷体_GB2312"/>
          <w:sz w:val="24"/>
        </w:rPr>
        <w:t>人</w:t>
      </w:r>
      <w:r>
        <w:rPr>
          <w:rFonts w:hint="eastAsia" w:ascii="宋体" w:hAnsi="宋体" w:cs="楷体_GB2312"/>
          <w:sz w:val="24"/>
          <w:lang w:val="zh-CN"/>
        </w:rPr>
        <w:t>及专家等出具验收报告（</w:t>
      </w:r>
      <w:r>
        <w:rPr>
          <w:rFonts w:hint="eastAsia" w:ascii="宋体" w:hAnsi="宋体" w:cs="楷体_GB2312"/>
          <w:sz w:val="24"/>
        </w:rPr>
        <w:t>自行验收的，由采购人出具</w:t>
      </w:r>
      <w:r>
        <w:rPr>
          <w:rFonts w:hint="eastAsia" w:ascii="宋体" w:hAnsi="宋体" w:cs="楷体_GB2312"/>
          <w:sz w:val="24"/>
          <w:lang w:val="zh-CN"/>
        </w:rPr>
        <w:t>），国家规定强制性检测的采购项目应附国家认可的专业检测机构出具的验收报告。</w:t>
      </w:r>
    </w:p>
    <w:p w14:paraId="21CFB8D1">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sz w:val="24"/>
          <w:lang w:val="zh-CN"/>
        </w:rPr>
        <w:t>8.</w:t>
      </w:r>
      <w:r>
        <w:rPr>
          <w:rFonts w:hint="eastAsia" w:ascii="宋体" w:hAnsi="宋体" w:cs="楷体_GB2312"/>
          <w:sz w:val="24"/>
        </w:rPr>
        <w:t>5</w:t>
      </w:r>
      <w:r>
        <w:rPr>
          <w:rFonts w:hint="eastAsia" w:ascii="宋体" w:hAnsi="宋体" w:cs="楷体_GB2312"/>
          <w:sz w:val="24"/>
          <w:lang w:val="zh-CN"/>
        </w:rPr>
        <w:t>验收中发现成交供应商未按合同约定的时间、地点或方式履约，提供的货物或服务的数量</w:t>
      </w:r>
      <w:r>
        <w:rPr>
          <w:rFonts w:hint="eastAsia" w:ascii="宋体" w:hAnsi="宋体" w:cs="楷体_GB2312"/>
          <w:color w:val="auto"/>
          <w:sz w:val="24"/>
          <w:lang w:val="zh-CN"/>
        </w:rPr>
        <w:t>、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DF881F3">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14:paraId="7EB1F44B">
      <w:pPr>
        <w:widowControl w:val="0"/>
        <w:adjustRightInd w:val="0"/>
        <w:snapToGrid w:val="0"/>
        <w:spacing w:before="156" w:beforeLines="50" w:line="300" w:lineRule="auto"/>
        <w:ind w:firstLine="561"/>
        <w:rPr>
          <w:rFonts w:ascii="宋体" w:cs="楷体_GB2312"/>
          <w:color w:val="auto"/>
          <w:sz w:val="24"/>
          <w:lang w:val="zh-CN"/>
        </w:rPr>
      </w:pPr>
    </w:p>
    <w:p w14:paraId="278151EF">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0" w:name="_Toc65679087"/>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0"/>
    </w:p>
    <w:p w14:paraId="2277F2F6">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见投标人须知前附表</w:t>
      </w:r>
    </w:p>
    <w:p w14:paraId="7953E4DC">
      <w:pPr>
        <w:widowControl w:val="0"/>
        <w:adjustRightInd w:val="0"/>
        <w:snapToGrid w:val="0"/>
        <w:spacing w:before="156" w:beforeLines="50" w:line="300" w:lineRule="auto"/>
        <w:ind w:firstLine="561"/>
        <w:rPr>
          <w:rFonts w:ascii="黑体" w:hAnsi="黑体" w:eastAsia="黑体" w:cs="楷体_GB2312"/>
          <w:b/>
          <w:bCs/>
          <w:color w:val="auto"/>
          <w:sz w:val="28"/>
          <w:szCs w:val="28"/>
          <w:lang w:val="zh-CN"/>
        </w:rPr>
      </w:pPr>
    </w:p>
    <w:p w14:paraId="440915A2">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1" w:name="_Toc65679088"/>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1"/>
    </w:p>
    <w:p w14:paraId="7B9BA21B">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中标服务费等：见投标人须知前附表</w:t>
      </w:r>
    </w:p>
    <w:p w14:paraId="1B81709D">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同义解释。谈判文件中：“投标”同义“提交响应文件”，“投标人”同义“提交响应文件的供应商”，“投标文件”同义“响应文件”，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p>
    <w:p w14:paraId="4BB04C82">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投标人资格条件中包含非法人单位的，谈判文件中法定代表人一词相应包含表示证照标示的负责人；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投标人资格条件中包含自然人的，谈判文件中法定代表人一词相应包含表示自然人，自然人应由其本人签署投标文件、参加投标，不应再授权他人。</w:t>
      </w:r>
    </w:p>
    <w:p w14:paraId="4DE53D08">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谈判文件第一章至第四章各章中，用序号标示条、款、项、目，例如：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14:paraId="29A37B61">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p>
    <w:p w14:paraId="7070D441">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2" w:name="_Toc65679089"/>
      <w:bookmarkStart w:id="33" w:name="_Toc58858635"/>
      <w:r>
        <w:rPr>
          <w:rFonts w:hint="eastAsia" w:ascii="黑体" w:hAnsi="黑体" w:eastAsia="黑体" w:cs="楷体_GB2312"/>
          <w:b/>
          <w:bCs/>
          <w:color w:val="auto"/>
          <w:sz w:val="28"/>
          <w:szCs w:val="28"/>
          <w:lang w:val="zh-CN"/>
        </w:rPr>
        <w:t>11. 河南省政府采购合同融资政策告知函</w:t>
      </w:r>
      <w:bookmarkEnd w:id="32"/>
      <w:bookmarkEnd w:id="33"/>
    </w:p>
    <w:p w14:paraId="74AF5CE8">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各供应商：</w:t>
      </w:r>
    </w:p>
    <w:p w14:paraId="20690523">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14:paraId="74A4D1D9">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ACD1E3F">
      <w:pPr>
        <w:widowControl w:val="0"/>
        <w:adjustRightInd w:val="0"/>
        <w:snapToGrid w:val="0"/>
        <w:spacing w:before="156" w:beforeLines="50" w:line="300" w:lineRule="auto"/>
        <w:ind w:firstLine="555"/>
        <w:rPr>
          <w:rFonts w:ascii="宋体" w:cs="楷体_GB2312"/>
          <w:b/>
          <w:color w:val="FF0000"/>
          <w:sz w:val="30"/>
          <w:szCs w:val="30"/>
          <w:lang w:val="zh-CN"/>
        </w:rPr>
      </w:pPr>
      <w:r>
        <w:rPr>
          <w:rFonts w:hint="eastAsia" w:ascii="宋体" w:hAnsi="宋体"/>
          <w:color w:val="auto"/>
          <w:sz w:val="24"/>
          <w:szCs w:val="24"/>
        </w:rPr>
        <w:t>贷款渠道和提供贷款的金融机构，可在河南省政府采购网“河南省政府采购合同融资平台”查询联系。</w:t>
      </w:r>
      <w:bookmarkStart w:id="34" w:name="_GoBack"/>
      <w:bookmarkEnd w:id="34"/>
      <w:permStart w:id="0" w:edGrp="everyone"/>
      <w:permEnd w:id="0"/>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1DCD">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19"/>
        <w:rFonts w:ascii="宋体" w:hAnsi="宋体"/>
        <w:szCs w:val="21"/>
        <w:u w:val="single"/>
      </w:rPr>
      <w:fldChar w:fldCharType="begin"/>
    </w:r>
    <w:r>
      <w:rPr>
        <w:rStyle w:val="19"/>
        <w:rFonts w:ascii="宋体" w:hAnsi="宋体"/>
        <w:szCs w:val="21"/>
        <w:u w:val="single"/>
      </w:rPr>
      <w:instrText xml:space="preserve"> PAGE </w:instrText>
    </w:r>
    <w:r>
      <w:rPr>
        <w:rStyle w:val="19"/>
        <w:rFonts w:ascii="宋体" w:hAnsi="宋体"/>
        <w:szCs w:val="21"/>
        <w:u w:val="single"/>
      </w:rPr>
      <w:fldChar w:fldCharType="separate"/>
    </w:r>
    <w:r>
      <w:rPr>
        <w:rStyle w:val="19"/>
        <w:rFonts w:ascii="宋体" w:hAnsi="宋体"/>
        <w:szCs w:val="21"/>
        <w:u w:val="single"/>
      </w:rPr>
      <w:t>- 1 -</w:t>
    </w:r>
    <w:r>
      <w:rPr>
        <w:rStyle w:val="19"/>
        <w:rFonts w:ascii="宋体" w:hAnsi="宋体"/>
        <w:szCs w:val="21"/>
        <w:u w:val="single"/>
      </w:rPr>
      <w:fldChar w:fldCharType="end"/>
    </w:r>
    <w:r>
      <w:rPr>
        <w:rStyle w:val="19"/>
        <w:rFonts w:ascii="宋体" w:hAnsi="宋体"/>
        <w:szCs w:val="21"/>
        <w:u w:val="single"/>
      </w:rPr>
      <w:t xml:space="preserve"> </w:t>
    </w:r>
    <w:r>
      <w:rPr>
        <w:rStyle w:val="19"/>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19"/>
        <w:szCs w:val="21"/>
        <w:u w:val="single"/>
      </w:rPr>
      <w:t>65</w:t>
    </w:r>
    <w:r>
      <w:rPr>
        <w:rStyle w:val="19"/>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ne5yNkAAAAOAQAADwAAAAAAAAABACAAAAAiAAAAZHJzL2Rvd25yZXYueG1s&#10;UEsBAhQAFAAAAAgAh07iQNvZ2WP3AQAA+QMAAA4AAAAAAAAAAQAgAAAAKAEAAGRycy9lMm9Eb2Mu&#10;eG1sUEsFBgAAAAAGAAYAWQEAAJE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CE95">
    <w:pPr>
      <w:pStyle w:val="9"/>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0404BE5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B314">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D242">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N05x2AAAAAoBAAAPAAAAAAAAAAEAIAAAACIAAABkcnMvZG93bnJldi54bWxQ&#10;SwECFAAUAAAACACHTuJAJySDtPcBAAD5AwAADgAAAAAAAAABACAAAAAnAQAAZHJzL2Uyb0RvYy54&#10;bWxQSwUGAAAAAAYABgBZAQAAkAUAAAAA&#10;">
              <v:fill on="f" focussize="0,0"/>
              <v:stroke on="f"/>
              <v:imagedata o:title=""/>
              <o:lock v:ext="edit" aspectratio="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zrxNK8/RMKrjCf/y/beXGGfYzbg=" w:salt="fv+wHC2vxm5iPb09MJZjcQ=="/>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UwNDk1M2RmZDExMGM3NDQ3N2I3NzBhM2IwMDQifQ=="/>
  </w:docVars>
  <w:rsids>
    <w:rsidRoot w:val="00172A27"/>
    <w:rsid w:val="0000090B"/>
    <w:rsid w:val="00001D7A"/>
    <w:rsid w:val="00002A48"/>
    <w:rsid w:val="00003060"/>
    <w:rsid w:val="000055BB"/>
    <w:rsid w:val="00012D41"/>
    <w:rsid w:val="00013814"/>
    <w:rsid w:val="00013DB2"/>
    <w:rsid w:val="00017CFC"/>
    <w:rsid w:val="00017E1E"/>
    <w:rsid w:val="00023676"/>
    <w:rsid w:val="00024608"/>
    <w:rsid w:val="00025F1E"/>
    <w:rsid w:val="0002643A"/>
    <w:rsid w:val="0002701F"/>
    <w:rsid w:val="000278DA"/>
    <w:rsid w:val="000339BC"/>
    <w:rsid w:val="00034EBE"/>
    <w:rsid w:val="00035118"/>
    <w:rsid w:val="0003567F"/>
    <w:rsid w:val="00035CA9"/>
    <w:rsid w:val="00036AA4"/>
    <w:rsid w:val="00041891"/>
    <w:rsid w:val="00042CA8"/>
    <w:rsid w:val="00043821"/>
    <w:rsid w:val="00043CBA"/>
    <w:rsid w:val="00044F84"/>
    <w:rsid w:val="00046A4B"/>
    <w:rsid w:val="00046C08"/>
    <w:rsid w:val="0005241B"/>
    <w:rsid w:val="000565C4"/>
    <w:rsid w:val="00056E58"/>
    <w:rsid w:val="00057F78"/>
    <w:rsid w:val="000602CF"/>
    <w:rsid w:val="0006134B"/>
    <w:rsid w:val="00062821"/>
    <w:rsid w:val="00072834"/>
    <w:rsid w:val="000738CA"/>
    <w:rsid w:val="0007390E"/>
    <w:rsid w:val="00073A45"/>
    <w:rsid w:val="00074766"/>
    <w:rsid w:val="00074FB9"/>
    <w:rsid w:val="00077629"/>
    <w:rsid w:val="00077B1C"/>
    <w:rsid w:val="00080AE9"/>
    <w:rsid w:val="00081092"/>
    <w:rsid w:val="00081801"/>
    <w:rsid w:val="00081ACD"/>
    <w:rsid w:val="00081C6C"/>
    <w:rsid w:val="00081EB8"/>
    <w:rsid w:val="00081F16"/>
    <w:rsid w:val="00081F58"/>
    <w:rsid w:val="000823AD"/>
    <w:rsid w:val="000829A8"/>
    <w:rsid w:val="000832B2"/>
    <w:rsid w:val="0008431C"/>
    <w:rsid w:val="0008447C"/>
    <w:rsid w:val="000847D3"/>
    <w:rsid w:val="00086B70"/>
    <w:rsid w:val="00087637"/>
    <w:rsid w:val="000900BA"/>
    <w:rsid w:val="00090D6B"/>
    <w:rsid w:val="00090EB6"/>
    <w:rsid w:val="00090FEC"/>
    <w:rsid w:val="00091C5E"/>
    <w:rsid w:val="00092A9B"/>
    <w:rsid w:val="00092FFF"/>
    <w:rsid w:val="000933F0"/>
    <w:rsid w:val="00093A6B"/>
    <w:rsid w:val="000956CE"/>
    <w:rsid w:val="0009779D"/>
    <w:rsid w:val="000A152E"/>
    <w:rsid w:val="000A1C72"/>
    <w:rsid w:val="000A2B95"/>
    <w:rsid w:val="000A2E93"/>
    <w:rsid w:val="000A3597"/>
    <w:rsid w:val="000A36C8"/>
    <w:rsid w:val="000A3FE8"/>
    <w:rsid w:val="000A4640"/>
    <w:rsid w:val="000A55EE"/>
    <w:rsid w:val="000A6CD3"/>
    <w:rsid w:val="000A6D2F"/>
    <w:rsid w:val="000A7E88"/>
    <w:rsid w:val="000B1334"/>
    <w:rsid w:val="000B151D"/>
    <w:rsid w:val="000B1BD0"/>
    <w:rsid w:val="000B22A3"/>
    <w:rsid w:val="000B4758"/>
    <w:rsid w:val="000B5412"/>
    <w:rsid w:val="000B6571"/>
    <w:rsid w:val="000B7093"/>
    <w:rsid w:val="000B709F"/>
    <w:rsid w:val="000C2AA6"/>
    <w:rsid w:val="000C2ED3"/>
    <w:rsid w:val="000C4940"/>
    <w:rsid w:val="000C4BA5"/>
    <w:rsid w:val="000C4DEA"/>
    <w:rsid w:val="000D0476"/>
    <w:rsid w:val="000D1B58"/>
    <w:rsid w:val="000D2631"/>
    <w:rsid w:val="000D619E"/>
    <w:rsid w:val="000D7406"/>
    <w:rsid w:val="000E02FC"/>
    <w:rsid w:val="000E118D"/>
    <w:rsid w:val="000E2432"/>
    <w:rsid w:val="000E4B27"/>
    <w:rsid w:val="000E4CE0"/>
    <w:rsid w:val="000E54A0"/>
    <w:rsid w:val="000E632B"/>
    <w:rsid w:val="000E6AAA"/>
    <w:rsid w:val="000F0324"/>
    <w:rsid w:val="000F108C"/>
    <w:rsid w:val="000F1C13"/>
    <w:rsid w:val="000F3188"/>
    <w:rsid w:val="000F3D46"/>
    <w:rsid w:val="000F4146"/>
    <w:rsid w:val="000F71A3"/>
    <w:rsid w:val="000F73C6"/>
    <w:rsid w:val="000F7917"/>
    <w:rsid w:val="001019D8"/>
    <w:rsid w:val="00101EAB"/>
    <w:rsid w:val="001023AB"/>
    <w:rsid w:val="001041CB"/>
    <w:rsid w:val="001046AA"/>
    <w:rsid w:val="00107435"/>
    <w:rsid w:val="00110434"/>
    <w:rsid w:val="001118D4"/>
    <w:rsid w:val="00113293"/>
    <w:rsid w:val="001163D8"/>
    <w:rsid w:val="00116DFD"/>
    <w:rsid w:val="00120C96"/>
    <w:rsid w:val="001212EB"/>
    <w:rsid w:val="00122298"/>
    <w:rsid w:val="0012307F"/>
    <w:rsid w:val="00123128"/>
    <w:rsid w:val="001234C9"/>
    <w:rsid w:val="00124AE4"/>
    <w:rsid w:val="00124F88"/>
    <w:rsid w:val="00126132"/>
    <w:rsid w:val="0012732E"/>
    <w:rsid w:val="001279FE"/>
    <w:rsid w:val="001304AB"/>
    <w:rsid w:val="00131B13"/>
    <w:rsid w:val="00131CCB"/>
    <w:rsid w:val="00132172"/>
    <w:rsid w:val="001321E1"/>
    <w:rsid w:val="00132364"/>
    <w:rsid w:val="00132A89"/>
    <w:rsid w:val="001342A5"/>
    <w:rsid w:val="00135227"/>
    <w:rsid w:val="00135251"/>
    <w:rsid w:val="001378C9"/>
    <w:rsid w:val="001401E4"/>
    <w:rsid w:val="001409FC"/>
    <w:rsid w:val="00141D13"/>
    <w:rsid w:val="00142572"/>
    <w:rsid w:val="00142EF6"/>
    <w:rsid w:val="00143832"/>
    <w:rsid w:val="00144E92"/>
    <w:rsid w:val="00145AB2"/>
    <w:rsid w:val="001507A5"/>
    <w:rsid w:val="00152007"/>
    <w:rsid w:val="00152E6D"/>
    <w:rsid w:val="001532B2"/>
    <w:rsid w:val="001537D5"/>
    <w:rsid w:val="00154FBD"/>
    <w:rsid w:val="00155298"/>
    <w:rsid w:val="00155525"/>
    <w:rsid w:val="00157B0E"/>
    <w:rsid w:val="00161255"/>
    <w:rsid w:val="00164692"/>
    <w:rsid w:val="00165AF5"/>
    <w:rsid w:val="00165FE0"/>
    <w:rsid w:val="00166938"/>
    <w:rsid w:val="0016693E"/>
    <w:rsid w:val="001672C3"/>
    <w:rsid w:val="0016783C"/>
    <w:rsid w:val="001678FA"/>
    <w:rsid w:val="001708C3"/>
    <w:rsid w:val="00170AE1"/>
    <w:rsid w:val="00170E55"/>
    <w:rsid w:val="00170F9A"/>
    <w:rsid w:val="001719D7"/>
    <w:rsid w:val="00172A27"/>
    <w:rsid w:val="00172A7E"/>
    <w:rsid w:val="0017484D"/>
    <w:rsid w:val="00175E3A"/>
    <w:rsid w:val="001777B6"/>
    <w:rsid w:val="0017792A"/>
    <w:rsid w:val="00180E2F"/>
    <w:rsid w:val="00181A4E"/>
    <w:rsid w:val="00181EBC"/>
    <w:rsid w:val="00182803"/>
    <w:rsid w:val="0018311B"/>
    <w:rsid w:val="00183BF5"/>
    <w:rsid w:val="00183C38"/>
    <w:rsid w:val="00186AF5"/>
    <w:rsid w:val="001916DA"/>
    <w:rsid w:val="00192990"/>
    <w:rsid w:val="00193FCE"/>
    <w:rsid w:val="001941B8"/>
    <w:rsid w:val="00194451"/>
    <w:rsid w:val="001949DF"/>
    <w:rsid w:val="00194D1C"/>
    <w:rsid w:val="00195036"/>
    <w:rsid w:val="0019595A"/>
    <w:rsid w:val="0019697C"/>
    <w:rsid w:val="001A0309"/>
    <w:rsid w:val="001A0470"/>
    <w:rsid w:val="001A1BB5"/>
    <w:rsid w:val="001A1D5B"/>
    <w:rsid w:val="001A246D"/>
    <w:rsid w:val="001A31F5"/>
    <w:rsid w:val="001A383B"/>
    <w:rsid w:val="001A6EC8"/>
    <w:rsid w:val="001A733E"/>
    <w:rsid w:val="001A786E"/>
    <w:rsid w:val="001B399F"/>
    <w:rsid w:val="001B3DD4"/>
    <w:rsid w:val="001B5626"/>
    <w:rsid w:val="001B6072"/>
    <w:rsid w:val="001B63AC"/>
    <w:rsid w:val="001C050D"/>
    <w:rsid w:val="001C2D34"/>
    <w:rsid w:val="001C397C"/>
    <w:rsid w:val="001C6505"/>
    <w:rsid w:val="001C71F2"/>
    <w:rsid w:val="001D0621"/>
    <w:rsid w:val="001D0DA4"/>
    <w:rsid w:val="001D14A1"/>
    <w:rsid w:val="001D17A7"/>
    <w:rsid w:val="001D23F7"/>
    <w:rsid w:val="001D2F63"/>
    <w:rsid w:val="001D3921"/>
    <w:rsid w:val="001D3B0B"/>
    <w:rsid w:val="001D4968"/>
    <w:rsid w:val="001D57AD"/>
    <w:rsid w:val="001D5C73"/>
    <w:rsid w:val="001D6235"/>
    <w:rsid w:val="001D6398"/>
    <w:rsid w:val="001E04F2"/>
    <w:rsid w:val="001E0A3F"/>
    <w:rsid w:val="001E1A46"/>
    <w:rsid w:val="001E30AE"/>
    <w:rsid w:val="001E45BE"/>
    <w:rsid w:val="001E58CE"/>
    <w:rsid w:val="001E5B16"/>
    <w:rsid w:val="001E66B1"/>
    <w:rsid w:val="001E6861"/>
    <w:rsid w:val="001E7368"/>
    <w:rsid w:val="001F0376"/>
    <w:rsid w:val="001F0470"/>
    <w:rsid w:val="001F1A30"/>
    <w:rsid w:val="001F1A35"/>
    <w:rsid w:val="001F1AC5"/>
    <w:rsid w:val="001F4C70"/>
    <w:rsid w:val="001F5DAF"/>
    <w:rsid w:val="001F6921"/>
    <w:rsid w:val="001F6A76"/>
    <w:rsid w:val="001F6D7D"/>
    <w:rsid w:val="00200A06"/>
    <w:rsid w:val="00200B9A"/>
    <w:rsid w:val="00200E90"/>
    <w:rsid w:val="002011F8"/>
    <w:rsid w:val="00201E27"/>
    <w:rsid w:val="00202132"/>
    <w:rsid w:val="002052BF"/>
    <w:rsid w:val="002053C1"/>
    <w:rsid w:val="00205670"/>
    <w:rsid w:val="00205DC9"/>
    <w:rsid w:val="0020635B"/>
    <w:rsid w:val="002064E1"/>
    <w:rsid w:val="00207173"/>
    <w:rsid w:val="00207193"/>
    <w:rsid w:val="00210346"/>
    <w:rsid w:val="00211581"/>
    <w:rsid w:val="00212022"/>
    <w:rsid w:val="00213393"/>
    <w:rsid w:val="002146E7"/>
    <w:rsid w:val="00214895"/>
    <w:rsid w:val="002149A3"/>
    <w:rsid w:val="00214DD7"/>
    <w:rsid w:val="00214F54"/>
    <w:rsid w:val="00215479"/>
    <w:rsid w:val="002155C5"/>
    <w:rsid w:val="0021693D"/>
    <w:rsid w:val="00217326"/>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4532"/>
    <w:rsid w:val="00245510"/>
    <w:rsid w:val="00246DB1"/>
    <w:rsid w:val="00247523"/>
    <w:rsid w:val="00247993"/>
    <w:rsid w:val="002511FE"/>
    <w:rsid w:val="00252113"/>
    <w:rsid w:val="002528BD"/>
    <w:rsid w:val="002529D6"/>
    <w:rsid w:val="002551E0"/>
    <w:rsid w:val="0025530F"/>
    <w:rsid w:val="00255F14"/>
    <w:rsid w:val="00256FB2"/>
    <w:rsid w:val="002574D7"/>
    <w:rsid w:val="00257B22"/>
    <w:rsid w:val="002602F6"/>
    <w:rsid w:val="0026280E"/>
    <w:rsid w:val="002665E4"/>
    <w:rsid w:val="002673AF"/>
    <w:rsid w:val="00267440"/>
    <w:rsid w:val="0027067C"/>
    <w:rsid w:val="00270EED"/>
    <w:rsid w:val="00270FE1"/>
    <w:rsid w:val="00271ABB"/>
    <w:rsid w:val="00272B6B"/>
    <w:rsid w:val="00272DEC"/>
    <w:rsid w:val="002751DF"/>
    <w:rsid w:val="002759A2"/>
    <w:rsid w:val="00276204"/>
    <w:rsid w:val="00280E45"/>
    <w:rsid w:val="002810F8"/>
    <w:rsid w:val="002814BF"/>
    <w:rsid w:val="00281565"/>
    <w:rsid w:val="00283074"/>
    <w:rsid w:val="00285049"/>
    <w:rsid w:val="00290B53"/>
    <w:rsid w:val="00290D50"/>
    <w:rsid w:val="00293F3F"/>
    <w:rsid w:val="0029442F"/>
    <w:rsid w:val="002954F0"/>
    <w:rsid w:val="0029595B"/>
    <w:rsid w:val="00295A34"/>
    <w:rsid w:val="00296501"/>
    <w:rsid w:val="002975BF"/>
    <w:rsid w:val="002A0347"/>
    <w:rsid w:val="002A2B5C"/>
    <w:rsid w:val="002A4898"/>
    <w:rsid w:val="002A4B93"/>
    <w:rsid w:val="002A4F6F"/>
    <w:rsid w:val="002A5411"/>
    <w:rsid w:val="002A6BD2"/>
    <w:rsid w:val="002A7325"/>
    <w:rsid w:val="002A7814"/>
    <w:rsid w:val="002B1EC7"/>
    <w:rsid w:val="002B5E0D"/>
    <w:rsid w:val="002C00FF"/>
    <w:rsid w:val="002C11FF"/>
    <w:rsid w:val="002C13E7"/>
    <w:rsid w:val="002C13ED"/>
    <w:rsid w:val="002C1681"/>
    <w:rsid w:val="002C3330"/>
    <w:rsid w:val="002C6208"/>
    <w:rsid w:val="002C6933"/>
    <w:rsid w:val="002D0379"/>
    <w:rsid w:val="002D0794"/>
    <w:rsid w:val="002D14BE"/>
    <w:rsid w:val="002D272C"/>
    <w:rsid w:val="002D35EE"/>
    <w:rsid w:val="002D40A9"/>
    <w:rsid w:val="002D5868"/>
    <w:rsid w:val="002D6349"/>
    <w:rsid w:val="002D6B6F"/>
    <w:rsid w:val="002D7623"/>
    <w:rsid w:val="002D7628"/>
    <w:rsid w:val="002D7A77"/>
    <w:rsid w:val="002D7BE8"/>
    <w:rsid w:val="002E098C"/>
    <w:rsid w:val="002E15EE"/>
    <w:rsid w:val="002E2367"/>
    <w:rsid w:val="002E3E40"/>
    <w:rsid w:val="002E5245"/>
    <w:rsid w:val="002E60E6"/>
    <w:rsid w:val="002E650E"/>
    <w:rsid w:val="002E76EF"/>
    <w:rsid w:val="002E7E70"/>
    <w:rsid w:val="002F08C6"/>
    <w:rsid w:val="002F24F3"/>
    <w:rsid w:val="002F2754"/>
    <w:rsid w:val="002F32BA"/>
    <w:rsid w:val="002F37CB"/>
    <w:rsid w:val="002F4ADA"/>
    <w:rsid w:val="002F5465"/>
    <w:rsid w:val="002F7AD0"/>
    <w:rsid w:val="002F7EF3"/>
    <w:rsid w:val="00300192"/>
    <w:rsid w:val="00300564"/>
    <w:rsid w:val="0030169A"/>
    <w:rsid w:val="00302091"/>
    <w:rsid w:val="00306123"/>
    <w:rsid w:val="00307CF1"/>
    <w:rsid w:val="0031007D"/>
    <w:rsid w:val="00311B9B"/>
    <w:rsid w:val="003144F4"/>
    <w:rsid w:val="003157D1"/>
    <w:rsid w:val="003167BE"/>
    <w:rsid w:val="00316A48"/>
    <w:rsid w:val="00317222"/>
    <w:rsid w:val="00321312"/>
    <w:rsid w:val="003214B1"/>
    <w:rsid w:val="00321AB9"/>
    <w:rsid w:val="00322799"/>
    <w:rsid w:val="0032321A"/>
    <w:rsid w:val="003241F1"/>
    <w:rsid w:val="0032467A"/>
    <w:rsid w:val="003251A8"/>
    <w:rsid w:val="0032568F"/>
    <w:rsid w:val="0032749E"/>
    <w:rsid w:val="00331B12"/>
    <w:rsid w:val="00332B99"/>
    <w:rsid w:val="003343B3"/>
    <w:rsid w:val="00334CC7"/>
    <w:rsid w:val="0033552B"/>
    <w:rsid w:val="003355B7"/>
    <w:rsid w:val="00336881"/>
    <w:rsid w:val="00336AAB"/>
    <w:rsid w:val="00340B42"/>
    <w:rsid w:val="00341021"/>
    <w:rsid w:val="00341F13"/>
    <w:rsid w:val="003429CA"/>
    <w:rsid w:val="00342D34"/>
    <w:rsid w:val="003431FD"/>
    <w:rsid w:val="00343634"/>
    <w:rsid w:val="00343A1D"/>
    <w:rsid w:val="00343D9C"/>
    <w:rsid w:val="003445EE"/>
    <w:rsid w:val="00344CFC"/>
    <w:rsid w:val="00346CF1"/>
    <w:rsid w:val="003500BA"/>
    <w:rsid w:val="0035121B"/>
    <w:rsid w:val="00351933"/>
    <w:rsid w:val="00352D4E"/>
    <w:rsid w:val="003551F1"/>
    <w:rsid w:val="00355DB8"/>
    <w:rsid w:val="00357F64"/>
    <w:rsid w:val="0036067C"/>
    <w:rsid w:val="003612D6"/>
    <w:rsid w:val="003634F4"/>
    <w:rsid w:val="00363B02"/>
    <w:rsid w:val="003642B6"/>
    <w:rsid w:val="00364E6B"/>
    <w:rsid w:val="00365BD8"/>
    <w:rsid w:val="00370532"/>
    <w:rsid w:val="00371760"/>
    <w:rsid w:val="00372115"/>
    <w:rsid w:val="003738EA"/>
    <w:rsid w:val="00374310"/>
    <w:rsid w:val="00374E90"/>
    <w:rsid w:val="00376869"/>
    <w:rsid w:val="00380598"/>
    <w:rsid w:val="00381B01"/>
    <w:rsid w:val="003829D9"/>
    <w:rsid w:val="003832F9"/>
    <w:rsid w:val="00383B07"/>
    <w:rsid w:val="00383B17"/>
    <w:rsid w:val="00384A92"/>
    <w:rsid w:val="003854F3"/>
    <w:rsid w:val="00386518"/>
    <w:rsid w:val="0038748E"/>
    <w:rsid w:val="00391A61"/>
    <w:rsid w:val="0039316A"/>
    <w:rsid w:val="0039491D"/>
    <w:rsid w:val="00397B1C"/>
    <w:rsid w:val="00397E86"/>
    <w:rsid w:val="003A092F"/>
    <w:rsid w:val="003A1388"/>
    <w:rsid w:val="003A139A"/>
    <w:rsid w:val="003A1D20"/>
    <w:rsid w:val="003A258C"/>
    <w:rsid w:val="003A3172"/>
    <w:rsid w:val="003A40E7"/>
    <w:rsid w:val="003A4472"/>
    <w:rsid w:val="003A5C2B"/>
    <w:rsid w:val="003A78B7"/>
    <w:rsid w:val="003A7F5A"/>
    <w:rsid w:val="003B095A"/>
    <w:rsid w:val="003B1AE7"/>
    <w:rsid w:val="003B2F1D"/>
    <w:rsid w:val="003B30E9"/>
    <w:rsid w:val="003B4547"/>
    <w:rsid w:val="003B4EE5"/>
    <w:rsid w:val="003B5D7B"/>
    <w:rsid w:val="003B5F19"/>
    <w:rsid w:val="003B638F"/>
    <w:rsid w:val="003B67A0"/>
    <w:rsid w:val="003B70F6"/>
    <w:rsid w:val="003B72E5"/>
    <w:rsid w:val="003C0C7E"/>
    <w:rsid w:val="003C0E0B"/>
    <w:rsid w:val="003C1220"/>
    <w:rsid w:val="003C2DA4"/>
    <w:rsid w:val="003C3607"/>
    <w:rsid w:val="003C47B5"/>
    <w:rsid w:val="003C5626"/>
    <w:rsid w:val="003C58B5"/>
    <w:rsid w:val="003C6339"/>
    <w:rsid w:val="003C6B76"/>
    <w:rsid w:val="003C779C"/>
    <w:rsid w:val="003D1F56"/>
    <w:rsid w:val="003D1FCD"/>
    <w:rsid w:val="003D3512"/>
    <w:rsid w:val="003D3B92"/>
    <w:rsid w:val="003D4056"/>
    <w:rsid w:val="003D415D"/>
    <w:rsid w:val="003D46D1"/>
    <w:rsid w:val="003D5A77"/>
    <w:rsid w:val="003E0C29"/>
    <w:rsid w:val="003E4A4E"/>
    <w:rsid w:val="003E4AEB"/>
    <w:rsid w:val="003E58E5"/>
    <w:rsid w:val="003E5EE1"/>
    <w:rsid w:val="003E6A13"/>
    <w:rsid w:val="003E7C9B"/>
    <w:rsid w:val="003E7D25"/>
    <w:rsid w:val="003F0220"/>
    <w:rsid w:val="003F0417"/>
    <w:rsid w:val="003F180D"/>
    <w:rsid w:val="003F404C"/>
    <w:rsid w:val="003F6764"/>
    <w:rsid w:val="0040196C"/>
    <w:rsid w:val="00402653"/>
    <w:rsid w:val="00402F4C"/>
    <w:rsid w:val="00403958"/>
    <w:rsid w:val="004075E0"/>
    <w:rsid w:val="00407C0B"/>
    <w:rsid w:val="004128F3"/>
    <w:rsid w:val="00412960"/>
    <w:rsid w:val="00412A5D"/>
    <w:rsid w:val="00412CA6"/>
    <w:rsid w:val="00413557"/>
    <w:rsid w:val="004137F3"/>
    <w:rsid w:val="00415369"/>
    <w:rsid w:val="00415470"/>
    <w:rsid w:val="00415CFA"/>
    <w:rsid w:val="00415E18"/>
    <w:rsid w:val="00416388"/>
    <w:rsid w:val="00416EA9"/>
    <w:rsid w:val="0041769D"/>
    <w:rsid w:val="00417D4F"/>
    <w:rsid w:val="00421EEA"/>
    <w:rsid w:val="00422027"/>
    <w:rsid w:val="004221B2"/>
    <w:rsid w:val="004223F4"/>
    <w:rsid w:val="0042390E"/>
    <w:rsid w:val="00425B45"/>
    <w:rsid w:val="00425C82"/>
    <w:rsid w:val="00425D4D"/>
    <w:rsid w:val="004300B5"/>
    <w:rsid w:val="00430F93"/>
    <w:rsid w:val="00433AB6"/>
    <w:rsid w:val="004342C9"/>
    <w:rsid w:val="004374D0"/>
    <w:rsid w:val="00440412"/>
    <w:rsid w:val="00442EBF"/>
    <w:rsid w:val="00443935"/>
    <w:rsid w:val="00443D5A"/>
    <w:rsid w:val="004442B3"/>
    <w:rsid w:val="0044498E"/>
    <w:rsid w:val="004460B8"/>
    <w:rsid w:val="00447613"/>
    <w:rsid w:val="00447654"/>
    <w:rsid w:val="00447A6B"/>
    <w:rsid w:val="00447B53"/>
    <w:rsid w:val="00450A1C"/>
    <w:rsid w:val="004513F9"/>
    <w:rsid w:val="00451F87"/>
    <w:rsid w:val="00452DB9"/>
    <w:rsid w:val="00452F36"/>
    <w:rsid w:val="00453130"/>
    <w:rsid w:val="0045394E"/>
    <w:rsid w:val="004543BF"/>
    <w:rsid w:val="00454B5D"/>
    <w:rsid w:val="00455B44"/>
    <w:rsid w:val="00456FA3"/>
    <w:rsid w:val="0045706F"/>
    <w:rsid w:val="0045754E"/>
    <w:rsid w:val="004575C3"/>
    <w:rsid w:val="00457E1E"/>
    <w:rsid w:val="00460E98"/>
    <w:rsid w:val="00461AA0"/>
    <w:rsid w:val="0046225F"/>
    <w:rsid w:val="004622A0"/>
    <w:rsid w:val="004640E1"/>
    <w:rsid w:val="00465462"/>
    <w:rsid w:val="004666B5"/>
    <w:rsid w:val="004669E3"/>
    <w:rsid w:val="00467112"/>
    <w:rsid w:val="00467B60"/>
    <w:rsid w:val="00467ECF"/>
    <w:rsid w:val="0047305B"/>
    <w:rsid w:val="004736BA"/>
    <w:rsid w:val="00475A0F"/>
    <w:rsid w:val="004760DD"/>
    <w:rsid w:val="004771A7"/>
    <w:rsid w:val="00477DF1"/>
    <w:rsid w:val="00480562"/>
    <w:rsid w:val="004805E1"/>
    <w:rsid w:val="0048194E"/>
    <w:rsid w:val="00481D33"/>
    <w:rsid w:val="004830D3"/>
    <w:rsid w:val="00483137"/>
    <w:rsid w:val="004833C3"/>
    <w:rsid w:val="00483BCD"/>
    <w:rsid w:val="00484BA8"/>
    <w:rsid w:val="004851E7"/>
    <w:rsid w:val="00486BD8"/>
    <w:rsid w:val="00486D4E"/>
    <w:rsid w:val="00487F50"/>
    <w:rsid w:val="004905D0"/>
    <w:rsid w:val="0049352F"/>
    <w:rsid w:val="00494A80"/>
    <w:rsid w:val="00496C53"/>
    <w:rsid w:val="004A07AF"/>
    <w:rsid w:val="004A3809"/>
    <w:rsid w:val="004A465C"/>
    <w:rsid w:val="004A5A5E"/>
    <w:rsid w:val="004A5AA9"/>
    <w:rsid w:val="004A64A5"/>
    <w:rsid w:val="004A791C"/>
    <w:rsid w:val="004B10CD"/>
    <w:rsid w:val="004B2765"/>
    <w:rsid w:val="004B672E"/>
    <w:rsid w:val="004B67C9"/>
    <w:rsid w:val="004B6984"/>
    <w:rsid w:val="004B74ED"/>
    <w:rsid w:val="004B7B30"/>
    <w:rsid w:val="004C05F2"/>
    <w:rsid w:val="004C2800"/>
    <w:rsid w:val="004C3306"/>
    <w:rsid w:val="004C407E"/>
    <w:rsid w:val="004C40F4"/>
    <w:rsid w:val="004C506F"/>
    <w:rsid w:val="004C7A15"/>
    <w:rsid w:val="004D11B7"/>
    <w:rsid w:val="004D2778"/>
    <w:rsid w:val="004D4274"/>
    <w:rsid w:val="004D57A0"/>
    <w:rsid w:val="004D5F36"/>
    <w:rsid w:val="004E0791"/>
    <w:rsid w:val="004E0F8E"/>
    <w:rsid w:val="004E1013"/>
    <w:rsid w:val="004E2848"/>
    <w:rsid w:val="004E44CC"/>
    <w:rsid w:val="004E5CA5"/>
    <w:rsid w:val="004E7529"/>
    <w:rsid w:val="004F16A1"/>
    <w:rsid w:val="004F2DDA"/>
    <w:rsid w:val="004F352D"/>
    <w:rsid w:val="004F4CDB"/>
    <w:rsid w:val="004F568A"/>
    <w:rsid w:val="004F581C"/>
    <w:rsid w:val="004F68CE"/>
    <w:rsid w:val="004F718A"/>
    <w:rsid w:val="0050062C"/>
    <w:rsid w:val="0050202C"/>
    <w:rsid w:val="005021E6"/>
    <w:rsid w:val="005034FC"/>
    <w:rsid w:val="00503F67"/>
    <w:rsid w:val="005044B9"/>
    <w:rsid w:val="005055E2"/>
    <w:rsid w:val="00506583"/>
    <w:rsid w:val="00507D74"/>
    <w:rsid w:val="00510644"/>
    <w:rsid w:val="005106D5"/>
    <w:rsid w:val="005112F3"/>
    <w:rsid w:val="0051190D"/>
    <w:rsid w:val="0051562D"/>
    <w:rsid w:val="00517BF1"/>
    <w:rsid w:val="00517FDD"/>
    <w:rsid w:val="00520645"/>
    <w:rsid w:val="00520920"/>
    <w:rsid w:val="00524D6D"/>
    <w:rsid w:val="00524D76"/>
    <w:rsid w:val="00524D8B"/>
    <w:rsid w:val="00524E2D"/>
    <w:rsid w:val="005252C0"/>
    <w:rsid w:val="00525E8C"/>
    <w:rsid w:val="00527F92"/>
    <w:rsid w:val="00530CE7"/>
    <w:rsid w:val="00530D4A"/>
    <w:rsid w:val="00530DC4"/>
    <w:rsid w:val="00530E45"/>
    <w:rsid w:val="005316A8"/>
    <w:rsid w:val="00531FA9"/>
    <w:rsid w:val="0053267E"/>
    <w:rsid w:val="00533B7E"/>
    <w:rsid w:val="00535C65"/>
    <w:rsid w:val="00535ECA"/>
    <w:rsid w:val="0053682D"/>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605F8"/>
    <w:rsid w:val="0056183F"/>
    <w:rsid w:val="005622D1"/>
    <w:rsid w:val="00563224"/>
    <w:rsid w:val="005633AF"/>
    <w:rsid w:val="0056380E"/>
    <w:rsid w:val="00563D67"/>
    <w:rsid w:val="005645A9"/>
    <w:rsid w:val="005650C2"/>
    <w:rsid w:val="00565A8C"/>
    <w:rsid w:val="00567720"/>
    <w:rsid w:val="005723C2"/>
    <w:rsid w:val="00572F0A"/>
    <w:rsid w:val="00573012"/>
    <w:rsid w:val="00573562"/>
    <w:rsid w:val="00574068"/>
    <w:rsid w:val="00575306"/>
    <w:rsid w:val="005773BE"/>
    <w:rsid w:val="00577C90"/>
    <w:rsid w:val="00580954"/>
    <w:rsid w:val="00580F4C"/>
    <w:rsid w:val="005824F8"/>
    <w:rsid w:val="00583A5C"/>
    <w:rsid w:val="005850D6"/>
    <w:rsid w:val="0058511D"/>
    <w:rsid w:val="00586357"/>
    <w:rsid w:val="0058643C"/>
    <w:rsid w:val="00586EDA"/>
    <w:rsid w:val="00586F03"/>
    <w:rsid w:val="00587114"/>
    <w:rsid w:val="005927CD"/>
    <w:rsid w:val="00593176"/>
    <w:rsid w:val="0059343A"/>
    <w:rsid w:val="00593CA2"/>
    <w:rsid w:val="00595B4A"/>
    <w:rsid w:val="005964EC"/>
    <w:rsid w:val="005A0661"/>
    <w:rsid w:val="005A1FDF"/>
    <w:rsid w:val="005A27DD"/>
    <w:rsid w:val="005A28E2"/>
    <w:rsid w:val="005A2B40"/>
    <w:rsid w:val="005A2DB1"/>
    <w:rsid w:val="005A3025"/>
    <w:rsid w:val="005A4192"/>
    <w:rsid w:val="005A4F1F"/>
    <w:rsid w:val="005A5A1C"/>
    <w:rsid w:val="005A5E3B"/>
    <w:rsid w:val="005A65BA"/>
    <w:rsid w:val="005A6732"/>
    <w:rsid w:val="005B1C02"/>
    <w:rsid w:val="005B1F53"/>
    <w:rsid w:val="005B33DC"/>
    <w:rsid w:val="005B4FF7"/>
    <w:rsid w:val="005B5511"/>
    <w:rsid w:val="005B6269"/>
    <w:rsid w:val="005B6A2F"/>
    <w:rsid w:val="005B6E58"/>
    <w:rsid w:val="005C31C8"/>
    <w:rsid w:val="005C4416"/>
    <w:rsid w:val="005C4D85"/>
    <w:rsid w:val="005C68CB"/>
    <w:rsid w:val="005C6CE7"/>
    <w:rsid w:val="005D184D"/>
    <w:rsid w:val="005D1BF1"/>
    <w:rsid w:val="005D2C74"/>
    <w:rsid w:val="005D2CB5"/>
    <w:rsid w:val="005D32D1"/>
    <w:rsid w:val="005D386F"/>
    <w:rsid w:val="005D5929"/>
    <w:rsid w:val="005D6DB1"/>
    <w:rsid w:val="005D72C1"/>
    <w:rsid w:val="005D7663"/>
    <w:rsid w:val="005E31E2"/>
    <w:rsid w:val="005E3DC5"/>
    <w:rsid w:val="005E3E03"/>
    <w:rsid w:val="005E4813"/>
    <w:rsid w:val="005E4FE7"/>
    <w:rsid w:val="005E6E82"/>
    <w:rsid w:val="005F0E56"/>
    <w:rsid w:val="005F1007"/>
    <w:rsid w:val="005F5475"/>
    <w:rsid w:val="005F6167"/>
    <w:rsid w:val="006005D4"/>
    <w:rsid w:val="00600B40"/>
    <w:rsid w:val="0060178F"/>
    <w:rsid w:val="00602576"/>
    <w:rsid w:val="00602663"/>
    <w:rsid w:val="006031DC"/>
    <w:rsid w:val="00604A07"/>
    <w:rsid w:val="0060535C"/>
    <w:rsid w:val="00605D38"/>
    <w:rsid w:val="00607400"/>
    <w:rsid w:val="006120D5"/>
    <w:rsid w:val="00613D71"/>
    <w:rsid w:val="00615523"/>
    <w:rsid w:val="006159BC"/>
    <w:rsid w:val="006167BD"/>
    <w:rsid w:val="006173BB"/>
    <w:rsid w:val="00617D6A"/>
    <w:rsid w:val="006206B9"/>
    <w:rsid w:val="00620BD0"/>
    <w:rsid w:val="00622459"/>
    <w:rsid w:val="00623CBC"/>
    <w:rsid w:val="006243E7"/>
    <w:rsid w:val="00625C51"/>
    <w:rsid w:val="0063027F"/>
    <w:rsid w:val="00630BD8"/>
    <w:rsid w:val="00630D29"/>
    <w:rsid w:val="006313EC"/>
    <w:rsid w:val="00631AFB"/>
    <w:rsid w:val="0063261A"/>
    <w:rsid w:val="0063473B"/>
    <w:rsid w:val="0063507E"/>
    <w:rsid w:val="006359D2"/>
    <w:rsid w:val="006369CC"/>
    <w:rsid w:val="006374EF"/>
    <w:rsid w:val="00641153"/>
    <w:rsid w:val="00643E16"/>
    <w:rsid w:val="00645028"/>
    <w:rsid w:val="00646631"/>
    <w:rsid w:val="00647F26"/>
    <w:rsid w:val="00650587"/>
    <w:rsid w:val="00651642"/>
    <w:rsid w:val="00652372"/>
    <w:rsid w:val="00653480"/>
    <w:rsid w:val="006536D6"/>
    <w:rsid w:val="00654B00"/>
    <w:rsid w:val="0065532F"/>
    <w:rsid w:val="00655752"/>
    <w:rsid w:val="006560FF"/>
    <w:rsid w:val="00656196"/>
    <w:rsid w:val="00656CC4"/>
    <w:rsid w:val="006570FD"/>
    <w:rsid w:val="00657569"/>
    <w:rsid w:val="00657C0D"/>
    <w:rsid w:val="00657C6F"/>
    <w:rsid w:val="00662875"/>
    <w:rsid w:val="00663399"/>
    <w:rsid w:val="0066466F"/>
    <w:rsid w:val="00664915"/>
    <w:rsid w:val="006656A2"/>
    <w:rsid w:val="00665738"/>
    <w:rsid w:val="00666247"/>
    <w:rsid w:val="00667933"/>
    <w:rsid w:val="006679EB"/>
    <w:rsid w:val="006726B9"/>
    <w:rsid w:val="00674F5E"/>
    <w:rsid w:val="006763B3"/>
    <w:rsid w:val="006765C1"/>
    <w:rsid w:val="00681E1D"/>
    <w:rsid w:val="00682F0F"/>
    <w:rsid w:val="00683222"/>
    <w:rsid w:val="006841FA"/>
    <w:rsid w:val="006849DD"/>
    <w:rsid w:val="00685608"/>
    <w:rsid w:val="00685CFC"/>
    <w:rsid w:val="00686774"/>
    <w:rsid w:val="00686A7A"/>
    <w:rsid w:val="00686F46"/>
    <w:rsid w:val="00687755"/>
    <w:rsid w:val="00687B51"/>
    <w:rsid w:val="006900BC"/>
    <w:rsid w:val="006907CD"/>
    <w:rsid w:val="00691002"/>
    <w:rsid w:val="00691BDA"/>
    <w:rsid w:val="0069218D"/>
    <w:rsid w:val="006924FD"/>
    <w:rsid w:val="00692DD7"/>
    <w:rsid w:val="00692DDF"/>
    <w:rsid w:val="0069376A"/>
    <w:rsid w:val="00694936"/>
    <w:rsid w:val="00694F25"/>
    <w:rsid w:val="00695074"/>
    <w:rsid w:val="00695709"/>
    <w:rsid w:val="00696321"/>
    <w:rsid w:val="00697007"/>
    <w:rsid w:val="00697FCE"/>
    <w:rsid w:val="006A077D"/>
    <w:rsid w:val="006A1725"/>
    <w:rsid w:val="006A1DAF"/>
    <w:rsid w:val="006A211F"/>
    <w:rsid w:val="006A2156"/>
    <w:rsid w:val="006A5AD0"/>
    <w:rsid w:val="006A5E4F"/>
    <w:rsid w:val="006A5EAE"/>
    <w:rsid w:val="006A72B3"/>
    <w:rsid w:val="006A7652"/>
    <w:rsid w:val="006A76FE"/>
    <w:rsid w:val="006B1F2E"/>
    <w:rsid w:val="006B34CD"/>
    <w:rsid w:val="006B46DC"/>
    <w:rsid w:val="006B666A"/>
    <w:rsid w:val="006B69D8"/>
    <w:rsid w:val="006B78F3"/>
    <w:rsid w:val="006B7F89"/>
    <w:rsid w:val="006C1199"/>
    <w:rsid w:val="006C1CDA"/>
    <w:rsid w:val="006C1DCC"/>
    <w:rsid w:val="006C3846"/>
    <w:rsid w:val="006C3BF0"/>
    <w:rsid w:val="006C4725"/>
    <w:rsid w:val="006C7DEE"/>
    <w:rsid w:val="006D221B"/>
    <w:rsid w:val="006D3D69"/>
    <w:rsid w:val="006D4845"/>
    <w:rsid w:val="006D5657"/>
    <w:rsid w:val="006D6C4A"/>
    <w:rsid w:val="006D7839"/>
    <w:rsid w:val="006E02B1"/>
    <w:rsid w:val="006E14ED"/>
    <w:rsid w:val="006E157D"/>
    <w:rsid w:val="006E19C5"/>
    <w:rsid w:val="006E3E44"/>
    <w:rsid w:val="006E41DF"/>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4D1"/>
    <w:rsid w:val="007112AF"/>
    <w:rsid w:val="00713691"/>
    <w:rsid w:val="0071564F"/>
    <w:rsid w:val="00720556"/>
    <w:rsid w:val="00721651"/>
    <w:rsid w:val="00721ECC"/>
    <w:rsid w:val="00721FF0"/>
    <w:rsid w:val="00722DD9"/>
    <w:rsid w:val="0072548B"/>
    <w:rsid w:val="00725682"/>
    <w:rsid w:val="007269A4"/>
    <w:rsid w:val="00727F0C"/>
    <w:rsid w:val="00730182"/>
    <w:rsid w:val="00732018"/>
    <w:rsid w:val="007333DB"/>
    <w:rsid w:val="00733E60"/>
    <w:rsid w:val="00734BF0"/>
    <w:rsid w:val="00734E14"/>
    <w:rsid w:val="007358D4"/>
    <w:rsid w:val="00736CC9"/>
    <w:rsid w:val="00737A72"/>
    <w:rsid w:val="00737D3F"/>
    <w:rsid w:val="00740D11"/>
    <w:rsid w:val="007420CC"/>
    <w:rsid w:val="007420E8"/>
    <w:rsid w:val="00742808"/>
    <w:rsid w:val="00743C96"/>
    <w:rsid w:val="00744CE0"/>
    <w:rsid w:val="00745FC7"/>
    <w:rsid w:val="00746653"/>
    <w:rsid w:val="00746699"/>
    <w:rsid w:val="00746BCB"/>
    <w:rsid w:val="00747E14"/>
    <w:rsid w:val="007506CA"/>
    <w:rsid w:val="00753442"/>
    <w:rsid w:val="00754000"/>
    <w:rsid w:val="007553A7"/>
    <w:rsid w:val="0075584E"/>
    <w:rsid w:val="007569C0"/>
    <w:rsid w:val="00756EFF"/>
    <w:rsid w:val="00757282"/>
    <w:rsid w:val="0075758D"/>
    <w:rsid w:val="00757D7F"/>
    <w:rsid w:val="00757E2B"/>
    <w:rsid w:val="00760447"/>
    <w:rsid w:val="00760C76"/>
    <w:rsid w:val="00760FA3"/>
    <w:rsid w:val="00761DD0"/>
    <w:rsid w:val="007623A6"/>
    <w:rsid w:val="00763CB4"/>
    <w:rsid w:val="00765019"/>
    <w:rsid w:val="00770F20"/>
    <w:rsid w:val="00771BDB"/>
    <w:rsid w:val="00772157"/>
    <w:rsid w:val="00773B26"/>
    <w:rsid w:val="00776C9E"/>
    <w:rsid w:val="00780B22"/>
    <w:rsid w:val="0078114B"/>
    <w:rsid w:val="00781799"/>
    <w:rsid w:val="007830DD"/>
    <w:rsid w:val="00784AE6"/>
    <w:rsid w:val="00784CA4"/>
    <w:rsid w:val="00784D51"/>
    <w:rsid w:val="0078521D"/>
    <w:rsid w:val="00785C40"/>
    <w:rsid w:val="00785CC6"/>
    <w:rsid w:val="00786F43"/>
    <w:rsid w:val="00787769"/>
    <w:rsid w:val="0079060C"/>
    <w:rsid w:val="007915F7"/>
    <w:rsid w:val="00792F17"/>
    <w:rsid w:val="00794E0D"/>
    <w:rsid w:val="00795740"/>
    <w:rsid w:val="007957E4"/>
    <w:rsid w:val="00797162"/>
    <w:rsid w:val="007A0742"/>
    <w:rsid w:val="007A2DB4"/>
    <w:rsid w:val="007A31E6"/>
    <w:rsid w:val="007A3201"/>
    <w:rsid w:val="007A4946"/>
    <w:rsid w:val="007A4951"/>
    <w:rsid w:val="007A5EC1"/>
    <w:rsid w:val="007A5F2E"/>
    <w:rsid w:val="007A6334"/>
    <w:rsid w:val="007A69E3"/>
    <w:rsid w:val="007A78B2"/>
    <w:rsid w:val="007A7D92"/>
    <w:rsid w:val="007B1943"/>
    <w:rsid w:val="007B1D8C"/>
    <w:rsid w:val="007B2424"/>
    <w:rsid w:val="007B39B5"/>
    <w:rsid w:val="007B4377"/>
    <w:rsid w:val="007B76CF"/>
    <w:rsid w:val="007C0637"/>
    <w:rsid w:val="007C06DB"/>
    <w:rsid w:val="007C07F2"/>
    <w:rsid w:val="007C3666"/>
    <w:rsid w:val="007C442F"/>
    <w:rsid w:val="007C4873"/>
    <w:rsid w:val="007C52C9"/>
    <w:rsid w:val="007C7289"/>
    <w:rsid w:val="007C7C35"/>
    <w:rsid w:val="007C7D03"/>
    <w:rsid w:val="007C7F1C"/>
    <w:rsid w:val="007D26D0"/>
    <w:rsid w:val="007D2F6E"/>
    <w:rsid w:val="007D3256"/>
    <w:rsid w:val="007D46EA"/>
    <w:rsid w:val="007D502C"/>
    <w:rsid w:val="007D542C"/>
    <w:rsid w:val="007D55F3"/>
    <w:rsid w:val="007D6DE9"/>
    <w:rsid w:val="007D71B9"/>
    <w:rsid w:val="007E01BD"/>
    <w:rsid w:val="007E03DA"/>
    <w:rsid w:val="007E12B5"/>
    <w:rsid w:val="007E21C1"/>
    <w:rsid w:val="007E35AA"/>
    <w:rsid w:val="007E5DC0"/>
    <w:rsid w:val="007E5F35"/>
    <w:rsid w:val="007E6E61"/>
    <w:rsid w:val="007E7CC7"/>
    <w:rsid w:val="007F12B7"/>
    <w:rsid w:val="007F228D"/>
    <w:rsid w:val="007F25A9"/>
    <w:rsid w:val="007F27D7"/>
    <w:rsid w:val="007F33A7"/>
    <w:rsid w:val="007F7311"/>
    <w:rsid w:val="008002E6"/>
    <w:rsid w:val="0080047F"/>
    <w:rsid w:val="00800944"/>
    <w:rsid w:val="00801036"/>
    <w:rsid w:val="00801575"/>
    <w:rsid w:val="00803C35"/>
    <w:rsid w:val="00804F81"/>
    <w:rsid w:val="0080764D"/>
    <w:rsid w:val="008106CA"/>
    <w:rsid w:val="008107B2"/>
    <w:rsid w:val="00810E4C"/>
    <w:rsid w:val="00811D7A"/>
    <w:rsid w:val="008132FD"/>
    <w:rsid w:val="00813D21"/>
    <w:rsid w:val="00813D5B"/>
    <w:rsid w:val="00815D71"/>
    <w:rsid w:val="00816D5E"/>
    <w:rsid w:val="00820836"/>
    <w:rsid w:val="0082164E"/>
    <w:rsid w:val="00821E9A"/>
    <w:rsid w:val="008231BA"/>
    <w:rsid w:val="008236C3"/>
    <w:rsid w:val="00823CAB"/>
    <w:rsid w:val="00824E2B"/>
    <w:rsid w:val="00826779"/>
    <w:rsid w:val="00826980"/>
    <w:rsid w:val="008302D6"/>
    <w:rsid w:val="00830674"/>
    <w:rsid w:val="008306DE"/>
    <w:rsid w:val="00830CE7"/>
    <w:rsid w:val="008313B2"/>
    <w:rsid w:val="008317AE"/>
    <w:rsid w:val="00831D28"/>
    <w:rsid w:val="00831E17"/>
    <w:rsid w:val="008321F6"/>
    <w:rsid w:val="00832B98"/>
    <w:rsid w:val="00833627"/>
    <w:rsid w:val="00834FEF"/>
    <w:rsid w:val="0083592F"/>
    <w:rsid w:val="008361BE"/>
    <w:rsid w:val="00837F0A"/>
    <w:rsid w:val="00840199"/>
    <w:rsid w:val="008401D7"/>
    <w:rsid w:val="008405A7"/>
    <w:rsid w:val="008406C7"/>
    <w:rsid w:val="0084130A"/>
    <w:rsid w:val="00841C1C"/>
    <w:rsid w:val="00842423"/>
    <w:rsid w:val="008477B5"/>
    <w:rsid w:val="0085224F"/>
    <w:rsid w:val="00852A75"/>
    <w:rsid w:val="00853B1B"/>
    <w:rsid w:val="00854240"/>
    <w:rsid w:val="008577D4"/>
    <w:rsid w:val="00860BCB"/>
    <w:rsid w:val="00860DDC"/>
    <w:rsid w:val="00862065"/>
    <w:rsid w:val="00863DB6"/>
    <w:rsid w:val="00863FD0"/>
    <w:rsid w:val="008651BA"/>
    <w:rsid w:val="00865A6D"/>
    <w:rsid w:val="00865FC5"/>
    <w:rsid w:val="00867539"/>
    <w:rsid w:val="00870BB3"/>
    <w:rsid w:val="00870FE9"/>
    <w:rsid w:val="00871B0F"/>
    <w:rsid w:val="008720D8"/>
    <w:rsid w:val="0087367F"/>
    <w:rsid w:val="00873A06"/>
    <w:rsid w:val="00874D70"/>
    <w:rsid w:val="00875555"/>
    <w:rsid w:val="00875F47"/>
    <w:rsid w:val="008805F8"/>
    <w:rsid w:val="008808DB"/>
    <w:rsid w:val="00882331"/>
    <w:rsid w:val="00883E6C"/>
    <w:rsid w:val="00883FAB"/>
    <w:rsid w:val="0088440C"/>
    <w:rsid w:val="00885810"/>
    <w:rsid w:val="008862B5"/>
    <w:rsid w:val="0088631F"/>
    <w:rsid w:val="00886462"/>
    <w:rsid w:val="0088721E"/>
    <w:rsid w:val="0088740B"/>
    <w:rsid w:val="00887544"/>
    <w:rsid w:val="00890490"/>
    <w:rsid w:val="008908F5"/>
    <w:rsid w:val="00890A4C"/>
    <w:rsid w:val="00890DDA"/>
    <w:rsid w:val="00891914"/>
    <w:rsid w:val="00891BF7"/>
    <w:rsid w:val="00892224"/>
    <w:rsid w:val="008937DA"/>
    <w:rsid w:val="008945FD"/>
    <w:rsid w:val="008951AC"/>
    <w:rsid w:val="008961B7"/>
    <w:rsid w:val="0089637A"/>
    <w:rsid w:val="0089677E"/>
    <w:rsid w:val="00896C73"/>
    <w:rsid w:val="008974E7"/>
    <w:rsid w:val="008978CC"/>
    <w:rsid w:val="00897A5B"/>
    <w:rsid w:val="008A027A"/>
    <w:rsid w:val="008A1032"/>
    <w:rsid w:val="008A1053"/>
    <w:rsid w:val="008A2418"/>
    <w:rsid w:val="008A377A"/>
    <w:rsid w:val="008A51A7"/>
    <w:rsid w:val="008A6931"/>
    <w:rsid w:val="008B01CC"/>
    <w:rsid w:val="008B1D55"/>
    <w:rsid w:val="008B5987"/>
    <w:rsid w:val="008B67D7"/>
    <w:rsid w:val="008B6FE5"/>
    <w:rsid w:val="008B76D2"/>
    <w:rsid w:val="008B776F"/>
    <w:rsid w:val="008C04EC"/>
    <w:rsid w:val="008C097F"/>
    <w:rsid w:val="008C2312"/>
    <w:rsid w:val="008C2A3C"/>
    <w:rsid w:val="008C2E65"/>
    <w:rsid w:val="008C34BC"/>
    <w:rsid w:val="008C37C8"/>
    <w:rsid w:val="008C392B"/>
    <w:rsid w:val="008C4474"/>
    <w:rsid w:val="008C4EB9"/>
    <w:rsid w:val="008C6DF1"/>
    <w:rsid w:val="008C7CE4"/>
    <w:rsid w:val="008D0652"/>
    <w:rsid w:val="008D0BF5"/>
    <w:rsid w:val="008D114B"/>
    <w:rsid w:val="008D5E04"/>
    <w:rsid w:val="008D7DDB"/>
    <w:rsid w:val="008E08F8"/>
    <w:rsid w:val="008E1F19"/>
    <w:rsid w:val="008F11E2"/>
    <w:rsid w:val="008F2097"/>
    <w:rsid w:val="008F3660"/>
    <w:rsid w:val="008F3F09"/>
    <w:rsid w:val="008F60F9"/>
    <w:rsid w:val="008F7B87"/>
    <w:rsid w:val="00901CCF"/>
    <w:rsid w:val="00902C55"/>
    <w:rsid w:val="00902F97"/>
    <w:rsid w:val="00905802"/>
    <w:rsid w:val="00906098"/>
    <w:rsid w:val="0090707A"/>
    <w:rsid w:val="00907206"/>
    <w:rsid w:val="0090744F"/>
    <w:rsid w:val="00907611"/>
    <w:rsid w:val="00907D5A"/>
    <w:rsid w:val="00911C69"/>
    <w:rsid w:val="00912470"/>
    <w:rsid w:val="009129DD"/>
    <w:rsid w:val="00912DEC"/>
    <w:rsid w:val="0091364C"/>
    <w:rsid w:val="00914178"/>
    <w:rsid w:val="009149A9"/>
    <w:rsid w:val="00914C10"/>
    <w:rsid w:val="00914CB6"/>
    <w:rsid w:val="00915C2B"/>
    <w:rsid w:val="00915D80"/>
    <w:rsid w:val="00916308"/>
    <w:rsid w:val="00917556"/>
    <w:rsid w:val="009175E5"/>
    <w:rsid w:val="009205BD"/>
    <w:rsid w:val="009209E2"/>
    <w:rsid w:val="00920AD0"/>
    <w:rsid w:val="00920B88"/>
    <w:rsid w:val="00923923"/>
    <w:rsid w:val="009258F6"/>
    <w:rsid w:val="0092595A"/>
    <w:rsid w:val="00926BBA"/>
    <w:rsid w:val="00927F3E"/>
    <w:rsid w:val="00930562"/>
    <w:rsid w:val="0093084B"/>
    <w:rsid w:val="00930A46"/>
    <w:rsid w:val="00930D8F"/>
    <w:rsid w:val="0093157A"/>
    <w:rsid w:val="009322A7"/>
    <w:rsid w:val="009322EF"/>
    <w:rsid w:val="00933FEE"/>
    <w:rsid w:val="00934A69"/>
    <w:rsid w:val="00936722"/>
    <w:rsid w:val="009376A3"/>
    <w:rsid w:val="00937836"/>
    <w:rsid w:val="00937CD1"/>
    <w:rsid w:val="009405F0"/>
    <w:rsid w:val="009410CF"/>
    <w:rsid w:val="0094210A"/>
    <w:rsid w:val="00942356"/>
    <w:rsid w:val="00943F19"/>
    <w:rsid w:val="00945087"/>
    <w:rsid w:val="009451C2"/>
    <w:rsid w:val="0094536D"/>
    <w:rsid w:val="00946F8D"/>
    <w:rsid w:val="00947449"/>
    <w:rsid w:val="0095018E"/>
    <w:rsid w:val="00950C28"/>
    <w:rsid w:val="00951409"/>
    <w:rsid w:val="0095143A"/>
    <w:rsid w:val="0095144D"/>
    <w:rsid w:val="00952605"/>
    <w:rsid w:val="009528ED"/>
    <w:rsid w:val="009548FE"/>
    <w:rsid w:val="00954B36"/>
    <w:rsid w:val="009558BD"/>
    <w:rsid w:val="009601E0"/>
    <w:rsid w:val="00964509"/>
    <w:rsid w:val="00965A62"/>
    <w:rsid w:val="00965A8D"/>
    <w:rsid w:val="00966C54"/>
    <w:rsid w:val="0096730B"/>
    <w:rsid w:val="009678FD"/>
    <w:rsid w:val="00967D7F"/>
    <w:rsid w:val="0097267E"/>
    <w:rsid w:val="00972CB3"/>
    <w:rsid w:val="00975828"/>
    <w:rsid w:val="00975DA4"/>
    <w:rsid w:val="0097649D"/>
    <w:rsid w:val="00976EC3"/>
    <w:rsid w:val="00977588"/>
    <w:rsid w:val="00977987"/>
    <w:rsid w:val="0098287F"/>
    <w:rsid w:val="00982A30"/>
    <w:rsid w:val="00984601"/>
    <w:rsid w:val="00984F86"/>
    <w:rsid w:val="009853EE"/>
    <w:rsid w:val="00986463"/>
    <w:rsid w:val="009867FF"/>
    <w:rsid w:val="009902DA"/>
    <w:rsid w:val="00990627"/>
    <w:rsid w:val="00990A28"/>
    <w:rsid w:val="00990D29"/>
    <w:rsid w:val="009916C7"/>
    <w:rsid w:val="00991817"/>
    <w:rsid w:val="00991914"/>
    <w:rsid w:val="00992276"/>
    <w:rsid w:val="009922CD"/>
    <w:rsid w:val="009944E0"/>
    <w:rsid w:val="009965A7"/>
    <w:rsid w:val="009A0A5F"/>
    <w:rsid w:val="009A14E1"/>
    <w:rsid w:val="009A1567"/>
    <w:rsid w:val="009A174B"/>
    <w:rsid w:val="009A32F5"/>
    <w:rsid w:val="009A4397"/>
    <w:rsid w:val="009A4B80"/>
    <w:rsid w:val="009A5462"/>
    <w:rsid w:val="009A58EC"/>
    <w:rsid w:val="009A5BBB"/>
    <w:rsid w:val="009A6C21"/>
    <w:rsid w:val="009A70F0"/>
    <w:rsid w:val="009A7DF7"/>
    <w:rsid w:val="009B0310"/>
    <w:rsid w:val="009B09C6"/>
    <w:rsid w:val="009B13D3"/>
    <w:rsid w:val="009B1ACA"/>
    <w:rsid w:val="009B3566"/>
    <w:rsid w:val="009B4A2A"/>
    <w:rsid w:val="009B5780"/>
    <w:rsid w:val="009B7883"/>
    <w:rsid w:val="009B7A93"/>
    <w:rsid w:val="009C08A0"/>
    <w:rsid w:val="009C0A02"/>
    <w:rsid w:val="009C11F4"/>
    <w:rsid w:val="009C2FC2"/>
    <w:rsid w:val="009C3782"/>
    <w:rsid w:val="009C3BD8"/>
    <w:rsid w:val="009C4B02"/>
    <w:rsid w:val="009C4DA5"/>
    <w:rsid w:val="009D0B61"/>
    <w:rsid w:val="009D1313"/>
    <w:rsid w:val="009D182C"/>
    <w:rsid w:val="009D1898"/>
    <w:rsid w:val="009D21C8"/>
    <w:rsid w:val="009D2960"/>
    <w:rsid w:val="009D4ED5"/>
    <w:rsid w:val="009D5869"/>
    <w:rsid w:val="009D6BC0"/>
    <w:rsid w:val="009D6D9F"/>
    <w:rsid w:val="009D7CE9"/>
    <w:rsid w:val="009E031E"/>
    <w:rsid w:val="009E1DFA"/>
    <w:rsid w:val="009E40DD"/>
    <w:rsid w:val="009E56B5"/>
    <w:rsid w:val="009E585B"/>
    <w:rsid w:val="009E6BFC"/>
    <w:rsid w:val="009E74C5"/>
    <w:rsid w:val="009E7522"/>
    <w:rsid w:val="009E776F"/>
    <w:rsid w:val="009F0482"/>
    <w:rsid w:val="009F0C2E"/>
    <w:rsid w:val="009F0DB1"/>
    <w:rsid w:val="009F2104"/>
    <w:rsid w:val="009F2584"/>
    <w:rsid w:val="009F2800"/>
    <w:rsid w:val="009F29AD"/>
    <w:rsid w:val="009F31A1"/>
    <w:rsid w:val="009F32DB"/>
    <w:rsid w:val="009F378B"/>
    <w:rsid w:val="009F6808"/>
    <w:rsid w:val="009F703D"/>
    <w:rsid w:val="00A00717"/>
    <w:rsid w:val="00A00951"/>
    <w:rsid w:val="00A012FF"/>
    <w:rsid w:val="00A016C0"/>
    <w:rsid w:val="00A034E8"/>
    <w:rsid w:val="00A03655"/>
    <w:rsid w:val="00A03BF8"/>
    <w:rsid w:val="00A056EE"/>
    <w:rsid w:val="00A066EA"/>
    <w:rsid w:val="00A06CEB"/>
    <w:rsid w:val="00A1300D"/>
    <w:rsid w:val="00A145FC"/>
    <w:rsid w:val="00A163D1"/>
    <w:rsid w:val="00A17418"/>
    <w:rsid w:val="00A209E3"/>
    <w:rsid w:val="00A21B6A"/>
    <w:rsid w:val="00A22797"/>
    <w:rsid w:val="00A2594E"/>
    <w:rsid w:val="00A2673F"/>
    <w:rsid w:val="00A30F8F"/>
    <w:rsid w:val="00A32C0E"/>
    <w:rsid w:val="00A32EFD"/>
    <w:rsid w:val="00A3358B"/>
    <w:rsid w:val="00A35F40"/>
    <w:rsid w:val="00A36004"/>
    <w:rsid w:val="00A375CC"/>
    <w:rsid w:val="00A40524"/>
    <w:rsid w:val="00A409A4"/>
    <w:rsid w:val="00A4131F"/>
    <w:rsid w:val="00A45004"/>
    <w:rsid w:val="00A46853"/>
    <w:rsid w:val="00A46EF7"/>
    <w:rsid w:val="00A47342"/>
    <w:rsid w:val="00A5278B"/>
    <w:rsid w:val="00A529C0"/>
    <w:rsid w:val="00A52E90"/>
    <w:rsid w:val="00A53896"/>
    <w:rsid w:val="00A53900"/>
    <w:rsid w:val="00A5500C"/>
    <w:rsid w:val="00A5518E"/>
    <w:rsid w:val="00A55D15"/>
    <w:rsid w:val="00A56C27"/>
    <w:rsid w:val="00A56DA2"/>
    <w:rsid w:val="00A60D25"/>
    <w:rsid w:val="00A63E4E"/>
    <w:rsid w:val="00A64632"/>
    <w:rsid w:val="00A6575E"/>
    <w:rsid w:val="00A65E12"/>
    <w:rsid w:val="00A66021"/>
    <w:rsid w:val="00A66A79"/>
    <w:rsid w:val="00A66FC6"/>
    <w:rsid w:val="00A67467"/>
    <w:rsid w:val="00A7088F"/>
    <w:rsid w:val="00A7196F"/>
    <w:rsid w:val="00A71D48"/>
    <w:rsid w:val="00A72CDF"/>
    <w:rsid w:val="00A73361"/>
    <w:rsid w:val="00A74B2E"/>
    <w:rsid w:val="00A758F4"/>
    <w:rsid w:val="00A76A82"/>
    <w:rsid w:val="00A77BB3"/>
    <w:rsid w:val="00A81F6C"/>
    <w:rsid w:val="00A9411B"/>
    <w:rsid w:val="00A943CA"/>
    <w:rsid w:val="00A94A12"/>
    <w:rsid w:val="00A95ABA"/>
    <w:rsid w:val="00A9668B"/>
    <w:rsid w:val="00AA0E28"/>
    <w:rsid w:val="00AA118E"/>
    <w:rsid w:val="00AA1FDC"/>
    <w:rsid w:val="00AA347C"/>
    <w:rsid w:val="00AA51FF"/>
    <w:rsid w:val="00AA63E7"/>
    <w:rsid w:val="00AA66A4"/>
    <w:rsid w:val="00AA6CAA"/>
    <w:rsid w:val="00AA7061"/>
    <w:rsid w:val="00AB0A4C"/>
    <w:rsid w:val="00AB1709"/>
    <w:rsid w:val="00AB1AA8"/>
    <w:rsid w:val="00AB3041"/>
    <w:rsid w:val="00AB3BDD"/>
    <w:rsid w:val="00AB3D2E"/>
    <w:rsid w:val="00AB4415"/>
    <w:rsid w:val="00AB46FD"/>
    <w:rsid w:val="00AB4C90"/>
    <w:rsid w:val="00AB54F9"/>
    <w:rsid w:val="00AB694F"/>
    <w:rsid w:val="00AB6C79"/>
    <w:rsid w:val="00AB7905"/>
    <w:rsid w:val="00AB7B74"/>
    <w:rsid w:val="00AC0346"/>
    <w:rsid w:val="00AC050A"/>
    <w:rsid w:val="00AC078F"/>
    <w:rsid w:val="00AC1068"/>
    <w:rsid w:val="00AC1D75"/>
    <w:rsid w:val="00AC298F"/>
    <w:rsid w:val="00AC2E7C"/>
    <w:rsid w:val="00AC3ADB"/>
    <w:rsid w:val="00AC4054"/>
    <w:rsid w:val="00AC6612"/>
    <w:rsid w:val="00AC777E"/>
    <w:rsid w:val="00AC7ADC"/>
    <w:rsid w:val="00AD067A"/>
    <w:rsid w:val="00AD0EAF"/>
    <w:rsid w:val="00AD1007"/>
    <w:rsid w:val="00AD5870"/>
    <w:rsid w:val="00AD5C4D"/>
    <w:rsid w:val="00AD5E53"/>
    <w:rsid w:val="00AD6DC2"/>
    <w:rsid w:val="00AD7175"/>
    <w:rsid w:val="00AD7394"/>
    <w:rsid w:val="00AE02C3"/>
    <w:rsid w:val="00AE09B8"/>
    <w:rsid w:val="00AE35E2"/>
    <w:rsid w:val="00AE407C"/>
    <w:rsid w:val="00AE40AD"/>
    <w:rsid w:val="00AE4B00"/>
    <w:rsid w:val="00AE5259"/>
    <w:rsid w:val="00AE5A90"/>
    <w:rsid w:val="00AE5BDE"/>
    <w:rsid w:val="00AE61A5"/>
    <w:rsid w:val="00AE6B15"/>
    <w:rsid w:val="00AE7150"/>
    <w:rsid w:val="00AF0B6C"/>
    <w:rsid w:val="00AF1245"/>
    <w:rsid w:val="00AF153D"/>
    <w:rsid w:val="00AF15AB"/>
    <w:rsid w:val="00AF2763"/>
    <w:rsid w:val="00AF5E03"/>
    <w:rsid w:val="00AF7161"/>
    <w:rsid w:val="00B000FF"/>
    <w:rsid w:val="00B02A63"/>
    <w:rsid w:val="00B0328B"/>
    <w:rsid w:val="00B03A54"/>
    <w:rsid w:val="00B03E26"/>
    <w:rsid w:val="00B049B6"/>
    <w:rsid w:val="00B04CE3"/>
    <w:rsid w:val="00B0583F"/>
    <w:rsid w:val="00B0669C"/>
    <w:rsid w:val="00B06B06"/>
    <w:rsid w:val="00B07121"/>
    <w:rsid w:val="00B0728F"/>
    <w:rsid w:val="00B101F6"/>
    <w:rsid w:val="00B11C68"/>
    <w:rsid w:val="00B11E69"/>
    <w:rsid w:val="00B12C19"/>
    <w:rsid w:val="00B12E1D"/>
    <w:rsid w:val="00B133A1"/>
    <w:rsid w:val="00B15AE4"/>
    <w:rsid w:val="00B165E3"/>
    <w:rsid w:val="00B17419"/>
    <w:rsid w:val="00B222C9"/>
    <w:rsid w:val="00B24207"/>
    <w:rsid w:val="00B2447C"/>
    <w:rsid w:val="00B24A9B"/>
    <w:rsid w:val="00B259D1"/>
    <w:rsid w:val="00B308A3"/>
    <w:rsid w:val="00B31078"/>
    <w:rsid w:val="00B3268E"/>
    <w:rsid w:val="00B33815"/>
    <w:rsid w:val="00B33D16"/>
    <w:rsid w:val="00B341C1"/>
    <w:rsid w:val="00B347DC"/>
    <w:rsid w:val="00B34D57"/>
    <w:rsid w:val="00B35E7F"/>
    <w:rsid w:val="00B36160"/>
    <w:rsid w:val="00B36561"/>
    <w:rsid w:val="00B400EA"/>
    <w:rsid w:val="00B40306"/>
    <w:rsid w:val="00B41904"/>
    <w:rsid w:val="00B423C8"/>
    <w:rsid w:val="00B448A6"/>
    <w:rsid w:val="00B45C01"/>
    <w:rsid w:val="00B46129"/>
    <w:rsid w:val="00B46ADD"/>
    <w:rsid w:val="00B50649"/>
    <w:rsid w:val="00B50F48"/>
    <w:rsid w:val="00B52694"/>
    <w:rsid w:val="00B52B03"/>
    <w:rsid w:val="00B535E8"/>
    <w:rsid w:val="00B57631"/>
    <w:rsid w:val="00B630CF"/>
    <w:rsid w:val="00B6328F"/>
    <w:rsid w:val="00B63F49"/>
    <w:rsid w:val="00B65358"/>
    <w:rsid w:val="00B65ACE"/>
    <w:rsid w:val="00B65C97"/>
    <w:rsid w:val="00B65EC2"/>
    <w:rsid w:val="00B6616F"/>
    <w:rsid w:val="00B66FE1"/>
    <w:rsid w:val="00B7007B"/>
    <w:rsid w:val="00B7023D"/>
    <w:rsid w:val="00B708B1"/>
    <w:rsid w:val="00B7110D"/>
    <w:rsid w:val="00B711FB"/>
    <w:rsid w:val="00B72BAD"/>
    <w:rsid w:val="00B72E24"/>
    <w:rsid w:val="00B73982"/>
    <w:rsid w:val="00B73ECE"/>
    <w:rsid w:val="00B74DFB"/>
    <w:rsid w:val="00B75D74"/>
    <w:rsid w:val="00B76AB6"/>
    <w:rsid w:val="00B77029"/>
    <w:rsid w:val="00B77183"/>
    <w:rsid w:val="00B77A25"/>
    <w:rsid w:val="00B8137F"/>
    <w:rsid w:val="00B815A9"/>
    <w:rsid w:val="00B817E0"/>
    <w:rsid w:val="00B818C8"/>
    <w:rsid w:val="00B82738"/>
    <w:rsid w:val="00B83416"/>
    <w:rsid w:val="00B843CD"/>
    <w:rsid w:val="00B84AE8"/>
    <w:rsid w:val="00B86B09"/>
    <w:rsid w:val="00B86B3C"/>
    <w:rsid w:val="00B86B7A"/>
    <w:rsid w:val="00B87418"/>
    <w:rsid w:val="00B876EF"/>
    <w:rsid w:val="00B90BF3"/>
    <w:rsid w:val="00B91B6B"/>
    <w:rsid w:val="00B91D19"/>
    <w:rsid w:val="00B92014"/>
    <w:rsid w:val="00B94616"/>
    <w:rsid w:val="00B951EF"/>
    <w:rsid w:val="00B96979"/>
    <w:rsid w:val="00B97946"/>
    <w:rsid w:val="00BA0E76"/>
    <w:rsid w:val="00BA125F"/>
    <w:rsid w:val="00BA19EC"/>
    <w:rsid w:val="00BA1E39"/>
    <w:rsid w:val="00BA2225"/>
    <w:rsid w:val="00BA30A1"/>
    <w:rsid w:val="00BA39C4"/>
    <w:rsid w:val="00BA3BB4"/>
    <w:rsid w:val="00BA474B"/>
    <w:rsid w:val="00BA510E"/>
    <w:rsid w:val="00BB3926"/>
    <w:rsid w:val="00BB3AEE"/>
    <w:rsid w:val="00BB6334"/>
    <w:rsid w:val="00BC2097"/>
    <w:rsid w:val="00BC2AA4"/>
    <w:rsid w:val="00BC375A"/>
    <w:rsid w:val="00BC55A1"/>
    <w:rsid w:val="00BC618A"/>
    <w:rsid w:val="00BD25BF"/>
    <w:rsid w:val="00BD32FA"/>
    <w:rsid w:val="00BD5667"/>
    <w:rsid w:val="00BD6D7C"/>
    <w:rsid w:val="00BE0054"/>
    <w:rsid w:val="00BE0F2C"/>
    <w:rsid w:val="00BE0F82"/>
    <w:rsid w:val="00BE11C4"/>
    <w:rsid w:val="00BE1CB8"/>
    <w:rsid w:val="00BE1DE5"/>
    <w:rsid w:val="00BE2343"/>
    <w:rsid w:val="00BE309E"/>
    <w:rsid w:val="00BE3476"/>
    <w:rsid w:val="00BE3942"/>
    <w:rsid w:val="00BE41DE"/>
    <w:rsid w:val="00BE51FD"/>
    <w:rsid w:val="00BE5796"/>
    <w:rsid w:val="00BE5D49"/>
    <w:rsid w:val="00BE696D"/>
    <w:rsid w:val="00BE79B4"/>
    <w:rsid w:val="00BF0778"/>
    <w:rsid w:val="00BF0C8B"/>
    <w:rsid w:val="00BF13A5"/>
    <w:rsid w:val="00BF1DA5"/>
    <w:rsid w:val="00BF243B"/>
    <w:rsid w:val="00BF2441"/>
    <w:rsid w:val="00BF2689"/>
    <w:rsid w:val="00BF283C"/>
    <w:rsid w:val="00BF2914"/>
    <w:rsid w:val="00BF3213"/>
    <w:rsid w:val="00BF3F63"/>
    <w:rsid w:val="00BF44BF"/>
    <w:rsid w:val="00BF5896"/>
    <w:rsid w:val="00BF760E"/>
    <w:rsid w:val="00C00872"/>
    <w:rsid w:val="00C00952"/>
    <w:rsid w:val="00C01ECC"/>
    <w:rsid w:val="00C02243"/>
    <w:rsid w:val="00C0489E"/>
    <w:rsid w:val="00C04C66"/>
    <w:rsid w:val="00C04E48"/>
    <w:rsid w:val="00C05EBE"/>
    <w:rsid w:val="00C06F93"/>
    <w:rsid w:val="00C07061"/>
    <w:rsid w:val="00C0725D"/>
    <w:rsid w:val="00C10437"/>
    <w:rsid w:val="00C107BE"/>
    <w:rsid w:val="00C10B14"/>
    <w:rsid w:val="00C116D2"/>
    <w:rsid w:val="00C11A77"/>
    <w:rsid w:val="00C126FA"/>
    <w:rsid w:val="00C12952"/>
    <w:rsid w:val="00C13CD4"/>
    <w:rsid w:val="00C14230"/>
    <w:rsid w:val="00C1633A"/>
    <w:rsid w:val="00C167AC"/>
    <w:rsid w:val="00C220E7"/>
    <w:rsid w:val="00C22229"/>
    <w:rsid w:val="00C22776"/>
    <w:rsid w:val="00C2476B"/>
    <w:rsid w:val="00C250DA"/>
    <w:rsid w:val="00C25E5D"/>
    <w:rsid w:val="00C27E4C"/>
    <w:rsid w:val="00C3000A"/>
    <w:rsid w:val="00C30101"/>
    <w:rsid w:val="00C32997"/>
    <w:rsid w:val="00C3386A"/>
    <w:rsid w:val="00C351D0"/>
    <w:rsid w:val="00C35333"/>
    <w:rsid w:val="00C35FD0"/>
    <w:rsid w:val="00C374B1"/>
    <w:rsid w:val="00C40CEC"/>
    <w:rsid w:val="00C424C7"/>
    <w:rsid w:val="00C42C0F"/>
    <w:rsid w:val="00C43038"/>
    <w:rsid w:val="00C430E3"/>
    <w:rsid w:val="00C43613"/>
    <w:rsid w:val="00C45F57"/>
    <w:rsid w:val="00C46500"/>
    <w:rsid w:val="00C46530"/>
    <w:rsid w:val="00C50250"/>
    <w:rsid w:val="00C505A4"/>
    <w:rsid w:val="00C50F3C"/>
    <w:rsid w:val="00C51EDF"/>
    <w:rsid w:val="00C5250C"/>
    <w:rsid w:val="00C559EA"/>
    <w:rsid w:val="00C55A7D"/>
    <w:rsid w:val="00C56917"/>
    <w:rsid w:val="00C56936"/>
    <w:rsid w:val="00C62CB0"/>
    <w:rsid w:val="00C63ECE"/>
    <w:rsid w:val="00C64F66"/>
    <w:rsid w:val="00C671F1"/>
    <w:rsid w:val="00C700AE"/>
    <w:rsid w:val="00C71E07"/>
    <w:rsid w:val="00C72DC4"/>
    <w:rsid w:val="00C72E1E"/>
    <w:rsid w:val="00C74B7D"/>
    <w:rsid w:val="00C75296"/>
    <w:rsid w:val="00C75E32"/>
    <w:rsid w:val="00C764DA"/>
    <w:rsid w:val="00C767EA"/>
    <w:rsid w:val="00C8145D"/>
    <w:rsid w:val="00C81DFC"/>
    <w:rsid w:val="00C854EB"/>
    <w:rsid w:val="00C8592B"/>
    <w:rsid w:val="00C85EA8"/>
    <w:rsid w:val="00C867EC"/>
    <w:rsid w:val="00C86BD4"/>
    <w:rsid w:val="00C94DF9"/>
    <w:rsid w:val="00C96E35"/>
    <w:rsid w:val="00CA19A4"/>
    <w:rsid w:val="00CA279F"/>
    <w:rsid w:val="00CA3DA2"/>
    <w:rsid w:val="00CA652B"/>
    <w:rsid w:val="00CA6FFD"/>
    <w:rsid w:val="00CA7199"/>
    <w:rsid w:val="00CB001B"/>
    <w:rsid w:val="00CB2BAE"/>
    <w:rsid w:val="00CB303B"/>
    <w:rsid w:val="00CB481B"/>
    <w:rsid w:val="00CB6EAC"/>
    <w:rsid w:val="00CB6F73"/>
    <w:rsid w:val="00CB732D"/>
    <w:rsid w:val="00CB7F74"/>
    <w:rsid w:val="00CC14C1"/>
    <w:rsid w:val="00CC157B"/>
    <w:rsid w:val="00CC172B"/>
    <w:rsid w:val="00CC206B"/>
    <w:rsid w:val="00CC25EB"/>
    <w:rsid w:val="00CC2675"/>
    <w:rsid w:val="00CC3232"/>
    <w:rsid w:val="00CC3309"/>
    <w:rsid w:val="00CC4269"/>
    <w:rsid w:val="00CC4E5C"/>
    <w:rsid w:val="00CC5A84"/>
    <w:rsid w:val="00CC5EE7"/>
    <w:rsid w:val="00CC70DC"/>
    <w:rsid w:val="00CC7CE2"/>
    <w:rsid w:val="00CD1819"/>
    <w:rsid w:val="00CD2896"/>
    <w:rsid w:val="00CD2CCE"/>
    <w:rsid w:val="00CD40C4"/>
    <w:rsid w:val="00CD44D2"/>
    <w:rsid w:val="00CD57D3"/>
    <w:rsid w:val="00CD6149"/>
    <w:rsid w:val="00CD69B2"/>
    <w:rsid w:val="00CD6FD1"/>
    <w:rsid w:val="00CD7D98"/>
    <w:rsid w:val="00CE06EC"/>
    <w:rsid w:val="00CE19AF"/>
    <w:rsid w:val="00CE1D8D"/>
    <w:rsid w:val="00CE2F28"/>
    <w:rsid w:val="00CE3598"/>
    <w:rsid w:val="00CE4A50"/>
    <w:rsid w:val="00CE64BC"/>
    <w:rsid w:val="00CE6A45"/>
    <w:rsid w:val="00CF1C30"/>
    <w:rsid w:val="00CF230E"/>
    <w:rsid w:val="00CF23E3"/>
    <w:rsid w:val="00CF328E"/>
    <w:rsid w:val="00CF380C"/>
    <w:rsid w:val="00CF3CDC"/>
    <w:rsid w:val="00CF6310"/>
    <w:rsid w:val="00CF6CE9"/>
    <w:rsid w:val="00CF7CD6"/>
    <w:rsid w:val="00D00C66"/>
    <w:rsid w:val="00D01253"/>
    <w:rsid w:val="00D01398"/>
    <w:rsid w:val="00D03688"/>
    <w:rsid w:val="00D056BF"/>
    <w:rsid w:val="00D06DA1"/>
    <w:rsid w:val="00D101B1"/>
    <w:rsid w:val="00D102B9"/>
    <w:rsid w:val="00D13C5D"/>
    <w:rsid w:val="00D14E9B"/>
    <w:rsid w:val="00D14F79"/>
    <w:rsid w:val="00D1584D"/>
    <w:rsid w:val="00D15B80"/>
    <w:rsid w:val="00D16651"/>
    <w:rsid w:val="00D17BA5"/>
    <w:rsid w:val="00D20263"/>
    <w:rsid w:val="00D21F09"/>
    <w:rsid w:val="00D238E8"/>
    <w:rsid w:val="00D24A23"/>
    <w:rsid w:val="00D25CA2"/>
    <w:rsid w:val="00D2737B"/>
    <w:rsid w:val="00D27A78"/>
    <w:rsid w:val="00D31467"/>
    <w:rsid w:val="00D3579F"/>
    <w:rsid w:val="00D363F6"/>
    <w:rsid w:val="00D36DD6"/>
    <w:rsid w:val="00D37B8E"/>
    <w:rsid w:val="00D400B5"/>
    <w:rsid w:val="00D4118C"/>
    <w:rsid w:val="00D41FA1"/>
    <w:rsid w:val="00D42C43"/>
    <w:rsid w:val="00D43C91"/>
    <w:rsid w:val="00D44FF9"/>
    <w:rsid w:val="00D45775"/>
    <w:rsid w:val="00D46228"/>
    <w:rsid w:val="00D4654C"/>
    <w:rsid w:val="00D46AC3"/>
    <w:rsid w:val="00D46CB0"/>
    <w:rsid w:val="00D46DF1"/>
    <w:rsid w:val="00D51C9A"/>
    <w:rsid w:val="00D523C0"/>
    <w:rsid w:val="00D541DC"/>
    <w:rsid w:val="00D5651F"/>
    <w:rsid w:val="00D56733"/>
    <w:rsid w:val="00D56AFD"/>
    <w:rsid w:val="00D6227C"/>
    <w:rsid w:val="00D62402"/>
    <w:rsid w:val="00D63C60"/>
    <w:rsid w:val="00D63FF1"/>
    <w:rsid w:val="00D64231"/>
    <w:rsid w:val="00D64683"/>
    <w:rsid w:val="00D651DD"/>
    <w:rsid w:val="00D66ACF"/>
    <w:rsid w:val="00D70984"/>
    <w:rsid w:val="00D70BC5"/>
    <w:rsid w:val="00D71800"/>
    <w:rsid w:val="00D74FDA"/>
    <w:rsid w:val="00D7649C"/>
    <w:rsid w:val="00D76E2F"/>
    <w:rsid w:val="00D8098C"/>
    <w:rsid w:val="00D82AD9"/>
    <w:rsid w:val="00D82FAB"/>
    <w:rsid w:val="00D83165"/>
    <w:rsid w:val="00D8376F"/>
    <w:rsid w:val="00D87E6F"/>
    <w:rsid w:val="00D9279B"/>
    <w:rsid w:val="00D92A8A"/>
    <w:rsid w:val="00D9387B"/>
    <w:rsid w:val="00D94630"/>
    <w:rsid w:val="00D94BD4"/>
    <w:rsid w:val="00D94E6E"/>
    <w:rsid w:val="00D96227"/>
    <w:rsid w:val="00D9633C"/>
    <w:rsid w:val="00D96679"/>
    <w:rsid w:val="00D969C1"/>
    <w:rsid w:val="00D97347"/>
    <w:rsid w:val="00D97BD6"/>
    <w:rsid w:val="00DA0FFE"/>
    <w:rsid w:val="00DA19BC"/>
    <w:rsid w:val="00DA4AE2"/>
    <w:rsid w:val="00DA5380"/>
    <w:rsid w:val="00DA5895"/>
    <w:rsid w:val="00DA6ACF"/>
    <w:rsid w:val="00DA79F6"/>
    <w:rsid w:val="00DB0BA9"/>
    <w:rsid w:val="00DB11F4"/>
    <w:rsid w:val="00DB2FF3"/>
    <w:rsid w:val="00DB4AF3"/>
    <w:rsid w:val="00DB552A"/>
    <w:rsid w:val="00DB58A6"/>
    <w:rsid w:val="00DB5B36"/>
    <w:rsid w:val="00DB6685"/>
    <w:rsid w:val="00DB6850"/>
    <w:rsid w:val="00DB6C15"/>
    <w:rsid w:val="00DB74DE"/>
    <w:rsid w:val="00DC1CA3"/>
    <w:rsid w:val="00DC224F"/>
    <w:rsid w:val="00DC25CB"/>
    <w:rsid w:val="00DC393D"/>
    <w:rsid w:val="00DC511E"/>
    <w:rsid w:val="00DC5DD9"/>
    <w:rsid w:val="00DD091C"/>
    <w:rsid w:val="00DD184A"/>
    <w:rsid w:val="00DD26B1"/>
    <w:rsid w:val="00DD427D"/>
    <w:rsid w:val="00DD4C82"/>
    <w:rsid w:val="00DD5786"/>
    <w:rsid w:val="00DD66B5"/>
    <w:rsid w:val="00DE3DFD"/>
    <w:rsid w:val="00DE584B"/>
    <w:rsid w:val="00DE6F54"/>
    <w:rsid w:val="00DE794D"/>
    <w:rsid w:val="00DE7C24"/>
    <w:rsid w:val="00DF02D6"/>
    <w:rsid w:val="00DF102A"/>
    <w:rsid w:val="00DF2D6D"/>
    <w:rsid w:val="00DF2E49"/>
    <w:rsid w:val="00DF4116"/>
    <w:rsid w:val="00DF5D49"/>
    <w:rsid w:val="00DF6A98"/>
    <w:rsid w:val="00E032D8"/>
    <w:rsid w:val="00E0344B"/>
    <w:rsid w:val="00E0405E"/>
    <w:rsid w:val="00E05182"/>
    <w:rsid w:val="00E0520E"/>
    <w:rsid w:val="00E054BB"/>
    <w:rsid w:val="00E05955"/>
    <w:rsid w:val="00E05DE6"/>
    <w:rsid w:val="00E06CC8"/>
    <w:rsid w:val="00E107B3"/>
    <w:rsid w:val="00E10F19"/>
    <w:rsid w:val="00E114DC"/>
    <w:rsid w:val="00E1181B"/>
    <w:rsid w:val="00E11E49"/>
    <w:rsid w:val="00E14272"/>
    <w:rsid w:val="00E1457C"/>
    <w:rsid w:val="00E14D21"/>
    <w:rsid w:val="00E15791"/>
    <w:rsid w:val="00E15E17"/>
    <w:rsid w:val="00E1750C"/>
    <w:rsid w:val="00E200B1"/>
    <w:rsid w:val="00E20784"/>
    <w:rsid w:val="00E20CA3"/>
    <w:rsid w:val="00E228A4"/>
    <w:rsid w:val="00E23D18"/>
    <w:rsid w:val="00E240A5"/>
    <w:rsid w:val="00E245B2"/>
    <w:rsid w:val="00E247F0"/>
    <w:rsid w:val="00E24E94"/>
    <w:rsid w:val="00E25817"/>
    <w:rsid w:val="00E25A3C"/>
    <w:rsid w:val="00E25E6E"/>
    <w:rsid w:val="00E26336"/>
    <w:rsid w:val="00E266D4"/>
    <w:rsid w:val="00E307AD"/>
    <w:rsid w:val="00E308A5"/>
    <w:rsid w:val="00E3091B"/>
    <w:rsid w:val="00E3153D"/>
    <w:rsid w:val="00E3482E"/>
    <w:rsid w:val="00E3722F"/>
    <w:rsid w:val="00E37B70"/>
    <w:rsid w:val="00E40097"/>
    <w:rsid w:val="00E4194D"/>
    <w:rsid w:val="00E43F01"/>
    <w:rsid w:val="00E449A7"/>
    <w:rsid w:val="00E45DEC"/>
    <w:rsid w:val="00E465EC"/>
    <w:rsid w:val="00E46B33"/>
    <w:rsid w:val="00E515EB"/>
    <w:rsid w:val="00E523EB"/>
    <w:rsid w:val="00E530DB"/>
    <w:rsid w:val="00E617CE"/>
    <w:rsid w:val="00E62F3C"/>
    <w:rsid w:val="00E63478"/>
    <w:rsid w:val="00E63CFB"/>
    <w:rsid w:val="00E63EA7"/>
    <w:rsid w:val="00E644E0"/>
    <w:rsid w:val="00E65E72"/>
    <w:rsid w:val="00E6627D"/>
    <w:rsid w:val="00E665AA"/>
    <w:rsid w:val="00E679D7"/>
    <w:rsid w:val="00E701BC"/>
    <w:rsid w:val="00E70E28"/>
    <w:rsid w:val="00E70F72"/>
    <w:rsid w:val="00E7446E"/>
    <w:rsid w:val="00E7671D"/>
    <w:rsid w:val="00E76C6F"/>
    <w:rsid w:val="00E77246"/>
    <w:rsid w:val="00E80091"/>
    <w:rsid w:val="00E80344"/>
    <w:rsid w:val="00E80B46"/>
    <w:rsid w:val="00E80CCF"/>
    <w:rsid w:val="00E818AD"/>
    <w:rsid w:val="00E81ABF"/>
    <w:rsid w:val="00E83342"/>
    <w:rsid w:val="00E83763"/>
    <w:rsid w:val="00E848FF"/>
    <w:rsid w:val="00E84974"/>
    <w:rsid w:val="00E85EB4"/>
    <w:rsid w:val="00E87817"/>
    <w:rsid w:val="00E8794D"/>
    <w:rsid w:val="00E917E6"/>
    <w:rsid w:val="00E92021"/>
    <w:rsid w:val="00E92980"/>
    <w:rsid w:val="00E933F2"/>
    <w:rsid w:val="00E93838"/>
    <w:rsid w:val="00E9540A"/>
    <w:rsid w:val="00E96D6B"/>
    <w:rsid w:val="00E97229"/>
    <w:rsid w:val="00EA1510"/>
    <w:rsid w:val="00EA21C9"/>
    <w:rsid w:val="00EA3FCF"/>
    <w:rsid w:val="00EA4294"/>
    <w:rsid w:val="00EA42E9"/>
    <w:rsid w:val="00EA499B"/>
    <w:rsid w:val="00EA4F20"/>
    <w:rsid w:val="00EA6050"/>
    <w:rsid w:val="00EA6552"/>
    <w:rsid w:val="00EA73DB"/>
    <w:rsid w:val="00EA77E5"/>
    <w:rsid w:val="00EB0C2C"/>
    <w:rsid w:val="00EB0E5E"/>
    <w:rsid w:val="00EB1EBB"/>
    <w:rsid w:val="00EB23AB"/>
    <w:rsid w:val="00EB30F1"/>
    <w:rsid w:val="00EB32EB"/>
    <w:rsid w:val="00EB4D7D"/>
    <w:rsid w:val="00EB5E0E"/>
    <w:rsid w:val="00EB614B"/>
    <w:rsid w:val="00EB6BC3"/>
    <w:rsid w:val="00EB70CD"/>
    <w:rsid w:val="00EB736F"/>
    <w:rsid w:val="00EB73C4"/>
    <w:rsid w:val="00EC0FD7"/>
    <w:rsid w:val="00EC2F5A"/>
    <w:rsid w:val="00EC5B6B"/>
    <w:rsid w:val="00ED02A1"/>
    <w:rsid w:val="00ED1498"/>
    <w:rsid w:val="00ED1FF5"/>
    <w:rsid w:val="00ED4A57"/>
    <w:rsid w:val="00ED6410"/>
    <w:rsid w:val="00EE04A5"/>
    <w:rsid w:val="00EE04CD"/>
    <w:rsid w:val="00EE1F40"/>
    <w:rsid w:val="00EE28AB"/>
    <w:rsid w:val="00EE326E"/>
    <w:rsid w:val="00EE34E9"/>
    <w:rsid w:val="00EE47FA"/>
    <w:rsid w:val="00EE5CB2"/>
    <w:rsid w:val="00EE650F"/>
    <w:rsid w:val="00EE6589"/>
    <w:rsid w:val="00EF08E2"/>
    <w:rsid w:val="00EF1057"/>
    <w:rsid w:val="00EF14CF"/>
    <w:rsid w:val="00EF2A9D"/>
    <w:rsid w:val="00EF2EED"/>
    <w:rsid w:val="00EF3306"/>
    <w:rsid w:val="00EF36C8"/>
    <w:rsid w:val="00EF3AE1"/>
    <w:rsid w:val="00EF41DC"/>
    <w:rsid w:val="00EF5D3F"/>
    <w:rsid w:val="00EF712B"/>
    <w:rsid w:val="00EF77E5"/>
    <w:rsid w:val="00EF7D5A"/>
    <w:rsid w:val="00F008F3"/>
    <w:rsid w:val="00F00E6D"/>
    <w:rsid w:val="00F012F0"/>
    <w:rsid w:val="00F020DD"/>
    <w:rsid w:val="00F03617"/>
    <w:rsid w:val="00F04A5C"/>
    <w:rsid w:val="00F04B04"/>
    <w:rsid w:val="00F04EF2"/>
    <w:rsid w:val="00F05860"/>
    <w:rsid w:val="00F05FA7"/>
    <w:rsid w:val="00F06535"/>
    <w:rsid w:val="00F06DF4"/>
    <w:rsid w:val="00F06EAB"/>
    <w:rsid w:val="00F101C0"/>
    <w:rsid w:val="00F10503"/>
    <w:rsid w:val="00F112EA"/>
    <w:rsid w:val="00F127BA"/>
    <w:rsid w:val="00F13519"/>
    <w:rsid w:val="00F16C66"/>
    <w:rsid w:val="00F17781"/>
    <w:rsid w:val="00F22733"/>
    <w:rsid w:val="00F2325E"/>
    <w:rsid w:val="00F23E3D"/>
    <w:rsid w:val="00F24853"/>
    <w:rsid w:val="00F25C21"/>
    <w:rsid w:val="00F25F07"/>
    <w:rsid w:val="00F26B4C"/>
    <w:rsid w:val="00F26EB0"/>
    <w:rsid w:val="00F2797A"/>
    <w:rsid w:val="00F34C3E"/>
    <w:rsid w:val="00F34DA5"/>
    <w:rsid w:val="00F35EC8"/>
    <w:rsid w:val="00F3659C"/>
    <w:rsid w:val="00F36D1D"/>
    <w:rsid w:val="00F377A4"/>
    <w:rsid w:val="00F37BF1"/>
    <w:rsid w:val="00F4091A"/>
    <w:rsid w:val="00F41368"/>
    <w:rsid w:val="00F41834"/>
    <w:rsid w:val="00F44056"/>
    <w:rsid w:val="00F44420"/>
    <w:rsid w:val="00F45CFC"/>
    <w:rsid w:val="00F469BA"/>
    <w:rsid w:val="00F47C18"/>
    <w:rsid w:val="00F50437"/>
    <w:rsid w:val="00F5134A"/>
    <w:rsid w:val="00F52628"/>
    <w:rsid w:val="00F530D1"/>
    <w:rsid w:val="00F54BAD"/>
    <w:rsid w:val="00F54ED5"/>
    <w:rsid w:val="00F5502C"/>
    <w:rsid w:val="00F55FA6"/>
    <w:rsid w:val="00F5774B"/>
    <w:rsid w:val="00F60480"/>
    <w:rsid w:val="00F61FE9"/>
    <w:rsid w:val="00F63C90"/>
    <w:rsid w:val="00F64D99"/>
    <w:rsid w:val="00F678E0"/>
    <w:rsid w:val="00F67CEC"/>
    <w:rsid w:val="00F703CA"/>
    <w:rsid w:val="00F7122C"/>
    <w:rsid w:val="00F715E6"/>
    <w:rsid w:val="00F715FD"/>
    <w:rsid w:val="00F7263B"/>
    <w:rsid w:val="00F732B5"/>
    <w:rsid w:val="00F733ED"/>
    <w:rsid w:val="00F743FE"/>
    <w:rsid w:val="00F76B51"/>
    <w:rsid w:val="00F774B6"/>
    <w:rsid w:val="00F779CD"/>
    <w:rsid w:val="00F77AD5"/>
    <w:rsid w:val="00F80A6A"/>
    <w:rsid w:val="00F8149C"/>
    <w:rsid w:val="00F820FE"/>
    <w:rsid w:val="00F82F40"/>
    <w:rsid w:val="00F831C9"/>
    <w:rsid w:val="00F837B8"/>
    <w:rsid w:val="00F84D96"/>
    <w:rsid w:val="00F8690D"/>
    <w:rsid w:val="00F8741C"/>
    <w:rsid w:val="00F91422"/>
    <w:rsid w:val="00F9167A"/>
    <w:rsid w:val="00F91DBB"/>
    <w:rsid w:val="00F9293F"/>
    <w:rsid w:val="00F92BC7"/>
    <w:rsid w:val="00F9616C"/>
    <w:rsid w:val="00F961B9"/>
    <w:rsid w:val="00F97E5C"/>
    <w:rsid w:val="00FA145E"/>
    <w:rsid w:val="00FA20CA"/>
    <w:rsid w:val="00FA3EAA"/>
    <w:rsid w:val="00FA49AE"/>
    <w:rsid w:val="00FA4B6A"/>
    <w:rsid w:val="00FA4E95"/>
    <w:rsid w:val="00FB094D"/>
    <w:rsid w:val="00FB1BE3"/>
    <w:rsid w:val="00FB202B"/>
    <w:rsid w:val="00FB2256"/>
    <w:rsid w:val="00FB2595"/>
    <w:rsid w:val="00FB2B62"/>
    <w:rsid w:val="00FB3398"/>
    <w:rsid w:val="00FB38B9"/>
    <w:rsid w:val="00FB3EF3"/>
    <w:rsid w:val="00FB497C"/>
    <w:rsid w:val="00FB4B0F"/>
    <w:rsid w:val="00FB4FC4"/>
    <w:rsid w:val="00FB50D6"/>
    <w:rsid w:val="00FB665C"/>
    <w:rsid w:val="00FB668B"/>
    <w:rsid w:val="00FC072E"/>
    <w:rsid w:val="00FC3279"/>
    <w:rsid w:val="00FC388D"/>
    <w:rsid w:val="00FC4DF9"/>
    <w:rsid w:val="00FC5AEE"/>
    <w:rsid w:val="00FC656E"/>
    <w:rsid w:val="00FD46D1"/>
    <w:rsid w:val="00FD54DB"/>
    <w:rsid w:val="00FD58F2"/>
    <w:rsid w:val="00FD5E24"/>
    <w:rsid w:val="00FD6B91"/>
    <w:rsid w:val="00FD6E3F"/>
    <w:rsid w:val="00FD7759"/>
    <w:rsid w:val="00FE1080"/>
    <w:rsid w:val="00FE133D"/>
    <w:rsid w:val="00FE4D17"/>
    <w:rsid w:val="00FE4E04"/>
    <w:rsid w:val="00FE5427"/>
    <w:rsid w:val="00FE63A1"/>
    <w:rsid w:val="00FE71C5"/>
    <w:rsid w:val="00FF187A"/>
    <w:rsid w:val="00FF1DF1"/>
    <w:rsid w:val="00FF23BD"/>
    <w:rsid w:val="00FF25E8"/>
    <w:rsid w:val="00FF4CA5"/>
    <w:rsid w:val="00FF536D"/>
    <w:rsid w:val="00FF5408"/>
    <w:rsid w:val="00FF5B07"/>
    <w:rsid w:val="00FF623A"/>
    <w:rsid w:val="00FF6240"/>
    <w:rsid w:val="00FF6644"/>
    <w:rsid w:val="00FF680E"/>
    <w:rsid w:val="00FF6975"/>
    <w:rsid w:val="00FF6DA7"/>
    <w:rsid w:val="029F0571"/>
    <w:rsid w:val="03083D84"/>
    <w:rsid w:val="045625A1"/>
    <w:rsid w:val="05972FDC"/>
    <w:rsid w:val="07F832D5"/>
    <w:rsid w:val="10196EF9"/>
    <w:rsid w:val="104208F6"/>
    <w:rsid w:val="104D2A05"/>
    <w:rsid w:val="13061016"/>
    <w:rsid w:val="14BD72BF"/>
    <w:rsid w:val="16463906"/>
    <w:rsid w:val="1F1225CF"/>
    <w:rsid w:val="22EC3DEA"/>
    <w:rsid w:val="298F5D24"/>
    <w:rsid w:val="2BA924ED"/>
    <w:rsid w:val="2BC674CC"/>
    <w:rsid w:val="2D6418C1"/>
    <w:rsid w:val="2D753519"/>
    <w:rsid w:val="2E1132D2"/>
    <w:rsid w:val="2EBF3A83"/>
    <w:rsid w:val="3B9241ED"/>
    <w:rsid w:val="3E7503C3"/>
    <w:rsid w:val="3F717FE3"/>
    <w:rsid w:val="465E582C"/>
    <w:rsid w:val="4A624C77"/>
    <w:rsid w:val="4C8B5357"/>
    <w:rsid w:val="4D632788"/>
    <w:rsid w:val="4D7202BF"/>
    <w:rsid w:val="4EA50F9A"/>
    <w:rsid w:val="545B6670"/>
    <w:rsid w:val="550D26B3"/>
    <w:rsid w:val="6C2B4727"/>
    <w:rsid w:val="79C63C7A"/>
    <w:rsid w:val="7AC92FA9"/>
    <w:rsid w:val="7B4B69B2"/>
    <w:rsid w:val="7EEA152D"/>
    <w:rsid w:val="7FB16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1"/>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22"/>
    <w:qFormat/>
    <w:uiPriority w:val="99"/>
    <w:pPr>
      <w:keepNext/>
      <w:keepLines/>
      <w:spacing w:before="260" w:after="260" w:line="416" w:lineRule="atLeast"/>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Body Text"/>
    <w:basedOn w:val="1"/>
    <w:link w:val="58"/>
    <w:unhideWhenUsed/>
    <w:qFormat/>
    <w:locked/>
    <w:uiPriority w:val="99"/>
    <w:pPr>
      <w:spacing w:after="120"/>
    </w:pPr>
  </w:style>
  <w:style w:type="paragraph" w:styleId="5">
    <w:name w:val="Body Text Indent"/>
    <w:basedOn w:val="1"/>
    <w:link w:val="23"/>
    <w:qFormat/>
    <w:uiPriority w:val="99"/>
    <w:pPr>
      <w:widowControl w:val="0"/>
      <w:snapToGrid w:val="0"/>
      <w:spacing w:before="283" w:line="560" w:lineRule="exact"/>
      <w:ind w:firstLine="510"/>
    </w:pPr>
    <w:rPr>
      <w:sz w:val="28"/>
    </w:rPr>
  </w:style>
  <w:style w:type="paragraph" w:styleId="6">
    <w:name w:val="Plain Text"/>
    <w:basedOn w:val="1"/>
    <w:link w:val="52"/>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5"/>
    <w:qFormat/>
    <w:uiPriority w:val="99"/>
    <w:pPr>
      <w:ind w:left="100" w:leftChars="2500"/>
    </w:pPr>
  </w:style>
  <w:style w:type="paragraph" w:styleId="8">
    <w:name w:val="Balloon Text"/>
    <w:basedOn w:val="1"/>
    <w:link w:val="26"/>
    <w:qFormat/>
    <w:uiPriority w:val="99"/>
    <w:pPr>
      <w:spacing w:line="240" w:lineRule="auto"/>
    </w:pPr>
    <w:rPr>
      <w:sz w:val="18"/>
      <w:szCs w:val="18"/>
    </w:rPr>
  </w:style>
  <w:style w:type="paragraph" w:styleId="9">
    <w:name w:val="footer"/>
    <w:basedOn w:val="1"/>
    <w:link w:val="27"/>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29"/>
    <w:qFormat/>
    <w:uiPriority w:val="99"/>
    <w:pPr>
      <w:spacing w:after="120" w:line="480" w:lineRule="auto"/>
    </w:p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99"/>
    <w:rPr>
      <w:rFonts w:cs="Times New Roman"/>
      <w:b/>
    </w:rPr>
  </w:style>
  <w:style w:type="character" w:styleId="19">
    <w:name w:val="page number"/>
    <w:qFormat/>
    <w:uiPriority w:val="99"/>
    <w:rPr>
      <w:rFonts w:cs="Times New Roman"/>
    </w:rPr>
  </w:style>
  <w:style w:type="character" w:styleId="20">
    <w:name w:val="Hyperlink"/>
    <w:qFormat/>
    <w:uiPriority w:val="99"/>
    <w:rPr>
      <w:rFonts w:cs="Times New Roman"/>
      <w:color w:val="0368A8"/>
      <w:u w:val="none"/>
    </w:rPr>
  </w:style>
  <w:style w:type="character" w:customStyle="1" w:styleId="21">
    <w:name w:val="标题 1 Char"/>
    <w:link w:val="2"/>
    <w:qFormat/>
    <w:locked/>
    <w:uiPriority w:val="99"/>
    <w:rPr>
      <w:rFonts w:cs="Times New Roman"/>
      <w:b/>
      <w:bCs/>
      <w:color w:val="000000"/>
      <w:kern w:val="44"/>
      <w:sz w:val="44"/>
      <w:szCs w:val="44"/>
      <w:u w:val="none" w:color="000000"/>
    </w:rPr>
  </w:style>
  <w:style w:type="character" w:customStyle="1" w:styleId="22">
    <w:name w:val="标题 3 Char"/>
    <w:link w:val="3"/>
    <w:semiHidden/>
    <w:qFormat/>
    <w:locked/>
    <w:uiPriority w:val="99"/>
    <w:rPr>
      <w:rFonts w:cs="Times New Roman"/>
      <w:b/>
      <w:bCs/>
      <w:color w:val="000000"/>
      <w:sz w:val="32"/>
      <w:szCs w:val="32"/>
      <w:u w:val="none" w:color="000000"/>
    </w:rPr>
  </w:style>
  <w:style w:type="character" w:customStyle="1" w:styleId="23">
    <w:name w:val="正文文本缩进 Char"/>
    <w:link w:val="5"/>
    <w:semiHidden/>
    <w:qFormat/>
    <w:locked/>
    <w:uiPriority w:val="99"/>
    <w:rPr>
      <w:rFonts w:cs="Times New Roman"/>
      <w:color w:val="000000"/>
      <w:kern w:val="0"/>
      <w:sz w:val="20"/>
      <w:szCs w:val="20"/>
      <w:u w:val="none" w:color="000000"/>
    </w:rPr>
  </w:style>
  <w:style w:type="character" w:customStyle="1" w:styleId="24">
    <w:name w:val="Plain Text Char"/>
    <w:qFormat/>
    <w:locked/>
    <w:uiPriority w:val="99"/>
    <w:rPr>
      <w:rFonts w:ascii="宋体" w:hAnsi="Courier New" w:eastAsia="宋体" w:cs="Times New Roman"/>
      <w:kern w:val="2"/>
      <w:sz w:val="21"/>
      <w:lang w:val="en-US" w:eastAsia="zh-CN"/>
    </w:rPr>
  </w:style>
  <w:style w:type="character" w:customStyle="1" w:styleId="25">
    <w:name w:val="日期 Char"/>
    <w:link w:val="7"/>
    <w:qFormat/>
    <w:locked/>
    <w:uiPriority w:val="99"/>
    <w:rPr>
      <w:rFonts w:cs="Times New Roman"/>
      <w:color w:val="000000"/>
      <w:sz w:val="21"/>
      <w:u w:val="none" w:color="000000"/>
    </w:rPr>
  </w:style>
  <w:style w:type="character" w:customStyle="1" w:styleId="26">
    <w:name w:val="批注框文本 Char"/>
    <w:link w:val="8"/>
    <w:qFormat/>
    <w:locked/>
    <w:uiPriority w:val="99"/>
    <w:rPr>
      <w:rFonts w:cs="Times New Roman"/>
      <w:color w:val="000000"/>
      <w:sz w:val="18"/>
      <w:szCs w:val="18"/>
      <w:u w:val="none" w:color="000000"/>
    </w:rPr>
  </w:style>
  <w:style w:type="character" w:customStyle="1" w:styleId="27">
    <w:name w:val="页脚 Char"/>
    <w:link w:val="9"/>
    <w:semiHidden/>
    <w:qFormat/>
    <w:locked/>
    <w:uiPriority w:val="99"/>
    <w:rPr>
      <w:rFonts w:cs="Times New Roman"/>
      <w:color w:val="000000"/>
      <w:kern w:val="0"/>
      <w:sz w:val="18"/>
      <w:szCs w:val="18"/>
      <w:u w:val="none" w:color="000000"/>
    </w:rPr>
  </w:style>
  <w:style w:type="character" w:customStyle="1" w:styleId="28">
    <w:name w:val="页眉 Char"/>
    <w:link w:val="10"/>
    <w:semiHidden/>
    <w:qFormat/>
    <w:locked/>
    <w:uiPriority w:val="99"/>
    <w:rPr>
      <w:rFonts w:cs="Times New Roman"/>
      <w:color w:val="000000"/>
      <w:kern w:val="0"/>
      <w:sz w:val="18"/>
      <w:szCs w:val="18"/>
      <w:u w:val="none" w:color="000000"/>
    </w:rPr>
  </w:style>
  <w:style w:type="character" w:customStyle="1" w:styleId="29">
    <w:name w:val="正文文本 2 Char"/>
    <w:link w:val="13"/>
    <w:semiHidden/>
    <w:qFormat/>
    <w:locked/>
    <w:uiPriority w:val="99"/>
    <w:rPr>
      <w:rFonts w:cs="Times New Roman"/>
      <w:color w:val="000000"/>
      <w:kern w:val="0"/>
      <w:sz w:val="20"/>
      <w:szCs w:val="20"/>
      <w:u w:val="none" w:color="000000"/>
    </w:rPr>
  </w:style>
  <w:style w:type="paragraph" w:customStyle="1" w:styleId="30">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1">
    <w:name w:val="章标题"/>
    <w:basedOn w:val="1"/>
    <w:next w:val="32"/>
    <w:qFormat/>
    <w:uiPriority w:val="99"/>
    <w:pPr>
      <w:spacing w:before="158" w:after="153" w:line="323" w:lineRule="atLeast"/>
      <w:jc w:val="center"/>
    </w:pPr>
    <w:rPr>
      <w:rFonts w:ascii="Arial" w:eastAsia="黑体"/>
      <w:sz w:val="31"/>
    </w:rPr>
  </w:style>
  <w:style w:type="paragraph" w:customStyle="1" w:styleId="32">
    <w:name w:val="节标题"/>
    <w:basedOn w:val="1"/>
    <w:next w:val="33"/>
    <w:qFormat/>
    <w:uiPriority w:val="99"/>
    <w:pPr>
      <w:spacing w:line="289" w:lineRule="atLeast"/>
      <w:jc w:val="center"/>
    </w:pPr>
    <w:rPr>
      <w:sz w:val="28"/>
    </w:rPr>
  </w:style>
  <w:style w:type="paragraph" w:customStyle="1" w:styleId="33">
    <w:name w:val="小节标题"/>
    <w:basedOn w:val="1"/>
    <w:next w:val="1"/>
    <w:qFormat/>
    <w:uiPriority w:val="99"/>
    <w:pPr>
      <w:spacing w:before="175" w:after="102" w:line="351" w:lineRule="atLeast"/>
    </w:pPr>
    <w:rPr>
      <w:rFonts w:eastAsia="黑体"/>
    </w:rPr>
  </w:style>
  <w:style w:type="paragraph" w:customStyle="1" w:styleId="34">
    <w:name w:val="目录2"/>
    <w:basedOn w:val="1"/>
    <w:next w:val="1"/>
    <w:qFormat/>
    <w:uiPriority w:val="99"/>
    <w:pPr>
      <w:tabs>
        <w:tab w:val="left" w:leader="dot" w:pos="8503"/>
      </w:tabs>
      <w:spacing w:line="317" w:lineRule="atLeast"/>
      <w:ind w:firstLine="209"/>
    </w:pPr>
  </w:style>
  <w:style w:type="paragraph" w:customStyle="1" w:styleId="35">
    <w:name w:val="目录4"/>
    <w:basedOn w:val="1"/>
    <w:next w:val="1"/>
    <w:qFormat/>
    <w:uiPriority w:val="99"/>
    <w:pPr>
      <w:tabs>
        <w:tab w:val="left" w:leader="dot" w:pos="8503"/>
      </w:tabs>
      <w:spacing w:line="317" w:lineRule="atLeast"/>
      <w:ind w:firstLine="629"/>
    </w:pPr>
  </w:style>
  <w:style w:type="paragraph" w:customStyle="1" w:styleId="36">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7">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38">
    <w:name w:val="目录3"/>
    <w:basedOn w:val="1"/>
    <w:next w:val="1"/>
    <w:qFormat/>
    <w:uiPriority w:val="99"/>
    <w:pPr>
      <w:tabs>
        <w:tab w:val="left" w:leader="dot" w:pos="8503"/>
      </w:tabs>
      <w:spacing w:line="317" w:lineRule="atLeast"/>
      <w:ind w:firstLine="419"/>
    </w:pPr>
  </w:style>
  <w:style w:type="paragraph" w:customStyle="1" w:styleId="39">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0">
    <w:name w:val="文章总标题"/>
    <w:basedOn w:val="1"/>
    <w:next w:val="41"/>
    <w:qFormat/>
    <w:uiPriority w:val="99"/>
    <w:pPr>
      <w:spacing w:before="566" w:after="544" w:line="566" w:lineRule="atLeast"/>
      <w:jc w:val="center"/>
    </w:pPr>
    <w:rPr>
      <w:rFonts w:ascii="Arial" w:eastAsia="黑体"/>
      <w:sz w:val="54"/>
    </w:rPr>
  </w:style>
  <w:style w:type="paragraph" w:customStyle="1" w:styleId="41">
    <w:name w:val="文章附标题"/>
    <w:basedOn w:val="1"/>
    <w:next w:val="31"/>
    <w:qFormat/>
    <w:uiPriority w:val="99"/>
    <w:pPr>
      <w:spacing w:before="187" w:after="175" w:line="374" w:lineRule="atLeast"/>
      <w:jc w:val="center"/>
    </w:pPr>
    <w:rPr>
      <w:sz w:val="36"/>
    </w:rPr>
  </w:style>
  <w:style w:type="paragraph" w:customStyle="1" w:styleId="42">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3">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4">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5">
    <w:name w:val="WPS Plain"/>
    <w:qFormat/>
    <w:uiPriority w:val="99"/>
    <w:rPr>
      <w:rFonts w:ascii="Times New Roman" w:hAnsi="Times New Roman" w:eastAsia="宋体" w:cs="Times New Roman"/>
      <w:lang w:val="en-US" w:eastAsia="zh-CN" w:bidi="ar-SA"/>
    </w:rPr>
  </w:style>
  <w:style w:type="paragraph" w:customStyle="1" w:styleId="46">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9">
    <w:name w:val="链接"/>
    <w:qFormat/>
    <w:uiPriority w:val="99"/>
    <w:rPr>
      <w:rFonts w:ascii="Times New Roman" w:eastAsia="宋体"/>
      <w:color w:val="0000FF"/>
      <w:sz w:val="21"/>
      <w:u w:val="single" w:color="0000FF"/>
      <w:lang w:val="en-US" w:eastAsia="zh-CN"/>
    </w:rPr>
  </w:style>
  <w:style w:type="character" w:customStyle="1" w:styleId="50">
    <w:name w:val="超级链接"/>
    <w:qFormat/>
    <w:uiPriority w:val="99"/>
    <w:rPr>
      <w:rFonts w:ascii="Times New Roman" w:eastAsia="宋体"/>
      <w:color w:val="0000FF"/>
      <w:sz w:val="21"/>
      <w:u w:val="single" w:color="0000FF"/>
      <w:lang w:val="en-US" w:eastAsia="zh-CN"/>
    </w:rPr>
  </w:style>
  <w:style w:type="character" w:customStyle="1" w:styleId="51">
    <w:name w:val="param_td12"/>
    <w:qFormat/>
    <w:uiPriority w:val="99"/>
    <w:rPr>
      <w:rFonts w:cs="Times New Roman"/>
    </w:rPr>
  </w:style>
  <w:style w:type="character" w:customStyle="1" w:styleId="52">
    <w:name w:val="纯文本 Char"/>
    <w:link w:val="6"/>
    <w:semiHidden/>
    <w:qFormat/>
    <w:locked/>
    <w:uiPriority w:val="99"/>
    <w:rPr>
      <w:rFonts w:ascii="宋体" w:hAnsi="Courier New" w:cs="Courier New"/>
      <w:color w:val="000000"/>
      <w:kern w:val="0"/>
      <w:sz w:val="21"/>
      <w:szCs w:val="21"/>
      <w:u w:val="none" w:color="000000"/>
    </w:rPr>
  </w:style>
  <w:style w:type="character" w:customStyle="1" w:styleId="53">
    <w:name w:val="纯文本 Char Char"/>
    <w:qFormat/>
    <w:uiPriority w:val="99"/>
    <w:rPr>
      <w:rFonts w:ascii="宋体" w:hAnsi="Courier New" w:eastAsia="宋体"/>
      <w:kern w:val="2"/>
      <w:sz w:val="21"/>
      <w:lang w:val="en-US" w:eastAsia="zh-CN"/>
    </w:rPr>
  </w:style>
  <w:style w:type="character" w:customStyle="1" w:styleId="54">
    <w:name w:val="Char Char4"/>
    <w:qFormat/>
    <w:uiPriority w:val="99"/>
    <w:rPr>
      <w:rFonts w:ascii="宋体" w:eastAsia="宋体"/>
      <w:kern w:val="2"/>
      <w:sz w:val="28"/>
    </w:rPr>
  </w:style>
  <w:style w:type="character" w:customStyle="1" w:styleId="55">
    <w:name w:val="纯文本 Char1"/>
    <w:qFormat/>
    <w:locked/>
    <w:uiPriority w:val="99"/>
    <w:rPr>
      <w:rFonts w:ascii="宋体" w:hAnsi="Courier New" w:cs="Times New Roman"/>
      <w:color w:val="000000"/>
      <w:kern w:val="0"/>
      <w:sz w:val="21"/>
      <w:u w:val="none" w:color="000000"/>
    </w:rPr>
  </w:style>
  <w:style w:type="character" w:customStyle="1" w:styleId="56">
    <w:name w:val="样式 首行缩进:  0 字符 Char"/>
    <w:link w:val="57"/>
    <w:qFormat/>
    <w:locked/>
    <w:uiPriority w:val="0"/>
    <w:rPr>
      <w:sz w:val="24"/>
    </w:rPr>
  </w:style>
  <w:style w:type="paragraph" w:customStyle="1" w:styleId="57">
    <w:name w:val="样式 首行缩进:  0 字符"/>
    <w:basedOn w:val="1"/>
    <w:link w:val="56"/>
    <w:qFormat/>
    <w:uiPriority w:val="0"/>
    <w:pPr>
      <w:widowControl w:val="0"/>
      <w:spacing w:line="360" w:lineRule="auto"/>
      <w:ind w:firstLine="200" w:firstLineChars="200"/>
      <w:textAlignment w:val="auto"/>
    </w:pPr>
    <w:rPr>
      <w:color w:val="auto"/>
      <w:sz w:val="24"/>
    </w:rPr>
  </w:style>
  <w:style w:type="character" w:customStyle="1" w:styleId="58">
    <w:name w:val="正文文本 Char"/>
    <w:link w:val="4"/>
    <w:semiHidden/>
    <w:qFormat/>
    <w:uiPriority w:val="99"/>
    <w:rPr>
      <w:color w:val="000000"/>
      <w:sz w:val="21"/>
      <w:u w:color="000000"/>
    </w:rPr>
  </w:style>
  <w:style w:type="character" w:customStyle="1" w:styleId="59">
    <w:name w:val="正文文本 (2)_"/>
    <w:link w:val="60"/>
    <w:qFormat/>
    <w:uiPriority w:val="0"/>
    <w:rPr>
      <w:rFonts w:ascii="MingLiU" w:hAnsi="MingLiU" w:eastAsia="MingLiU" w:cs="MingLiU"/>
      <w:spacing w:val="30"/>
      <w:sz w:val="30"/>
      <w:szCs w:val="30"/>
      <w:shd w:val="clear" w:color="auto" w:fill="FFFFFF"/>
    </w:rPr>
  </w:style>
  <w:style w:type="paragraph" w:customStyle="1" w:styleId="60">
    <w:name w:val="正文文本 (2)"/>
    <w:basedOn w:val="1"/>
    <w:link w:val="59"/>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1">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2">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3">
    <w:name w:val="页眉或页脚"/>
    <w:qFormat/>
    <w:uiPriority w:val="0"/>
    <w:rPr>
      <w:rFonts w:ascii="MingLiU" w:hAnsi="MingLiU" w:eastAsia="MingLiU" w:cs="MingLiU"/>
      <w:color w:val="000000"/>
      <w:spacing w:val="0"/>
      <w:w w:val="100"/>
      <w:position w:val="0"/>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18925</Words>
  <Characters>20713</Characters>
  <Lines>326</Lines>
  <Paragraphs>91</Paragraphs>
  <TotalTime>1</TotalTime>
  <ScaleCrop>false</ScaleCrop>
  <LinksUpToDate>false</LinksUpToDate>
  <CharactersWithSpaces>21024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2025-07-28T04:15:00Z</dcterms:created>
  <dc:creator>ZM</dc:creator>
  <cp:lastModifiedBy>Administrator</cp:lastModifiedBy>
  <cp:lastPrinted>2021-07-08T07:32:00Z</cp:lastPrinted>
  <dcterms:modified xsi:type="dcterms:W3CDTF">2025-08-12T08:52:32Z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eyJoZGlkIjoiYWViYWFjMDEyOWIxMDRiMzJjNmM0MTE3OGZjYjA0YjkiLCJ1c2VySWQiOiI5ODI5ODUwOTcifQ==</vt:lpwstr>
  </property>
  <property fmtid="{D5CDD505-2E9C-101B-9397-08002B2CF9AE}" pid="4" name="ICV">
    <vt:lpwstr>0B7863A010D2406F85E1BE85337C7A4E_13</vt:lpwstr>
  </property>
</Properties>
</file>